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E7" w:rsidRPr="00B35146" w:rsidRDefault="00FE18E7" w:rsidP="00FE18E7">
      <w:pPr>
        <w:widowControl w:val="0"/>
        <w:adjustRightInd w:val="0"/>
        <w:jc w:val="center"/>
        <w:rPr>
          <w:b/>
          <w:bCs/>
          <w:caps/>
          <w:color w:val="000000"/>
          <w:spacing w:val="30"/>
          <w:lang w:val="sk-SK" w:eastAsia="en-US"/>
        </w:rPr>
      </w:pPr>
      <w:bookmarkStart w:id="0" w:name="_GoBack"/>
      <w:bookmarkEnd w:id="0"/>
      <w:r w:rsidRPr="00B35146">
        <w:rPr>
          <w:b/>
          <w:bCs/>
          <w:caps/>
          <w:color w:val="000000"/>
          <w:spacing w:val="30"/>
          <w:lang w:val="sk-SK" w:eastAsia="en-US"/>
        </w:rPr>
        <w:t>Doložka</w:t>
      </w:r>
    </w:p>
    <w:p w:rsidR="00FE18E7" w:rsidRPr="00B35146" w:rsidRDefault="00FE18E7" w:rsidP="00FE18E7">
      <w:pPr>
        <w:widowControl w:val="0"/>
        <w:adjustRightInd w:val="0"/>
        <w:jc w:val="center"/>
        <w:rPr>
          <w:b/>
          <w:bCs/>
          <w:color w:val="000000"/>
          <w:lang w:val="sk-SK" w:eastAsia="en-US"/>
        </w:rPr>
      </w:pPr>
      <w:r w:rsidRPr="00B35146">
        <w:rPr>
          <w:b/>
          <w:bCs/>
          <w:color w:val="000000"/>
          <w:lang w:val="sk-SK" w:eastAsia="en-US"/>
        </w:rPr>
        <w:t>vybraných vplyvov</w:t>
      </w:r>
    </w:p>
    <w:p w:rsidR="00FE18E7" w:rsidRPr="00B35146" w:rsidRDefault="00FE18E7" w:rsidP="00FE18E7">
      <w:pPr>
        <w:widowControl w:val="0"/>
        <w:adjustRightInd w:val="0"/>
        <w:rPr>
          <w:color w:val="000000"/>
          <w:lang w:val="sk-SK" w:eastAsia="en-US"/>
        </w:rPr>
      </w:pPr>
    </w:p>
    <w:p w:rsidR="00FE18E7" w:rsidRPr="00B35146" w:rsidRDefault="00FE18E7" w:rsidP="00FE18E7">
      <w:pPr>
        <w:widowControl w:val="0"/>
        <w:adjustRightInd w:val="0"/>
        <w:rPr>
          <w:color w:val="000000"/>
          <w:lang w:val="sk-SK" w:eastAsia="en-US"/>
        </w:rPr>
      </w:pPr>
    </w:p>
    <w:p w:rsidR="00FE18E7" w:rsidRPr="00B35146" w:rsidRDefault="00FE18E7" w:rsidP="00FE18E7">
      <w:pPr>
        <w:jc w:val="both"/>
        <w:rPr>
          <w:lang w:val="sk-SK"/>
        </w:rPr>
      </w:pPr>
      <w:r w:rsidRPr="00B35146">
        <w:rPr>
          <w:b/>
          <w:bCs/>
          <w:color w:val="000000"/>
          <w:lang w:val="sk-SK"/>
        </w:rPr>
        <w:t xml:space="preserve">A.1. Názov materiálu: </w:t>
      </w:r>
      <w:r w:rsidRPr="00B35146">
        <w:rPr>
          <w:lang w:val="sk-SK"/>
        </w:rPr>
        <w:t>Návrh zákona</w:t>
      </w:r>
      <w:r>
        <w:rPr>
          <w:lang w:val="sk-SK"/>
        </w:rPr>
        <w:t xml:space="preserve"> o energetickej efektívnosti </w:t>
      </w:r>
      <w:r w:rsidR="00D97225">
        <w:rPr>
          <w:lang w:val="sk-SK"/>
        </w:rPr>
        <w:t>a o zmene a doplnení niektorých zákonov</w:t>
      </w: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  <w:r w:rsidRPr="00B35146">
        <w:rPr>
          <w:b/>
          <w:bCs/>
          <w:color w:val="000000"/>
          <w:lang w:val="sk-SK" w:eastAsia="en-US"/>
        </w:rPr>
        <w:t>Termín začatia a ukončenia PPK:</w:t>
      </w:r>
      <w:r w:rsidRPr="00B35146">
        <w:rPr>
          <w:color w:val="000000"/>
          <w:lang w:val="sk-SK" w:eastAsia="en-US"/>
        </w:rPr>
        <w:t xml:space="preserve"> </w:t>
      </w: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  <w:r w:rsidRPr="00B35146">
        <w:rPr>
          <w:b/>
          <w:bCs/>
          <w:color w:val="000000"/>
          <w:lang w:val="sk-SK" w:eastAsia="en-US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1197"/>
        <w:gridCol w:w="1183"/>
        <w:gridCol w:w="1201"/>
      </w:tblGrid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 Pozitívne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 Žiadne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 Negatívne </w:t>
            </w: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1. Vplyvy na rozpočet verejnej správy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342879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 xml:space="preserve"> 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2. Vplyvy na podnikateľské prostredie – dochádza k zvýšeniu regulačného zaťaženia?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BD6C8A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3. Sociálne vplyvy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420898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 xml:space="preserve">– sociálnu </w:t>
            </w:r>
            <w:proofErr w:type="spellStart"/>
            <w:r w:rsidRPr="00B35146">
              <w:rPr>
                <w:color w:val="000000"/>
                <w:lang w:val="sk-SK" w:eastAsia="en-US"/>
              </w:rPr>
              <w:t>exklúziu</w:t>
            </w:r>
            <w:proofErr w:type="spellEnd"/>
            <w:r w:rsidRPr="00B35146">
              <w:rPr>
                <w:color w:val="000000"/>
                <w:lang w:val="sk-SK" w:eastAsia="en-US"/>
              </w:rPr>
              <w:t>,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– rovnosť príležitostí a rodovú rovnosť a vplyvy na zamestnanosť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295375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4. Vplyvy na životné prostredie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</w:tr>
      <w:tr w:rsidR="00FE18E7" w:rsidRPr="00B35146" w:rsidTr="00D52CB9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rPr>
                <w:color w:val="000000"/>
                <w:lang w:val="sk-SK" w:eastAsia="en-US"/>
              </w:rPr>
            </w:pPr>
            <w:r w:rsidRPr="00B35146">
              <w:rPr>
                <w:color w:val="000000"/>
                <w:lang w:val="sk-SK" w:eastAsia="en-US"/>
              </w:rPr>
              <w:t>5. Vplyvy na informatizáciu spoločnosti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8E7" w:rsidRPr="00B35146" w:rsidRDefault="00FE18E7" w:rsidP="00D52CB9">
            <w:pPr>
              <w:widowControl w:val="0"/>
              <w:adjustRightInd w:val="0"/>
              <w:jc w:val="center"/>
              <w:rPr>
                <w:color w:val="000000"/>
                <w:lang w:val="sk-SK" w:eastAsia="en-US"/>
              </w:rPr>
            </w:pPr>
          </w:p>
        </w:tc>
      </w:tr>
    </w:tbl>
    <w:p w:rsidR="00FE18E7" w:rsidRPr="00B35146" w:rsidRDefault="00FE18E7" w:rsidP="00FE18E7">
      <w:pPr>
        <w:widowControl w:val="0"/>
        <w:adjustRightInd w:val="0"/>
        <w:rPr>
          <w:color w:val="000000"/>
          <w:lang w:val="sk-SK" w:eastAsia="en-US"/>
        </w:rPr>
      </w:pPr>
      <w:r w:rsidRPr="00B35146">
        <w:rPr>
          <w:color w:val="000000"/>
          <w:lang w:val="sk-SK" w:eastAsia="en-US"/>
        </w:rPr>
        <w:t> </w:t>
      </w: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</w:p>
    <w:p w:rsidR="00FE18E7" w:rsidRPr="006B3D18" w:rsidRDefault="00FE18E7" w:rsidP="00FE18E7">
      <w:pPr>
        <w:widowControl w:val="0"/>
        <w:adjustRightInd w:val="0"/>
        <w:jc w:val="both"/>
        <w:rPr>
          <w:bCs/>
          <w:color w:val="000000"/>
          <w:lang w:val="sk-SK" w:eastAsia="en-US"/>
        </w:rPr>
      </w:pPr>
      <w:r w:rsidRPr="00B35146">
        <w:rPr>
          <w:b/>
          <w:bCs/>
          <w:color w:val="000000"/>
          <w:lang w:val="sk-SK" w:eastAsia="en-US"/>
        </w:rPr>
        <w:t>A.3. Poznámky</w:t>
      </w:r>
      <w:r w:rsidR="006B3D18">
        <w:rPr>
          <w:b/>
          <w:bCs/>
          <w:color w:val="000000"/>
          <w:lang w:val="sk-SK" w:eastAsia="en-US"/>
        </w:rPr>
        <w:t xml:space="preserve"> </w:t>
      </w:r>
    </w:p>
    <w:p w:rsidR="00FE18E7" w:rsidRDefault="00FE18E7" w:rsidP="00FE18E7">
      <w:pPr>
        <w:widowControl w:val="0"/>
        <w:adjustRightInd w:val="0"/>
        <w:jc w:val="both"/>
        <w:rPr>
          <w:color w:val="000000"/>
          <w:lang w:val="sk-SK" w:eastAsia="en-US"/>
        </w:rPr>
      </w:pPr>
    </w:p>
    <w:p w:rsidR="00342879" w:rsidRDefault="00342879" w:rsidP="00342879">
      <w:pPr>
        <w:pStyle w:val="Hlavika"/>
        <w:numPr>
          <w:ilvl w:val="0"/>
          <w:numId w:val="2"/>
        </w:numPr>
        <w:tabs>
          <w:tab w:val="left" w:pos="708"/>
        </w:tabs>
        <w:jc w:val="both"/>
        <w:rPr>
          <w:i/>
        </w:rPr>
      </w:pPr>
      <w:r>
        <w:rPr>
          <w:i/>
        </w:rPr>
        <w:t xml:space="preserve">Vplyv na rozpočet verejnej správy </w:t>
      </w:r>
    </w:p>
    <w:p w:rsidR="00C3233E" w:rsidRDefault="00C3233E" w:rsidP="007424D7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  <w:rPr>
          <w:szCs w:val="24"/>
          <w:lang w:val="sk-SK"/>
        </w:rPr>
      </w:pPr>
    </w:p>
    <w:p w:rsidR="0072410E" w:rsidRDefault="0072410E" w:rsidP="0072410E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</w:pPr>
      <w:r>
        <w:t xml:space="preserve">V rámci </w:t>
      </w:r>
      <w:proofErr w:type="spellStart"/>
      <w:r>
        <w:t>povinnej</w:t>
      </w:r>
      <w:proofErr w:type="spellEnd"/>
      <w:r>
        <w:t xml:space="preserve"> obnovy budov </w:t>
      </w:r>
      <w:proofErr w:type="spellStart"/>
      <w:r>
        <w:t>ústredných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 </w:t>
      </w:r>
      <w:proofErr w:type="spellStart"/>
      <w:r>
        <w:t>štátnej</w:t>
      </w:r>
      <w:proofErr w:type="spellEnd"/>
      <w:r>
        <w:t xml:space="preserve"> správy je možné v </w:t>
      </w:r>
      <w:proofErr w:type="spellStart"/>
      <w:r>
        <w:t>rokoch</w:t>
      </w:r>
      <w:proofErr w:type="spellEnd"/>
      <w:r>
        <w:t xml:space="preserve"> 2014 až 2020 v rámci OP KŽP </w:t>
      </w:r>
      <w:proofErr w:type="spellStart"/>
      <w:r>
        <w:t>využiť</w:t>
      </w:r>
      <w:proofErr w:type="spellEnd"/>
      <w:r>
        <w:t xml:space="preserve"> </w:t>
      </w:r>
      <w:proofErr w:type="spellStart"/>
      <w:r>
        <w:t>finančné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určené </w:t>
      </w:r>
      <w:proofErr w:type="spellStart"/>
      <w:r>
        <w:t>pre</w:t>
      </w:r>
      <w:proofErr w:type="spellEnd"/>
      <w:r>
        <w:t xml:space="preserve"> obnovu </w:t>
      </w:r>
      <w:proofErr w:type="spellStart"/>
      <w:r>
        <w:t>verejných</w:t>
      </w:r>
      <w:proofErr w:type="spellEnd"/>
      <w:r>
        <w:t xml:space="preserve"> budov mimo bratislavského </w:t>
      </w:r>
      <w:proofErr w:type="spellStart"/>
      <w:r>
        <w:t>kraja</w:t>
      </w:r>
      <w:proofErr w:type="spellEnd"/>
      <w:r>
        <w:t xml:space="preserve">. </w:t>
      </w:r>
      <w:proofErr w:type="spellStart"/>
      <w:r>
        <w:t>Vzhľadom</w:t>
      </w:r>
      <w:proofErr w:type="spellEnd"/>
      <w:r>
        <w:t xml:space="preserve"> na </w:t>
      </w:r>
      <w:proofErr w:type="spellStart"/>
      <w:r>
        <w:t>skutočnosť</w:t>
      </w:r>
      <w:proofErr w:type="spellEnd"/>
      <w:r>
        <w:t xml:space="preserve">, že OP KŽP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ešte</w:t>
      </w:r>
      <w:proofErr w:type="spellEnd"/>
      <w:r>
        <w:t xml:space="preserve"> schválený, </w:t>
      </w:r>
      <w:proofErr w:type="spellStart"/>
      <w:r>
        <w:t>nie</w:t>
      </w:r>
      <w:proofErr w:type="spellEnd"/>
      <w:r>
        <w:t xml:space="preserve"> je možné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financie</w:t>
      </w:r>
      <w:proofErr w:type="spellEnd"/>
      <w:r>
        <w:t xml:space="preserve"> </w:t>
      </w:r>
      <w:proofErr w:type="spellStart"/>
      <w:r>
        <w:t>kvantifikovať</w:t>
      </w:r>
      <w:proofErr w:type="spellEnd"/>
      <w:r>
        <w:t xml:space="preserve">. Po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budov UOŠS mimo bratislavského kraja existuje potenciálny negatívny vplyv na rozpočet verejnej správy. </w:t>
      </w:r>
    </w:p>
    <w:p w:rsidR="0072410E" w:rsidRDefault="0072410E" w:rsidP="007424D7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  <w:rPr>
          <w:szCs w:val="24"/>
          <w:lang w:val="sk-SK"/>
        </w:rPr>
      </w:pPr>
    </w:p>
    <w:p w:rsidR="0072410E" w:rsidRDefault="0072410E" w:rsidP="0072410E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  <w:rPr>
          <w:szCs w:val="24"/>
          <w:lang w:val="sk-SK"/>
        </w:rPr>
      </w:pPr>
      <w:r>
        <w:rPr>
          <w:szCs w:val="24"/>
          <w:lang w:val="sk-SK"/>
        </w:rPr>
        <w:t xml:space="preserve">Z navrhovanej kontroly plnenia ustanovení zákona a pokút predpokladáme </w:t>
      </w:r>
      <w:r w:rsidRPr="00695D46">
        <w:rPr>
          <w:szCs w:val="24"/>
          <w:lang w:val="sk-SK"/>
        </w:rPr>
        <w:t>určité</w:t>
      </w:r>
      <w:r>
        <w:rPr>
          <w:szCs w:val="24"/>
          <w:lang w:val="sk-SK"/>
        </w:rPr>
        <w:t xml:space="preserve"> príjmy do štátneho rozpočtu, ktoré však nie je možné kvantifikovať. </w:t>
      </w:r>
    </w:p>
    <w:p w:rsidR="0072410E" w:rsidRDefault="0072410E" w:rsidP="007424D7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  <w:rPr>
          <w:szCs w:val="24"/>
          <w:lang w:val="sk-SK"/>
        </w:rPr>
      </w:pPr>
    </w:p>
    <w:p w:rsidR="0072410E" w:rsidRDefault="0072410E" w:rsidP="0072410E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  <w:rPr>
          <w:szCs w:val="24"/>
          <w:lang w:val="sk-SK"/>
        </w:rPr>
      </w:pPr>
      <w:r>
        <w:rPr>
          <w:szCs w:val="24"/>
          <w:lang w:val="sk-SK"/>
        </w:rPr>
        <w:t xml:space="preserve">Všetky výdavky </w:t>
      </w:r>
      <w:r w:rsidR="00420898">
        <w:rPr>
          <w:szCs w:val="24"/>
          <w:lang w:val="sk-SK"/>
        </w:rPr>
        <w:t xml:space="preserve">spojené s plnením úloh </w:t>
      </w:r>
      <w:r w:rsidR="004824A6">
        <w:rPr>
          <w:szCs w:val="24"/>
          <w:lang w:val="sk-SK"/>
        </w:rPr>
        <w:t xml:space="preserve">v súvislosti s </w:t>
      </w:r>
      <w:r>
        <w:rPr>
          <w:szCs w:val="24"/>
          <w:lang w:val="sk-SK"/>
        </w:rPr>
        <w:t>návrh</w:t>
      </w:r>
      <w:r w:rsidR="004824A6">
        <w:rPr>
          <w:szCs w:val="24"/>
          <w:lang w:val="sk-SK"/>
        </w:rPr>
        <w:t>om</w:t>
      </w:r>
      <w:r>
        <w:rPr>
          <w:szCs w:val="24"/>
          <w:lang w:val="sk-SK"/>
        </w:rPr>
        <w:t xml:space="preserve"> zákona sa budú riešiť v rámci schválených limitov výdavkov rozpočtu</w:t>
      </w:r>
      <w:r w:rsidR="004824A6">
        <w:rPr>
          <w:szCs w:val="24"/>
          <w:lang w:val="sk-SK"/>
        </w:rPr>
        <w:t xml:space="preserve"> na kalendárny rok</w:t>
      </w:r>
      <w:r>
        <w:rPr>
          <w:szCs w:val="24"/>
          <w:lang w:val="sk-SK"/>
        </w:rPr>
        <w:t>.</w:t>
      </w:r>
    </w:p>
    <w:p w:rsidR="007424D7" w:rsidRDefault="007424D7" w:rsidP="007424D7">
      <w:pPr>
        <w:pStyle w:val="BodyText21"/>
        <w:tabs>
          <w:tab w:val="clear" w:pos="709"/>
        </w:tabs>
        <w:overflowPunct/>
        <w:autoSpaceDE/>
        <w:autoSpaceDN/>
        <w:adjustRightInd/>
        <w:spacing w:before="0" w:after="0"/>
        <w:textAlignment w:val="auto"/>
        <w:rPr>
          <w:szCs w:val="24"/>
          <w:lang w:val="sk-SK"/>
        </w:rPr>
      </w:pPr>
    </w:p>
    <w:p w:rsidR="00FE18E7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  <w:r w:rsidRPr="00B35146">
        <w:rPr>
          <w:i/>
          <w:iCs/>
          <w:color w:val="000000"/>
          <w:lang w:val="sk-SK" w:eastAsia="en-US"/>
        </w:rPr>
        <w:t xml:space="preserve"> </w:t>
      </w:r>
      <w:r w:rsidRPr="00B35146">
        <w:rPr>
          <w:b/>
          <w:bCs/>
          <w:color w:val="000000"/>
          <w:lang w:val="sk-SK" w:eastAsia="en-US"/>
        </w:rPr>
        <w:t>A.4. Alternatívne riešenia</w:t>
      </w:r>
    </w:p>
    <w:p w:rsidR="00AD37B8" w:rsidRPr="00B35146" w:rsidRDefault="00AD37B8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</w:p>
    <w:p w:rsidR="00FE18E7" w:rsidRPr="00B35146" w:rsidRDefault="00FE18E7" w:rsidP="00FE18E7">
      <w:pPr>
        <w:widowControl w:val="0"/>
        <w:adjustRightInd w:val="0"/>
        <w:jc w:val="both"/>
        <w:rPr>
          <w:b/>
          <w:bCs/>
          <w:color w:val="000000"/>
          <w:lang w:val="sk-SK" w:eastAsia="en-US"/>
        </w:rPr>
      </w:pPr>
      <w:r w:rsidRPr="00B35146">
        <w:rPr>
          <w:b/>
          <w:bCs/>
          <w:color w:val="000000"/>
          <w:lang w:val="sk-SK" w:eastAsia="en-US"/>
        </w:rPr>
        <w:t>A.5. Stanovisko gestorov</w:t>
      </w:r>
    </w:p>
    <w:p w:rsidR="00FE18E7" w:rsidRPr="00B35146" w:rsidRDefault="00FE18E7" w:rsidP="00FE18E7">
      <w:pPr>
        <w:widowControl w:val="0"/>
        <w:adjustRightInd w:val="0"/>
        <w:rPr>
          <w:lang w:val="sk-SK" w:eastAsia="en-US"/>
        </w:rPr>
      </w:pPr>
    </w:p>
    <w:p w:rsidR="00FE18E7" w:rsidRDefault="00FE18E7" w:rsidP="00FE18E7">
      <w:pPr>
        <w:rPr>
          <w:lang w:val="sk-SK"/>
        </w:rPr>
      </w:pPr>
    </w:p>
    <w:p w:rsidR="00FE18E7" w:rsidRDefault="00FE18E7" w:rsidP="00FE18E7">
      <w:pPr>
        <w:rPr>
          <w:lang w:val="sk-SK"/>
        </w:rPr>
        <w:sectPr w:rsidR="00FE18E7" w:rsidSect="00D52CB9">
          <w:pgSz w:w="11907" w:h="16839" w:code="9"/>
          <w:pgMar w:top="1276" w:right="1417" w:bottom="1134" w:left="1417" w:header="708" w:footer="1020" w:gutter="0"/>
          <w:cols w:space="708"/>
          <w:docGrid w:linePitch="360"/>
        </w:sectPr>
      </w:pPr>
    </w:p>
    <w:p w:rsidR="00FE18E7" w:rsidRPr="00B35146" w:rsidRDefault="00FE18E7" w:rsidP="00FE18E7">
      <w:pPr>
        <w:rPr>
          <w:b/>
          <w:sz w:val="28"/>
          <w:szCs w:val="28"/>
          <w:lang w:val="sk-SK"/>
        </w:rPr>
      </w:pPr>
      <w:r w:rsidRPr="00B35146">
        <w:rPr>
          <w:b/>
          <w:sz w:val="28"/>
          <w:szCs w:val="28"/>
          <w:lang w:val="sk-SK"/>
        </w:rPr>
        <w:lastRenderedPageBreak/>
        <w:t xml:space="preserve">Sociálne vplyvy -  vplyvy na hospodárenie obyvateľstva, sociálnu </w:t>
      </w:r>
      <w:proofErr w:type="spellStart"/>
      <w:r w:rsidRPr="00B35146">
        <w:rPr>
          <w:b/>
          <w:sz w:val="28"/>
          <w:szCs w:val="28"/>
          <w:lang w:val="sk-SK"/>
        </w:rPr>
        <w:t>exklúziu</w:t>
      </w:r>
      <w:proofErr w:type="spellEnd"/>
      <w:r w:rsidRPr="00B35146">
        <w:rPr>
          <w:b/>
          <w:sz w:val="28"/>
          <w:szCs w:val="28"/>
          <w:lang w:val="sk-SK"/>
        </w:rPr>
        <w:t>, rovnosť príležitostí a rodovú rovnosť  a na zamestnanosť</w:t>
      </w:r>
    </w:p>
    <w:p w:rsidR="00FE18E7" w:rsidRPr="00B35146" w:rsidRDefault="00FE18E7" w:rsidP="00FE18E7">
      <w:pPr>
        <w:rPr>
          <w:b/>
          <w:bCs/>
          <w:lang w:val="sk-SK"/>
        </w:rPr>
      </w:pPr>
    </w:p>
    <w:p w:rsidR="00FE18E7" w:rsidRPr="00B35146" w:rsidRDefault="00FE18E7" w:rsidP="00FE18E7">
      <w:pPr>
        <w:rPr>
          <w:b/>
          <w:bCs/>
          <w:lang w:val="sk-SK"/>
        </w:rPr>
      </w:pPr>
    </w:p>
    <w:tbl>
      <w:tblPr>
        <w:tblW w:w="90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FE18E7" w:rsidRPr="00B35146" w:rsidTr="00D52CB9"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</w:tcPr>
          <w:p w:rsidR="00FE18E7" w:rsidRPr="00B35146" w:rsidRDefault="00FE18E7" w:rsidP="00D52CB9">
            <w:pPr>
              <w:jc w:val="center"/>
              <w:rPr>
                <w:b/>
                <w:bCs/>
                <w:color w:val="FFFFFF"/>
                <w:lang w:val="sk-SK"/>
              </w:rPr>
            </w:pPr>
            <w:r w:rsidRPr="00B35146">
              <w:rPr>
                <w:b/>
                <w:bCs/>
                <w:color w:val="FFFFFF"/>
                <w:lang w:val="sk-SK"/>
              </w:rPr>
              <w:t xml:space="preserve">Sociálne vplyvy predkladaného materiálu -  vplyvy na hospodárenie obyvateľstva, sociálnu </w:t>
            </w:r>
            <w:proofErr w:type="spellStart"/>
            <w:r w:rsidRPr="00B35146">
              <w:rPr>
                <w:b/>
                <w:bCs/>
                <w:color w:val="FFFFFF"/>
                <w:lang w:val="sk-SK"/>
              </w:rPr>
              <w:t>exklúziu</w:t>
            </w:r>
            <w:proofErr w:type="spellEnd"/>
            <w:r w:rsidRPr="00B35146">
              <w:rPr>
                <w:b/>
                <w:bCs/>
                <w:color w:val="FFFFFF"/>
                <w:lang w:val="sk-SK"/>
              </w:rPr>
              <w:t>, rovnosť príležitostí a rodovú rovnosť a vplyvy na zamestnanosť</w:t>
            </w:r>
          </w:p>
        </w:tc>
      </w:tr>
      <w:tr w:rsidR="00FE18E7" w:rsidRPr="00B35146" w:rsidTr="008F6A02">
        <w:trPr>
          <w:trHeight w:val="1530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7" w:rsidRPr="00B35146" w:rsidRDefault="00FE18E7" w:rsidP="00295375">
            <w:pPr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 xml:space="preserve">Identifikujte vplyv na hospodárenie domácností a špecifikujte ovplyvnené skupiny domácností, ktoré budú pozitívne/negatívne ovplyvnené. 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E7" w:rsidRPr="00B35146" w:rsidRDefault="00C151E4" w:rsidP="00FF75A5">
            <w:pPr>
              <w:widowControl w:val="0"/>
              <w:adjustRightInd w:val="0"/>
              <w:jc w:val="both"/>
              <w:rPr>
                <w:lang w:val="sk-SK"/>
              </w:rPr>
            </w:pPr>
            <w:r w:rsidRPr="003E664E">
              <w:rPr>
                <w:lang w:val="sk-SK"/>
              </w:rPr>
              <w:t>Realizáciou opatrení energetickej efektívnosti sa zlepší</w:t>
            </w:r>
            <w:r w:rsidR="003E664E">
              <w:rPr>
                <w:lang w:val="sk-SK"/>
              </w:rPr>
              <w:t xml:space="preserve"> nakladanie</w:t>
            </w:r>
            <w:r w:rsidRPr="003E664E">
              <w:rPr>
                <w:lang w:val="sk-SK"/>
              </w:rPr>
              <w:t xml:space="preserve"> s</w:t>
            </w:r>
            <w:r w:rsidR="003E664E">
              <w:rPr>
                <w:lang w:val="sk-SK"/>
              </w:rPr>
              <w:t> </w:t>
            </w:r>
            <w:r w:rsidRPr="003E664E">
              <w:rPr>
                <w:lang w:val="sk-SK"/>
              </w:rPr>
              <w:t>energiou</w:t>
            </w:r>
            <w:r w:rsidR="003E664E">
              <w:rPr>
                <w:lang w:val="sk-SK"/>
              </w:rPr>
              <w:t xml:space="preserve"> a hospodárenie s energiou </w:t>
            </w:r>
            <w:r w:rsidRPr="003E664E">
              <w:rPr>
                <w:lang w:val="sk-SK"/>
              </w:rPr>
              <w:t xml:space="preserve"> obyvateľstva</w:t>
            </w:r>
            <w:r w:rsidR="003E664E">
              <w:rPr>
                <w:lang w:val="sk-SK"/>
              </w:rPr>
              <w:t xml:space="preserve"> </w:t>
            </w:r>
            <w:r w:rsidR="00FF75A5">
              <w:rPr>
                <w:lang w:val="sk-SK"/>
              </w:rPr>
              <w:t>SR</w:t>
            </w:r>
            <w:r w:rsidRPr="003E664E">
              <w:rPr>
                <w:lang w:val="sk-SK"/>
              </w:rPr>
              <w:t xml:space="preserve">, čo </w:t>
            </w:r>
            <w:r w:rsidR="003E664E" w:rsidRPr="003E664E">
              <w:rPr>
                <w:lang w:val="sk-SK"/>
              </w:rPr>
              <w:t xml:space="preserve">výraznou mierou </w:t>
            </w:r>
            <w:r w:rsidRPr="003E664E">
              <w:rPr>
                <w:lang w:val="sk-SK"/>
              </w:rPr>
              <w:t>prispeje k boju s energetickou chudobou a čiastočne eliminuje vplyvy</w:t>
            </w:r>
            <w:r w:rsidR="003E664E">
              <w:rPr>
                <w:lang w:val="sk-SK"/>
              </w:rPr>
              <w:t xml:space="preserve"> podporujúce</w:t>
            </w:r>
            <w:r w:rsidRPr="003E664E">
              <w:rPr>
                <w:lang w:val="sk-SK"/>
              </w:rPr>
              <w:t xml:space="preserve"> zvyšovania cien energií. Zvýši sa kvalita života zavedením environmentálne prijateľn</w:t>
            </w:r>
            <w:r w:rsidR="003E664E">
              <w:rPr>
                <w:lang w:val="sk-SK"/>
              </w:rPr>
              <w:t xml:space="preserve">ejších, energeticky úspornejších </w:t>
            </w:r>
            <w:r w:rsidRPr="003E664E">
              <w:rPr>
                <w:lang w:val="sk-SK"/>
              </w:rPr>
              <w:t>a kvalitnejších zariadení</w:t>
            </w:r>
            <w:r w:rsidR="003E664E">
              <w:rPr>
                <w:lang w:val="sk-SK"/>
              </w:rPr>
              <w:t xml:space="preserve"> s novou technológiou</w:t>
            </w:r>
            <w:r w:rsidRPr="003E664E">
              <w:rPr>
                <w:lang w:val="sk-SK"/>
              </w:rPr>
              <w:t>.</w:t>
            </w:r>
            <w:r w:rsidR="003E664E">
              <w:rPr>
                <w:lang w:val="sk-SK"/>
              </w:rPr>
              <w:t xml:space="preserve"> Výrazné úspory energie a tým aj financií je možné dosiahnuť pomocou dôsledného informovania obyvateľstva o možnostiach úspor energie, a to najmä výmenou spotrebičov a svietidiel, a správnou aplikáciou navrhovaných úsporných opatrení a zateplenia.  </w:t>
            </w:r>
          </w:p>
        </w:tc>
      </w:tr>
      <w:tr w:rsidR="00FE18E7" w:rsidRPr="00B35146" w:rsidTr="008F6A02">
        <w:trPr>
          <w:cantSplit/>
          <w:trHeight w:val="528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8E7" w:rsidRPr="00B35146" w:rsidRDefault="00FE18E7" w:rsidP="00FE18E7">
            <w:pPr>
              <w:ind w:firstLineChars="200" w:firstLine="480"/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 xml:space="preserve">Kvantifikujte: </w:t>
            </w:r>
          </w:p>
        </w:tc>
        <w:tc>
          <w:tcPr>
            <w:tcW w:w="4507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E7" w:rsidRPr="00B35146" w:rsidRDefault="00FE18E7" w:rsidP="008F6A02">
            <w:pPr>
              <w:jc w:val="both"/>
              <w:rPr>
                <w:lang w:val="sk-SK"/>
              </w:rPr>
            </w:pPr>
          </w:p>
        </w:tc>
      </w:tr>
      <w:tr w:rsidR="00FE18E7" w:rsidRPr="00B35146" w:rsidTr="008F6A02">
        <w:trPr>
          <w:cantSplit/>
          <w:trHeight w:val="549"/>
          <w:jc w:val="center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8E7" w:rsidRPr="00B35146" w:rsidRDefault="00FE18E7" w:rsidP="00FE18E7">
            <w:pPr>
              <w:ind w:firstLineChars="300" w:firstLine="720"/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- Rast alebo pokles príjmov/výdavkov            na priemerného obyvateľa</w:t>
            </w:r>
          </w:p>
        </w:tc>
        <w:tc>
          <w:tcPr>
            <w:tcW w:w="45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7" w:rsidRPr="00B35146" w:rsidRDefault="00FE18E7" w:rsidP="00D52CB9">
            <w:pPr>
              <w:rPr>
                <w:lang w:val="sk-SK"/>
              </w:rPr>
            </w:pPr>
          </w:p>
        </w:tc>
      </w:tr>
      <w:tr w:rsidR="00FE18E7" w:rsidRPr="00B35146" w:rsidTr="008F6A02">
        <w:trPr>
          <w:cantSplit/>
          <w:trHeight w:val="870"/>
          <w:jc w:val="center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8E7" w:rsidRPr="00B35146" w:rsidRDefault="00FE18E7" w:rsidP="00FE18E7">
            <w:pPr>
              <w:ind w:firstLineChars="300" w:firstLine="720"/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- Rast alebo pokles príjmov/výdavkov                  za jednotlivé ovplyvnené  skupiny domácností</w:t>
            </w:r>
          </w:p>
          <w:p w:rsidR="00FE18E7" w:rsidRPr="00B35146" w:rsidRDefault="00FE18E7" w:rsidP="00FE18E7">
            <w:pPr>
              <w:ind w:firstLineChars="300" w:firstLine="720"/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5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7" w:rsidRPr="00B35146" w:rsidRDefault="00FE18E7" w:rsidP="00D52CB9">
            <w:pPr>
              <w:rPr>
                <w:lang w:val="sk-SK"/>
              </w:rPr>
            </w:pPr>
          </w:p>
        </w:tc>
      </w:tr>
      <w:tr w:rsidR="00FE18E7" w:rsidRPr="00B35146" w:rsidTr="008F6A02">
        <w:trPr>
          <w:cantSplit/>
          <w:trHeight w:val="128"/>
          <w:jc w:val="center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8E7" w:rsidRPr="00B35146" w:rsidRDefault="00FE18E7" w:rsidP="008F6A02">
            <w:pPr>
              <w:jc w:val="both"/>
              <w:rPr>
                <w:lang w:val="sk-SK"/>
              </w:rPr>
            </w:pPr>
          </w:p>
        </w:tc>
        <w:tc>
          <w:tcPr>
            <w:tcW w:w="45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7" w:rsidRPr="00B35146" w:rsidRDefault="00FE18E7" w:rsidP="00D52CB9">
            <w:pPr>
              <w:rPr>
                <w:lang w:val="sk-SK"/>
              </w:rPr>
            </w:pPr>
          </w:p>
        </w:tc>
      </w:tr>
      <w:tr w:rsidR="00586EF4" w:rsidRPr="00B35146" w:rsidTr="008F6A02">
        <w:trPr>
          <w:trHeight w:val="1608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F4" w:rsidRPr="00B35146" w:rsidRDefault="00586EF4" w:rsidP="00D52CB9">
            <w:pPr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F4" w:rsidRPr="00B35146" w:rsidRDefault="00586EF4" w:rsidP="00D52CB9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Pri výmene elektrických spotrebičov v domácnosti (najmä chladnička (rozdiel spotreby chladničky spred roka 1990 a súčasnej chladničky v triede A++ je 750kWh ročne) a svietidlá (výmena klasických žiaroviek za LED svietidlá umožní znížiť spotrebu svietidla o cca 80-90%) môže klesnúť spotreba energie v domácnosti v bytových domoch až o 30%, čo umožní znížiť náklady na elektrinu o cca 15%. Zvýšenie informovanosti a vzdelania obyvateľstva o svojej spotrebe energie, najmä v kombinácii s inštalovanými inteligentnými meracími systémami, umožní aktívny prístup k šetreniu elektriny, plynu, </w:t>
            </w:r>
            <w:r>
              <w:rPr>
                <w:lang w:val="sk-SK"/>
              </w:rPr>
              <w:lastRenderedPageBreak/>
              <w:t>tepla, chladu a teplej vody, čo by malo prispieť k zmene správania sa obyvateľov k väčšiemu šetreniu energie a tým aj l zníženiu nákladov na energiu, pričom je v praxi preukázané celkové zníženie spotreby energie o 5-10%, čo znamená úsporu 3-5% financií vynaložených na energiu. Predpokladá sa zníženie energetickej chudoby v SR.</w:t>
            </w:r>
          </w:p>
        </w:tc>
      </w:tr>
      <w:tr w:rsidR="00586EF4" w:rsidRPr="00B35146" w:rsidTr="008F6A02">
        <w:trPr>
          <w:trHeight w:val="660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F4" w:rsidRPr="00B35146" w:rsidRDefault="00586EF4" w:rsidP="00D52CB9">
            <w:pPr>
              <w:jc w:val="both"/>
              <w:rPr>
                <w:lang w:val="sk-SK"/>
              </w:rPr>
            </w:pPr>
          </w:p>
          <w:p w:rsidR="00586EF4" w:rsidRPr="00B35146" w:rsidRDefault="00586EF4" w:rsidP="00D52CB9">
            <w:pPr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Zhodnoťte vplyv na rovnosť príležitostí:</w:t>
            </w:r>
          </w:p>
          <w:p w:rsidR="00586EF4" w:rsidRPr="00B35146" w:rsidRDefault="00586EF4" w:rsidP="00D52CB9">
            <w:pPr>
              <w:jc w:val="both"/>
              <w:rPr>
                <w:lang w:val="sk-SK"/>
              </w:rPr>
            </w:pPr>
          </w:p>
          <w:p w:rsidR="00586EF4" w:rsidRPr="00B35146" w:rsidRDefault="00586EF4" w:rsidP="00D52CB9">
            <w:pPr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Zhodnoťte vplyv na rodovú rovnosť.</w:t>
            </w:r>
          </w:p>
          <w:p w:rsidR="00586EF4" w:rsidRPr="00B35146" w:rsidRDefault="00586EF4" w:rsidP="00D52CB9">
            <w:pPr>
              <w:jc w:val="both"/>
              <w:rPr>
                <w:lang w:val="sk-SK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F4" w:rsidRPr="00B35146" w:rsidRDefault="00586EF4" w:rsidP="00D52CB9">
            <w:pPr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 Nehodnotí sa</w:t>
            </w:r>
          </w:p>
        </w:tc>
      </w:tr>
    </w:tbl>
    <w:p w:rsidR="00FE18E7" w:rsidRPr="00B35146" w:rsidRDefault="00FE18E7" w:rsidP="00FE18E7">
      <w:pPr>
        <w:rPr>
          <w:lang w:val="en-US"/>
        </w:rPr>
      </w:pPr>
      <w:r w:rsidRPr="00B35146">
        <w:rPr>
          <w:lang w:val="en-US"/>
        </w:rPr>
        <w:br/>
      </w:r>
      <w:r w:rsidRPr="00B35146">
        <w:rPr>
          <w:lang w:val="en-US"/>
        </w:rPr>
        <w:br/>
      </w:r>
    </w:p>
    <w:tbl>
      <w:tblPr>
        <w:tblW w:w="90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FE18E7" w:rsidRPr="00B35146" w:rsidTr="003D6D92">
        <w:trPr>
          <w:trHeight w:val="2252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7" w:rsidRPr="00B35146" w:rsidRDefault="00FE18E7" w:rsidP="00D52CB9">
            <w:pPr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>Zhodnoťte vplyvy na zamestnanosť.</w:t>
            </w:r>
          </w:p>
          <w:p w:rsidR="00FE18E7" w:rsidRPr="00B35146" w:rsidRDefault="00FE18E7" w:rsidP="00D52CB9">
            <w:pPr>
              <w:jc w:val="both"/>
              <w:rPr>
                <w:b/>
                <w:lang w:val="sk-SK"/>
              </w:rPr>
            </w:pPr>
          </w:p>
          <w:p w:rsidR="00FE18E7" w:rsidRPr="00B35146" w:rsidRDefault="00FE18E7" w:rsidP="00D52CB9">
            <w:pPr>
              <w:jc w:val="both"/>
              <w:rPr>
                <w:bCs/>
                <w:lang w:val="sk-SK"/>
              </w:rPr>
            </w:pPr>
            <w:r w:rsidRPr="00B35146">
              <w:rPr>
                <w:bCs/>
                <w:lang w:val="sk-SK"/>
              </w:rPr>
              <w:t>Aké sú  vplyvy na zamestnanosť ?</w:t>
            </w:r>
          </w:p>
          <w:p w:rsidR="00FE18E7" w:rsidRPr="00B35146" w:rsidRDefault="00FE18E7" w:rsidP="00D52CB9">
            <w:pPr>
              <w:jc w:val="both"/>
              <w:rPr>
                <w:lang w:val="sk-SK"/>
              </w:rPr>
            </w:pPr>
            <w:r w:rsidRPr="00B35146">
              <w:rPr>
                <w:bCs/>
                <w:lang w:val="sk-SK"/>
              </w:rPr>
              <w:t>Ktoré skupiny zamestnancov budú ohrozené schválením predkladaného materiálu ?</w:t>
            </w:r>
          </w:p>
          <w:p w:rsidR="00FE18E7" w:rsidRPr="00B35146" w:rsidRDefault="00FE18E7" w:rsidP="00D52CB9">
            <w:pPr>
              <w:jc w:val="both"/>
              <w:rPr>
                <w:bCs/>
                <w:lang w:val="sk-SK"/>
              </w:rPr>
            </w:pPr>
            <w:r w:rsidRPr="00B35146">
              <w:rPr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7" w:rsidRPr="00342879" w:rsidRDefault="00FE18E7" w:rsidP="00D52CB9">
            <w:pPr>
              <w:jc w:val="both"/>
              <w:rPr>
                <w:bCs/>
                <w:lang w:val="sk-SK"/>
              </w:rPr>
            </w:pPr>
            <w:r w:rsidRPr="00342879">
              <w:rPr>
                <w:bCs/>
                <w:lang w:val="sk-SK"/>
              </w:rPr>
              <w:t> </w:t>
            </w:r>
          </w:p>
          <w:p w:rsidR="00FE18E7" w:rsidRPr="00342879" w:rsidRDefault="00342879" w:rsidP="00D52CB9">
            <w:pPr>
              <w:jc w:val="both"/>
              <w:rPr>
                <w:bCs/>
                <w:lang w:val="sk-SK"/>
              </w:rPr>
            </w:pPr>
            <w:r w:rsidRPr="00342879">
              <w:rPr>
                <w:bCs/>
                <w:lang w:val="sk-SK"/>
              </w:rPr>
              <w:t>Navrhnuté opatrenia majú pozitívny vplyv na zvýšenie zamestnanosti vo všetkých regiónoch SR, v štátnej aj súkromnej sfére, najmä na zvýšenie počtu pracovných miest s vysokou pridanou hodnotou v oblasti monitorovania a hodnotenia energetickej efektívnosti</w:t>
            </w:r>
            <w:r w:rsidR="00FF75A5">
              <w:rPr>
                <w:bCs/>
                <w:lang w:val="sk-SK"/>
              </w:rPr>
              <w:t>,</w:t>
            </w:r>
            <w:r w:rsidRPr="00342879">
              <w:rPr>
                <w:bCs/>
                <w:lang w:val="sk-SK"/>
              </w:rPr>
              <w:t xml:space="preserve"> poskytovania energetických služieb</w:t>
            </w:r>
            <w:r w:rsidR="00FF75A5">
              <w:rPr>
                <w:bCs/>
                <w:lang w:val="sk-SK"/>
              </w:rPr>
              <w:t>, vypracovania energetických auditov a inštalácie technických zariadení budov</w:t>
            </w:r>
            <w:r w:rsidRPr="00342879">
              <w:rPr>
                <w:bCs/>
                <w:lang w:val="sk-SK"/>
              </w:rPr>
              <w:t>. Sekundárne vzniknú nové pracovné miesta v priemysle pri produkcii výrobkov zameraných na energetickú efektívnosť.</w:t>
            </w:r>
          </w:p>
          <w:p w:rsidR="00913AEA" w:rsidRPr="00342879" w:rsidRDefault="00913AEA" w:rsidP="00D52CB9">
            <w:pPr>
              <w:jc w:val="both"/>
              <w:rPr>
                <w:bCs/>
                <w:lang w:val="sk-SK"/>
              </w:rPr>
            </w:pPr>
          </w:p>
        </w:tc>
      </w:tr>
    </w:tbl>
    <w:p w:rsidR="00FE18E7" w:rsidRPr="00B35146" w:rsidRDefault="00FE18E7" w:rsidP="00FE18E7">
      <w:pPr>
        <w:tabs>
          <w:tab w:val="num" w:pos="1080"/>
        </w:tabs>
        <w:jc w:val="both"/>
        <w:rPr>
          <w:bCs/>
          <w:szCs w:val="20"/>
          <w:lang w:val="sk-SK"/>
        </w:rPr>
      </w:pPr>
    </w:p>
    <w:p w:rsidR="00FE18E7" w:rsidRPr="00B35146" w:rsidRDefault="00FE18E7" w:rsidP="00FE18E7">
      <w:pPr>
        <w:tabs>
          <w:tab w:val="num" w:pos="1080"/>
        </w:tabs>
        <w:jc w:val="both"/>
        <w:rPr>
          <w:bCs/>
          <w:szCs w:val="20"/>
          <w:lang w:val="sk-SK"/>
        </w:rPr>
      </w:pPr>
    </w:p>
    <w:p w:rsidR="00FE18E7" w:rsidRPr="00B35146" w:rsidRDefault="00FE18E7" w:rsidP="00FE18E7">
      <w:pPr>
        <w:rPr>
          <w:lang w:val="en-US"/>
        </w:rPr>
      </w:pPr>
    </w:p>
    <w:p w:rsidR="00FE18E7" w:rsidRDefault="00FE18E7" w:rsidP="00FE18E7">
      <w:pPr>
        <w:rPr>
          <w:lang w:val="sk-SK"/>
        </w:rPr>
      </w:pPr>
    </w:p>
    <w:p w:rsidR="00E94B08" w:rsidRDefault="00E94B0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6B3D18" w:rsidRDefault="006B3D18"/>
    <w:p w:rsidR="00E97B91" w:rsidRDefault="00E97B91"/>
    <w:p w:rsidR="00E97B91" w:rsidRDefault="00E97B91"/>
    <w:p w:rsidR="006B3D18" w:rsidRDefault="006B3D18" w:rsidP="006B3D18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lastRenderedPageBreak/>
        <w:t>Vplyvy na rozpočet verejnej správy,</w:t>
      </w:r>
    </w:p>
    <w:p w:rsidR="006B3D18" w:rsidRDefault="006B3D18" w:rsidP="006B3D18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na zamestnanosť vo verejnej správe a financovanie návrhu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b/>
          <w:lang w:val="sk-SK"/>
        </w:rPr>
      </w:pPr>
      <w:r>
        <w:rPr>
          <w:b/>
          <w:lang w:val="sk-SK"/>
        </w:rPr>
        <w:t>2.1. Zhrnutie vplyvov na rozpočet verejnej správy v návrhu</w:t>
      </w:r>
    </w:p>
    <w:p w:rsidR="006B3D18" w:rsidRDefault="006B3D18" w:rsidP="006B3D18">
      <w:pPr>
        <w:jc w:val="righ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Tabuľka č. 1 </w:t>
      </w:r>
    </w:p>
    <w:tbl>
      <w:tblPr>
        <w:tblW w:w="9691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9"/>
        <w:gridCol w:w="1558"/>
        <w:gridCol w:w="1219"/>
        <w:gridCol w:w="1219"/>
      </w:tblGrid>
      <w:tr w:rsidR="006B3D18" w:rsidTr="00F47E59">
        <w:trPr>
          <w:cantSplit/>
          <w:trHeight w:val="196"/>
          <w:jc w:val="center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bookmarkStart w:id="1" w:name="OLE_LINK1"/>
            <w:r>
              <w:rPr>
                <w:b/>
                <w:bCs/>
                <w:color w:val="FFFFFF"/>
                <w:lang w:val="sk-SK"/>
              </w:rPr>
              <w:t xml:space="preserve">Vplyvy na </w:t>
            </w:r>
            <w:r>
              <w:rPr>
                <w:b/>
                <w:bCs/>
                <w:lang w:val="sk-SK"/>
              </w:rPr>
              <w:t>rozpočet verejnej správy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 xml:space="preserve">Vplyv na rozpočet verejnej správy </w:t>
            </w:r>
            <w:r>
              <w:rPr>
                <w:b/>
                <w:bCs/>
                <w:lang w:val="sk-SK"/>
              </w:rPr>
              <w:t>(v eurách)</w:t>
            </w:r>
          </w:p>
        </w:tc>
      </w:tr>
      <w:tr w:rsidR="006B3D18" w:rsidTr="00F47E59">
        <w:trPr>
          <w:cantSplit/>
          <w:trHeight w:val="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2017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  <w:tr w:rsidR="006B3D18" w:rsidTr="00F47E59">
        <w:trPr>
          <w:trHeight w:val="134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 w:rsidP="00967443">
            <w:pPr>
              <w:rPr>
                <w:lang w:val="sk-SK"/>
              </w:rPr>
            </w:pPr>
            <w:r>
              <w:rPr>
                <w:lang w:val="sk-SK"/>
              </w:rPr>
              <w:t xml:space="preserve">v tom: </w:t>
            </w:r>
            <w:r w:rsidR="00967443">
              <w:rPr>
                <w:lang w:val="sk-SK"/>
              </w:rPr>
              <w:t>MH SR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C3233E" w:rsidP="00F76847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 xml:space="preserve">z toho: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</w:tr>
      <w:tr w:rsidR="006B3D18" w:rsidTr="00F47E59">
        <w:trPr>
          <w:trHeight w:val="126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C3233E" w:rsidP="00F76847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</w:tr>
      <w:tr w:rsidR="006B3D18" w:rsidTr="00F47E59">
        <w:trPr>
          <w:trHeight w:val="126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</w:tr>
      <w:tr w:rsidR="006B3D18" w:rsidTr="00F47E59">
        <w:trPr>
          <w:trHeight w:val="126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4824A6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4824A6" w:rsidP="00F76847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65</w:t>
            </w:r>
            <w:r w:rsidR="00C3233E">
              <w:rPr>
                <w:b/>
                <w:bCs/>
                <w:lang w:val="sk-SK"/>
              </w:rPr>
              <w:t>0</w:t>
            </w:r>
            <w:r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Pr="004824A6" w:rsidRDefault="006B3D18">
            <w:pPr>
              <w:rPr>
                <w:i/>
                <w:lang w:val="sk-SK"/>
              </w:rPr>
            </w:pPr>
            <w:r w:rsidRPr="004824A6">
              <w:rPr>
                <w:lang w:val="sk-SK"/>
              </w:rPr>
              <w:t>v tom</w:t>
            </w:r>
            <w:r w:rsidRPr="004824A6">
              <w:rPr>
                <w:i/>
                <w:lang w:val="sk-SK"/>
              </w:rPr>
              <w:t xml:space="preserve">: </w:t>
            </w:r>
            <w:r w:rsidR="00F16DFA" w:rsidRPr="004824A6">
              <w:rPr>
                <w:b/>
                <w:i/>
                <w:lang w:val="sk-SK"/>
              </w:rPr>
              <w:t>MH SR</w:t>
            </w:r>
            <w:r w:rsidRPr="004824A6">
              <w:rPr>
                <w:b/>
                <w:i/>
                <w:lang w:val="sk-SK"/>
              </w:rPr>
              <w:t xml:space="preserve"> / </w:t>
            </w:r>
            <w:r w:rsidR="00556455" w:rsidRPr="004824A6">
              <w:rPr>
                <w:b/>
                <w:i/>
                <w:lang w:val="sk-SK"/>
              </w:rPr>
              <w:t>analýzy a koncepcie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Pr="00F47E59" w:rsidRDefault="005003A4" w:rsidP="004824A6">
            <w:pPr>
              <w:jc w:val="right"/>
              <w:rPr>
                <w:b/>
                <w:i/>
                <w:lang w:val="sk-SK"/>
              </w:rPr>
            </w:pPr>
            <w:r w:rsidRPr="00F47E59">
              <w:rPr>
                <w:b/>
                <w:i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Pr="00F47E59" w:rsidRDefault="004824A6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300 00</w:t>
            </w:r>
            <w:r w:rsidR="00C3233E">
              <w:rPr>
                <w:b/>
                <w:i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Pr="00F47E59" w:rsidRDefault="006B3D18">
            <w:pPr>
              <w:jc w:val="right"/>
              <w:rPr>
                <w:b/>
                <w:i/>
                <w:lang w:val="sk-SK"/>
              </w:rPr>
            </w:pPr>
            <w:r w:rsidRPr="00F47E59">
              <w:rPr>
                <w:b/>
                <w:i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Pr="00F47E59" w:rsidRDefault="006B3D18">
            <w:pPr>
              <w:jc w:val="right"/>
              <w:rPr>
                <w:b/>
                <w:i/>
                <w:lang w:val="sk-SK"/>
              </w:rPr>
            </w:pPr>
            <w:r w:rsidRPr="00F47E59">
              <w:rPr>
                <w:b/>
                <w:i/>
                <w:lang w:val="sk-SK"/>
              </w:rPr>
              <w:t>0</w:t>
            </w:r>
          </w:p>
        </w:tc>
      </w:tr>
      <w:tr w:rsidR="00556455" w:rsidTr="00556455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Pr="004824A6" w:rsidRDefault="004824A6">
            <w:pPr>
              <w:rPr>
                <w:b/>
                <w:bCs/>
                <w:i/>
                <w:iCs/>
                <w:lang w:val="sk-SK"/>
              </w:rPr>
            </w:pPr>
            <w:r w:rsidRPr="004824A6">
              <w:rPr>
                <w:b/>
                <w:bCs/>
                <w:i/>
                <w:iCs/>
                <w:lang w:val="sk-SK"/>
              </w:rPr>
              <w:t xml:space="preserve">           </w:t>
            </w:r>
            <w:r w:rsidR="00556455" w:rsidRPr="004824A6">
              <w:rPr>
                <w:b/>
                <w:bCs/>
                <w:i/>
                <w:iCs/>
                <w:lang w:val="sk-SK"/>
              </w:rPr>
              <w:t>MH SR/tepelná mapa SR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Pr="00505D04" w:rsidRDefault="00556455">
            <w:pPr>
              <w:jc w:val="right"/>
              <w:rPr>
                <w:b/>
                <w:bCs/>
                <w:i/>
                <w:iCs/>
                <w:lang w:val="sk-SK"/>
              </w:rPr>
            </w:pPr>
            <w:r w:rsidRPr="00F47E59">
              <w:rPr>
                <w:b/>
                <w:i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Pr="00505D04" w:rsidRDefault="004824A6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i/>
                <w:lang w:val="sk-SK"/>
              </w:rPr>
              <w:t>30</w:t>
            </w:r>
            <w:r w:rsidR="00C3233E">
              <w:rPr>
                <w:b/>
                <w:i/>
                <w:lang w:val="sk-SK"/>
              </w:rPr>
              <w:t>0</w:t>
            </w:r>
            <w:r>
              <w:rPr>
                <w:b/>
                <w:i/>
                <w:lang w:val="sk-SK"/>
              </w:rPr>
              <w:t xml:space="preserve">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Pr="00505D04" w:rsidRDefault="00556455">
            <w:pPr>
              <w:jc w:val="right"/>
              <w:rPr>
                <w:b/>
                <w:bCs/>
                <w:i/>
                <w:iCs/>
                <w:lang w:val="sk-SK"/>
              </w:rPr>
            </w:pPr>
            <w:r w:rsidRPr="00F47E59">
              <w:rPr>
                <w:b/>
                <w:i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Pr="00505D04" w:rsidRDefault="00556455">
            <w:pPr>
              <w:jc w:val="right"/>
              <w:rPr>
                <w:b/>
                <w:bCs/>
                <w:i/>
                <w:iCs/>
                <w:lang w:val="sk-SK"/>
              </w:rPr>
            </w:pPr>
            <w:r w:rsidRPr="00F47E59">
              <w:rPr>
                <w:b/>
                <w:i/>
                <w:lang w:val="sk-SK"/>
              </w:rPr>
              <w:t>0</w:t>
            </w:r>
          </w:p>
        </w:tc>
      </w:tr>
      <w:tr w:rsidR="00556455" w:rsidTr="00556455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Pr="004824A6" w:rsidRDefault="004824A6" w:rsidP="007424D7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 xml:space="preserve">          </w:t>
            </w:r>
            <w:r w:rsidR="00F76847" w:rsidRPr="004824A6">
              <w:rPr>
                <w:b/>
                <w:bCs/>
                <w:i/>
                <w:iCs/>
                <w:lang w:val="sk-SK"/>
              </w:rPr>
              <w:t>MH SR</w:t>
            </w:r>
            <w:r w:rsidR="00556455" w:rsidRPr="004824A6">
              <w:rPr>
                <w:b/>
                <w:bCs/>
                <w:i/>
                <w:iCs/>
                <w:lang w:val="sk-SK"/>
              </w:rPr>
              <w:t>/</w:t>
            </w:r>
            <w:r w:rsidR="00F76847" w:rsidRPr="004824A6">
              <w:rPr>
                <w:b/>
                <w:bCs/>
                <w:i/>
                <w:iCs/>
                <w:lang w:val="sk-SK"/>
              </w:rPr>
              <w:t xml:space="preserve">audity pre </w:t>
            </w:r>
            <w:r w:rsidR="00556455" w:rsidRPr="004824A6">
              <w:rPr>
                <w:b/>
                <w:bCs/>
                <w:i/>
                <w:iCs/>
                <w:lang w:val="sk-SK"/>
              </w:rPr>
              <w:t>obnov</w:t>
            </w:r>
            <w:r w:rsidR="00F76847" w:rsidRPr="004824A6">
              <w:rPr>
                <w:b/>
                <w:bCs/>
                <w:i/>
                <w:iCs/>
                <w:lang w:val="sk-SK"/>
              </w:rPr>
              <w:t>u</w:t>
            </w:r>
            <w:r w:rsidR="00556455" w:rsidRPr="004824A6">
              <w:rPr>
                <w:b/>
                <w:bCs/>
                <w:i/>
                <w:iCs/>
                <w:lang w:val="sk-SK"/>
              </w:rPr>
              <w:t xml:space="preserve"> budov </w:t>
            </w:r>
            <w:r w:rsidR="007424D7" w:rsidRPr="004824A6">
              <w:rPr>
                <w:b/>
                <w:bCs/>
                <w:i/>
                <w:iCs/>
                <w:lang w:val="sk-SK"/>
              </w:rPr>
              <w:t>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Default="00F76847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Default="004824A6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5</w:t>
            </w:r>
            <w:r w:rsidR="00C3233E">
              <w:rPr>
                <w:b/>
                <w:bCs/>
                <w:i/>
                <w:iCs/>
                <w:lang w:val="sk-SK"/>
              </w:rPr>
              <w:t>0</w:t>
            </w:r>
            <w:r>
              <w:rPr>
                <w:b/>
                <w:bCs/>
                <w:i/>
                <w:iCs/>
                <w:lang w:val="sk-SK"/>
              </w:rPr>
              <w:t xml:space="preserve">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Default="00F76847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55" w:rsidRDefault="00F76847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4824A6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4824A6" w:rsidP="00F76847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650 00</w:t>
            </w:r>
            <w:r w:rsidR="00C3233E"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586EF4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586EF4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</w:tr>
      <w:tr w:rsidR="006B3D18" w:rsidTr="00F47E59">
        <w:trPr>
          <w:trHeight w:val="126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b/>
                <w:i/>
                <w:lang w:val="sk-SK"/>
              </w:rPr>
              <w:t>- z toho vplyv na ŠR</w:t>
            </w:r>
            <w:r>
              <w:rPr>
                <w:lang w:val="sk-SK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4824A6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650 00</w:t>
            </w:r>
            <w:r w:rsidR="006B3D18"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3D18" w:rsidRDefault="006B3D18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  <w:tr w:rsidR="006B3D18" w:rsidTr="00F47E59">
        <w:trPr>
          <w:trHeight w:val="7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 w:rsidP="004824A6">
            <w:pPr>
              <w:rPr>
                <w:lang w:val="sk-SK"/>
              </w:rPr>
            </w:pPr>
            <w:r>
              <w:rPr>
                <w:lang w:val="sk-SK"/>
              </w:rPr>
              <w:t xml:space="preserve">v tom: </w:t>
            </w:r>
            <w:r w:rsidR="00F16DFA">
              <w:rPr>
                <w:lang w:val="sk-SK"/>
              </w:rPr>
              <w:t>MH SR</w:t>
            </w:r>
            <w:r>
              <w:rPr>
                <w:lang w:val="sk-SK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4824A6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650 00</w:t>
            </w:r>
            <w:r w:rsidR="006B3D18">
              <w:rPr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6B3D1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bookmarkEnd w:id="1"/>
    </w:tbl>
    <w:p w:rsidR="001845E4" w:rsidRDefault="001845E4" w:rsidP="006B3D18">
      <w:pPr>
        <w:rPr>
          <w:lang w:val="sk-SK"/>
        </w:rPr>
      </w:pPr>
    </w:p>
    <w:p w:rsidR="001845E4" w:rsidRDefault="001845E4" w:rsidP="006B3D18">
      <w:pPr>
        <w:rPr>
          <w:lang w:val="sk-SK"/>
        </w:rPr>
      </w:pPr>
    </w:p>
    <w:p w:rsidR="006B3D18" w:rsidRDefault="006B3D18" w:rsidP="006B3D18">
      <w:pPr>
        <w:rPr>
          <w:b/>
          <w:bCs/>
          <w:lang w:val="sk-SK"/>
        </w:rPr>
      </w:pPr>
      <w:r>
        <w:rPr>
          <w:b/>
          <w:bCs/>
          <w:lang w:val="sk-SK"/>
        </w:rPr>
        <w:t>2.2. Financovanie návrhu</w:t>
      </w:r>
    </w:p>
    <w:p w:rsidR="006B3D18" w:rsidRDefault="006B3D18" w:rsidP="006B3D18">
      <w:pPr>
        <w:jc w:val="righ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Tabuľka č. 2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1264"/>
        <w:gridCol w:w="1700"/>
        <w:gridCol w:w="1264"/>
        <w:gridCol w:w="1264"/>
      </w:tblGrid>
      <w:tr w:rsidR="006B3D18" w:rsidTr="00505D04">
        <w:trPr>
          <w:cantSplit/>
          <w:trHeight w:val="70"/>
        </w:trPr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Financovanie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 xml:space="preserve">Vplyv na rozpočet verejnej správy </w:t>
            </w:r>
            <w:r>
              <w:rPr>
                <w:b/>
                <w:bCs/>
                <w:lang w:val="sk-SK"/>
              </w:rPr>
              <w:t>(v eurách)</w:t>
            </w:r>
          </w:p>
        </w:tc>
      </w:tr>
      <w:tr w:rsidR="006B3D18" w:rsidTr="00505D04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556455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2017</w:t>
            </w:r>
          </w:p>
        </w:tc>
      </w:tr>
      <w:tr w:rsidR="006B3D18" w:rsidTr="00505D04">
        <w:trPr>
          <w:trHeight w:val="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4824A6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4824A6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65</w:t>
            </w:r>
            <w:r w:rsidR="001845E4">
              <w:rPr>
                <w:b/>
                <w:bCs/>
                <w:lang w:val="sk-SK"/>
              </w:rPr>
              <w:t>0</w:t>
            </w:r>
            <w:r>
              <w:rPr>
                <w:b/>
                <w:bCs/>
                <w:lang w:val="sk-SK"/>
              </w:rPr>
              <w:t xml:space="preserve"> 0</w:t>
            </w:r>
            <w:r w:rsidR="00B81DAF">
              <w:rPr>
                <w:b/>
                <w:bCs/>
                <w:lang w:val="sk-SK"/>
              </w:rPr>
              <w:t>0</w:t>
            </w: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D18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  <w:tr w:rsidR="00505D04" w:rsidTr="00505D04">
        <w:trPr>
          <w:trHeight w:val="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04" w:rsidRDefault="00505D04">
            <w:pPr>
              <w:rPr>
                <w:lang w:val="sk-SK"/>
              </w:rPr>
            </w:pPr>
            <w:r>
              <w:rPr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4824A6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4824A6">
            <w:pPr>
              <w:jc w:val="right"/>
              <w:rPr>
                <w:lang w:val="sk-SK"/>
              </w:rPr>
            </w:pPr>
            <w:r>
              <w:rPr>
                <w:b/>
                <w:bCs/>
                <w:lang w:val="sk-SK"/>
              </w:rPr>
              <w:t>650 00</w:t>
            </w:r>
            <w:r w:rsidR="001845E4"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86EF4">
            <w:pPr>
              <w:jc w:val="right"/>
              <w:rPr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86EF4">
            <w:pPr>
              <w:jc w:val="right"/>
              <w:rPr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  <w:tr w:rsidR="00505D04" w:rsidTr="00505D04">
        <w:trPr>
          <w:trHeight w:val="15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04" w:rsidRDefault="00505D04">
            <w:pPr>
              <w:rPr>
                <w:lang w:val="sk-SK"/>
              </w:rPr>
            </w:pPr>
            <w:r>
              <w:rPr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4824A6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65</w:t>
            </w:r>
            <w:r w:rsidR="00505D04">
              <w:rPr>
                <w:lang w:val="sk-SK"/>
              </w:rPr>
              <w:t>0</w:t>
            </w:r>
            <w:r>
              <w:rPr>
                <w:lang w:val="sk-SK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505D04" w:rsidTr="00505D04">
        <w:trPr>
          <w:trHeight w:val="1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04" w:rsidRDefault="00505D04">
            <w:pPr>
              <w:rPr>
                <w:highlight w:val="yellow"/>
                <w:lang w:val="sk-SK"/>
              </w:rPr>
            </w:pPr>
            <w:r>
              <w:rPr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1845E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505D04" w:rsidTr="00505D04">
        <w:trPr>
          <w:trHeight w:val="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04" w:rsidRDefault="00505D04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05D0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D04" w:rsidRDefault="00586EF4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</w:tr>
    </w:tbl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b/>
          <w:bCs/>
          <w:lang w:val="sk-SK"/>
        </w:rPr>
      </w:pPr>
    </w:p>
    <w:p w:rsidR="006B3D18" w:rsidRDefault="006B3D18" w:rsidP="006B3D18">
      <w:pPr>
        <w:rPr>
          <w:b/>
          <w:bCs/>
          <w:lang w:val="sk-SK"/>
        </w:rPr>
      </w:pPr>
      <w:r>
        <w:rPr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6B3D18" w:rsidRDefault="006B3D18" w:rsidP="006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k-SK"/>
        </w:rPr>
      </w:pPr>
    </w:p>
    <w:p w:rsidR="006B3D18" w:rsidRDefault="006B3D18" w:rsidP="006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k-SK"/>
        </w:rPr>
      </w:pPr>
    </w:p>
    <w:p w:rsidR="006B3D18" w:rsidRDefault="006B3D18" w:rsidP="006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k-SK"/>
        </w:rPr>
      </w:pPr>
    </w:p>
    <w:p w:rsidR="006B3D18" w:rsidRDefault="006B3D18" w:rsidP="006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k-SK"/>
        </w:rPr>
      </w:pPr>
    </w:p>
    <w:p w:rsidR="00F76847" w:rsidRDefault="00F76847" w:rsidP="006B3D18">
      <w:pPr>
        <w:rPr>
          <w:b/>
          <w:bCs/>
          <w:lang w:val="sk-SK"/>
        </w:rPr>
      </w:pPr>
    </w:p>
    <w:p w:rsidR="00F76847" w:rsidRDefault="00F76847" w:rsidP="006B3D18">
      <w:pPr>
        <w:rPr>
          <w:b/>
          <w:bCs/>
          <w:lang w:val="sk-SK"/>
        </w:rPr>
      </w:pPr>
    </w:p>
    <w:p w:rsidR="00F76847" w:rsidRDefault="00F76847" w:rsidP="006B3D18">
      <w:pPr>
        <w:rPr>
          <w:b/>
          <w:bCs/>
          <w:lang w:val="sk-SK"/>
        </w:rPr>
      </w:pPr>
    </w:p>
    <w:p w:rsidR="006B3D18" w:rsidRDefault="006B3D18" w:rsidP="006B3D18">
      <w:pPr>
        <w:rPr>
          <w:b/>
          <w:bCs/>
          <w:lang w:val="sk-SK"/>
        </w:rPr>
      </w:pPr>
      <w:r>
        <w:rPr>
          <w:b/>
          <w:bCs/>
          <w:lang w:val="sk-SK"/>
        </w:rPr>
        <w:t>2.3. Popis a charakteristika návrhu</w:t>
      </w:r>
    </w:p>
    <w:p w:rsidR="006B3D18" w:rsidRDefault="006B3D18" w:rsidP="006B3D18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2.3.1. Popis návrhu:</w:t>
      </w:r>
    </w:p>
    <w:p w:rsidR="006B3D18" w:rsidRDefault="006B3D18" w:rsidP="006B3D18">
      <w:pPr>
        <w:jc w:val="both"/>
        <w:rPr>
          <w:b/>
          <w:bCs/>
          <w:lang w:val="sk-SK"/>
        </w:rPr>
      </w:pPr>
    </w:p>
    <w:p w:rsidR="006B3D18" w:rsidRDefault="006B3D18" w:rsidP="006B3D18">
      <w:pPr>
        <w:ind w:firstLine="708"/>
        <w:jc w:val="both"/>
        <w:rPr>
          <w:lang w:val="sk-SK"/>
        </w:rPr>
      </w:pPr>
      <w:r>
        <w:rPr>
          <w:lang w:val="sk-SK"/>
        </w:rPr>
        <w:lastRenderedPageBreak/>
        <w:t>Akú problematiku návrhu rieši? Kto bude návrh implementovať? Kde sa budú služby poskytovať?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b/>
          <w:bCs/>
          <w:lang w:val="sk-SK"/>
        </w:rPr>
      </w:pPr>
      <w:r>
        <w:rPr>
          <w:b/>
          <w:bCs/>
          <w:lang w:val="sk-SK"/>
        </w:rPr>
        <w:t>2.3.2. Charakteristika návrhu podľa bodu  2.3.2. Metodiky :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pStyle w:val="Zkladntext"/>
        <w:rPr>
          <w:b w:val="0"/>
          <w:szCs w:val="24"/>
        </w:rPr>
      </w:pPr>
      <w:r>
        <w:rPr>
          <w:szCs w:val="24"/>
          <w:bdr w:val="single" w:sz="4" w:space="0" w:color="auto" w:frame="1"/>
        </w:rPr>
        <w:t xml:space="preserve">     </w:t>
      </w:r>
      <w:r>
        <w:rPr>
          <w:szCs w:val="24"/>
        </w:rPr>
        <w:t xml:space="preserve">  </w:t>
      </w:r>
      <w:r>
        <w:rPr>
          <w:b w:val="0"/>
          <w:szCs w:val="24"/>
        </w:rPr>
        <w:t>zmena sadzby</w:t>
      </w:r>
    </w:p>
    <w:p w:rsidR="006B3D18" w:rsidRDefault="006B3D18" w:rsidP="006B3D18">
      <w:pPr>
        <w:pStyle w:val="Zkladntext"/>
        <w:rPr>
          <w:b w:val="0"/>
          <w:szCs w:val="24"/>
        </w:rPr>
      </w:pPr>
      <w:r>
        <w:rPr>
          <w:b w:val="0"/>
          <w:szCs w:val="24"/>
          <w:bdr w:val="single" w:sz="4" w:space="0" w:color="auto" w:frame="1"/>
        </w:rPr>
        <w:t xml:space="preserve">     </w:t>
      </w:r>
      <w:r>
        <w:rPr>
          <w:b w:val="0"/>
          <w:szCs w:val="24"/>
        </w:rPr>
        <w:t xml:space="preserve">  zmena v nároku</w:t>
      </w:r>
    </w:p>
    <w:p w:rsidR="006B3D18" w:rsidRDefault="006B3D18" w:rsidP="006B3D18">
      <w:pPr>
        <w:pStyle w:val="Zkladntext"/>
        <w:rPr>
          <w:b w:val="0"/>
          <w:szCs w:val="24"/>
        </w:rPr>
      </w:pPr>
      <w:r>
        <w:rPr>
          <w:b w:val="0"/>
          <w:szCs w:val="24"/>
          <w:bdr w:val="single" w:sz="4" w:space="0" w:color="auto" w:frame="1"/>
        </w:rPr>
        <w:t xml:space="preserve">     </w:t>
      </w:r>
      <w:r>
        <w:rPr>
          <w:b w:val="0"/>
          <w:szCs w:val="24"/>
        </w:rPr>
        <w:t xml:space="preserve">  nová služba alebo nariadenie (alebo ich zrušenie)</w:t>
      </w:r>
    </w:p>
    <w:p w:rsidR="006B3D18" w:rsidRDefault="006B3D18" w:rsidP="006B3D18">
      <w:pPr>
        <w:pStyle w:val="Zkladntext"/>
        <w:rPr>
          <w:b w:val="0"/>
          <w:szCs w:val="24"/>
        </w:rPr>
      </w:pPr>
      <w:r>
        <w:rPr>
          <w:b w:val="0"/>
          <w:szCs w:val="24"/>
          <w:bdr w:val="single" w:sz="4" w:space="0" w:color="auto" w:frame="1"/>
        </w:rPr>
        <w:t xml:space="preserve">     </w:t>
      </w:r>
      <w:r>
        <w:rPr>
          <w:b w:val="0"/>
          <w:szCs w:val="24"/>
        </w:rPr>
        <w:t xml:space="preserve">  kombinovaný návrh</w:t>
      </w:r>
    </w:p>
    <w:p w:rsidR="006B3D18" w:rsidRDefault="006B3D18" w:rsidP="006B3D18">
      <w:pPr>
        <w:pStyle w:val="Zkladntext"/>
        <w:rPr>
          <w:b w:val="0"/>
          <w:szCs w:val="24"/>
        </w:rPr>
      </w:pPr>
      <w:r>
        <w:rPr>
          <w:b w:val="0"/>
          <w:szCs w:val="24"/>
          <w:bdr w:val="single" w:sz="4" w:space="0" w:color="auto" w:frame="1"/>
        </w:rPr>
        <w:t xml:space="preserve">     </w:t>
      </w:r>
      <w:r>
        <w:rPr>
          <w:b w:val="0"/>
          <w:szCs w:val="24"/>
        </w:rPr>
        <w:t xml:space="preserve">  iné 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lang w:val="sk-SK"/>
        </w:rPr>
      </w:pPr>
      <w:r>
        <w:rPr>
          <w:b/>
          <w:bCs/>
          <w:lang w:val="sk-SK"/>
        </w:rPr>
        <w:t>2.3.3. Predpoklady vývoja objemu aktivít: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ind w:firstLine="708"/>
        <w:jc w:val="both"/>
        <w:rPr>
          <w:lang w:val="sk-SK"/>
        </w:rPr>
      </w:pPr>
      <w:r>
        <w:rPr>
          <w:lang w:val="sk-SK"/>
        </w:rPr>
        <w:t>Jasne popíšte, v prípade potreby použite nižšie uvedenú tabuľku. Uveďte aj odhady základov daní a/alebo poplatkov, ak sa ich táto zmena týka.</w:t>
      </w:r>
    </w:p>
    <w:p w:rsidR="006B3D18" w:rsidRDefault="006B3D18" w:rsidP="006B3D18">
      <w:pPr>
        <w:jc w:val="righ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Tabuľka č. 3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134"/>
        <w:gridCol w:w="1134"/>
        <w:gridCol w:w="1134"/>
        <w:gridCol w:w="1134"/>
      </w:tblGrid>
      <w:tr w:rsidR="006B3D18" w:rsidTr="006B3D18"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Odhadované objemy</w:t>
            </w:r>
          </w:p>
        </w:tc>
      </w:tr>
      <w:tr w:rsidR="006B3D18" w:rsidTr="006B3D18"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 + 3</w:t>
            </w:r>
          </w:p>
        </w:tc>
      </w:tr>
      <w:tr w:rsidR="006B3D18" w:rsidTr="006B3D18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autoSpaceDE w:val="0"/>
              <w:autoSpaceDN w:val="0"/>
              <w:adjustRightInd w:val="0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</w:tr>
      <w:tr w:rsidR="006B3D18" w:rsidTr="006B3D18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autoSpaceDE w:val="0"/>
              <w:autoSpaceDN w:val="0"/>
              <w:adjustRightInd w:val="0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</w:tr>
      <w:tr w:rsidR="006B3D18" w:rsidTr="006B3D18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autoSpaceDE w:val="0"/>
              <w:autoSpaceDN w:val="0"/>
              <w:adjustRightInd w:val="0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</w:tr>
    </w:tbl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rPr>
          <w:b/>
          <w:bCs/>
          <w:lang w:val="sk-SK"/>
        </w:rPr>
      </w:pPr>
      <w:r>
        <w:rPr>
          <w:b/>
          <w:bCs/>
          <w:lang w:val="sk-SK"/>
        </w:rPr>
        <w:t>2.3.4. Výpočty vplyvov na verejné financie</w:t>
      </w:r>
    </w:p>
    <w:p w:rsidR="006B3D18" w:rsidRDefault="006B3D18" w:rsidP="006B3D18">
      <w:pPr>
        <w:rPr>
          <w:lang w:val="sk-SK"/>
        </w:rPr>
      </w:pPr>
    </w:p>
    <w:p w:rsidR="006B3D18" w:rsidRDefault="006B3D18" w:rsidP="006B3D18">
      <w:pPr>
        <w:ind w:firstLine="708"/>
        <w:jc w:val="both"/>
        <w:rPr>
          <w:lang w:val="sk-SK"/>
        </w:rPr>
      </w:pPr>
      <w:r>
        <w:rPr>
          <w:lang w:val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6B3D18" w:rsidRDefault="006B3D18" w:rsidP="006B3D18">
      <w:pPr>
        <w:pStyle w:val="BodyText21"/>
        <w:overflowPunct/>
        <w:autoSpaceDE/>
        <w:adjustRightInd/>
        <w:rPr>
          <w:szCs w:val="24"/>
          <w:lang w:val="sk-SK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  <w:szCs w:val="24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  <w:szCs w:val="24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  <w:szCs w:val="24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  <w:szCs w:val="24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  <w:szCs w:val="24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1845E4" w:rsidRDefault="001845E4" w:rsidP="006B3D18">
      <w:pPr>
        <w:rPr>
          <w:bCs/>
          <w:szCs w:val="20"/>
          <w:lang w:val="sk-SK"/>
        </w:rPr>
        <w:sectPr w:rsidR="001845E4">
          <w:pgSz w:w="11906" w:h="16838"/>
          <w:pgMar w:top="1417" w:right="1417" w:bottom="1417" w:left="1417" w:header="708" w:footer="708" w:gutter="0"/>
          <w:pgNumType w:start="0"/>
          <w:cols w:space="708"/>
        </w:sectPr>
      </w:pPr>
    </w:p>
    <w:p w:rsidR="006B3D18" w:rsidRDefault="006B3D18" w:rsidP="006B3D18">
      <w:pPr>
        <w:pStyle w:val="Zkladntext"/>
        <w:tabs>
          <w:tab w:val="num" w:pos="1080"/>
        </w:tabs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Tabuľka č. 4 </w:t>
      </w: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500"/>
        <w:gridCol w:w="1500"/>
        <w:gridCol w:w="1500"/>
        <w:gridCol w:w="1500"/>
        <w:gridCol w:w="3000"/>
      </w:tblGrid>
      <w:tr w:rsidR="006B3D18" w:rsidTr="006B3D18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poznámka</w:t>
            </w:r>
          </w:p>
        </w:tc>
      </w:tr>
      <w:tr w:rsidR="006B3D18" w:rsidTr="006B3D1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vertAlign w:val="superscript"/>
                <w:lang w:val="sk-SK"/>
              </w:rPr>
            </w:pPr>
            <w:r>
              <w:rPr>
                <w:b/>
                <w:bCs/>
                <w:lang w:val="sk-SK"/>
              </w:rPr>
              <w:t>Daňové príjmy (100)</w:t>
            </w:r>
            <w:r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Nedaňové príjmy (200)</w:t>
            </w:r>
            <w:r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 w:rsidP="004824A6">
            <w:pPr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Granty a transfery (300)</w:t>
            </w:r>
            <w:r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6B3D18" w:rsidRDefault="006B3D18">
            <w:pPr>
              <w:rPr>
                <w:color w:val="FFFFFF"/>
                <w:lang w:val="sk-SK"/>
              </w:rPr>
            </w:pPr>
            <w:r>
              <w:rPr>
                <w:color w:val="FFFFFF"/>
                <w:lang w:val="sk-SK"/>
              </w:rPr>
              <w:t> </w:t>
            </w:r>
          </w:p>
        </w:tc>
      </w:tr>
    </w:tbl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1 –  príjmy rozpísať až do položiek platnej ekonomickej klasifikácie</w:t>
      </w: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ind w:right="-578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Tabuľka č. 5 </w:t>
      </w: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0"/>
        <w:gridCol w:w="1540"/>
        <w:gridCol w:w="1540"/>
        <w:gridCol w:w="1540"/>
        <w:gridCol w:w="1540"/>
        <w:gridCol w:w="2220"/>
      </w:tblGrid>
      <w:tr w:rsidR="006B3D18" w:rsidTr="006B3D1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poznámka</w:t>
            </w:r>
          </w:p>
        </w:tc>
      </w:tr>
      <w:tr w:rsidR="006B3D18" w:rsidTr="006B3D1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F46B0F">
            <w:pPr>
              <w:jc w:val="center"/>
              <w:rPr>
                <w:b/>
                <w:bCs/>
                <w:color w:val="FFFFFF"/>
                <w:lang w:val="sk-SK"/>
              </w:rPr>
            </w:pPr>
            <w:r w:rsidRPr="00F46B0F">
              <w:rPr>
                <w:b/>
                <w:bCs/>
                <w:color w:val="FFFFFF"/>
                <w:sz w:val="20"/>
                <w:szCs w:val="20"/>
                <w:lang w:val="sk-SK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4824A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650 000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0"/>
                <w:szCs w:val="20"/>
                <w:vertAlign w:val="superscript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 w:rsidP="00F76847">
            <w:pPr>
              <w:rPr>
                <w:sz w:val="20"/>
                <w:szCs w:val="20"/>
                <w:vertAlign w:val="superscript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Tovary a služby (630)</w:t>
            </w:r>
            <w:r>
              <w:rPr>
                <w:sz w:val="20"/>
                <w:szCs w:val="20"/>
                <w:vertAlign w:val="superscript"/>
                <w:lang w:val="sk-SK"/>
              </w:rPr>
              <w:t>2</w:t>
            </w:r>
            <w:r w:rsidR="00F76847" w:rsidRPr="00F76847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4824A6">
            <w:pPr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Bežné transfery (640)</w:t>
            </w:r>
            <w:r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Splácanie úrokov a ostatné platby súvisiace s úvermi, pôžičkami a NFV (650)</w:t>
            </w:r>
            <w:r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Obstarávanie kapitálových aktív (710)</w:t>
            </w:r>
            <w:r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Kapitálové transfery (720)</w:t>
            </w:r>
            <w:r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6B3D18" w:rsidRDefault="006B3D18">
            <w:pPr>
              <w:rPr>
                <w:color w:val="FFFFFF"/>
                <w:lang w:val="sk-SK"/>
              </w:rPr>
            </w:pPr>
            <w:r>
              <w:rPr>
                <w:color w:val="FFFFFF"/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 xml:space="preserve">  z toho výdavky na 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4824A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650 000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 xml:space="preserve">        Bežné výdavky</w:t>
            </w:r>
            <w:r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>
              <w:rPr>
                <w:bCs/>
                <w:sz w:val="20"/>
                <w:szCs w:val="20"/>
                <w:lang w:val="sk-SK"/>
              </w:rPr>
              <w:t>(600)</w:t>
            </w:r>
            <w:r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lastRenderedPageBreak/>
              <w:t xml:space="preserve">               </w:t>
            </w:r>
            <w:r>
              <w:rPr>
                <w:sz w:val="20"/>
                <w:szCs w:val="20"/>
                <w:lang w:val="sk-SK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</w:tbl>
    <w:p w:rsidR="006B3D18" w:rsidRDefault="006B3D18" w:rsidP="006B3D18">
      <w:pPr>
        <w:pStyle w:val="Zkladntext"/>
        <w:tabs>
          <w:tab w:val="num" w:pos="1080"/>
        </w:tabs>
        <w:ind w:left="-900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2 –  výdavky rozpísať až do položiek platnej ekonomickej klasifikácie</w:t>
      </w:r>
    </w:p>
    <w:p w:rsidR="006B3D18" w:rsidRDefault="006B3D18" w:rsidP="006B3D18">
      <w:pPr>
        <w:pStyle w:val="Zkladntext"/>
        <w:tabs>
          <w:tab w:val="num" w:pos="1080"/>
        </w:tabs>
        <w:ind w:left="-900"/>
        <w:jc w:val="both"/>
        <w:rPr>
          <w:b w:val="0"/>
          <w:bCs/>
          <w:sz w:val="20"/>
        </w:rPr>
      </w:pPr>
    </w:p>
    <w:p w:rsidR="006B3D18" w:rsidRDefault="006B3D18" w:rsidP="006B3D18">
      <w:pPr>
        <w:pStyle w:val="Zkladntext"/>
        <w:tabs>
          <w:tab w:val="num" w:pos="1080"/>
        </w:tabs>
        <w:ind w:left="-900"/>
        <w:jc w:val="both"/>
        <w:rPr>
          <w:b w:val="0"/>
          <w:bCs/>
          <w:sz w:val="20"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Tabuľka č. 6 </w:t>
      </w: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6B3D18" w:rsidTr="006B3D18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poznámka</w:t>
            </w:r>
          </w:p>
        </w:tc>
      </w:tr>
      <w:tr w:rsidR="006B3D18" w:rsidTr="006B3D1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Počet zamestnancov celkom*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Priemerný mzdový výdavok (v eurách)*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6B3D18" w:rsidRDefault="006B3D18">
            <w:pPr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Mzdy, platy, služobné príjmy a ostatné osobné vyrovnania (610)*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Poistné a príspevok do poisťovní (620)*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</w:tr>
      <w:tr w:rsidR="006B3D18" w:rsidTr="006B3D18">
        <w:trPr>
          <w:trHeight w:val="255"/>
        </w:trPr>
        <w:tc>
          <w:tcPr>
            <w:tcW w:w="6188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698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788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722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6188" w:type="dxa"/>
            <w:hideMark/>
          </w:tcPr>
          <w:p w:rsidR="006B3D18" w:rsidRDefault="006B3D1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Poznámky:</w:t>
            </w:r>
          </w:p>
        </w:tc>
        <w:tc>
          <w:tcPr>
            <w:tcW w:w="1698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788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722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13814" w:type="dxa"/>
            <w:gridSpan w:val="6"/>
            <w:noWrap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  <w:tr w:rsidR="006B3D18" w:rsidTr="006B3D18">
        <w:trPr>
          <w:trHeight w:val="255"/>
        </w:trPr>
        <w:tc>
          <w:tcPr>
            <w:tcW w:w="15434" w:type="dxa"/>
            <w:gridSpan w:val="8"/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  34,95 %,  pre policajtov, profesionálnych vojakov, colníkov, hasičov vrátane horskej záchrannej služby predstavuje 33,2 %.  Pre ostatné subjekty verejnej správy vrátane prenesených kompetencií výkonu štátnej správy poistné tvorí podiel zodpovedajúci  35,2 %.</w:t>
            </w:r>
          </w:p>
        </w:tc>
      </w:tr>
      <w:tr w:rsidR="006B3D18" w:rsidTr="006B3D18">
        <w:trPr>
          <w:trHeight w:val="255"/>
        </w:trPr>
        <w:tc>
          <w:tcPr>
            <w:tcW w:w="10394" w:type="dxa"/>
            <w:gridSpan w:val="4"/>
            <w:noWrap/>
            <w:vAlign w:val="bottom"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698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2352" w:type="dxa"/>
            <w:gridSpan w:val="2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990" w:type="dxa"/>
            <w:noWrap/>
            <w:vAlign w:val="bottom"/>
          </w:tcPr>
          <w:p w:rsidR="006B3D18" w:rsidRDefault="006B3D18">
            <w:pPr>
              <w:rPr>
                <w:lang w:val="sk-SK"/>
              </w:rPr>
            </w:pPr>
          </w:p>
        </w:tc>
      </w:tr>
    </w:tbl>
    <w:p w:rsidR="006B3D18" w:rsidRDefault="006B3D18" w:rsidP="006B3D18">
      <w:pPr>
        <w:rPr>
          <w:b/>
          <w:bCs/>
          <w:lang w:val="sk-SK"/>
        </w:rPr>
      </w:pPr>
      <w:r>
        <w:rPr>
          <w:b/>
          <w:bCs/>
          <w:lang w:val="sk-SK"/>
        </w:rPr>
        <w:t>* počet zamestnancov,  mzdy a poistné rozpísať podľa spôsobu odmeňovania (napr. policajti, colníci ...)</w:t>
      </w:r>
    </w:p>
    <w:p w:rsidR="001845E4" w:rsidRDefault="001845E4">
      <w:pPr>
        <w:sectPr w:rsidR="001845E4" w:rsidSect="001845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3D18" w:rsidRDefault="006B3D18" w:rsidP="006B3D18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lastRenderedPageBreak/>
        <w:t>Vplyvy na podnikateľské prostredie</w:t>
      </w:r>
    </w:p>
    <w:p w:rsidR="006B3D18" w:rsidRDefault="006B3D18" w:rsidP="006B3D18">
      <w:pPr>
        <w:rPr>
          <w:b/>
          <w:bCs/>
          <w:lang w:val="sk-SK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5040"/>
      </w:tblGrid>
      <w:tr w:rsidR="006B3D18" w:rsidRPr="007E2FFC" w:rsidTr="006B3D18"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vAlign w:val="center"/>
            <w:hideMark/>
          </w:tcPr>
          <w:p w:rsidR="006B3D18" w:rsidRPr="007E2FFC" w:rsidRDefault="006B3D18">
            <w:pPr>
              <w:jc w:val="center"/>
              <w:rPr>
                <w:b/>
                <w:bCs/>
                <w:color w:val="FFFFFF"/>
                <w:sz w:val="22"/>
                <w:szCs w:val="22"/>
                <w:lang w:val="sk-SK"/>
              </w:rPr>
            </w:pPr>
            <w:r w:rsidRPr="007E2FFC">
              <w:rPr>
                <w:b/>
                <w:bCs/>
                <w:color w:val="FFFFFF"/>
                <w:sz w:val="22"/>
                <w:szCs w:val="22"/>
                <w:lang w:val="sk-SK"/>
              </w:rPr>
              <w:t>Vplyvy na podnikateľské prostredie</w:t>
            </w:r>
          </w:p>
        </w:tc>
      </w:tr>
      <w:tr w:rsidR="006B3D18" w:rsidRPr="007E2FFC" w:rsidTr="006B3D18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  <w:r w:rsidRPr="007E2FFC">
              <w:rPr>
                <w:b/>
                <w:sz w:val="22"/>
                <w:szCs w:val="22"/>
                <w:lang w:val="sk-SK"/>
              </w:rPr>
              <w:t>3.1</w:t>
            </w:r>
            <w:r w:rsidRPr="007E2FFC">
              <w:rPr>
                <w:sz w:val="22"/>
                <w:szCs w:val="22"/>
                <w:lang w:val="sk-SK"/>
              </w:rPr>
              <w:t>. Ktoré podnikateľské subjekty budú predkladaným návrhom ovplyvnené a aký je ich počet?</w:t>
            </w: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6F40" w:rsidRPr="007E2FFC" w:rsidRDefault="00DE7B26" w:rsidP="00C66F40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>1.</w:t>
            </w:r>
            <w:r w:rsidR="00C66F40" w:rsidRPr="007E2FFC">
              <w:rPr>
                <w:sz w:val="22"/>
                <w:szCs w:val="22"/>
                <w:lang w:val="sk-SK"/>
              </w:rPr>
              <w:t xml:space="preserve">Všetky podniky, ktoré nie sú MSP, a ktoré nemajú zavedený systém STN ISO 50001 alebo STN ISO 14001 s energetickým auditom podľa zákona. </w:t>
            </w:r>
            <w:r w:rsidR="005B254E" w:rsidRPr="007E2FFC">
              <w:rPr>
                <w:sz w:val="22"/>
                <w:szCs w:val="22"/>
                <w:lang w:val="sk-SK"/>
              </w:rPr>
              <w:t>V SR bolo v roku 2012</w:t>
            </w:r>
            <w:r w:rsidRPr="007E2FFC">
              <w:rPr>
                <w:sz w:val="22"/>
                <w:szCs w:val="22"/>
                <w:lang w:val="sk-SK"/>
              </w:rPr>
              <w:t xml:space="preserve"> </w:t>
            </w:r>
            <w:r w:rsidR="00C66F40" w:rsidRPr="007E2FFC">
              <w:rPr>
                <w:sz w:val="22"/>
                <w:szCs w:val="22"/>
                <w:lang w:val="sk-SK"/>
              </w:rPr>
              <w:t>614 veľkých podnikov</w:t>
            </w:r>
            <w:r w:rsidR="005B254E" w:rsidRPr="007E2FFC">
              <w:rPr>
                <w:sz w:val="22"/>
                <w:szCs w:val="22"/>
                <w:lang w:val="sk-SK"/>
              </w:rPr>
              <w:t>.</w:t>
            </w:r>
            <w:r w:rsidR="00C66F40" w:rsidRPr="007E2FFC">
              <w:rPr>
                <w:sz w:val="22"/>
                <w:szCs w:val="22"/>
                <w:lang w:val="sk-SK"/>
              </w:rPr>
              <w:t xml:space="preserve"> </w:t>
            </w:r>
          </w:p>
          <w:p w:rsidR="00DE7B26" w:rsidRPr="007E2FFC" w:rsidRDefault="00DE7B26" w:rsidP="00C66F40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>2. Prevádzkovatelia elektroenergetickej a plynárenskej infraštruktúry – hodnotenie energetickej efektívnosti a návrh opatrení s harmonogramom realizácie</w:t>
            </w:r>
            <w:r w:rsidR="00CF5DA2" w:rsidRPr="007E2FFC">
              <w:rPr>
                <w:sz w:val="22"/>
                <w:szCs w:val="22"/>
                <w:lang w:val="sk-SK"/>
              </w:rPr>
              <w:t xml:space="preserve">. </w:t>
            </w:r>
          </w:p>
          <w:p w:rsidR="00DE7B26" w:rsidRPr="007E2FFC" w:rsidRDefault="00DE7B26" w:rsidP="00C66F40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>3. Dodávatelia energie – zvýšenie množstva poskytovaných informácii spotrebiteľovi</w:t>
            </w:r>
            <w:r w:rsidR="005B254E" w:rsidRPr="007E2FFC">
              <w:rPr>
                <w:sz w:val="22"/>
                <w:szCs w:val="22"/>
                <w:lang w:val="sk-SK"/>
              </w:rPr>
              <w:t xml:space="preserve"> - </w:t>
            </w:r>
            <w:r w:rsidRPr="007E2FFC">
              <w:rPr>
                <w:sz w:val="22"/>
                <w:szCs w:val="22"/>
                <w:lang w:val="sk-SK"/>
              </w:rPr>
              <w:t xml:space="preserve"> </w:t>
            </w:r>
          </w:p>
          <w:p w:rsidR="005B254E" w:rsidRPr="007E2FFC" w:rsidRDefault="005B254E" w:rsidP="005B254E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 xml:space="preserve">407 povolení na dodávku elektriny, z toho 41 aktívnych dodávateľov elektriny v roku 2012,  100 povolení na dodávky plynu, z toho 58 aktívnych </w:t>
            </w:r>
            <w:r w:rsidR="00CF5DA2" w:rsidRPr="007E2FFC">
              <w:rPr>
                <w:sz w:val="22"/>
                <w:szCs w:val="22"/>
                <w:lang w:val="sk-SK"/>
              </w:rPr>
              <w:t xml:space="preserve"> dodávateľov plynu v roku 2012.</w:t>
            </w:r>
            <w:r w:rsidR="00A63434" w:rsidRPr="007E2FFC">
              <w:rPr>
                <w:sz w:val="22"/>
                <w:szCs w:val="22"/>
                <w:lang w:val="sk-SK"/>
              </w:rPr>
              <w:t>Cca 320 dodávateľov tepla v roku 2012.</w:t>
            </w:r>
          </w:p>
          <w:p w:rsidR="00AD75B6" w:rsidRPr="007E2FFC" w:rsidRDefault="00AD75B6" w:rsidP="00AD75B6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 xml:space="preserve">4.Prevádzkovateľ distribučnej sústavy (162) a siete (48) – povinná inštalácia určeného meradla (IMS) pri obnove budovy. </w:t>
            </w:r>
          </w:p>
          <w:p w:rsidR="00AD75B6" w:rsidRPr="007E2FFC" w:rsidRDefault="00AD75B6" w:rsidP="00AD75B6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>5</w:t>
            </w:r>
            <w:r w:rsidR="00CF5DA2" w:rsidRPr="007E2FFC">
              <w:rPr>
                <w:sz w:val="22"/>
                <w:szCs w:val="22"/>
                <w:lang w:val="sk-SK"/>
              </w:rPr>
              <w:t>. Výrobca VU KVET</w:t>
            </w:r>
            <w:r w:rsidR="00A63434" w:rsidRPr="007E2FFC">
              <w:rPr>
                <w:sz w:val="22"/>
                <w:szCs w:val="22"/>
                <w:lang w:val="sk-SK"/>
              </w:rPr>
              <w:t>,</w:t>
            </w:r>
            <w:r w:rsidR="00CF5DA2" w:rsidRPr="007E2FFC">
              <w:rPr>
                <w:sz w:val="22"/>
                <w:szCs w:val="22"/>
                <w:lang w:val="sk-SK"/>
              </w:rPr>
              <w:t xml:space="preserve"> potreb</w:t>
            </w:r>
            <w:r w:rsidR="00BF71F9" w:rsidRPr="007E2FFC">
              <w:rPr>
                <w:sz w:val="22"/>
                <w:szCs w:val="22"/>
                <w:lang w:val="sk-SK"/>
              </w:rPr>
              <w:t xml:space="preserve">a záruky pôvodu na každú </w:t>
            </w:r>
            <w:proofErr w:type="spellStart"/>
            <w:r w:rsidR="00BF71F9" w:rsidRPr="007E2FFC">
              <w:rPr>
                <w:sz w:val="22"/>
                <w:szCs w:val="22"/>
                <w:lang w:val="sk-SK"/>
              </w:rPr>
              <w:t>MWh</w:t>
            </w:r>
            <w:proofErr w:type="spellEnd"/>
            <w:r w:rsidR="00BF71F9" w:rsidRPr="007E2FFC">
              <w:rPr>
                <w:sz w:val="22"/>
                <w:szCs w:val="22"/>
                <w:lang w:val="sk-SK"/>
              </w:rPr>
              <w:t xml:space="preserve">.  </w:t>
            </w:r>
          </w:p>
        </w:tc>
      </w:tr>
      <w:tr w:rsidR="006B3D18" w:rsidRPr="007E2FFC" w:rsidTr="006B3D18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  <w:r w:rsidRPr="007E2FFC">
              <w:rPr>
                <w:b/>
                <w:sz w:val="22"/>
                <w:szCs w:val="22"/>
                <w:lang w:val="sk-SK"/>
              </w:rPr>
              <w:t>3.2</w:t>
            </w:r>
            <w:r w:rsidRPr="007E2FFC">
              <w:rPr>
                <w:sz w:val="22"/>
                <w:szCs w:val="22"/>
                <w:lang w:val="sk-SK"/>
              </w:rPr>
              <w:t>. Aký je predpokladaný charakter a rozsah nákladov a prínosov?</w:t>
            </w: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3D18" w:rsidRPr="007E2FFC" w:rsidRDefault="00CF5DA2" w:rsidP="00CF5DA2">
            <w:pPr>
              <w:rPr>
                <w:sz w:val="22"/>
                <w:szCs w:val="22"/>
                <w:lang w:val="pt-BR"/>
              </w:rPr>
            </w:pPr>
            <w:r w:rsidRPr="007E2FFC">
              <w:rPr>
                <w:sz w:val="22"/>
                <w:szCs w:val="22"/>
                <w:lang w:val="pt-BR"/>
              </w:rPr>
              <w:t>1. </w:t>
            </w:r>
            <w:r w:rsidR="00C66F40" w:rsidRPr="007E2FFC">
              <w:rPr>
                <w:sz w:val="22"/>
                <w:szCs w:val="22"/>
                <w:lang w:val="pt-BR"/>
              </w:rPr>
              <w:t xml:space="preserve">Náklady:  - vypracovanie energetického auditu – cena v závislosti od veľkosti podniku </w:t>
            </w:r>
            <w:r w:rsidR="005B254E" w:rsidRPr="007E2FFC">
              <w:rPr>
                <w:sz w:val="22"/>
                <w:szCs w:val="22"/>
                <w:lang w:val="pt-BR"/>
              </w:rPr>
              <w:t xml:space="preserve"> v rozsahu cca 500 až 50000 </w:t>
            </w:r>
            <w:r w:rsidR="00FF75A5" w:rsidRPr="007E2FFC">
              <w:rPr>
                <w:sz w:val="22"/>
                <w:szCs w:val="22"/>
                <w:lang w:val="pt-BR"/>
              </w:rPr>
              <w:t>eur</w:t>
            </w:r>
          </w:p>
          <w:p w:rsidR="00CF5DA2" w:rsidRPr="007E2FFC" w:rsidRDefault="00C66F40" w:rsidP="00CF5DA2">
            <w:pPr>
              <w:rPr>
                <w:sz w:val="22"/>
                <w:szCs w:val="22"/>
                <w:lang w:val="pt-BR"/>
              </w:rPr>
            </w:pPr>
            <w:r w:rsidRPr="007E2FFC">
              <w:rPr>
                <w:sz w:val="22"/>
                <w:szCs w:val="22"/>
                <w:lang w:val="pt-BR"/>
              </w:rPr>
              <w:t xml:space="preserve">Prínosy: opatrenia do úspor energie navrhnuté v energetickom audite </w:t>
            </w:r>
            <w:r w:rsidR="00DE7B26" w:rsidRPr="007E2FFC">
              <w:rPr>
                <w:sz w:val="22"/>
                <w:szCs w:val="22"/>
                <w:lang w:val="pt-BR"/>
              </w:rPr>
              <w:t>–</w:t>
            </w:r>
            <w:r w:rsidRPr="007E2FFC">
              <w:rPr>
                <w:sz w:val="22"/>
                <w:szCs w:val="22"/>
                <w:lang w:val="pt-BR"/>
              </w:rPr>
              <w:t xml:space="preserve"> </w:t>
            </w:r>
            <w:r w:rsidR="00DE7B26" w:rsidRPr="007E2FFC">
              <w:rPr>
                <w:sz w:val="22"/>
                <w:szCs w:val="22"/>
                <w:lang w:val="pt-BR"/>
              </w:rPr>
              <w:t>úspora spotreby energie 1-10% ročne</w:t>
            </w:r>
            <w:r w:rsidR="00CF5DA2" w:rsidRPr="007E2FFC">
              <w:rPr>
                <w:sz w:val="22"/>
                <w:szCs w:val="22"/>
                <w:lang w:val="pt-BR"/>
              </w:rPr>
              <w:t>.</w:t>
            </w:r>
          </w:p>
          <w:p w:rsidR="00CF5DA2" w:rsidRPr="007E2FFC" w:rsidRDefault="00CF5DA2" w:rsidP="00CF5DA2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>2. Pre zjednodušenie táto požiadavka sa môže urobiť ako súčasť energetického auditu.</w:t>
            </w:r>
          </w:p>
          <w:p w:rsidR="00AD75B6" w:rsidRPr="007E2FFC" w:rsidRDefault="00AD75B6" w:rsidP="00AD75B6">
            <w:pPr>
              <w:pStyle w:val="Hlavika"/>
              <w:tabs>
                <w:tab w:val="left" w:pos="708"/>
              </w:tabs>
              <w:jc w:val="both"/>
              <w:rPr>
                <w:sz w:val="22"/>
                <w:szCs w:val="22"/>
                <w:lang w:val="pt-BR"/>
              </w:rPr>
            </w:pPr>
            <w:r w:rsidRPr="007E2FFC">
              <w:rPr>
                <w:sz w:val="22"/>
                <w:szCs w:val="22"/>
                <w:lang w:val="pt-BR"/>
              </w:rPr>
              <w:t>3. Dodávatelia umožnia prístup odberateľa a spotrebiteľa k vyúčtovaniu a k priebežnej informácii zdarma. Rozúčtovanie nákladov  v budovách je možné urobiť za primeranú úhradu.</w:t>
            </w:r>
            <w:r w:rsidR="007E2FFC" w:rsidRPr="007E2FFC">
              <w:rPr>
                <w:sz w:val="22"/>
                <w:szCs w:val="22"/>
                <w:lang w:val="pt-BR"/>
              </w:rPr>
              <w:t xml:space="preserve"> Možnosť výberu písomnej (2x ročne) alebo elektronickej formy (4x ročne).</w:t>
            </w:r>
          </w:p>
          <w:p w:rsidR="00AD75B6" w:rsidRPr="007E2FFC" w:rsidRDefault="00AD75B6" w:rsidP="00AD75B6">
            <w:pPr>
              <w:pStyle w:val="Hlavi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2FFC">
              <w:rPr>
                <w:sz w:val="22"/>
                <w:szCs w:val="22"/>
              </w:rPr>
              <w:t>Povinnosť podrobného informovania dodávateľov elektriny, plynu a tepla, ktorí musia poskytovať informácie o spotrebe energie minimálne raz za pol roka</w:t>
            </w:r>
            <w:r w:rsidR="007E2FFC" w:rsidRPr="007E2FFC">
              <w:rPr>
                <w:sz w:val="22"/>
                <w:szCs w:val="22"/>
              </w:rPr>
              <w:t xml:space="preserve">, </w:t>
            </w:r>
            <w:r w:rsidRPr="007E2FFC">
              <w:rPr>
                <w:sz w:val="22"/>
                <w:szCs w:val="22"/>
              </w:rPr>
              <w:t>t.j. minimálne 2x častejšie. Zvyšuje sa objem požadovaných informácii v súlade s požiadavkou v čl.10(3) a súvisiacej prílohy č. VII smernice. Minimálny obsah priebežnej správy a vyúčtovania – skutočná cena energie, skutočná spotreba energie, porovnanie so spotrebou z predchádzajúceho roka, kontaktné informácie organizácii poskytujúcich podrobné informácie, porovnanie s referenčným spotrebiteľom, poučenie, poskytnutie informácie poskytovateľovi energetickej služby na požiadanie, informácie o histórii spotreby, jasný a zrozumiteľný informácie o spôsobe vyúčtovania a najmä rozúčtovania.</w:t>
            </w:r>
          </w:p>
          <w:p w:rsidR="00AD75B6" w:rsidRPr="007E2FFC" w:rsidRDefault="00AD75B6" w:rsidP="00AD75B6">
            <w:pPr>
              <w:rPr>
                <w:sz w:val="22"/>
                <w:szCs w:val="22"/>
                <w:lang w:val="pt-BR"/>
              </w:rPr>
            </w:pPr>
            <w:r w:rsidRPr="007E2FFC">
              <w:rPr>
                <w:sz w:val="22"/>
                <w:szCs w:val="22"/>
              </w:rPr>
              <w:t xml:space="preserve">Požiadavka podľa čl.10 (2) - </w:t>
            </w:r>
            <w:proofErr w:type="spellStart"/>
            <w:r w:rsidRPr="007E2FFC">
              <w:rPr>
                <w:sz w:val="22"/>
                <w:szCs w:val="22"/>
              </w:rPr>
              <w:t>Ak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sú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nainštalované</w:t>
            </w:r>
            <w:proofErr w:type="spellEnd"/>
            <w:r w:rsidRPr="007E2FFC">
              <w:rPr>
                <w:sz w:val="22"/>
                <w:szCs w:val="22"/>
              </w:rPr>
              <w:t xml:space="preserve"> IMS, </w:t>
            </w:r>
            <w:proofErr w:type="spellStart"/>
            <w:r w:rsidRPr="007E2FFC">
              <w:rPr>
                <w:sz w:val="22"/>
                <w:szCs w:val="22"/>
              </w:rPr>
              <w:t>súhrnné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informácie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majú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byť</w:t>
            </w:r>
            <w:proofErr w:type="spellEnd"/>
            <w:r w:rsidRPr="007E2FFC">
              <w:rPr>
                <w:sz w:val="22"/>
                <w:szCs w:val="22"/>
              </w:rPr>
              <w:t xml:space="preserve"> k </w:t>
            </w:r>
            <w:proofErr w:type="spellStart"/>
            <w:r w:rsidRPr="007E2FFC">
              <w:rPr>
                <w:sz w:val="22"/>
                <w:szCs w:val="22"/>
              </w:rPr>
              <w:t>prístupné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za</w:t>
            </w:r>
            <w:proofErr w:type="spellEnd"/>
            <w:r w:rsidRPr="007E2FFC">
              <w:rPr>
                <w:sz w:val="22"/>
                <w:szCs w:val="22"/>
              </w:rPr>
              <w:t xml:space="preserve"> 3 </w:t>
            </w:r>
            <w:proofErr w:type="spellStart"/>
            <w:r w:rsidRPr="007E2FFC">
              <w:rPr>
                <w:sz w:val="22"/>
                <w:szCs w:val="22"/>
              </w:rPr>
              <w:lastRenderedPageBreak/>
              <w:t>predchádzajúce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roky</w:t>
            </w:r>
            <w:proofErr w:type="spellEnd"/>
            <w:r w:rsidRPr="007E2FFC">
              <w:rPr>
                <w:sz w:val="22"/>
                <w:szCs w:val="22"/>
              </w:rPr>
              <w:t xml:space="preserve"> a </w:t>
            </w:r>
            <w:proofErr w:type="spellStart"/>
            <w:r w:rsidRPr="007E2FFC">
              <w:rPr>
                <w:sz w:val="22"/>
                <w:szCs w:val="22"/>
              </w:rPr>
              <w:t>podrobné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informácie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majú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byť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prístupné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cez</w:t>
            </w:r>
            <w:proofErr w:type="spellEnd"/>
            <w:r w:rsidRPr="007E2FFC">
              <w:rPr>
                <w:sz w:val="22"/>
                <w:szCs w:val="22"/>
              </w:rPr>
              <w:t xml:space="preserve"> internet, </w:t>
            </w:r>
            <w:proofErr w:type="spellStart"/>
            <w:r w:rsidRPr="007E2FFC">
              <w:rPr>
                <w:sz w:val="22"/>
                <w:szCs w:val="22"/>
              </w:rPr>
              <w:t>alebo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rozhranie</w:t>
            </w:r>
            <w:proofErr w:type="spellEnd"/>
            <w:r w:rsidRPr="007E2FFC">
              <w:rPr>
                <w:sz w:val="22"/>
                <w:szCs w:val="22"/>
              </w:rPr>
              <w:t xml:space="preserve"> IMS </w:t>
            </w:r>
            <w:proofErr w:type="spellStart"/>
            <w:r w:rsidRPr="007E2FFC">
              <w:rPr>
                <w:sz w:val="22"/>
                <w:szCs w:val="22"/>
              </w:rPr>
              <w:t>minimálne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raz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za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deň</w:t>
            </w:r>
            <w:proofErr w:type="spellEnd"/>
            <w:r w:rsidRPr="007E2FFC">
              <w:rPr>
                <w:sz w:val="22"/>
                <w:szCs w:val="22"/>
              </w:rPr>
              <w:t>.</w:t>
            </w:r>
          </w:p>
        </w:tc>
      </w:tr>
      <w:tr w:rsidR="006B3D18" w:rsidRPr="007E2FFC" w:rsidTr="006B3D18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  <w:r w:rsidRPr="007E2FFC">
              <w:rPr>
                <w:b/>
                <w:sz w:val="22"/>
                <w:szCs w:val="22"/>
                <w:lang w:val="sk-SK"/>
              </w:rPr>
              <w:t>3.3</w:t>
            </w:r>
            <w:r w:rsidRPr="007E2FFC">
              <w:rPr>
                <w:sz w:val="22"/>
                <w:szCs w:val="22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6B3D18" w:rsidRPr="007E2FFC" w:rsidRDefault="006B3D18">
            <w:pPr>
              <w:ind w:left="360" w:hanging="360"/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71F9" w:rsidRPr="007E2FFC" w:rsidRDefault="0032004C" w:rsidP="007E2FFC">
            <w:pPr>
              <w:pStyle w:val="Hlavi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2FFC">
              <w:rPr>
                <w:sz w:val="22"/>
                <w:szCs w:val="22"/>
              </w:rPr>
              <w:t xml:space="preserve">Zvyšuje sa požiadavka na poskytované množstvo informácii koncovým odberateľom energie a konečným spotrebiteľom energie od svojich dodávateľov energie, čím sa presúva rozhodovacia právomoc pri nakladaní so spotrebúvanou energiou viac na stranu spotrebiteľa energie. </w:t>
            </w:r>
            <w:r w:rsidR="007E2FFC" w:rsidRPr="007E2FFC">
              <w:rPr>
                <w:sz w:val="22"/>
                <w:szCs w:val="22"/>
              </w:rPr>
              <w:t xml:space="preserve">Minimálne zdvojnásobenie počtu odpočítaní, čo vytvorí tlak na zavedenie minimálne formy diaľkového odpočtu energie. </w:t>
            </w:r>
          </w:p>
        </w:tc>
      </w:tr>
      <w:tr w:rsidR="006B3D18" w:rsidRPr="007E2FFC" w:rsidTr="006B3D18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  <w:r w:rsidRPr="007E2FFC">
              <w:rPr>
                <w:b/>
                <w:sz w:val="22"/>
                <w:szCs w:val="22"/>
                <w:lang w:val="sk-SK"/>
              </w:rPr>
              <w:t>3.4</w:t>
            </w:r>
            <w:r w:rsidRPr="007E2FFC">
              <w:rPr>
                <w:sz w:val="22"/>
                <w:szCs w:val="22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6B3D18" w:rsidRPr="007E2FFC" w:rsidRDefault="006B3D18">
            <w:pPr>
              <w:ind w:left="360"/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2004C" w:rsidRPr="007E2FFC" w:rsidRDefault="0032004C" w:rsidP="0032004C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E2FFC">
              <w:rPr>
                <w:sz w:val="22"/>
                <w:szCs w:val="22"/>
              </w:rPr>
              <w:t>Opatrenia</w:t>
            </w:r>
            <w:proofErr w:type="spellEnd"/>
            <w:r w:rsidRPr="007E2FFC">
              <w:rPr>
                <w:sz w:val="22"/>
                <w:szCs w:val="22"/>
              </w:rPr>
              <w:t xml:space="preserve">, </w:t>
            </w:r>
            <w:proofErr w:type="spellStart"/>
            <w:r w:rsidRPr="007E2FFC">
              <w:rPr>
                <w:sz w:val="22"/>
                <w:szCs w:val="22"/>
              </w:rPr>
              <w:t>navrhované</w:t>
            </w:r>
            <w:proofErr w:type="spellEnd"/>
            <w:r w:rsidRPr="007E2FFC">
              <w:rPr>
                <w:sz w:val="22"/>
                <w:szCs w:val="22"/>
              </w:rPr>
              <w:t xml:space="preserve"> v </w:t>
            </w:r>
            <w:proofErr w:type="spellStart"/>
            <w:r w:rsidRPr="007E2FFC">
              <w:rPr>
                <w:sz w:val="22"/>
                <w:szCs w:val="22"/>
              </w:rPr>
              <w:t>zákone</w:t>
            </w:r>
            <w:proofErr w:type="spellEnd"/>
            <w:r w:rsidRPr="007E2FFC">
              <w:rPr>
                <w:sz w:val="22"/>
                <w:szCs w:val="22"/>
              </w:rPr>
              <w:t xml:space="preserve"> </w:t>
            </w:r>
            <w:proofErr w:type="spellStart"/>
            <w:r w:rsidRPr="007E2FFC">
              <w:rPr>
                <w:sz w:val="22"/>
                <w:szCs w:val="22"/>
              </w:rPr>
              <w:t>napomôžu</w:t>
            </w:r>
            <w:proofErr w:type="spellEnd"/>
            <w:r w:rsidRPr="007E2FFC">
              <w:rPr>
                <w:sz w:val="22"/>
                <w:szCs w:val="22"/>
              </w:rPr>
              <w:t xml:space="preserve"> rozvoju podnikateľských aktivít v oblasti inštalácií energeticky účinnejších technológií, v oblasti poskytovania energetických služieb a rozvoja inovácií s rešpektovaním podmienok trvalo udržateľného rozvoja, čím umožnia výrazné zníženie spotreby energie u podnikateľov. </w:t>
            </w:r>
          </w:p>
          <w:p w:rsidR="006B3D18" w:rsidRPr="007E2FFC" w:rsidRDefault="005B254E" w:rsidP="005B254E">
            <w:pPr>
              <w:pStyle w:val="Hlavi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2FFC">
              <w:rPr>
                <w:sz w:val="22"/>
                <w:szCs w:val="22"/>
              </w:rPr>
              <w:t>Vytvorenie nových kvalifikovaných podnikateľov v oblasti poskytovania energetickej služby umožní rozvinúť trh s energetickými službami.</w:t>
            </w:r>
          </w:p>
        </w:tc>
      </w:tr>
      <w:tr w:rsidR="006B3D18" w:rsidRPr="007E2FFC" w:rsidTr="006B3D18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  <w:r w:rsidRPr="007E2FFC">
              <w:rPr>
                <w:b/>
                <w:sz w:val="22"/>
                <w:szCs w:val="22"/>
                <w:lang w:val="sk-SK"/>
              </w:rPr>
              <w:t>3.5</w:t>
            </w:r>
            <w:r w:rsidRPr="007E2FFC">
              <w:rPr>
                <w:sz w:val="22"/>
                <w:szCs w:val="22"/>
                <w:lang w:val="sk-SK"/>
              </w:rPr>
              <w:t xml:space="preserve">. Aké sú predpokladané </w:t>
            </w:r>
            <w:proofErr w:type="spellStart"/>
            <w:r w:rsidRPr="007E2FFC">
              <w:rPr>
                <w:sz w:val="22"/>
                <w:szCs w:val="22"/>
                <w:lang w:val="sk-SK"/>
              </w:rPr>
              <w:t>spoločensko</w:t>
            </w:r>
            <w:proofErr w:type="spellEnd"/>
            <w:r w:rsidRPr="007E2FFC">
              <w:rPr>
                <w:sz w:val="22"/>
                <w:szCs w:val="22"/>
                <w:lang w:val="sk-SK"/>
              </w:rPr>
              <w:t xml:space="preserve"> – ekonomické dôsledky pripravovaných regulácií?</w:t>
            </w:r>
          </w:p>
          <w:p w:rsidR="006B3D18" w:rsidRPr="007E2FFC" w:rsidRDefault="006B3D18">
            <w:pPr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3D18" w:rsidRPr="007E2FFC" w:rsidRDefault="006B3D18" w:rsidP="0032004C">
            <w:pPr>
              <w:rPr>
                <w:sz w:val="22"/>
                <w:szCs w:val="22"/>
                <w:lang w:val="sk-SK"/>
              </w:rPr>
            </w:pPr>
            <w:r w:rsidRPr="007E2FFC">
              <w:rPr>
                <w:sz w:val="22"/>
                <w:szCs w:val="22"/>
                <w:lang w:val="sk-SK"/>
              </w:rPr>
              <w:t> </w:t>
            </w:r>
            <w:r w:rsidR="0032004C" w:rsidRPr="007E2FFC">
              <w:rPr>
                <w:sz w:val="22"/>
                <w:szCs w:val="22"/>
                <w:lang w:val="sk-SK"/>
              </w:rPr>
              <w:t xml:space="preserve">Zvýšenie povedomia o možnostiach úspor energie a opatreniach energetickej efektívnosti </w:t>
            </w:r>
          </w:p>
        </w:tc>
      </w:tr>
    </w:tbl>
    <w:p w:rsidR="006B3D18" w:rsidRDefault="006B3D18" w:rsidP="006B3D18">
      <w:pPr>
        <w:pStyle w:val="Zkladntext"/>
        <w:tabs>
          <w:tab w:val="num" w:pos="1080"/>
        </w:tabs>
        <w:jc w:val="both"/>
        <w:rPr>
          <w:b w:val="0"/>
          <w:bCs/>
        </w:rPr>
      </w:pPr>
    </w:p>
    <w:p w:rsidR="006B3D18" w:rsidRDefault="006B3D18"/>
    <w:p w:rsidR="006B3D18" w:rsidRDefault="0032004C" w:rsidP="006B3D18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V</w:t>
      </w:r>
      <w:r w:rsidR="006B3D18">
        <w:rPr>
          <w:b/>
          <w:sz w:val="28"/>
          <w:szCs w:val="28"/>
          <w:lang w:val="sk-SK"/>
        </w:rPr>
        <w:t>plyvy na životné prostredie</w:t>
      </w:r>
    </w:p>
    <w:p w:rsidR="006B3D18" w:rsidRDefault="006B3D18" w:rsidP="006B3D18">
      <w:pPr>
        <w:jc w:val="both"/>
        <w:rPr>
          <w:b/>
          <w:lang w:val="sk-SK"/>
        </w:rPr>
      </w:pPr>
    </w:p>
    <w:tbl>
      <w:tblPr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500"/>
      </w:tblGrid>
      <w:tr w:rsidR="006B3D18" w:rsidTr="006B3D18"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vAlign w:val="center"/>
            <w:hideMark/>
          </w:tcPr>
          <w:p w:rsidR="006B3D18" w:rsidRDefault="006B3D18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Životné prostredie</w:t>
            </w:r>
          </w:p>
        </w:tc>
      </w:tr>
      <w:tr w:rsidR="006B3D18" w:rsidTr="006B3D18"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b/>
                <w:lang w:val="sk-SK"/>
              </w:rPr>
            </w:pPr>
          </w:p>
          <w:p w:rsidR="006B3D18" w:rsidRDefault="006B3D18">
            <w:pPr>
              <w:rPr>
                <w:lang w:val="sk-SK"/>
              </w:rPr>
            </w:pPr>
            <w:r>
              <w:rPr>
                <w:b/>
                <w:lang w:val="sk-SK"/>
              </w:rPr>
              <w:t>5.1.</w:t>
            </w:r>
            <w:r>
              <w:rPr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  <w:p w:rsidR="00C66F40" w:rsidRDefault="00C66F40" w:rsidP="00C66F40">
            <w:pPr>
              <w:rPr>
                <w:lang w:val="sk-SK"/>
              </w:rPr>
            </w:pPr>
            <w:r>
              <w:rPr>
                <w:lang w:val="sk-SK"/>
              </w:rPr>
              <w:t xml:space="preserve">Ovzdušie bude ovplyvnené pozitívne z dôvodu zníženia množstva emisií, najmä oxidu uhličitého. </w:t>
            </w:r>
          </w:p>
          <w:p w:rsidR="00925B2A" w:rsidRDefault="00925B2A" w:rsidP="00925B2A">
            <w:pPr>
              <w:rPr>
                <w:lang w:val="sk-SK"/>
              </w:rPr>
            </w:pPr>
            <w:r>
              <w:rPr>
                <w:lang w:val="sk-SK"/>
              </w:rPr>
              <w:t>Úsporami el</w:t>
            </w:r>
            <w:r w:rsidRPr="00925B2A">
              <w:rPr>
                <w:lang w:val="sk-SK"/>
              </w:rPr>
              <w:t xml:space="preserve">ektriny </w:t>
            </w:r>
            <w:r>
              <w:rPr>
                <w:lang w:val="sk-SK"/>
              </w:rPr>
              <w:t xml:space="preserve">a tepla </w:t>
            </w:r>
            <w:r w:rsidRPr="00925B2A">
              <w:rPr>
                <w:lang w:val="sk-SK"/>
              </w:rPr>
              <w:t>sa zníži zaťaženie ovzdušia emisiami z teplární a elektrární.</w:t>
            </w:r>
          </w:p>
        </w:tc>
      </w:tr>
      <w:tr w:rsidR="006B3D18" w:rsidTr="006B3D18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b/>
                <w:lang w:val="sk-SK"/>
              </w:rPr>
            </w:pPr>
          </w:p>
          <w:p w:rsidR="006B3D18" w:rsidRDefault="006B3D18">
            <w:pPr>
              <w:rPr>
                <w:lang w:val="sk-SK"/>
              </w:rPr>
            </w:pPr>
            <w:r>
              <w:rPr>
                <w:b/>
                <w:lang w:val="sk-SK"/>
              </w:rPr>
              <w:t xml:space="preserve">5.2. </w:t>
            </w:r>
            <w:r>
              <w:rPr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3D18" w:rsidRDefault="00C66F40">
            <w:pPr>
              <w:rPr>
                <w:lang w:val="sk-SK"/>
              </w:rPr>
            </w:pPr>
            <w:r>
              <w:rPr>
                <w:lang w:val="sk-SK"/>
              </w:rPr>
              <w:t>Nie</w:t>
            </w:r>
          </w:p>
        </w:tc>
      </w:tr>
      <w:tr w:rsidR="006B3D18" w:rsidTr="006B3D18"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B3D18" w:rsidRDefault="006B3D18">
            <w:pPr>
              <w:rPr>
                <w:b/>
                <w:lang w:val="sk-SK"/>
              </w:rPr>
            </w:pPr>
          </w:p>
          <w:p w:rsidR="006B3D18" w:rsidRDefault="006B3D18">
            <w:pPr>
              <w:rPr>
                <w:lang w:val="sk-SK"/>
              </w:rPr>
            </w:pPr>
            <w:r>
              <w:rPr>
                <w:b/>
                <w:lang w:val="sk-SK"/>
              </w:rPr>
              <w:t>5.3.</w:t>
            </w:r>
            <w:r>
              <w:rPr>
                <w:lang w:val="sk-SK"/>
              </w:rPr>
              <w:t xml:space="preserve"> Bude mať návrh vplyv na životné prostredie presahujúce štátne hranice?</w:t>
            </w:r>
          </w:p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6B3D18" w:rsidRDefault="006B3D18">
            <w:pPr>
              <w:rPr>
                <w:lang w:val="sk-SK"/>
              </w:rPr>
            </w:pPr>
            <w:r>
              <w:rPr>
                <w:lang w:val="sk-SK"/>
              </w:rPr>
              <w:t> </w:t>
            </w:r>
            <w:r w:rsidR="00C66F40">
              <w:rPr>
                <w:lang w:val="sk-SK"/>
              </w:rPr>
              <w:t>Nie</w:t>
            </w:r>
          </w:p>
        </w:tc>
      </w:tr>
      <w:tr w:rsidR="006B3D18" w:rsidTr="006B3D18"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B3D18" w:rsidRDefault="006B3D18">
            <w:pPr>
              <w:rPr>
                <w:lang w:val="sk-SK"/>
              </w:rPr>
            </w:pPr>
          </w:p>
        </w:tc>
      </w:tr>
    </w:tbl>
    <w:p w:rsidR="00AD75B6" w:rsidRDefault="00AD75B6" w:rsidP="006B3D18">
      <w:pPr>
        <w:pStyle w:val="Zkladntext"/>
        <w:jc w:val="center"/>
        <w:rPr>
          <w:bCs/>
          <w:sz w:val="28"/>
          <w:szCs w:val="28"/>
        </w:rPr>
      </w:pPr>
    </w:p>
    <w:p w:rsidR="001845E4" w:rsidRDefault="001845E4" w:rsidP="006B3D18">
      <w:pPr>
        <w:pStyle w:val="Zkladntext"/>
        <w:jc w:val="center"/>
        <w:rPr>
          <w:bCs/>
          <w:sz w:val="28"/>
          <w:szCs w:val="28"/>
        </w:rPr>
      </w:pPr>
    </w:p>
    <w:p w:rsidR="006B3D18" w:rsidRDefault="006B3D18" w:rsidP="006B3D18">
      <w:pPr>
        <w:pStyle w:val="Zkladntex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Vplyvy na informatizáciu spoločnosti</w:t>
      </w:r>
    </w:p>
    <w:p w:rsidR="006B3D18" w:rsidRDefault="006B3D18" w:rsidP="006B3D18">
      <w:pPr>
        <w:pStyle w:val="Zkladntext"/>
        <w:jc w:val="both"/>
        <w:rPr>
          <w:bCs/>
          <w:sz w:val="28"/>
          <w:szCs w:val="28"/>
        </w:rPr>
      </w:pP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3780"/>
      </w:tblGrid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both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rPr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3D18" w:rsidRDefault="006B3D18">
            <w:pPr>
              <w:jc w:val="both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6.1.</w:t>
            </w:r>
            <w:r>
              <w:rPr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32004C" w:rsidRDefault="0032004C" w:rsidP="0032004C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  <w:lang w:val="sk-SK" w:eastAsia="en-US"/>
              </w:rPr>
            </w:pPr>
            <w:r w:rsidRPr="0032004C">
              <w:rPr>
                <w:color w:val="000000"/>
                <w:sz w:val="22"/>
                <w:szCs w:val="22"/>
                <w:lang w:val="sk-SK" w:eastAsia="en-US"/>
              </w:rPr>
              <w:t xml:space="preserve">Realizácia opatrení energetickej efektívnosti podporí rozvoj zavádzania meradiel a informačných systémov umožňujúcich podstatné zvýšenie informovanosti konečného spotrebiteľa o úsporách energie, čo povedie k podpore zavádzania </w:t>
            </w:r>
            <w:r w:rsidR="007E2FFC">
              <w:rPr>
                <w:color w:val="000000"/>
                <w:sz w:val="22"/>
                <w:szCs w:val="22"/>
                <w:lang w:val="sk-SK" w:eastAsia="en-US"/>
              </w:rPr>
              <w:t xml:space="preserve">diaľkového odpočtu energie a </w:t>
            </w:r>
            <w:r w:rsidRPr="0032004C">
              <w:rPr>
                <w:color w:val="000000"/>
                <w:sz w:val="22"/>
                <w:szCs w:val="22"/>
                <w:lang w:val="sk-SK" w:eastAsia="en-US"/>
              </w:rPr>
              <w:t xml:space="preserve">inteligentných meracích systémov a spracovateľských programov nie len v dodávke elektriny, ale aj v dodávke plynu, tepla, chladu a teplej vody.   </w:t>
            </w:r>
          </w:p>
          <w:p w:rsidR="0032004C" w:rsidRPr="0032004C" w:rsidRDefault="0032004C" w:rsidP="0032004C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  <w:lang w:val="sk-SK" w:eastAsia="en-US"/>
              </w:rPr>
            </w:pPr>
          </w:p>
          <w:p w:rsidR="0032004C" w:rsidRDefault="00763963" w:rsidP="00763963">
            <w:pPr>
              <w:widowControl w:val="0"/>
              <w:adjustRightInd w:val="0"/>
              <w:jc w:val="both"/>
              <w:rPr>
                <w:iCs/>
                <w:sz w:val="22"/>
                <w:szCs w:val="22"/>
                <w:lang w:val="sk-SK"/>
              </w:rPr>
            </w:pPr>
            <w:r>
              <w:rPr>
                <w:iCs/>
                <w:sz w:val="22"/>
                <w:szCs w:val="22"/>
                <w:lang w:val="sk-SK"/>
              </w:rPr>
              <w:t xml:space="preserve">Umožňuje sa </w:t>
            </w:r>
            <w:r w:rsidRPr="0032004C">
              <w:rPr>
                <w:iCs/>
                <w:sz w:val="22"/>
                <w:szCs w:val="22"/>
                <w:lang w:val="sk-SK"/>
              </w:rPr>
              <w:t>zavedeni</w:t>
            </w:r>
            <w:r>
              <w:rPr>
                <w:iCs/>
                <w:sz w:val="22"/>
                <w:szCs w:val="22"/>
                <w:lang w:val="sk-SK"/>
              </w:rPr>
              <w:t>e</w:t>
            </w:r>
            <w:r w:rsidRPr="0032004C">
              <w:rPr>
                <w:iCs/>
                <w:sz w:val="22"/>
                <w:szCs w:val="22"/>
                <w:lang w:val="sk-SK"/>
              </w:rPr>
              <w:t xml:space="preserve"> elektronického vyúčtovania, informácii </w:t>
            </w:r>
            <w:r>
              <w:rPr>
                <w:iCs/>
                <w:sz w:val="22"/>
                <w:szCs w:val="22"/>
                <w:lang w:val="sk-SK"/>
              </w:rPr>
              <w:t xml:space="preserve">so spotrebe </w:t>
            </w:r>
            <w:r w:rsidRPr="0032004C">
              <w:rPr>
                <w:iCs/>
                <w:sz w:val="22"/>
                <w:szCs w:val="22"/>
                <w:lang w:val="sk-SK"/>
              </w:rPr>
              <w:t>a</w:t>
            </w:r>
            <w:r>
              <w:rPr>
                <w:iCs/>
                <w:sz w:val="22"/>
                <w:szCs w:val="22"/>
                <w:lang w:val="sk-SK"/>
              </w:rPr>
              <w:t xml:space="preserve"> vyúčtovacích </w:t>
            </w:r>
            <w:r w:rsidRPr="0032004C">
              <w:rPr>
                <w:iCs/>
                <w:sz w:val="22"/>
                <w:szCs w:val="22"/>
                <w:lang w:val="sk-SK"/>
              </w:rPr>
              <w:t>faktúr pre koncového odberateľa v elektrine, plyne a teple.</w:t>
            </w:r>
          </w:p>
          <w:p w:rsidR="00763963" w:rsidRDefault="00763963" w:rsidP="00763963">
            <w:pPr>
              <w:widowControl w:val="0"/>
              <w:adjustRightInd w:val="0"/>
              <w:jc w:val="both"/>
              <w:rPr>
                <w:iCs/>
                <w:sz w:val="22"/>
                <w:szCs w:val="22"/>
                <w:lang w:val="sk-SK"/>
              </w:rPr>
            </w:pPr>
          </w:p>
          <w:p w:rsidR="00763963" w:rsidRPr="0032004C" w:rsidRDefault="00763963" w:rsidP="00763963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  <w:lang w:val="sk-SK" w:eastAsia="en-US"/>
              </w:rPr>
            </w:pPr>
            <w:r>
              <w:rPr>
                <w:iCs/>
                <w:sz w:val="22"/>
                <w:szCs w:val="22"/>
                <w:lang w:val="sk-SK"/>
              </w:rPr>
              <w:t xml:space="preserve">Rozširuje sa monitorovací systém energetickej efektívnosti </w:t>
            </w: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6.2.</w:t>
            </w:r>
            <w:r>
              <w:rPr>
                <w:sz w:val="22"/>
                <w:szCs w:val="22"/>
                <w:lang w:val="sk-SK"/>
              </w:rPr>
              <w:t xml:space="preserve"> Vytvárajú sa podmienky pre sémantickú </w:t>
            </w:r>
            <w:proofErr w:type="spellStart"/>
            <w:r>
              <w:rPr>
                <w:sz w:val="22"/>
                <w:szCs w:val="22"/>
                <w:lang w:val="sk-SK"/>
              </w:rPr>
              <w:t>interoperabilitu</w:t>
            </w:r>
            <w:proofErr w:type="spellEnd"/>
            <w:r>
              <w:rPr>
                <w:sz w:val="22"/>
                <w:szCs w:val="22"/>
                <w:lang w:val="sk-SK"/>
              </w:rPr>
              <w:t>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jc w:val="center"/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3D18" w:rsidRDefault="006B3D18">
            <w:pPr>
              <w:jc w:val="both"/>
              <w:rPr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3D18" w:rsidRDefault="006B3D18">
            <w:pPr>
              <w:rPr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6.3.</w:t>
            </w:r>
            <w:r>
              <w:rPr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6.4.</w:t>
            </w:r>
            <w:r>
              <w:rPr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6B3D18" w:rsidRDefault="006B3D18">
            <w:pPr>
              <w:jc w:val="both"/>
              <w:rPr>
                <w:color w:val="FFFFFF"/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6.5.</w:t>
            </w:r>
            <w:r>
              <w:rPr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6B3D18" w:rsidRDefault="006B3D18">
            <w:pPr>
              <w:jc w:val="both"/>
              <w:rPr>
                <w:color w:val="FFFFFF"/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7E2FFC">
            <w:pPr>
              <w:rPr>
                <w:iCs/>
                <w:sz w:val="22"/>
                <w:szCs w:val="22"/>
                <w:lang w:val="sk-SK"/>
              </w:rPr>
            </w:pPr>
            <w:r w:rsidRPr="007E2FFC">
              <w:rPr>
                <w:iCs/>
                <w:sz w:val="22"/>
                <w:szCs w:val="22"/>
                <w:lang w:val="sk-SK"/>
              </w:rPr>
              <w:t>Povinné informácie o</w:t>
            </w:r>
            <w:r>
              <w:rPr>
                <w:iCs/>
                <w:sz w:val="22"/>
                <w:szCs w:val="22"/>
                <w:lang w:val="sk-SK"/>
              </w:rPr>
              <w:t xml:space="preserve"> všetkých výhodách a spôsoboch použitia </w:t>
            </w:r>
            <w:r w:rsidRPr="007E2FFC">
              <w:rPr>
                <w:iCs/>
                <w:sz w:val="22"/>
                <w:szCs w:val="22"/>
                <w:lang w:val="sk-SK"/>
              </w:rPr>
              <w:t xml:space="preserve">inteligentných meracích systémoch </w:t>
            </w:r>
            <w:r>
              <w:rPr>
                <w:iCs/>
                <w:sz w:val="22"/>
                <w:szCs w:val="22"/>
                <w:lang w:val="sk-SK"/>
              </w:rPr>
              <w:t xml:space="preserve">a meradlách s diaľkovým odpočtom </w:t>
            </w:r>
            <w:r w:rsidRPr="007E2FFC">
              <w:rPr>
                <w:iCs/>
                <w:sz w:val="22"/>
                <w:szCs w:val="22"/>
                <w:lang w:val="sk-SK"/>
              </w:rPr>
              <w:t>pri ich inštalácii.</w:t>
            </w:r>
            <w:r>
              <w:rPr>
                <w:iCs/>
                <w:sz w:val="22"/>
                <w:szCs w:val="22"/>
                <w:lang w:val="sk-SK"/>
              </w:rPr>
              <w:t xml:space="preserve"> </w:t>
            </w:r>
          </w:p>
          <w:p w:rsidR="007E2FFC" w:rsidRPr="007E2FFC" w:rsidRDefault="007E2FFC" w:rsidP="007E2FFC">
            <w:pPr>
              <w:rPr>
                <w:iCs/>
                <w:sz w:val="22"/>
                <w:szCs w:val="22"/>
                <w:lang w:val="sk-SK"/>
              </w:rPr>
            </w:pPr>
            <w:r>
              <w:rPr>
                <w:iCs/>
                <w:sz w:val="22"/>
                <w:szCs w:val="22"/>
                <w:lang w:val="sk-SK"/>
              </w:rPr>
              <w:t>Možnosť zavedenia elektronického vyúčtovania, vyúčtovacej faktúry a priebežnej informácie.</w:t>
            </w: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6.6.</w:t>
            </w:r>
            <w:r>
              <w:rPr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3D18" w:rsidRDefault="006B3D18">
            <w:pPr>
              <w:jc w:val="both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3D18" w:rsidRDefault="006B3D18">
            <w:pPr>
              <w:rPr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6.7.</w:t>
            </w:r>
            <w:r>
              <w:rPr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763963">
            <w:pPr>
              <w:rPr>
                <w:iCs/>
                <w:sz w:val="22"/>
                <w:szCs w:val="22"/>
                <w:lang w:val="sk-SK"/>
              </w:rPr>
            </w:pPr>
            <w:r>
              <w:rPr>
                <w:iCs/>
                <w:sz w:val="22"/>
                <w:szCs w:val="22"/>
                <w:lang w:val="sk-SK"/>
              </w:rPr>
              <w:t>Rozširuje sa monitorovací systém energetickej efektívnosti</w:t>
            </w:r>
            <w:r w:rsidR="007E2FFC">
              <w:rPr>
                <w:iCs/>
                <w:sz w:val="22"/>
                <w:szCs w:val="22"/>
                <w:lang w:val="sk-SK"/>
              </w:rPr>
              <w:t xml:space="preserve">, do ktorého sa budú vkladať údaje o úsporách energie a spotrebe energie v celej SR. </w:t>
            </w:r>
          </w:p>
          <w:p w:rsidR="007E2FFC" w:rsidRDefault="007E2FFC" w:rsidP="007E2FFC">
            <w:pPr>
              <w:rPr>
                <w:i/>
                <w:iCs/>
                <w:sz w:val="22"/>
                <w:szCs w:val="22"/>
                <w:lang w:val="sk-SK"/>
              </w:rPr>
            </w:pPr>
            <w:r>
              <w:rPr>
                <w:iCs/>
                <w:sz w:val="22"/>
                <w:szCs w:val="22"/>
                <w:lang w:val="sk-SK"/>
              </w:rPr>
              <w:t xml:space="preserve">Nepriamo musí každý dodávateľ zaviesť alebo rozšíriť vlastný informačný systém </w:t>
            </w:r>
            <w:r>
              <w:rPr>
                <w:iCs/>
                <w:sz w:val="22"/>
                <w:szCs w:val="22"/>
                <w:lang w:val="sk-SK"/>
              </w:rPr>
              <w:lastRenderedPageBreak/>
              <w:t>pre zasielanie elektronického vyúčtovania, elektronickej vyúčtovacej faktúry a elektronickej priebežnej informácie.</w:t>
            </w: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lastRenderedPageBreak/>
              <w:t>6.8.</w:t>
            </w:r>
            <w:r>
              <w:rPr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6.9.</w:t>
            </w:r>
            <w:r>
              <w:rPr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32004C" w:rsidRDefault="0032004C" w:rsidP="007E2FFC">
            <w:pPr>
              <w:rPr>
                <w:iCs/>
                <w:sz w:val="22"/>
                <w:szCs w:val="22"/>
                <w:lang w:val="sk-SK"/>
              </w:rPr>
            </w:pPr>
            <w:r>
              <w:rPr>
                <w:iCs/>
                <w:sz w:val="22"/>
                <w:szCs w:val="22"/>
                <w:lang w:val="sk-SK"/>
              </w:rPr>
              <w:t xml:space="preserve">Umožňuje sa </w:t>
            </w:r>
            <w:r w:rsidR="00DE7B26" w:rsidRPr="0032004C">
              <w:rPr>
                <w:iCs/>
                <w:sz w:val="22"/>
                <w:szCs w:val="22"/>
                <w:lang w:val="sk-SK"/>
              </w:rPr>
              <w:t>zavedeni</w:t>
            </w:r>
            <w:r>
              <w:rPr>
                <w:iCs/>
                <w:sz w:val="22"/>
                <w:szCs w:val="22"/>
                <w:lang w:val="sk-SK"/>
              </w:rPr>
              <w:t>e</w:t>
            </w:r>
            <w:r w:rsidR="00DE7B26" w:rsidRPr="0032004C">
              <w:rPr>
                <w:iCs/>
                <w:sz w:val="22"/>
                <w:szCs w:val="22"/>
                <w:lang w:val="sk-SK"/>
              </w:rPr>
              <w:t xml:space="preserve"> elektronického vyúčtovania, </w:t>
            </w:r>
            <w:r w:rsidR="007E2FFC">
              <w:rPr>
                <w:iCs/>
                <w:sz w:val="22"/>
                <w:szCs w:val="22"/>
                <w:lang w:val="sk-SK"/>
              </w:rPr>
              <w:t xml:space="preserve">priebežných </w:t>
            </w:r>
            <w:r w:rsidR="00DE7B26" w:rsidRPr="0032004C">
              <w:rPr>
                <w:iCs/>
                <w:sz w:val="22"/>
                <w:szCs w:val="22"/>
                <w:lang w:val="sk-SK"/>
              </w:rPr>
              <w:t xml:space="preserve">informácii </w:t>
            </w:r>
            <w:r>
              <w:rPr>
                <w:iCs/>
                <w:sz w:val="22"/>
                <w:szCs w:val="22"/>
                <w:lang w:val="sk-SK"/>
              </w:rPr>
              <w:t xml:space="preserve">so spotrebe </w:t>
            </w:r>
            <w:r w:rsidR="00DE7B26" w:rsidRPr="0032004C">
              <w:rPr>
                <w:iCs/>
                <w:sz w:val="22"/>
                <w:szCs w:val="22"/>
                <w:lang w:val="sk-SK"/>
              </w:rPr>
              <w:t>a</w:t>
            </w:r>
            <w:r>
              <w:rPr>
                <w:iCs/>
                <w:sz w:val="22"/>
                <w:szCs w:val="22"/>
                <w:lang w:val="sk-SK"/>
              </w:rPr>
              <w:t xml:space="preserve"> vyúčtovacích </w:t>
            </w:r>
            <w:r w:rsidR="00DE7B26" w:rsidRPr="0032004C">
              <w:rPr>
                <w:iCs/>
                <w:sz w:val="22"/>
                <w:szCs w:val="22"/>
                <w:lang w:val="sk-SK"/>
              </w:rPr>
              <w:t xml:space="preserve">faktúr pre koncového odberateľa v elektrine, plyne a teple. </w:t>
            </w: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6.10.</w:t>
            </w:r>
            <w:r>
              <w:rPr>
                <w:sz w:val="22"/>
                <w:szCs w:val="22"/>
                <w:lang w:val="sk-SK"/>
              </w:rPr>
              <w:t xml:space="preserve"> Zabezpečuje sa technická </w:t>
            </w:r>
            <w:proofErr w:type="spellStart"/>
            <w:r>
              <w:rPr>
                <w:sz w:val="22"/>
                <w:szCs w:val="22"/>
                <w:lang w:val="sk-SK"/>
              </w:rPr>
              <w:t>interoperabilita</w:t>
            </w:r>
            <w:proofErr w:type="spellEnd"/>
            <w:r>
              <w:rPr>
                <w:sz w:val="22"/>
                <w:szCs w:val="22"/>
                <w:lang w:val="sk-SK"/>
              </w:rPr>
              <w:t>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6.11.</w:t>
            </w:r>
            <w:r>
              <w:rPr>
                <w:sz w:val="22"/>
                <w:szCs w:val="22"/>
                <w:lang w:val="sk-SK"/>
              </w:rPr>
              <w:t xml:space="preserve"> Zvyšuje sa bezpečnosť IT?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</w:t>
            </w:r>
            <w:r>
              <w:rPr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763963" w:rsidRDefault="00763963" w:rsidP="00763963">
            <w:pPr>
              <w:rPr>
                <w:iCs/>
                <w:sz w:val="22"/>
                <w:szCs w:val="22"/>
                <w:lang w:val="sk-SK"/>
              </w:rPr>
            </w:pPr>
            <w:r w:rsidRPr="00763963">
              <w:rPr>
                <w:iCs/>
                <w:sz w:val="22"/>
                <w:szCs w:val="22"/>
                <w:lang w:val="sk-SK"/>
              </w:rPr>
              <w:t>P</w:t>
            </w:r>
            <w:r w:rsidR="00DE7B26" w:rsidRPr="00763963">
              <w:rPr>
                <w:iCs/>
                <w:sz w:val="22"/>
                <w:szCs w:val="22"/>
                <w:lang w:val="sk-SK"/>
              </w:rPr>
              <w:t xml:space="preserve">ožiadavka na zabezpečenie bezpečnosti prenosu a dátovej komunikácie inteligentných meracích systémov.  </w:t>
            </w: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6.12.</w:t>
            </w:r>
            <w:r>
              <w:rPr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</w:t>
            </w:r>
            <w:r>
              <w:rPr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jc w:val="both"/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6.13.</w:t>
            </w:r>
            <w:r>
              <w:rPr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6B3D18" w:rsidRDefault="006B3D18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both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rPr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6.14.</w:t>
            </w:r>
            <w:r>
              <w:rPr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B3D18" w:rsidRDefault="006B3D18">
            <w:pPr>
              <w:jc w:val="both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3D18" w:rsidRDefault="006B3D18">
            <w:pPr>
              <w:rPr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 w:rsidR="006B3D18" w:rsidTr="006B3D18"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8" w:rsidRDefault="006B3D18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6.15.</w:t>
            </w:r>
            <w:r>
              <w:rPr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6B3D18" w:rsidRDefault="006B3D18">
            <w:pPr>
              <w:rPr>
                <w:sz w:val="20"/>
                <w:szCs w:val="20"/>
                <w:lang w:val="sk-SK"/>
              </w:rPr>
            </w:pPr>
            <w:r>
              <w:rPr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Default="006B3D18">
            <w:pPr>
              <w:rPr>
                <w:i/>
                <w:iCs/>
                <w:sz w:val="22"/>
                <w:szCs w:val="22"/>
                <w:lang w:val="sk-SK"/>
              </w:rPr>
            </w:pPr>
          </w:p>
        </w:tc>
      </w:tr>
    </w:tbl>
    <w:p w:rsidR="006B3D18" w:rsidRDefault="006B3D18" w:rsidP="003E664E"/>
    <w:sectPr w:rsidR="006B3D18" w:rsidSect="0018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D53"/>
    <w:multiLevelType w:val="hybridMultilevel"/>
    <w:tmpl w:val="CCFA3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777F"/>
    <w:multiLevelType w:val="hybridMultilevel"/>
    <w:tmpl w:val="DDB0326E"/>
    <w:lvl w:ilvl="0" w:tplc="1FA09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008C9"/>
    <w:multiLevelType w:val="hybridMultilevel"/>
    <w:tmpl w:val="215E9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2869"/>
    <w:multiLevelType w:val="hybridMultilevel"/>
    <w:tmpl w:val="569E4D54"/>
    <w:lvl w:ilvl="0" w:tplc="72244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E7"/>
    <w:rsid w:val="000314F3"/>
    <w:rsid w:val="0005210D"/>
    <w:rsid w:val="00067795"/>
    <w:rsid w:val="000775C2"/>
    <w:rsid w:val="000F33F6"/>
    <w:rsid w:val="001845E4"/>
    <w:rsid w:val="001E72EF"/>
    <w:rsid w:val="00256EC1"/>
    <w:rsid w:val="00295375"/>
    <w:rsid w:val="002B4CA1"/>
    <w:rsid w:val="002C37C3"/>
    <w:rsid w:val="0031749B"/>
    <w:rsid w:val="0032004C"/>
    <w:rsid w:val="00342879"/>
    <w:rsid w:val="00377782"/>
    <w:rsid w:val="003D6D92"/>
    <w:rsid w:val="003E664E"/>
    <w:rsid w:val="00420898"/>
    <w:rsid w:val="004824A6"/>
    <w:rsid w:val="004F58E9"/>
    <w:rsid w:val="005003A4"/>
    <w:rsid w:val="00505D04"/>
    <w:rsid w:val="005519C8"/>
    <w:rsid w:val="00556455"/>
    <w:rsid w:val="00586EF4"/>
    <w:rsid w:val="005B254E"/>
    <w:rsid w:val="005C40EA"/>
    <w:rsid w:val="00632A6B"/>
    <w:rsid w:val="006B3D18"/>
    <w:rsid w:val="0072410E"/>
    <w:rsid w:val="007424D7"/>
    <w:rsid w:val="00751250"/>
    <w:rsid w:val="00753500"/>
    <w:rsid w:val="00763963"/>
    <w:rsid w:val="007E2FFC"/>
    <w:rsid w:val="008937BA"/>
    <w:rsid w:val="00893ECD"/>
    <w:rsid w:val="008F6A02"/>
    <w:rsid w:val="00913AEA"/>
    <w:rsid w:val="00925B2A"/>
    <w:rsid w:val="00967443"/>
    <w:rsid w:val="00A63434"/>
    <w:rsid w:val="00AD1CB8"/>
    <w:rsid w:val="00AD37B8"/>
    <w:rsid w:val="00AD75B6"/>
    <w:rsid w:val="00B81DAF"/>
    <w:rsid w:val="00BC4E1E"/>
    <w:rsid w:val="00BD6C8A"/>
    <w:rsid w:val="00BF71F9"/>
    <w:rsid w:val="00C151E4"/>
    <w:rsid w:val="00C3233E"/>
    <w:rsid w:val="00C66F40"/>
    <w:rsid w:val="00C93EF5"/>
    <w:rsid w:val="00CC5567"/>
    <w:rsid w:val="00CD3647"/>
    <w:rsid w:val="00CD5129"/>
    <w:rsid w:val="00CF5DA2"/>
    <w:rsid w:val="00D51FB5"/>
    <w:rsid w:val="00D52CB9"/>
    <w:rsid w:val="00D97225"/>
    <w:rsid w:val="00DE7B26"/>
    <w:rsid w:val="00E94B08"/>
    <w:rsid w:val="00E97B91"/>
    <w:rsid w:val="00F06A19"/>
    <w:rsid w:val="00F16DFA"/>
    <w:rsid w:val="00F46B0F"/>
    <w:rsid w:val="00F46F59"/>
    <w:rsid w:val="00F47E59"/>
    <w:rsid w:val="00F76847"/>
    <w:rsid w:val="00FE18E7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42879"/>
    <w:pPr>
      <w:tabs>
        <w:tab w:val="center" w:pos="4536"/>
        <w:tab w:val="right" w:pos="9072"/>
      </w:tabs>
    </w:pPr>
    <w:rPr>
      <w:lang w:val="sk-SK"/>
    </w:rPr>
  </w:style>
  <w:style w:type="character" w:customStyle="1" w:styleId="HlavikaChar">
    <w:name w:val="Hlavička Char"/>
    <w:basedOn w:val="Predvolenpsmoodseku"/>
    <w:link w:val="Hlavika"/>
    <w:rsid w:val="003428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2879"/>
    <w:pPr>
      <w:tabs>
        <w:tab w:val="left" w:pos="70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BD6C8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B3D18"/>
    <w:rPr>
      <w:b/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3D1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250"/>
    <w:rPr>
      <w:rFonts w:ascii="Tahoma" w:eastAsia="Times New Roman" w:hAnsi="Tahoma" w:cs="Tahoma"/>
      <w:sz w:val="16"/>
      <w:szCs w:val="16"/>
      <w:lang w:val="hu-HU" w:eastAsia="sk-SK"/>
    </w:rPr>
  </w:style>
  <w:style w:type="paragraph" w:customStyle="1" w:styleId="Default">
    <w:name w:val="Default"/>
    <w:rsid w:val="00913AE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42879"/>
    <w:pPr>
      <w:tabs>
        <w:tab w:val="center" w:pos="4536"/>
        <w:tab w:val="right" w:pos="9072"/>
      </w:tabs>
    </w:pPr>
    <w:rPr>
      <w:lang w:val="sk-SK"/>
    </w:rPr>
  </w:style>
  <w:style w:type="character" w:customStyle="1" w:styleId="HlavikaChar">
    <w:name w:val="Hlavička Char"/>
    <w:basedOn w:val="Predvolenpsmoodseku"/>
    <w:link w:val="Hlavika"/>
    <w:rsid w:val="003428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2879"/>
    <w:pPr>
      <w:tabs>
        <w:tab w:val="left" w:pos="70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BD6C8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B3D18"/>
    <w:rPr>
      <w:b/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3D1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250"/>
    <w:rPr>
      <w:rFonts w:ascii="Tahoma" w:eastAsia="Times New Roman" w:hAnsi="Tahoma" w:cs="Tahoma"/>
      <w:sz w:val="16"/>
      <w:szCs w:val="16"/>
      <w:lang w:val="hu-HU" w:eastAsia="sk-SK"/>
    </w:rPr>
  </w:style>
  <w:style w:type="paragraph" w:customStyle="1" w:styleId="Default">
    <w:name w:val="Default"/>
    <w:rsid w:val="00913AE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2ABC-D8A3-4204-9E1B-61428C82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Miroslav</dc:creator>
  <cp:lastModifiedBy>Franczel Marek</cp:lastModifiedBy>
  <cp:revision>2</cp:revision>
  <cp:lastPrinted>2014-06-20T08:10:00Z</cp:lastPrinted>
  <dcterms:created xsi:type="dcterms:W3CDTF">2014-06-23T08:41:00Z</dcterms:created>
  <dcterms:modified xsi:type="dcterms:W3CDTF">2014-06-23T08:41:00Z</dcterms:modified>
</cp:coreProperties>
</file>