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96" w:rsidRPr="008A6AA8" w:rsidRDefault="00663E96" w:rsidP="00663E96">
      <w:pPr>
        <w:pStyle w:val="Nzov"/>
        <w:outlineLvl w:val="0"/>
        <w:rPr>
          <w:b/>
          <w:sz w:val="24"/>
          <w:szCs w:val="24"/>
        </w:rPr>
      </w:pPr>
      <w:r w:rsidRPr="00676E71">
        <w:rPr>
          <w:b/>
          <w:sz w:val="24"/>
          <w:szCs w:val="24"/>
        </w:rPr>
        <w:t>Predkladacia správa</w:t>
      </w:r>
    </w:p>
    <w:p w:rsidR="0005546E" w:rsidRPr="00AD3B0A" w:rsidRDefault="00663E96" w:rsidP="0005546E">
      <w:pPr>
        <w:spacing w:before="60" w:after="120"/>
        <w:ind w:firstLine="709"/>
        <w:jc w:val="both"/>
        <w:rPr>
          <w:sz w:val="24"/>
        </w:rPr>
      </w:pPr>
      <w:r w:rsidRPr="008A6AA8">
        <w:rPr>
          <w:sz w:val="24"/>
          <w:szCs w:val="24"/>
        </w:rPr>
        <w:br/>
      </w:r>
      <w:r w:rsidR="0005546E">
        <w:rPr>
          <w:sz w:val="24"/>
        </w:rPr>
        <w:t xml:space="preserve">           </w:t>
      </w:r>
      <w:r w:rsidR="0005546E" w:rsidRPr="00AD3B0A">
        <w:rPr>
          <w:sz w:val="24"/>
        </w:rPr>
        <w:t>Materiál „Akčný plán energe</w:t>
      </w:r>
      <w:r w:rsidR="0005546E">
        <w:rPr>
          <w:sz w:val="24"/>
        </w:rPr>
        <w:t>tickej efektívnosti na roky 2014-2016 s výhľadom do roku 2020</w:t>
      </w:r>
      <w:r w:rsidR="0005546E" w:rsidRPr="00AD3B0A">
        <w:rPr>
          <w:sz w:val="24"/>
        </w:rPr>
        <w:t xml:space="preserve">“ </w:t>
      </w:r>
      <w:r w:rsidR="0005546E">
        <w:rPr>
          <w:sz w:val="24"/>
        </w:rPr>
        <w:t xml:space="preserve">(ďalej len „tretí akčný plán“) </w:t>
      </w:r>
      <w:r w:rsidR="0005546E" w:rsidRPr="00AD3B0A">
        <w:rPr>
          <w:sz w:val="24"/>
        </w:rPr>
        <w:t>predkladá Ministerstvo hospo</w:t>
      </w:r>
      <w:r w:rsidR="0005546E">
        <w:rPr>
          <w:sz w:val="24"/>
        </w:rPr>
        <w:t xml:space="preserve">dárstva SR na základe </w:t>
      </w:r>
      <w:r w:rsidR="0005546E" w:rsidRPr="00AD3B0A">
        <w:rPr>
          <w:sz w:val="24"/>
        </w:rPr>
        <w:t xml:space="preserve">§ 3 ods. 1 písm. c) zákona č. 476/2008 Z. z. </w:t>
      </w:r>
      <w:r w:rsidR="0005546E" w:rsidRPr="0005546E">
        <w:rPr>
          <w:sz w:val="24"/>
        </w:rPr>
        <w:t xml:space="preserve">o </w:t>
      </w:r>
      <w:r w:rsidR="0005546E" w:rsidRPr="00C078D3">
        <w:rPr>
          <w:sz w:val="24"/>
        </w:rPr>
        <w:t xml:space="preserve">efektívnosti pri používaní energie (zákon o energetickej efektívnosti)  v znení neskorších zákonov a </w:t>
      </w:r>
      <w:r w:rsidR="0005546E" w:rsidRPr="00AD3B0A">
        <w:rPr>
          <w:sz w:val="24"/>
        </w:rPr>
        <w:t>čl. 24 smernice 2012/27/EÚ o energetickej efektívnosti</w:t>
      </w:r>
      <w:r w:rsidR="0005546E">
        <w:rPr>
          <w:sz w:val="24"/>
        </w:rPr>
        <w:t xml:space="preserve">, </w:t>
      </w:r>
      <w:r w:rsidR="0005546E" w:rsidRPr="00AD3B0A">
        <w:rPr>
          <w:sz w:val="24"/>
        </w:rPr>
        <w:t xml:space="preserve">ktorá ukladá povinnosť členským štátom zaslať akčný plán energetickej efektívnosti </w:t>
      </w:r>
      <w:r w:rsidR="0005546E">
        <w:rPr>
          <w:sz w:val="24"/>
        </w:rPr>
        <w:t>každé tri roky do 30.04 Európskej komisii</w:t>
      </w:r>
      <w:r w:rsidR="0005546E" w:rsidRPr="00AD3B0A">
        <w:rPr>
          <w:sz w:val="24"/>
        </w:rPr>
        <w:t>.</w:t>
      </w:r>
      <w:r w:rsidR="0005546E">
        <w:rPr>
          <w:sz w:val="24"/>
        </w:rPr>
        <w:t xml:space="preserve"> </w:t>
      </w:r>
      <w:r w:rsidR="00E3748F">
        <w:rPr>
          <w:sz w:val="24"/>
        </w:rPr>
        <w:t>Tretí a</w:t>
      </w:r>
      <w:r w:rsidR="00E3748F" w:rsidRPr="00AD3B0A">
        <w:rPr>
          <w:sz w:val="24"/>
        </w:rPr>
        <w:t>kčný plán je</w:t>
      </w:r>
      <w:r w:rsidR="00E3748F">
        <w:rPr>
          <w:sz w:val="24"/>
        </w:rPr>
        <w:t xml:space="preserve"> </w:t>
      </w:r>
      <w:r w:rsidR="00E3748F" w:rsidRPr="00AD3B0A">
        <w:rPr>
          <w:sz w:val="24"/>
        </w:rPr>
        <w:t xml:space="preserve">implementačným nástrojom Koncepcie energetickej efektívnosti SR, ktorá bola prijatá uznesením vlády SR č. 576/2007. </w:t>
      </w:r>
      <w:r w:rsidR="0005546E">
        <w:rPr>
          <w:sz w:val="24"/>
        </w:rPr>
        <w:t>Vzhľadom na súbežný schvaľovací proces transpozičných právnych predpisov, ako aj proces schvaľovania programových dokumentov na ďalšie obdobie 2014 - 2020, od ktorého závisia mnohé budúce opatrenia energetickej efektívnosti, dostal materiál odklad na predloženie do vlády.</w:t>
      </w:r>
      <w:r w:rsidR="0005546E" w:rsidRPr="00AD3B0A">
        <w:rPr>
          <w:sz w:val="24"/>
        </w:rPr>
        <w:t xml:space="preserve"> </w:t>
      </w:r>
    </w:p>
    <w:p w:rsidR="0005546E" w:rsidRPr="00AD3B0A" w:rsidRDefault="0005546E" w:rsidP="0005546E">
      <w:pPr>
        <w:spacing w:before="60" w:after="120"/>
        <w:ind w:firstLine="709"/>
        <w:jc w:val="both"/>
        <w:rPr>
          <w:sz w:val="24"/>
        </w:rPr>
      </w:pPr>
      <w:r w:rsidRPr="00AD3B0A">
        <w:rPr>
          <w:sz w:val="24"/>
        </w:rPr>
        <w:t>Predmetom pred</w:t>
      </w:r>
      <w:r>
        <w:rPr>
          <w:sz w:val="24"/>
        </w:rPr>
        <w:t>loženého</w:t>
      </w:r>
      <w:r w:rsidRPr="00AD3B0A">
        <w:rPr>
          <w:sz w:val="24"/>
        </w:rPr>
        <w:t xml:space="preserve"> materiálu je vyhodnotenie plnenia opatrení predchádzajúceho akčného plánu na roky 20</w:t>
      </w:r>
      <w:r>
        <w:rPr>
          <w:sz w:val="24"/>
        </w:rPr>
        <w:t>11 - 2013</w:t>
      </w:r>
      <w:r w:rsidRPr="00AD3B0A">
        <w:rPr>
          <w:sz w:val="24"/>
        </w:rPr>
        <w:t xml:space="preserve"> a stavu plnenia </w:t>
      </w:r>
      <w:r>
        <w:rPr>
          <w:sz w:val="24"/>
        </w:rPr>
        <w:t xml:space="preserve">trojročného </w:t>
      </w:r>
      <w:r w:rsidRPr="00AD3B0A">
        <w:rPr>
          <w:sz w:val="24"/>
        </w:rPr>
        <w:t>cieľa energetickej efektívnosti</w:t>
      </w:r>
      <w:r>
        <w:rPr>
          <w:sz w:val="24"/>
        </w:rPr>
        <w:t xml:space="preserve"> stanoveného v strategických </w:t>
      </w:r>
      <w:r w:rsidR="000C512E">
        <w:rPr>
          <w:sz w:val="24"/>
        </w:rPr>
        <w:t>dokumentoch</w:t>
      </w:r>
      <w:r>
        <w:rPr>
          <w:sz w:val="24"/>
        </w:rPr>
        <w:t xml:space="preserve"> SR</w:t>
      </w:r>
      <w:r w:rsidRPr="00AD3B0A">
        <w:rPr>
          <w:sz w:val="24"/>
        </w:rPr>
        <w:t xml:space="preserve">, návrh </w:t>
      </w:r>
      <w:r>
        <w:rPr>
          <w:sz w:val="24"/>
        </w:rPr>
        <w:t xml:space="preserve">nových a pokračujúcich </w:t>
      </w:r>
      <w:r w:rsidRPr="00AD3B0A">
        <w:rPr>
          <w:sz w:val="24"/>
        </w:rPr>
        <w:t>opatrení na ďalšie trojročné obdobie 201</w:t>
      </w:r>
      <w:r>
        <w:rPr>
          <w:sz w:val="24"/>
        </w:rPr>
        <w:t xml:space="preserve">4-2016, resp. do roku 2020, </w:t>
      </w:r>
      <w:r w:rsidR="000C512E">
        <w:rPr>
          <w:sz w:val="24"/>
        </w:rPr>
        <w:t xml:space="preserve">a </w:t>
      </w:r>
      <w:r w:rsidR="000C512E" w:rsidRPr="000C512E">
        <w:rPr>
          <w:sz w:val="24"/>
        </w:rPr>
        <w:t xml:space="preserve">poskytnutie </w:t>
      </w:r>
      <w:r w:rsidRPr="00C078D3">
        <w:rPr>
          <w:sz w:val="24"/>
        </w:rPr>
        <w:t>špecif</w:t>
      </w:r>
      <w:r w:rsidR="000C512E">
        <w:rPr>
          <w:sz w:val="24"/>
        </w:rPr>
        <w:t>ických informácií</w:t>
      </w:r>
      <w:r>
        <w:rPr>
          <w:sz w:val="24"/>
        </w:rPr>
        <w:t xml:space="preserve"> o implementácii</w:t>
      </w:r>
      <w:r w:rsidRPr="00C078D3">
        <w:rPr>
          <w:sz w:val="24"/>
        </w:rPr>
        <w:t xml:space="preserve"> najdôležitejších ustanovení novej smernice</w:t>
      </w:r>
      <w:r>
        <w:rPr>
          <w:sz w:val="24"/>
        </w:rPr>
        <w:t xml:space="preserve"> </w:t>
      </w:r>
      <w:r w:rsidRPr="00AD3B0A">
        <w:rPr>
          <w:sz w:val="24"/>
        </w:rPr>
        <w:t xml:space="preserve">2012/27/EÚ. </w:t>
      </w:r>
    </w:p>
    <w:p w:rsidR="0005546E" w:rsidRDefault="0005546E" w:rsidP="0005546E">
      <w:pPr>
        <w:spacing w:before="60" w:after="120"/>
        <w:ind w:firstLine="709"/>
        <w:jc w:val="both"/>
        <w:rPr>
          <w:sz w:val="24"/>
        </w:rPr>
      </w:pPr>
      <w:r>
        <w:rPr>
          <w:sz w:val="24"/>
        </w:rPr>
        <w:t xml:space="preserve">Na rozdiel od predchádzajúceho akčného plánu tretí akčný plán vyhodnocuje opatrenia energetickej efektívnosti výlučne na základe jednotlivých projektov (metódou </w:t>
      </w:r>
      <w:r w:rsidRPr="00AD3B0A">
        <w:rPr>
          <w:sz w:val="24"/>
        </w:rPr>
        <w:t>zdola nahor</w:t>
      </w:r>
      <w:r>
        <w:rPr>
          <w:sz w:val="24"/>
        </w:rPr>
        <w:t>)</w:t>
      </w:r>
      <w:r w:rsidR="000C512E">
        <w:rPr>
          <w:sz w:val="24"/>
        </w:rPr>
        <w:t xml:space="preserve">, </w:t>
      </w:r>
      <w:r w:rsidR="000C512E" w:rsidRPr="000C512E">
        <w:rPr>
          <w:sz w:val="24"/>
        </w:rPr>
        <w:t>a teda nie na základe ag</w:t>
      </w:r>
      <w:r w:rsidR="000C512E">
        <w:rPr>
          <w:sz w:val="24"/>
        </w:rPr>
        <w:t>regovaných štatistických údajov</w:t>
      </w:r>
      <w:r>
        <w:rPr>
          <w:sz w:val="24"/>
        </w:rPr>
        <w:t xml:space="preserve">. Takýmto spôsobom je možné vyhodnotiť 81% celkových plánovaných úspor energie stanovených na roky 2011-2013, čo predstavuje zhruba 6,7 PJ vyjadrených vo forme konečnej energetickej spotreby. </w:t>
      </w:r>
      <w:r w:rsidR="000C512E" w:rsidRPr="000C512E">
        <w:rPr>
          <w:sz w:val="24"/>
        </w:rPr>
        <w:t>To</w:t>
      </w:r>
      <w:r w:rsidR="00401FEF">
        <w:rPr>
          <w:sz w:val="24"/>
        </w:rPr>
        <w:t xml:space="preserve"> je </w:t>
      </w:r>
      <w:r w:rsidR="000C512E" w:rsidRPr="000C512E">
        <w:rPr>
          <w:sz w:val="24"/>
        </w:rPr>
        <w:t>značný pokrok oproti predchádzajúcemu akčnému plánu, v ktorom sme vyhodnotili 30% vtedajšieho 3-ročného cieľa úspor energie na základe jednotlivých projektov.</w:t>
      </w:r>
    </w:p>
    <w:p w:rsidR="0005546E" w:rsidRDefault="0005546E" w:rsidP="0005546E">
      <w:pPr>
        <w:spacing w:before="60" w:after="120"/>
        <w:ind w:firstLine="709"/>
        <w:jc w:val="both"/>
        <w:rPr>
          <w:sz w:val="24"/>
        </w:rPr>
      </w:pPr>
      <w:r w:rsidRPr="00AD3B0A">
        <w:rPr>
          <w:sz w:val="24"/>
        </w:rPr>
        <w:t>Najväčší prínos mal</w:t>
      </w:r>
      <w:r>
        <w:rPr>
          <w:sz w:val="24"/>
        </w:rPr>
        <w:t xml:space="preserve">i úsporné opatrenia v oblasti budov, priemyslu a verejného sektoru. </w:t>
      </w:r>
      <w:r w:rsidR="009C0A40">
        <w:rPr>
          <w:sz w:val="24"/>
        </w:rPr>
        <w:t>Č</w:t>
      </w:r>
      <w:r w:rsidR="00401FEF">
        <w:rPr>
          <w:sz w:val="24"/>
        </w:rPr>
        <w:t>iastkové plnenie</w:t>
      </w:r>
      <w:r>
        <w:rPr>
          <w:sz w:val="24"/>
        </w:rPr>
        <w:t xml:space="preserve"> stanoveného cieľa možno vysvetliť neexistenciou stáleho a systematického finančného mechanizmu na podporu opatrení energetickej efektívnosti. Z jednotlivých, už existujúcich, finančných mechanizmov (</w:t>
      </w:r>
      <w:r w:rsidR="00401FEF" w:rsidRPr="00401FEF">
        <w:rPr>
          <w:sz w:val="24"/>
        </w:rPr>
        <w:t xml:space="preserve">u väčšiny z nich </w:t>
      </w:r>
      <w:r>
        <w:rPr>
          <w:sz w:val="24"/>
        </w:rPr>
        <w:t>primárnym cieľom nie je dosahovanie úspor energie) najviac prispeli opatrenia financované v</w:t>
      </w:r>
      <w:r w:rsidR="00E3748F">
        <w:rPr>
          <w:sz w:val="24"/>
        </w:rPr>
        <w:t> </w:t>
      </w:r>
      <w:r>
        <w:rPr>
          <w:sz w:val="24"/>
        </w:rPr>
        <w:t>rámci</w:t>
      </w:r>
      <w:r w:rsidR="00E3748F">
        <w:rPr>
          <w:sz w:val="24"/>
        </w:rPr>
        <w:t xml:space="preserve"> </w:t>
      </w:r>
      <w:r w:rsidR="00E3748F" w:rsidRPr="00E3748F">
        <w:rPr>
          <w:sz w:val="24"/>
        </w:rPr>
        <w:t xml:space="preserve">štrukturálnych fondov, </w:t>
      </w:r>
      <w:r>
        <w:rPr>
          <w:sz w:val="24"/>
        </w:rPr>
        <w:t xml:space="preserve">Štátneho fondu rozvoja bývania, ako aj iných finančných mechanizmov (napr. </w:t>
      </w:r>
      <w:proofErr w:type="spellStart"/>
      <w:r>
        <w:rPr>
          <w:sz w:val="24"/>
        </w:rPr>
        <w:t>Slovseff</w:t>
      </w:r>
      <w:proofErr w:type="spellEnd"/>
      <w:r>
        <w:rPr>
          <w:sz w:val="24"/>
        </w:rPr>
        <w:t xml:space="preserve"> II</w:t>
      </w:r>
      <w:r w:rsidR="00484F5C">
        <w:rPr>
          <w:sz w:val="24"/>
        </w:rPr>
        <w:t xml:space="preserve">., </w:t>
      </w:r>
      <w:proofErr w:type="spellStart"/>
      <w:r w:rsidR="00484F5C">
        <w:rPr>
          <w:sz w:val="24"/>
        </w:rPr>
        <w:t>Ekofond</w:t>
      </w:r>
      <w:proofErr w:type="spellEnd"/>
      <w:r>
        <w:rPr>
          <w:sz w:val="24"/>
        </w:rPr>
        <w:t>). U</w:t>
      </w:r>
      <w:r w:rsidRPr="00AD3B0A">
        <w:rPr>
          <w:sz w:val="24"/>
        </w:rPr>
        <w:t xml:space="preserve">vedené úspory </w:t>
      </w:r>
      <w:r w:rsidR="00E3748F">
        <w:rPr>
          <w:sz w:val="24"/>
        </w:rPr>
        <w:t xml:space="preserve">energie </w:t>
      </w:r>
      <w:r w:rsidRPr="00AD3B0A">
        <w:rPr>
          <w:sz w:val="24"/>
        </w:rPr>
        <w:t xml:space="preserve">si v období </w:t>
      </w:r>
      <w:r>
        <w:rPr>
          <w:sz w:val="24"/>
        </w:rPr>
        <w:t xml:space="preserve">2011 - 2013 </w:t>
      </w:r>
      <w:r w:rsidRPr="00AD3B0A">
        <w:rPr>
          <w:sz w:val="24"/>
        </w:rPr>
        <w:t>v</w:t>
      </w:r>
      <w:r>
        <w:rPr>
          <w:sz w:val="24"/>
        </w:rPr>
        <w:t>yžiadali investície vo výške</w:t>
      </w:r>
      <w:r w:rsidR="00094F24">
        <w:rPr>
          <w:sz w:val="24"/>
        </w:rPr>
        <w:t xml:space="preserve"> zhruba</w:t>
      </w:r>
      <w:r w:rsidRPr="00AD5FBB">
        <w:rPr>
          <w:sz w:val="24"/>
        </w:rPr>
        <w:t xml:space="preserve"> </w:t>
      </w:r>
      <w:r w:rsidR="00B4481A">
        <w:rPr>
          <w:sz w:val="24"/>
        </w:rPr>
        <w:t>6,5</w:t>
      </w:r>
      <w:r w:rsidRPr="00AD3B0A">
        <w:rPr>
          <w:sz w:val="24"/>
        </w:rPr>
        <w:t xml:space="preserve"> mld. eur. </w:t>
      </w:r>
    </w:p>
    <w:p w:rsidR="0005546E" w:rsidRDefault="0005546E" w:rsidP="0005546E">
      <w:pPr>
        <w:spacing w:before="60" w:after="120"/>
        <w:ind w:firstLine="709"/>
        <w:jc w:val="both"/>
        <w:rPr>
          <w:sz w:val="24"/>
        </w:rPr>
      </w:pPr>
      <w:r w:rsidRPr="00AD3B0A">
        <w:rPr>
          <w:sz w:val="24"/>
        </w:rPr>
        <w:t>Navrhnuté opatre</w:t>
      </w:r>
      <w:r>
        <w:rPr>
          <w:sz w:val="24"/>
        </w:rPr>
        <w:t>nia na obdobie 2014 - 2016</w:t>
      </w:r>
      <w:r w:rsidRPr="00AD3B0A">
        <w:rPr>
          <w:sz w:val="24"/>
        </w:rPr>
        <w:t xml:space="preserve"> sú zamerané najmä na priemysel, budovy a verejný sektor. </w:t>
      </w:r>
      <w:r>
        <w:rPr>
          <w:sz w:val="24"/>
        </w:rPr>
        <w:t xml:space="preserve">Významné úspory energie sa taktiež predpokladajú na strane premeny, prenosu a distribúcie energie. </w:t>
      </w:r>
      <w:r w:rsidR="00E3748F" w:rsidRPr="00E3748F">
        <w:rPr>
          <w:sz w:val="24"/>
        </w:rPr>
        <w:t xml:space="preserve">Opatrenia sú plánované </w:t>
      </w:r>
      <w:r w:rsidRPr="00AD3B0A">
        <w:rPr>
          <w:sz w:val="24"/>
        </w:rPr>
        <w:t>tak</w:t>
      </w:r>
      <w:r>
        <w:rPr>
          <w:sz w:val="24"/>
        </w:rPr>
        <w:t xml:space="preserve">tiež na základe konkrétnych projektov a programov, a to tak, aby sa </w:t>
      </w:r>
      <w:r w:rsidR="007F5816">
        <w:rPr>
          <w:sz w:val="24"/>
        </w:rPr>
        <w:t xml:space="preserve">v čo najvyššej možnej miere </w:t>
      </w:r>
      <w:r>
        <w:rPr>
          <w:sz w:val="24"/>
        </w:rPr>
        <w:t>dosiahol trojročný cieľ úspor energie podľa smernice 201</w:t>
      </w:r>
      <w:r w:rsidR="00E3748F">
        <w:rPr>
          <w:sz w:val="24"/>
        </w:rPr>
        <w:t>2</w:t>
      </w:r>
      <w:r>
        <w:rPr>
          <w:sz w:val="24"/>
        </w:rPr>
        <w:t>/27/EÚ</w:t>
      </w:r>
      <w:r w:rsidR="00E3748F">
        <w:rPr>
          <w:sz w:val="24"/>
        </w:rPr>
        <w:t xml:space="preserve">. </w:t>
      </w:r>
      <w:r w:rsidR="00E3748F" w:rsidRPr="00E3748F">
        <w:rPr>
          <w:sz w:val="24"/>
        </w:rPr>
        <w:t>Navrhnuté opatrenia spolu poslúžia na plnenie cieľa úspor energie vyjadreného v konečnej energetickej spotrebe vo výške 85% a vo výške 100% na plnenie trojročného cieľa úspor energie vyjadreného v spotrebe primárnych zdrojov energie.</w:t>
      </w:r>
      <w:r>
        <w:rPr>
          <w:sz w:val="24"/>
        </w:rPr>
        <w:t xml:space="preserve"> </w:t>
      </w:r>
      <w:r w:rsidR="007F5816">
        <w:rPr>
          <w:sz w:val="24"/>
        </w:rPr>
        <w:t xml:space="preserve">Na základe uvedenej smernice bude MH SR každoročne vyhodnocovať plnenie stanovených cieľov, pričom MH SR plánuje analyzovať aj investičnú náročnosť plnenia cieľov prostredníctvom jednotlivých opatrení energetickej efektívnosti. </w:t>
      </w:r>
    </w:p>
    <w:p w:rsidR="0005546E" w:rsidRDefault="0005546E" w:rsidP="0005546E">
      <w:pPr>
        <w:spacing w:before="120"/>
        <w:ind w:firstLine="708"/>
        <w:jc w:val="both"/>
        <w:rPr>
          <w:sz w:val="24"/>
        </w:rPr>
      </w:pPr>
      <w:r w:rsidRPr="00663E96">
        <w:rPr>
          <w:sz w:val="24"/>
        </w:rPr>
        <w:t xml:space="preserve">Uznesenie k </w:t>
      </w:r>
      <w:r>
        <w:rPr>
          <w:sz w:val="24"/>
        </w:rPr>
        <w:t>predloženému</w:t>
      </w:r>
      <w:r w:rsidRPr="00663E96">
        <w:rPr>
          <w:sz w:val="24"/>
        </w:rPr>
        <w:t xml:space="preserve"> materiálu ukladá ministrom </w:t>
      </w:r>
      <w:r>
        <w:rPr>
          <w:sz w:val="24"/>
        </w:rPr>
        <w:t xml:space="preserve">a predsedom ústredných orgánov štátnej správy zabezpečiť pravidelné vyhodnocovanie opatrení energetickej efektívnosti a podporných mechanizmov, ktoré prispievajú k úsporám energie. </w:t>
      </w:r>
    </w:p>
    <w:p w:rsidR="007F5816" w:rsidRDefault="007F5816" w:rsidP="00EA167F">
      <w:pPr>
        <w:spacing w:before="120"/>
        <w:ind w:firstLine="708"/>
        <w:jc w:val="both"/>
        <w:rPr>
          <w:sz w:val="24"/>
        </w:rPr>
      </w:pPr>
      <w:r w:rsidRPr="007F5816">
        <w:rPr>
          <w:sz w:val="24"/>
        </w:rPr>
        <w:t xml:space="preserve">Vplyvy na rozpočet verejnej správy, podnikateľské prostredie, životné prostredie, informatizáciu spoločnosti a sociálne vplyvy sú rozpracované v rámci Doložky vybraných vplyvov. </w:t>
      </w:r>
      <w:r w:rsidR="00EA167F">
        <w:rPr>
          <w:sz w:val="24"/>
        </w:rPr>
        <w:t xml:space="preserve">Materiál bol predmetom medzirezortného pripomienkového konania a je predložený na rokovanie </w:t>
      </w:r>
      <w:r w:rsidRPr="007F5816">
        <w:rPr>
          <w:sz w:val="24"/>
        </w:rPr>
        <w:t>Hospod</w:t>
      </w:r>
      <w:r>
        <w:rPr>
          <w:sz w:val="24"/>
        </w:rPr>
        <w:t>árskej a sociálnej rade SR</w:t>
      </w:r>
      <w:r w:rsidR="00EA167F">
        <w:rPr>
          <w:sz w:val="24"/>
        </w:rPr>
        <w:t xml:space="preserve"> bez rozporov</w:t>
      </w:r>
      <w:r w:rsidRPr="007F5816">
        <w:rPr>
          <w:sz w:val="24"/>
        </w:rPr>
        <w:t>.</w:t>
      </w:r>
      <w:r w:rsidR="00784FB0">
        <w:rPr>
          <w:sz w:val="24"/>
        </w:rPr>
        <w:t xml:space="preserve"> </w:t>
      </w:r>
      <w:r w:rsidR="00B63C92">
        <w:rPr>
          <w:sz w:val="24"/>
        </w:rPr>
        <w:t>Finančné výdavky vyplývajúce z materiálu sú zabezpečené v rámci neobsadených miest v rámci limitu počtu zamestnancov a schválených limitov miezd, platov a iných výdavkov.</w:t>
      </w:r>
      <w:bookmarkStart w:id="0" w:name="_GoBack"/>
      <w:bookmarkEnd w:id="0"/>
      <w:r w:rsidR="00B63C92">
        <w:rPr>
          <w:sz w:val="24"/>
        </w:rPr>
        <w:t xml:space="preserve"> </w:t>
      </w:r>
      <w:r w:rsidR="00784FB0">
        <w:rPr>
          <w:sz w:val="24"/>
        </w:rPr>
        <w:t xml:space="preserve">Na základe pripomienok MF SR bude Doložka vplyvov dopracovaná na rokovanie Vlády SR.  </w:t>
      </w:r>
    </w:p>
    <w:sectPr w:rsidR="007F5816">
      <w:footerReference w:type="default" r:id="rId7"/>
      <w:pgSz w:w="11906" w:h="16838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DF" w:rsidRDefault="00A812DF">
      <w:r>
        <w:separator/>
      </w:r>
    </w:p>
  </w:endnote>
  <w:endnote w:type="continuationSeparator" w:id="0">
    <w:p w:rsidR="00A812DF" w:rsidRDefault="00A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83" w:rsidRDefault="00A812DF" w:rsidP="00207F83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DF" w:rsidRDefault="00A812DF">
      <w:r>
        <w:separator/>
      </w:r>
    </w:p>
  </w:footnote>
  <w:footnote w:type="continuationSeparator" w:id="0">
    <w:p w:rsidR="00A812DF" w:rsidRDefault="00A8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96"/>
    <w:rsid w:val="0005546E"/>
    <w:rsid w:val="00094F24"/>
    <w:rsid w:val="000C512E"/>
    <w:rsid w:val="00107321"/>
    <w:rsid w:val="001E3A7C"/>
    <w:rsid w:val="003947DF"/>
    <w:rsid w:val="00401FEF"/>
    <w:rsid w:val="00484F5C"/>
    <w:rsid w:val="004F7B58"/>
    <w:rsid w:val="005E3D36"/>
    <w:rsid w:val="00663E96"/>
    <w:rsid w:val="00664F19"/>
    <w:rsid w:val="00714ABE"/>
    <w:rsid w:val="00784FB0"/>
    <w:rsid w:val="007F5816"/>
    <w:rsid w:val="009C0A40"/>
    <w:rsid w:val="00A812DF"/>
    <w:rsid w:val="00AD5FBB"/>
    <w:rsid w:val="00B4481A"/>
    <w:rsid w:val="00B63C92"/>
    <w:rsid w:val="00C1660B"/>
    <w:rsid w:val="00D42D59"/>
    <w:rsid w:val="00E3748F"/>
    <w:rsid w:val="00EA167F"/>
    <w:rsid w:val="00ED48D8"/>
    <w:rsid w:val="00EE5B51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63E96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663E9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63E96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663E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6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63E96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663E9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63E96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663E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6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14</cp:revision>
  <dcterms:created xsi:type="dcterms:W3CDTF">2014-05-15T10:37:00Z</dcterms:created>
  <dcterms:modified xsi:type="dcterms:W3CDTF">2014-06-24T08:48:00Z</dcterms:modified>
</cp:coreProperties>
</file>