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6D" w:rsidRPr="00F4258D" w:rsidRDefault="00E5086D" w:rsidP="00E5086D">
      <w:pPr>
        <w:pStyle w:val="Nadpis1"/>
      </w:pPr>
      <w:r w:rsidRPr="00F4258D">
        <w:t>Prílohy</w:t>
      </w:r>
    </w:p>
    <w:p w:rsidR="00E5086D" w:rsidRDefault="00E5086D" w:rsidP="00E5086D">
      <w:pPr>
        <w:spacing w:after="0" w:line="240" w:lineRule="auto"/>
        <w:ind w:left="357"/>
      </w:pPr>
    </w:p>
    <w:p w:rsidR="00E5086D" w:rsidRDefault="00E5086D" w:rsidP="00543D1A">
      <w:pPr>
        <w:pStyle w:val="Nadpis2"/>
      </w:pPr>
      <w:r>
        <w:t xml:space="preserve">Príloha č. 1: Správa o </w:t>
      </w:r>
      <w:r w:rsidRPr="009E5846">
        <w:t>pokroku pri dosahovaní cieľov energetickej efektívnosti</w:t>
      </w:r>
      <w:r>
        <w:t xml:space="preserve"> za rok 2013</w:t>
      </w:r>
    </w:p>
    <w:p w:rsidR="00E5086D" w:rsidRDefault="00E5086D" w:rsidP="00E5086D"/>
    <w:p w:rsidR="00E5086D" w:rsidRDefault="00E5086D" w:rsidP="00E5086D">
      <w:pPr>
        <w:spacing w:line="240" w:lineRule="auto"/>
        <w:jc w:val="both"/>
        <w:rPr>
          <w:b/>
        </w:rPr>
      </w:pPr>
      <w:r w:rsidRPr="00487276">
        <w:rPr>
          <w:b/>
        </w:rPr>
        <w:t>1. Základné údaje k energetickej efektívnosti za rok 2012 požadované podľa smernice 2012/27/EÚ</w:t>
      </w:r>
    </w:p>
    <w:p w:rsidR="00493201" w:rsidRPr="00487276" w:rsidRDefault="00493201" w:rsidP="00E5086D">
      <w:pPr>
        <w:spacing w:line="240" w:lineRule="auto"/>
        <w:jc w:val="both"/>
        <w:rPr>
          <w:b/>
        </w:rPr>
      </w:pPr>
      <w:r w:rsidRPr="00493201">
        <w:t>Tabuľka</w:t>
      </w:r>
      <w:r>
        <w:rPr>
          <w:b/>
        </w:rPr>
        <w:t xml:space="preserve"> </w:t>
      </w:r>
      <w:r w:rsidRPr="00493201">
        <w:t>č. 1 Základné údaje k energetickej efektívnosti za rok</w:t>
      </w:r>
      <w:r>
        <w:t>y 2011,</w:t>
      </w:r>
      <w:r w:rsidRPr="00493201">
        <w:t xml:space="preserve"> 2012</w:t>
      </w:r>
    </w:p>
    <w:tbl>
      <w:tblPr>
        <w:tblStyle w:val="Mriekatabuky"/>
        <w:tblW w:w="8804" w:type="dxa"/>
        <w:tblInd w:w="250" w:type="dxa"/>
        <w:tblLook w:val="01E0" w:firstRow="1" w:lastRow="1" w:firstColumn="1" w:lastColumn="1" w:noHBand="0" w:noVBand="0"/>
      </w:tblPr>
      <w:tblGrid>
        <w:gridCol w:w="5778"/>
        <w:gridCol w:w="1560"/>
        <w:gridCol w:w="1466"/>
      </w:tblGrid>
      <w:tr w:rsidR="00E5086D" w:rsidRPr="00FD0A79" w:rsidTr="00773DF0">
        <w:tc>
          <w:tcPr>
            <w:tcW w:w="5778" w:type="dxa"/>
            <w:shd w:val="pct20" w:color="auto" w:fill="auto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>Ukazovateľ</w:t>
            </w:r>
          </w:p>
        </w:tc>
        <w:tc>
          <w:tcPr>
            <w:tcW w:w="1560" w:type="dxa"/>
            <w:shd w:val="pct20" w:color="auto" w:fill="auto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b/>
                <w:bCs/>
                <w:sz w:val="18"/>
              </w:rPr>
            </w:pPr>
            <w:r w:rsidRPr="00FD0A79">
              <w:rPr>
                <w:rFonts w:asciiTheme="minorHAnsi" w:hAnsiTheme="minorHAnsi"/>
                <w:b/>
                <w:bCs/>
                <w:sz w:val="18"/>
              </w:rPr>
              <w:t>Rok 2011</w:t>
            </w:r>
          </w:p>
        </w:tc>
        <w:tc>
          <w:tcPr>
            <w:tcW w:w="1466" w:type="dxa"/>
            <w:shd w:val="pct20" w:color="auto" w:fill="auto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b/>
                <w:bCs/>
                <w:sz w:val="18"/>
              </w:rPr>
            </w:pPr>
            <w:r w:rsidRPr="00FD0A79">
              <w:rPr>
                <w:rFonts w:asciiTheme="minorHAnsi" w:hAnsiTheme="minorHAnsi"/>
                <w:b/>
                <w:bCs/>
                <w:sz w:val="18"/>
              </w:rPr>
              <w:t>Rok 2012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</w:t>
            </w:r>
            <w:r w:rsidR="00E5086D" w:rsidRPr="00FD0A79">
              <w:rPr>
                <w:rFonts w:asciiTheme="minorHAnsi" w:hAnsiTheme="minorHAnsi"/>
                <w:sz w:val="18"/>
              </w:rPr>
              <w:t>rimárna energetická spotreba (TJ)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664 367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658 257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K</w:t>
            </w:r>
            <w:r w:rsidR="00E5086D" w:rsidRPr="00FD0A79">
              <w:rPr>
                <w:rFonts w:asciiTheme="minorHAnsi" w:hAnsiTheme="minorHAnsi"/>
                <w:sz w:val="18"/>
              </w:rPr>
              <w:t>onečná energetická spotreba (TJ)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390 630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379 105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K</w:t>
            </w:r>
            <w:r w:rsidR="00E5086D" w:rsidRPr="00FD0A79">
              <w:rPr>
                <w:rFonts w:asciiTheme="minorHAnsi" w:hAnsiTheme="minorHAnsi"/>
                <w:sz w:val="18"/>
              </w:rPr>
              <w:t>onečná energetická spotreba – priemysel (TJ)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135 575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134 692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K</w:t>
            </w:r>
            <w:r w:rsidR="00E5086D" w:rsidRPr="00FD0A79">
              <w:rPr>
                <w:rFonts w:asciiTheme="minorHAnsi" w:hAnsiTheme="minorHAnsi"/>
                <w:sz w:val="18"/>
              </w:rPr>
              <w:t xml:space="preserve">onečná energetická spotreba – doprava (TJ) 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92 851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90 976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K</w:t>
            </w:r>
            <w:r w:rsidR="00E5086D" w:rsidRPr="00FD0A79">
              <w:rPr>
                <w:rFonts w:asciiTheme="minorHAnsi" w:hAnsiTheme="minorHAnsi"/>
                <w:sz w:val="18"/>
              </w:rPr>
              <w:t xml:space="preserve">onečná energetická spotreba – domácnosti (TJ) 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92 918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86 671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K</w:t>
            </w:r>
            <w:r w:rsidR="00E5086D" w:rsidRPr="00FD0A79">
              <w:rPr>
                <w:rFonts w:asciiTheme="minorHAnsi" w:hAnsiTheme="minorHAnsi"/>
                <w:sz w:val="18"/>
              </w:rPr>
              <w:t>onečná energetická spotreba – služby (TJ)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62 741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60 759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H</w:t>
            </w:r>
            <w:r w:rsidR="00E5086D" w:rsidRPr="00FD0A79">
              <w:rPr>
                <w:rFonts w:asciiTheme="minorHAnsi" w:hAnsiTheme="minorHAnsi"/>
                <w:sz w:val="18"/>
              </w:rPr>
              <w:t>rubá pridaná hodnota – priemysel - mil. EUR bežných cien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16 830,11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17 115,99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H</w:t>
            </w:r>
            <w:r w:rsidR="00E5086D" w:rsidRPr="00FD0A79">
              <w:rPr>
                <w:rFonts w:asciiTheme="minorHAnsi" w:hAnsiTheme="minorHAnsi"/>
                <w:sz w:val="18"/>
              </w:rPr>
              <w:t>rubá pridaná hodnota – služby - mil. EUR bežných cien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37 856,04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39 694,62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V</w:t>
            </w:r>
            <w:r w:rsidR="00E5086D" w:rsidRPr="00FD0A79">
              <w:rPr>
                <w:rFonts w:asciiTheme="minorHAnsi" w:hAnsiTheme="minorHAnsi"/>
                <w:sz w:val="18"/>
              </w:rPr>
              <w:t>ýroba elektriny v tepelných elektrárňach (</w:t>
            </w:r>
            <w:proofErr w:type="spellStart"/>
            <w:r w:rsidR="00E5086D" w:rsidRPr="00FD0A79">
              <w:rPr>
                <w:rFonts w:asciiTheme="minorHAnsi" w:hAnsiTheme="minorHAnsi"/>
                <w:sz w:val="18"/>
              </w:rPr>
              <w:t>GWh</w:t>
            </w:r>
            <w:proofErr w:type="spellEnd"/>
            <w:r w:rsidR="00E5086D" w:rsidRPr="00FD0A79"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8 619</w:t>
            </w:r>
          </w:p>
        </w:tc>
        <w:tc>
          <w:tcPr>
            <w:tcW w:w="1466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8 231</w:t>
            </w:r>
          </w:p>
        </w:tc>
      </w:tr>
      <w:tr w:rsidR="00E5086D" w:rsidRPr="00FD0A79" w:rsidTr="00773DF0">
        <w:tc>
          <w:tcPr>
            <w:tcW w:w="5778" w:type="dxa"/>
            <w:vAlign w:val="center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V</w:t>
            </w:r>
            <w:r w:rsidR="00E5086D" w:rsidRPr="00FD0A79">
              <w:rPr>
                <w:rFonts w:asciiTheme="minorHAnsi" w:hAnsiTheme="minorHAnsi"/>
                <w:sz w:val="18"/>
              </w:rPr>
              <w:t>ýroba elektriny z KVET (</w:t>
            </w:r>
            <w:proofErr w:type="spellStart"/>
            <w:r w:rsidR="00E5086D" w:rsidRPr="00FD0A79">
              <w:rPr>
                <w:rFonts w:asciiTheme="minorHAnsi" w:hAnsiTheme="minorHAnsi"/>
                <w:sz w:val="18"/>
              </w:rPr>
              <w:t>GWh</w:t>
            </w:r>
            <w:proofErr w:type="spellEnd"/>
            <w:r w:rsidR="00E5086D" w:rsidRPr="00FD0A79"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 xml:space="preserve">18 485 </w:t>
            </w:r>
          </w:p>
        </w:tc>
        <w:tc>
          <w:tcPr>
            <w:tcW w:w="1466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sz w:val="18"/>
              </w:rPr>
              <w:t xml:space="preserve">23 726 </w:t>
            </w:r>
          </w:p>
        </w:tc>
      </w:tr>
      <w:tr w:rsidR="00E5086D" w:rsidRPr="00FD0A79" w:rsidTr="00773DF0">
        <w:tc>
          <w:tcPr>
            <w:tcW w:w="5778" w:type="dxa"/>
            <w:vAlign w:val="center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V</w:t>
            </w:r>
            <w:r w:rsidR="00E5086D" w:rsidRPr="00FD0A79">
              <w:rPr>
                <w:rFonts w:asciiTheme="minorHAnsi" w:hAnsiTheme="minorHAnsi"/>
                <w:sz w:val="18"/>
              </w:rPr>
              <w:t>ýroba tepla v tepelných elektrárňach (TJ)</w:t>
            </w:r>
          </w:p>
        </w:tc>
        <w:tc>
          <w:tcPr>
            <w:tcW w:w="1560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96 130,8</w:t>
            </w:r>
          </w:p>
        </w:tc>
        <w:tc>
          <w:tcPr>
            <w:tcW w:w="1466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sz w:val="18"/>
              </w:rPr>
              <w:t>94 213</w:t>
            </w:r>
          </w:p>
        </w:tc>
      </w:tr>
      <w:tr w:rsidR="00E5086D" w:rsidRPr="00FD0A79" w:rsidTr="00773DF0">
        <w:tc>
          <w:tcPr>
            <w:tcW w:w="5778" w:type="dxa"/>
            <w:vAlign w:val="center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V</w:t>
            </w:r>
            <w:r w:rsidR="00E5086D" w:rsidRPr="00FD0A79">
              <w:rPr>
                <w:rFonts w:asciiTheme="minorHAnsi" w:hAnsiTheme="minorHAnsi"/>
                <w:sz w:val="18"/>
              </w:rPr>
              <w:t>ýroba tepla zo zariadení KVET vrátane odpadového tepla v priemysle (TJ)</w:t>
            </w:r>
          </w:p>
        </w:tc>
        <w:tc>
          <w:tcPr>
            <w:tcW w:w="1560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28 351,0</w:t>
            </w:r>
          </w:p>
        </w:tc>
        <w:tc>
          <w:tcPr>
            <w:tcW w:w="1466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sz w:val="18"/>
              </w:rPr>
              <w:t xml:space="preserve">40 905 </w:t>
            </w:r>
          </w:p>
        </w:tc>
      </w:tr>
      <w:tr w:rsidR="00E5086D" w:rsidRPr="00FD0A79" w:rsidTr="00773DF0">
        <w:tc>
          <w:tcPr>
            <w:tcW w:w="5778" w:type="dxa"/>
            <w:vAlign w:val="center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</w:t>
            </w:r>
            <w:r w:rsidR="00E5086D" w:rsidRPr="00FD0A79">
              <w:rPr>
                <w:rFonts w:asciiTheme="minorHAnsi" w:hAnsiTheme="minorHAnsi"/>
                <w:sz w:val="18"/>
              </w:rPr>
              <w:t>alivové vstupy v tepelných elektrárňach (TJ)</w:t>
            </w:r>
          </w:p>
        </w:tc>
        <w:tc>
          <w:tcPr>
            <w:tcW w:w="1560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131 946,1</w:t>
            </w:r>
          </w:p>
        </w:tc>
        <w:tc>
          <w:tcPr>
            <w:tcW w:w="1466" w:type="dxa"/>
            <w:vAlign w:val="center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sz w:val="18"/>
              </w:rPr>
              <w:t>128 602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tabs>
                <w:tab w:val="left" w:pos="4788"/>
              </w:tabs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</w:t>
            </w:r>
            <w:r w:rsidR="00E5086D" w:rsidRPr="00FD0A79">
              <w:rPr>
                <w:rFonts w:asciiTheme="minorHAnsi" w:hAnsiTheme="minorHAnsi"/>
                <w:sz w:val="18"/>
              </w:rPr>
              <w:t xml:space="preserve">isponibilný príjem domácností (EUR) EU SILC 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582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sz w:val="18"/>
              </w:rPr>
              <w:t>630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H</w:t>
            </w:r>
            <w:r w:rsidR="00E5086D" w:rsidRPr="00FD0A79">
              <w:rPr>
                <w:rFonts w:asciiTheme="minorHAnsi" w:hAnsiTheme="minorHAnsi"/>
                <w:sz w:val="18"/>
              </w:rPr>
              <w:t>rubý domáci produkt (HDP)- st. ceny r. 2005 (mld. Eur)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63,9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sz w:val="18"/>
              </w:rPr>
              <w:t>65,6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</w:t>
            </w:r>
            <w:r w:rsidR="00E5086D" w:rsidRPr="00FD0A79">
              <w:rPr>
                <w:rFonts w:asciiTheme="minorHAnsi" w:hAnsiTheme="minorHAnsi"/>
                <w:sz w:val="18"/>
              </w:rPr>
              <w:t xml:space="preserve">sobokilometre (mil. </w:t>
            </w:r>
            <w:proofErr w:type="spellStart"/>
            <w:r w:rsidR="00E5086D" w:rsidRPr="00FD0A79">
              <w:rPr>
                <w:rFonts w:asciiTheme="minorHAnsi" w:hAnsiTheme="minorHAnsi"/>
                <w:sz w:val="18"/>
              </w:rPr>
              <w:t>okm</w:t>
            </w:r>
            <w:proofErr w:type="spellEnd"/>
            <w:r w:rsidR="00E5086D" w:rsidRPr="00FD0A79">
              <w:rPr>
                <w:rFonts w:asciiTheme="minorHAnsi" w:hAnsiTheme="minorHAnsi"/>
                <w:sz w:val="18"/>
              </w:rPr>
              <w:t xml:space="preserve">) – </w:t>
            </w:r>
            <w:r w:rsidRPr="00FD0A79">
              <w:rPr>
                <w:rFonts w:asciiTheme="minorHAnsi" w:hAnsiTheme="minorHAnsi"/>
                <w:sz w:val="18"/>
              </w:rPr>
              <w:t>spolu za SR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9 165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sz w:val="18"/>
              </w:rPr>
              <w:t>9 175 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</w:t>
            </w:r>
            <w:r w:rsidR="00E5086D" w:rsidRPr="00FD0A79">
              <w:rPr>
                <w:rFonts w:asciiTheme="minorHAnsi" w:hAnsiTheme="minorHAnsi"/>
                <w:sz w:val="18"/>
              </w:rPr>
              <w:t xml:space="preserve">sobokilometre (mil. </w:t>
            </w:r>
            <w:proofErr w:type="spellStart"/>
            <w:r w:rsidR="00E5086D" w:rsidRPr="00FD0A79">
              <w:rPr>
                <w:rFonts w:asciiTheme="minorHAnsi" w:hAnsiTheme="minorHAnsi"/>
                <w:sz w:val="18"/>
              </w:rPr>
              <w:t>okm</w:t>
            </w:r>
            <w:proofErr w:type="spellEnd"/>
            <w:r w:rsidR="00E5086D" w:rsidRPr="00FD0A79">
              <w:rPr>
                <w:rFonts w:asciiTheme="minorHAnsi" w:hAnsiTheme="minorHAnsi"/>
                <w:sz w:val="18"/>
              </w:rPr>
              <w:t xml:space="preserve">) – cestná verejná doprava  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4 611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 xml:space="preserve">4 584  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</w:t>
            </w:r>
            <w:r w:rsidR="00E5086D" w:rsidRPr="00FD0A79">
              <w:rPr>
                <w:rFonts w:asciiTheme="minorHAnsi" w:hAnsiTheme="minorHAnsi"/>
                <w:sz w:val="18"/>
              </w:rPr>
              <w:t xml:space="preserve">onokilometre (mil. </w:t>
            </w:r>
            <w:proofErr w:type="spellStart"/>
            <w:r w:rsidR="00E5086D" w:rsidRPr="00FD0A79">
              <w:rPr>
                <w:rFonts w:asciiTheme="minorHAnsi" w:hAnsiTheme="minorHAnsi"/>
                <w:sz w:val="18"/>
              </w:rPr>
              <w:t>tkm</w:t>
            </w:r>
            <w:proofErr w:type="spellEnd"/>
            <w:r w:rsidR="00E5086D" w:rsidRPr="00FD0A79">
              <w:rPr>
                <w:rFonts w:asciiTheme="minorHAnsi" w:hAnsiTheme="minorHAnsi"/>
                <w:sz w:val="18"/>
              </w:rPr>
              <w:t>) – spolu za SR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38 029 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38 173 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493201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</w:t>
            </w:r>
            <w:r w:rsidR="00E5086D" w:rsidRPr="00FD0A79">
              <w:rPr>
                <w:rFonts w:asciiTheme="minorHAnsi" w:hAnsiTheme="minorHAnsi"/>
                <w:sz w:val="18"/>
              </w:rPr>
              <w:t xml:space="preserve">onokilometre (mil. </w:t>
            </w:r>
            <w:proofErr w:type="spellStart"/>
            <w:r w:rsidR="00E5086D" w:rsidRPr="00FD0A79">
              <w:rPr>
                <w:rFonts w:asciiTheme="minorHAnsi" w:hAnsiTheme="minorHAnsi"/>
                <w:sz w:val="18"/>
              </w:rPr>
              <w:t>tkm</w:t>
            </w:r>
            <w:proofErr w:type="spellEnd"/>
            <w:r w:rsidR="00E5086D" w:rsidRPr="00FD0A79">
              <w:rPr>
                <w:rFonts w:asciiTheme="minorHAnsi" w:hAnsiTheme="minorHAnsi"/>
                <w:sz w:val="18"/>
              </w:rPr>
              <w:t xml:space="preserve">) – cestná doprava  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29 044,5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sz w:val="18"/>
              </w:rPr>
              <w:t xml:space="preserve">29 504 </w:t>
            </w:r>
          </w:p>
        </w:tc>
      </w:tr>
      <w:tr w:rsidR="00E5086D" w:rsidRPr="00FD0A79" w:rsidTr="00773DF0">
        <w:tc>
          <w:tcPr>
            <w:tcW w:w="5778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sz w:val="18"/>
              </w:rPr>
              <w:t>Počet obyvateľov k 31.12 daného roka</w:t>
            </w:r>
          </w:p>
        </w:tc>
        <w:tc>
          <w:tcPr>
            <w:tcW w:w="1560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</w:rPr>
            </w:pPr>
            <w:r w:rsidRPr="00FD0A79">
              <w:rPr>
                <w:rFonts w:asciiTheme="minorHAnsi" w:hAnsiTheme="minorHAnsi"/>
                <w:bCs/>
                <w:sz w:val="18"/>
              </w:rPr>
              <w:t>5 404 322</w:t>
            </w:r>
          </w:p>
        </w:tc>
        <w:tc>
          <w:tcPr>
            <w:tcW w:w="1466" w:type="dxa"/>
          </w:tcPr>
          <w:p w:rsidR="00E5086D" w:rsidRPr="00FD0A79" w:rsidRDefault="00E5086D" w:rsidP="00773DF0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/>
                <w:sz w:val="18"/>
                <w:highlight w:val="yellow"/>
              </w:rPr>
            </w:pPr>
            <w:r w:rsidRPr="00FD0A79">
              <w:rPr>
                <w:rFonts w:asciiTheme="minorHAnsi" w:hAnsiTheme="minorHAnsi"/>
                <w:bCs/>
                <w:sz w:val="18"/>
              </w:rPr>
              <w:t>5 410 836</w:t>
            </w:r>
          </w:p>
        </w:tc>
      </w:tr>
    </w:tbl>
    <w:p w:rsidR="00E5086D" w:rsidRPr="003B1C8F" w:rsidRDefault="00E5086D" w:rsidP="00E5086D">
      <w:pPr>
        <w:pStyle w:val="Odsekzoznamu1"/>
        <w:spacing w:before="20" w:after="20" w:line="240" w:lineRule="auto"/>
        <w:ind w:left="113"/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  <w:i/>
        </w:rPr>
        <w:t xml:space="preserve">Zdroj: </w:t>
      </w:r>
      <w:r w:rsidR="0001000E">
        <w:rPr>
          <w:rFonts w:asciiTheme="minorHAnsi" w:eastAsiaTheme="minorHAnsi" w:hAnsiTheme="minorHAnsi" w:cstheme="minorBidi"/>
          <w:i/>
        </w:rPr>
        <w:t xml:space="preserve">Spracované </w:t>
      </w:r>
      <w:bookmarkStart w:id="0" w:name="_GoBack"/>
      <w:bookmarkEnd w:id="0"/>
      <w:r w:rsidR="0001000E">
        <w:rPr>
          <w:rFonts w:asciiTheme="minorHAnsi" w:eastAsiaTheme="minorHAnsi" w:hAnsiTheme="minorHAnsi" w:cstheme="minorBidi"/>
          <w:i/>
        </w:rPr>
        <w:t xml:space="preserve">na základe údajov </w:t>
      </w:r>
      <w:r>
        <w:rPr>
          <w:rFonts w:asciiTheme="minorHAnsi" w:eastAsiaTheme="minorHAnsi" w:hAnsiTheme="minorHAnsi" w:cstheme="minorBidi"/>
          <w:i/>
        </w:rPr>
        <w:t>ŠÚ</w:t>
      </w:r>
      <w:r w:rsidRPr="003B1C8F">
        <w:rPr>
          <w:rFonts w:asciiTheme="minorHAnsi" w:eastAsiaTheme="minorHAnsi" w:hAnsiTheme="minorHAnsi" w:cstheme="minorBidi"/>
          <w:i/>
        </w:rPr>
        <w:t>SR</w:t>
      </w:r>
    </w:p>
    <w:p w:rsidR="00E5086D" w:rsidRDefault="00E5086D" w:rsidP="00E5086D">
      <w:pPr>
        <w:rPr>
          <w:rFonts w:ascii="Arial Narrow" w:hAnsi="Arial Narrow" w:cs="Arial Narrow"/>
          <w:b/>
          <w:i/>
          <w:lang w:eastAsia="sk-SK"/>
        </w:rPr>
      </w:pPr>
      <w:r>
        <w:rPr>
          <w:rFonts w:ascii="Arial Narrow" w:hAnsi="Arial Narrow" w:cs="Arial Narrow"/>
          <w:b/>
          <w:i/>
          <w:lang w:eastAsia="sk-SK"/>
        </w:rPr>
        <w:br w:type="page"/>
      </w:r>
    </w:p>
    <w:p w:rsidR="00E5086D" w:rsidRDefault="00E5086D" w:rsidP="00E5086D">
      <w:pPr>
        <w:spacing w:line="240" w:lineRule="auto"/>
        <w:jc w:val="both"/>
        <w:rPr>
          <w:b/>
        </w:rPr>
      </w:pPr>
      <w:r w:rsidRPr="00487276">
        <w:rPr>
          <w:b/>
        </w:rPr>
        <w:lastRenderedPageBreak/>
        <w:t xml:space="preserve">2. Vývoj spotreby energie v jednotlivých sektoroch </w:t>
      </w:r>
    </w:p>
    <w:p w:rsidR="00493201" w:rsidRPr="009A7CAA" w:rsidRDefault="00493201" w:rsidP="00E5086D">
      <w:pPr>
        <w:spacing w:line="240" w:lineRule="auto"/>
        <w:jc w:val="both"/>
      </w:pPr>
      <w:r w:rsidRPr="009A7CAA">
        <w:t>Tabuľka č. 2 Vývoj spotreby energie v jednotlivých sektoroch  v rokoch 2002-2012 (TJ)</w:t>
      </w:r>
    </w:p>
    <w:tbl>
      <w:tblPr>
        <w:tblpPr w:leftFromText="141" w:rightFromText="141" w:vertAnchor="text" w:horzAnchor="margin" w:tblpXSpec="center" w:tblpY="41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3"/>
        <w:gridCol w:w="664"/>
        <w:gridCol w:w="752"/>
        <w:gridCol w:w="753"/>
        <w:gridCol w:w="753"/>
        <w:gridCol w:w="753"/>
        <w:gridCol w:w="752"/>
        <w:gridCol w:w="753"/>
        <w:gridCol w:w="753"/>
        <w:gridCol w:w="753"/>
        <w:gridCol w:w="694"/>
      </w:tblGrid>
      <w:tr w:rsidR="00E5086D" w:rsidRPr="004056CF" w:rsidTr="00773DF0">
        <w:trPr>
          <w:trHeight w:val="255"/>
        </w:trPr>
        <w:tc>
          <w:tcPr>
            <w:tcW w:w="1063" w:type="dxa"/>
            <w:shd w:val="pct20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753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2002</w:t>
            </w:r>
          </w:p>
        </w:tc>
        <w:tc>
          <w:tcPr>
            <w:tcW w:w="664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2003</w:t>
            </w:r>
          </w:p>
        </w:tc>
        <w:tc>
          <w:tcPr>
            <w:tcW w:w="752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2004</w:t>
            </w:r>
          </w:p>
        </w:tc>
        <w:tc>
          <w:tcPr>
            <w:tcW w:w="753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2005</w:t>
            </w:r>
          </w:p>
        </w:tc>
        <w:tc>
          <w:tcPr>
            <w:tcW w:w="753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2006</w:t>
            </w:r>
          </w:p>
        </w:tc>
        <w:tc>
          <w:tcPr>
            <w:tcW w:w="753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2007</w:t>
            </w:r>
          </w:p>
        </w:tc>
        <w:tc>
          <w:tcPr>
            <w:tcW w:w="752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2008</w:t>
            </w:r>
          </w:p>
        </w:tc>
        <w:tc>
          <w:tcPr>
            <w:tcW w:w="753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2009</w:t>
            </w:r>
          </w:p>
        </w:tc>
        <w:tc>
          <w:tcPr>
            <w:tcW w:w="753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2010</w:t>
            </w:r>
          </w:p>
        </w:tc>
        <w:tc>
          <w:tcPr>
            <w:tcW w:w="753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2011</w:t>
            </w:r>
          </w:p>
        </w:tc>
        <w:tc>
          <w:tcPr>
            <w:tcW w:w="694" w:type="dxa"/>
            <w:shd w:val="pct20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jc w:val="center"/>
              <w:rPr>
                <w:b/>
                <w:bCs/>
                <w:sz w:val="16"/>
                <w:highlight w:val="lightGray"/>
              </w:rPr>
            </w:pPr>
            <w:r w:rsidRPr="004056CF">
              <w:rPr>
                <w:b/>
                <w:bCs/>
                <w:sz w:val="16"/>
                <w:highlight w:val="lightGray"/>
              </w:rPr>
              <w:t>2012</w:t>
            </w:r>
          </w:p>
        </w:tc>
      </w:tr>
      <w:tr w:rsidR="00E5086D" w:rsidRPr="004056CF" w:rsidTr="00773DF0">
        <w:trPr>
          <w:trHeight w:val="255"/>
        </w:trPr>
        <w:tc>
          <w:tcPr>
            <w:tcW w:w="1063" w:type="dxa"/>
            <w:shd w:val="clear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KES celková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443 301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420 963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414 612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404 068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406 458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409 033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418 291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388 725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418 853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390 630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379 105</w:t>
            </w:r>
          </w:p>
        </w:tc>
      </w:tr>
      <w:tr w:rsidR="00E5086D" w:rsidRPr="004056CF" w:rsidTr="00773DF0">
        <w:trPr>
          <w:trHeight w:val="255"/>
        </w:trPr>
        <w:tc>
          <w:tcPr>
            <w:tcW w:w="1063" w:type="dxa"/>
            <w:shd w:val="clear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Priemysel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152 049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154 734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143 898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148 785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148 381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153 704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150 591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130 038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134 268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135 575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134 692</w:t>
            </w:r>
          </w:p>
        </w:tc>
      </w:tr>
      <w:tr w:rsidR="00E5086D" w:rsidRPr="004056CF" w:rsidTr="00773DF0">
        <w:trPr>
          <w:trHeight w:val="255"/>
        </w:trPr>
        <w:tc>
          <w:tcPr>
            <w:tcW w:w="1063" w:type="dxa"/>
            <w:shd w:val="clear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Doprava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74 834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66 932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64 469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74 846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76 496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85 004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91 490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81 895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94 303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92 851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90 976</w:t>
            </w:r>
          </w:p>
        </w:tc>
      </w:tr>
      <w:tr w:rsidR="00E5086D" w:rsidRPr="004056CF" w:rsidTr="00773DF0">
        <w:trPr>
          <w:trHeight w:val="255"/>
        </w:trPr>
        <w:tc>
          <w:tcPr>
            <w:tcW w:w="1063" w:type="dxa"/>
            <w:shd w:val="clear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Domácnosti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123 805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118 887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111 645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106 059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96 721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87 248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89 209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89 994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96 595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92 918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86 671</w:t>
            </w:r>
          </w:p>
        </w:tc>
      </w:tr>
      <w:tr w:rsidR="00E5086D" w:rsidRPr="004056CF" w:rsidTr="00773DF0">
        <w:trPr>
          <w:trHeight w:val="255"/>
        </w:trPr>
        <w:tc>
          <w:tcPr>
            <w:tcW w:w="1063" w:type="dxa"/>
            <w:shd w:val="clear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rPr>
                <w:b/>
                <w:bCs/>
                <w:sz w:val="16"/>
              </w:rPr>
            </w:pPr>
            <w:proofErr w:type="spellStart"/>
            <w:r w:rsidRPr="004056CF">
              <w:rPr>
                <w:b/>
                <w:bCs/>
                <w:sz w:val="16"/>
              </w:rPr>
              <w:t>Pôdohospo</w:t>
            </w:r>
            <w:r>
              <w:rPr>
                <w:b/>
                <w:bCs/>
                <w:sz w:val="16"/>
              </w:rPr>
              <w:t>-</w:t>
            </w:r>
            <w:r w:rsidRPr="004056CF">
              <w:rPr>
                <w:b/>
                <w:bCs/>
                <w:sz w:val="16"/>
              </w:rPr>
              <w:t>dárstvo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6 872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6 608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6 920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6 847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5 895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5 673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5 839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5 393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5 589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6 545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6 007</w:t>
            </w:r>
          </w:p>
        </w:tc>
      </w:tr>
      <w:tr w:rsidR="00E5086D" w:rsidRPr="004056CF" w:rsidTr="00773DF0">
        <w:trPr>
          <w:trHeight w:val="255"/>
        </w:trPr>
        <w:tc>
          <w:tcPr>
            <w:tcW w:w="1063" w:type="dxa"/>
            <w:shd w:val="clear" w:color="auto" w:fill="auto"/>
            <w:vAlign w:val="center"/>
          </w:tcPr>
          <w:p w:rsidR="00E5086D" w:rsidRPr="004056CF" w:rsidRDefault="00E5086D" w:rsidP="00773DF0">
            <w:pPr>
              <w:spacing w:before="20" w:after="20"/>
              <w:rPr>
                <w:b/>
                <w:bCs/>
                <w:sz w:val="16"/>
              </w:rPr>
            </w:pPr>
            <w:r w:rsidRPr="004056CF">
              <w:rPr>
                <w:b/>
                <w:bCs/>
                <w:sz w:val="16"/>
              </w:rPr>
              <w:t>Obchod a služby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85 741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73 802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87 680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67 531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78 965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77 404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81 162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81 405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88 098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62 741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E5086D" w:rsidRPr="004056CF" w:rsidRDefault="00E5086D" w:rsidP="00773DF0">
            <w:pPr>
              <w:spacing w:before="20" w:after="20"/>
              <w:jc w:val="right"/>
              <w:rPr>
                <w:sz w:val="16"/>
                <w:szCs w:val="18"/>
              </w:rPr>
            </w:pPr>
            <w:r w:rsidRPr="004056CF">
              <w:rPr>
                <w:sz w:val="16"/>
                <w:szCs w:val="18"/>
              </w:rPr>
              <w:t>60 759</w:t>
            </w:r>
          </w:p>
        </w:tc>
      </w:tr>
    </w:tbl>
    <w:p w:rsidR="00E5086D" w:rsidRPr="003B1C8F" w:rsidRDefault="00E5086D" w:rsidP="00E5086D">
      <w:pPr>
        <w:pStyle w:val="Odsekzoznamu1"/>
        <w:spacing w:before="20" w:after="20" w:line="240" w:lineRule="auto"/>
        <w:ind w:left="113"/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  <w:i/>
        </w:rPr>
        <w:t>Zdroj: ŠÚ</w:t>
      </w:r>
      <w:r w:rsidRPr="003B1C8F">
        <w:rPr>
          <w:rFonts w:asciiTheme="minorHAnsi" w:eastAsiaTheme="minorHAnsi" w:hAnsiTheme="minorHAnsi" w:cstheme="minorBidi"/>
          <w:i/>
        </w:rPr>
        <w:t>SR</w:t>
      </w:r>
    </w:p>
    <w:p w:rsidR="00E5086D" w:rsidRPr="00170769" w:rsidRDefault="00E5086D" w:rsidP="00E5086D">
      <w:pPr>
        <w:pStyle w:val="Odsekzoznamu1"/>
        <w:spacing w:before="20" w:after="20" w:line="240" w:lineRule="auto"/>
        <w:ind w:left="113"/>
        <w:rPr>
          <w:rFonts w:ascii="Arial Narrow" w:hAnsi="Arial Narrow"/>
          <w:i/>
          <w:iCs/>
          <w:sz w:val="18"/>
          <w:szCs w:val="18"/>
        </w:rPr>
      </w:pPr>
    </w:p>
    <w:p w:rsidR="00E5086D" w:rsidRPr="00FD0A79" w:rsidRDefault="00E5086D" w:rsidP="00E5086D">
      <w:pPr>
        <w:spacing w:line="240" w:lineRule="auto"/>
        <w:jc w:val="both"/>
        <w:rPr>
          <w:rFonts w:cs="Arial Narrow"/>
          <w:lang w:eastAsia="sk-SK"/>
        </w:rPr>
      </w:pPr>
      <w:r w:rsidRPr="00FD0A79">
        <w:t xml:space="preserve">Konečná energetická spotreba má klesajúci trend. Tradične má priemysel v SR vedúce miesto v spotrebe energie, za ním nasleduje sektor dopravy, domácností a obchodov a služieb, </w:t>
      </w:r>
      <w:r w:rsidRPr="00FD0A79">
        <w:rPr>
          <w:rFonts w:cs="Arial Narrow"/>
          <w:lang w:eastAsia="sk-SK"/>
        </w:rPr>
        <w:t>pričom najmenší podiel na celkovej KES má pôdohospodárstvo</w:t>
      </w:r>
      <w:r w:rsidR="00493201">
        <w:rPr>
          <w:rFonts w:cs="Arial Narrow"/>
          <w:lang w:eastAsia="sk-SK"/>
        </w:rPr>
        <w:t xml:space="preserve"> (obr. č. 1)</w:t>
      </w:r>
      <w:r w:rsidRPr="00FD0A79">
        <w:rPr>
          <w:rFonts w:cs="Arial Narrow"/>
          <w:lang w:eastAsia="sk-SK"/>
        </w:rPr>
        <w:t>.</w:t>
      </w:r>
    </w:p>
    <w:p w:rsidR="00E5086D" w:rsidRPr="009A7CAA" w:rsidRDefault="00493201" w:rsidP="00E5086D">
      <w:pPr>
        <w:spacing w:line="240" w:lineRule="auto"/>
      </w:pPr>
      <w:r w:rsidRPr="009A7CAA">
        <w:t>Obr. č. 1 Konečná energetická spotreba v rokoch 2002-2012 podľa sektorov (TJ)</w:t>
      </w:r>
    </w:p>
    <w:p w:rsidR="00E5086D" w:rsidRDefault="00E5086D" w:rsidP="00E5086D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 wp14:anchorId="1F7FE33E" wp14:editId="083D80D7">
            <wp:extent cx="5484021" cy="2724150"/>
            <wp:effectExtent l="0" t="0" r="254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95" b="3980"/>
                    <a:stretch/>
                  </pic:blipFill>
                  <pic:spPr bwMode="auto">
                    <a:xfrm>
                      <a:off x="0" y="0"/>
                      <a:ext cx="5492750" cy="272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86D" w:rsidRPr="00487276" w:rsidRDefault="00E5086D" w:rsidP="00E5086D">
      <w:pPr>
        <w:pStyle w:val="Odsekzoznamu1"/>
        <w:spacing w:before="20" w:after="20" w:line="240" w:lineRule="auto"/>
        <w:ind w:left="113"/>
        <w:rPr>
          <w:rFonts w:asciiTheme="minorHAnsi" w:eastAsiaTheme="minorHAnsi" w:hAnsiTheme="minorHAnsi" w:cstheme="minorBidi"/>
          <w:i/>
        </w:rPr>
      </w:pPr>
      <w:r w:rsidRPr="00487276">
        <w:rPr>
          <w:rFonts w:asciiTheme="minorHAnsi" w:eastAsiaTheme="minorHAnsi" w:hAnsiTheme="minorHAnsi" w:cstheme="minorBidi"/>
          <w:i/>
        </w:rPr>
        <w:t>Zdroj: ŠÚSR</w:t>
      </w:r>
    </w:p>
    <w:p w:rsidR="00E5086D" w:rsidRDefault="00E5086D" w:rsidP="00E5086D">
      <w:pPr>
        <w:spacing w:line="240" w:lineRule="auto"/>
        <w:jc w:val="both"/>
      </w:pPr>
    </w:p>
    <w:p w:rsidR="00E5086D" w:rsidRPr="00FD0A79" w:rsidRDefault="00E5086D" w:rsidP="00E5086D">
      <w:pPr>
        <w:spacing w:line="240" w:lineRule="auto"/>
        <w:jc w:val="both"/>
      </w:pPr>
      <w:r w:rsidRPr="00FD0A79">
        <w:t>Priemysel</w:t>
      </w:r>
      <w:r>
        <w:t xml:space="preserve">: </w:t>
      </w:r>
      <w:r w:rsidRPr="00FD0A79">
        <w:t>Sektor priemyslu je najväčším spotrebiteľom energie. Konečná energetická spotreba v priemysle bola v roku 2011 na úrovni 134,6 PJ, čo predstavuje 35 % celkovej konečnej energetickej spotreby Slovenska. V roku 2012 vykázal sektor priemyslu pokles spotreby energie o 0,7%.</w:t>
      </w:r>
    </w:p>
    <w:p w:rsidR="00E5086D" w:rsidRPr="00FD0A79" w:rsidRDefault="00E5086D" w:rsidP="00E5086D">
      <w:pPr>
        <w:spacing w:line="240" w:lineRule="auto"/>
        <w:jc w:val="both"/>
      </w:pPr>
      <w:r w:rsidRPr="00FD0A79">
        <w:t>Doprava</w:t>
      </w:r>
      <w:r>
        <w:t xml:space="preserve">: </w:t>
      </w:r>
      <w:r w:rsidRPr="00FD0A79">
        <w:t xml:space="preserve">Spotreba energie v doprave už druhý rok vykazuje pokles o 2%. Z dlhodobého hľadiska je to však jediný sektor, v ktorom má konečná energetická spotreba stúpajúcu tendenciu. </w:t>
      </w:r>
    </w:p>
    <w:p w:rsidR="00E5086D" w:rsidRPr="00FD0A79" w:rsidRDefault="00E5086D" w:rsidP="00E5086D">
      <w:pPr>
        <w:spacing w:line="240" w:lineRule="auto"/>
        <w:jc w:val="both"/>
      </w:pPr>
      <w:r w:rsidRPr="00FD0A79">
        <w:t xml:space="preserve">Domácnosti: Spotreba energie v domácnostiach medziročne poklesla o 6,7%. </w:t>
      </w:r>
    </w:p>
    <w:p w:rsidR="00E5086D" w:rsidRPr="00FD0A79" w:rsidRDefault="00E5086D" w:rsidP="00E5086D">
      <w:pPr>
        <w:spacing w:line="240" w:lineRule="auto"/>
        <w:jc w:val="both"/>
      </w:pPr>
      <w:r w:rsidRPr="00FD0A79">
        <w:t xml:space="preserve">Obchod a služby: V roku 2011 vykazujeme výrazný pokles spotreby energie v sektore obchodu a služieb, pričom v roku 2012 ďalej klesala spotreba energie v sektore obchodu a služieb, medziročne o 3%. </w:t>
      </w:r>
    </w:p>
    <w:p w:rsidR="00E5086D" w:rsidRPr="00FD0A79" w:rsidRDefault="00E5086D" w:rsidP="00E5086D">
      <w:pPr>
        <w:spacing w:line="240" w:lineRule="auto"/>
        <w:jc w:val="both"/>
      </w:pPr>
      <w:r w:rsidRPr="00FD0A79">
        <w:lastRenderedPageBreak/>
        <w:t xml:space="preserve">Poľnohospodárstvo: Spotreba energie v poľnohospodárstve si udržuje stabilnú úroveň, v roku 2012 nasledoval mierny pokles spotreby. </w:t>
      </w:r>
    </w:p>
    <w:p w:rsidR="00E5086D" w:rsidRPr="00487276" w:rsidRDefault="00E5086D" w:rsidP="00E5086D">
      <w:pPr>
        <w:spacing w:line="240" w:lineRule="auto"/>
        <w:jc w:val="both"/>
        <w:rPr>
          <w:b/>
        </w:rPr>
      </w:pPr>
      <w:r w:rsidRPr="00487276">
        <w:rPr>
          <w:b/>
        </w:rPr>
        <w:t>3. Aktualizované informácie o legislatívnych a nelegislatívnych opatreniach realizovaných v roku 2013</w:t>
      </w:r>
    </w:p>
    <w:p w:rsidR="00E5086D" w:rsidRPr="00487276" w:rsidRDefault="00E5086D" w:rsidP="00E5086D">
      <w:pPr>
        <w:spacing w:line="240" w:lineRule="auto"/>
        <w:jc w:val="both"/>
      </w:pPr>
      <w:r w:rsidRPr="00487276">
        <w:t>V roku 2013 sa uskutočnili tieto opatrenia, ktoré prispeli k plneniu cieľa 2020:</w:t>
      </w:r>
    </w:p>
    <w:p w:rsidR="00E5086D" w:rsidRPr="00487276" w:rsidRDefault="00E5086D" w:rsidP="00E5086D">
      <w:pPr>
        <w:spacing w:line="240" w:lineRule="auto"/>
        <w:jc w:val="both"/>
      </w:pPr>
      <w:r w:rsidRPr="00487276">
        <w:t xml:space="preserve">Opatrenia sú súčasťou Akčného plánu energetickej efektívnosti na roky 2014-2016 s výhľadom do roku 2020 (ktorého súčasťou je táto správa). </w:t>
      </w:r>
    </w:p>
    <w:p w:rsidR="00E5086D" w:rsidRPr="00487276" w:rsidRDefault="00E5086D" w:rsidP="00E5086D">
      <w:pPr>
        <w:spacing w:line="240" w:lineRule="auto"/>
        <w:jc w:val="both"/>
        <w:rPr>
          <w:b/>
        </w:rPr>
      </w:pPr>
      <w:r w:rsidRPr="00487276">
        <w:rPr>
          <w:b/>
        </w:rPr>
        <w:t>4. Celková podlahová plocha budov s celkovou podlahovou plochou viac ako 500m2 vo vlastníctve a v užívaní ústredných orgánov štátnej správy, ktoré nespĺňajú národné minimálne požiada</w:t>
      </w:r>
      <w:r>
        <w:rPr>
          <w:b/>
        </w:rPr>
        <w:t>vky energetickej hospodárnosti</w:t>
      </w:r>
    </w:p>
    <w:p w:rsidR="00E5086D" w:rsidRPr="00487276" w:rsidRDefault="00E5086D" w:rsidP="00E5086D">
      <w:pPr>
        <w:spacing w:line="240" w:lineRule="auto"/>
        <w:jc w:val="both"/>
      </w:pPr>
      <w:r w:rsidRPr="00487276">
        <w:t>445 791 m2</w:t>
      </w:r>
    </w:p>
    <w:p w:rsidR="00E5086D" w:rsidRPr="00487276" w:rsidRDefault="00E5086D" w:rsidP="00E5086D">
      <w:pPr>
        <w:spacing w:line="240" w:lineRule="auto"/>
        <w:jc w:val="both"/>
        <w:rPr>
          <w:b/>
        </w:rPr>
      </w:pPr>
      <w:r w:rsidRPr="00487276">
        <w:rPr>
          <w:b/>
        </w:rPr>
        <w:t>5. Celková podlahová plocha vykurovaných a chladených budov s celkovou podlahovou plochou viac ako 500m</w:t>
      </w:r>
      <w:r w:rsidRPr="004A1855">
        <w:rPr>
          <w:b/>
          <w:vertAlign w:val="superscript"/>
        </w:rPr>
        <w:t>2</w:t>
      </w:r>
      <w:r w:rsidRPr="00487276">
        <w:rPr>
          <w:b/>
        </w:rPr>
        <w:t xml:space="preserve"> vo vlastníctve a v užívaní ústredných orgánov štátnej správy, ktorá bola obnovená na aspoň národné minimálne požiad</w:t>
      </w:r>
      <w:r>
        <w:rPr>
          <w:b/>
        </w:rPr>
        <w:t>avky energetickej hospodárnosti</w:t>
      </w:r>
    </w:p>
    <w:p w:rsidR="00E5086D" w:rsidRPr="00487276" w:rsidRDefault="00E5086D" w:rsidP="00E5086D">
      <w:pPr>
        <w:spacing w:after="0" w:line="240" w:lineRule="auto"/>
        <w:jc w:val="both"/>
      </w:pPr>
      <w:r>
        <w:t xml:space="preserve">Nakoľko povinnosť vyplývajúca z článku 5 ods. 1 a ods. 6 smernice 2012/27/EÚ sa vzťahuje na obdobie  od 01.01.2014, za rok 2013 sa tieto informácie neuvádzajú. </w:t>
      </w:r>
      <w:r w:rsidRPr="00487276">
        <w:t xml:space="preserve">V súčasnosti prebieha zisťovanie o budovách v správe ústredných orgánov štátnej správy. Tieto informácie budú dostupné v priebehu roku 2014. </w:t>
      </w:r>
    </w:p>
    <w:p w:rsidR="00E5086D" w:rsidRPr="00487276" w:rsidRDefault="00E5086D" w:rsidP="00E5086D">
      <w:pPr>
        <w:spacing w:line="240" w:lineRule="auto"/>
        <w:jc w:val="both"/>
      </w:pPr>
    </w:p>
    <w:p w:rsidR="00E5086D" w:rsidRPr="004A1855" w:rsidRDefault="00E5086D" w:rsidP="00E5086D">
      <w:pPr>
        <w:spacing w:line="240" w:lineRule="auto"/>
        <w:jc w:val="both"/>
        <w:rPr>
          <w:b/>
        </w:rPr>
      </w:pPr>
      <w:r w:rsidRPr="004A1855">
        <w:rPr>
          <w:b/>
        </w:rPr>
        <w:t>6. Objem úspor energie dosiahnutý v re</w:t>
      </w:r>
      <w:r>
        <w:rPr>
          <w:b/>
        </w:rPr>
        <w:t>levantných budovách za rok 2013</w:t>
      </w:r>
    </w:p>
    <w:p w:rsidR="00E5086D" w:rsidRPr="00487276" w:rsidRDefault="00E5086D" w:rsidP="00E5086D">
      <w:pPr>
        <w:spacing w:after="0" w:line="240" w:lineRule="auto"/>
        <w:jc w:val="both"/>
      </w:pPr>
      <w:r>
        <w:t xml:space="preserve">Nakoľko povinnosť vyplývajúca z článku 5 ods. 1 a ods. 6 smernice 2012/27/EÚ sa vzťahuje na obdobie  od 01.01.2014, za rok 2013 sa tieto informácie neuvádzajú. </w:t>
      </w:r>
      <w:r w:rsidRPr="00487276">
        <w:t xml:space="preserve">V súčasnosti prebieha zisťovanie o budovách v správe ústredných orgánov štátnej správy. Tieto informácie budú dostupné v priebehu roku 2014. </w:t>
      </w:r>
    </w:p>
    <w:p w:rsidR="00E5086D" w:rsidRPr="00487276" w:rsidRDefault="00E5086D" w:rsidP="00E5086D">
      <w:pPr>
        <w:spacing w:line="240" w:lineRule="auto"/>
        <w:jc w:val="both"/>
      </w:pPr>
    </w:p>
    <w:p w:rsidR="00E5086D" w:rsidRPr="004A1855" w:rsidRDefault="00E5086D" w:rsidP="00E5086D">
      <w:pPr>
        <w:spacing w:line="240" w:lineRule="auto"/>
        <w:jc w:val="both"/>
        <w:rPr>
          <w:b/>
        </w:rPr>
      </w:pPr>
      <w:r w:rsidRPr="004A1855">
        <w:rPr>
          <w:b/>
        </w:rPr>
        <w:t>7. Úspory energie dosiahnuté pomocou povinných schém úspor energie, al</w:t>
      </w:r>
      <w:r>
        <w:rPr>
          <w:b/>
        </w:rPr>
        <w:t>ebo alternatívnymi opatreniami</w:t>
      </w:r>
    </w:p>
    <w:p w:rsidR="00E5086D" w:rsidRPr="00487276" w:rsidRDefault="00E5086D" w:rsidP="00E5086D">
      <w:pPr>
        <w:spacing w:after="0" w:line="240" w:lineRule="auto"/>
        <w:jc w:val="both"/>
      </w:pPr>
      <w:r>
        <w:t>Nakoľko povinnosť vyplývajúca z článku 7 smernice 2012/27/EÚ sa vzťahuje na obdobie  od 01.01.2014, za rok 2013 sa tieto informácie neuvádzajú.</w:t>
      </w:r>
    </w:p>
    <w:p w:rsidR="00E5086D" w:rsidRDefault="00E5086D" w:rsidP="00E5086D"/>
    <w:p w:rsidR="00E5086D" w:rsidRDefault="00E5086D" w:rsidP="00E5086D"/>
    <w:p w:rsidR="007759AC" w:rsidRDefault="007759AC"/>
    <w:sectPr w:rsidR="0077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21027"/>
    <w:multiLevelType w:val="hybridMultilevel"/>
    <w:tmpl w:val="B0F2CE20"/>
    <w:lvl w:ilvl="0" w:tplc="552CE5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6D"/>
    <w:rsid w:val="0001000E"/>
    <w:rsid w:val="000F5F4D"/>
    <w:rsid w:val="00493201"/>
    <w:rsid w:val="00543D1A"/>
    <w:rsid w:val="007759AC"/>
    <w:rsid w:val="009A7CAA"/>
    <w:rsid w:val="00DC05BC"/>
    <w:rsid w:val="00E5086D"/>
    <w:rsid w:val="00F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086D"/>
  </w:style>
  <w:style w:type="paragraph" w:styleId="Nadpis1">
    <w:name w:val="heading 1"/>
    <w:basedOn w:val="Normlny"/>
    <w:next w:val="Normlny"/>
    <w:link w:val="Nadpis1Char"/>
    <w:uiPriority w:val="9"/>
    <w:qFormat/>
    <w:rsid w:val="00E50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0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0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50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5086D"/>
    <w:pPr>
      <w:ind w:left="720"/>
      <w:contextualSpacing/>
    </w:pPr>
  </w:style>
  <w:style w:type="table" w:styleId="Mriekatabuky">
    <w:name w:val="Table Grid"/>
    <w:basedOn w:val="Normlnatabuka"/>
    <w:rsid w:val="00E5086D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E5086D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86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932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32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32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32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32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086D"/>
  </w:style>
  <w:style w:type="paragraph" w:styleId="Nadpis1">
    <w:name w:val="heading 1"/>
    <w:basedOn w:val="Normlny"/>
    <w:next w:val="Normlny"/>
    <w:link w:val="Nadpis1Char"/>
    <w:uiPriority w:val="9"/>
    <w:qFormat/>
    <w:rsid w:val="00E50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0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0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50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5086D"/>
    <w:pPr>
      <w:ind w:left="720"/>
      <w:contextualSpacing/>
    </w:pPr>
  </w:style>
  <w:style w:type="table" w:styleId="Mriekatabuky">
    <w:name w:val="Table Grid"/>
    <w:basedOn w:val="Normlnatabuka"/>
    <w:rsid w:val="00E5086D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E5086D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86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932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32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32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32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32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Korytarova Katarina</dc:creator>
  <cp:lastModifiedBy>Korytarova Katarina</cp:lastModifiedBy>
  <cp:revision>3</cp:revision>
  <dcterms:created xsi:type="dcterms:W3CDTF">2014-06-24T08:48:00Z</dcterms:created>
  <dcterms:modified xsi:type="dcterms:W3CDTF">2014-06-24T08:48:00Z</dcterms:modified>
</cp:coreProperties>
</file>