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6E" w:rsidRDefault="00C6246E" w:rsidP="00C6246E">
      <w:pPr>
        <w:ind w:right="-108"/>
        <w:jc w:val="center"/>
        <w:rPr>
          <w:b/>
          <w:bCs/>
          <w:sz w:val="28"/>
          <w:szCs w:val="28"/>
        </w:rPr>
      </w:pPr>
      <w:bookmarkStart w:id="0" w:name="_GoBack"/>
      <w:bookmarkEnd w:id="0"/>
      <w:r>
        <w:rPr>
          <w:b/>
          <w:bCs/>
          <w:sz w:val="28"/>
          <w:szCs w:val="28"/>
        </w:rPr>
        <w:t>Doložka vybraných vplyvov</w:t>
      </w:r>
    </w:p>
    <w:p w:rsidR="00C6246E" w:rsidRDefault="00C6246E" w:rsidP="00C6246E">
      <w:pPr>
        <w:ind w:right="-108"/>
        <w:jc w:val="center"/>
        <w:rPr>
          <w:b/>
          <w:bCs/>
          <w:sz w:val="28"/>
          <w:szCs w:val="28"/>
        </w:rPr>
      </w:pPr>
    </w:p>
    <w:p w:rsidR="00C6246E" w:rsidRDefault="00C6246E" w:rsidP="00C6246E">
      <w:pPr>
        <w:rPr>
          <w:b/>
          <w:bCs/>
        </w:rPr>
      </w:pPr>
    </w:p>
    <w:p w:rsidR="00C6246E" w:rsidRDefault="00C6246E" w:rsidP="00C6246E">
      <w:pPr>
        <w:rPr>
          <w:b/>
          <w:bCs/>
        </w:rPr>
      </w:pPr>
    </w:p>
    <w:p w:rsidR="000D2158" w:rsidRDefault="00C6246E" w:rsidP="00C6246E">
      <w:pPr>
        <w:rPr>
          <w:b/>
          <w:bCs/>
        </w:rPr>
      </w:pPr>
      <w:r>
        <w:rPr>
          <w:b/>
          <w:bCs/>
        </w:rPr>
        <w:t>A.1. Názov materiálu:</w:t>
      </w:r>
      <w:r w:rsidR="000D2158">
        <w:rPr>
          <w:b/>
          <w:bCs/>
        </w:rPr>
        <w:t xml:space="preserve"> </w:t>
      </w:r>
    </w:p>
    <w:p w:rsidR="00D1563C" w:rsidRDefault="000D2158" w:rsidP="00D1563C">
      <w:pPr>
        <w:pStyle w:val="Nadpis2"/>
        <w:jc w:val="both"/>
        <w:rPr>
          <w:rFonts w:ascii="Times New Roman" w:hAnsi="Times New Roman"/>
          <w:kern w:val="32"/>
          <w:sz w:val="24"/>
          <w:szCs w:val="24"/>
        </w:rPr>
      </w:pPr>
      <w:r>
        <w:rPr>
          <w:bCs/>
        </w:rPr>
        <w:t xml:space="preserve"> </w:t>
      </w:r>
      <w:r w:rsidRPr="000D2158">
        <w:rPr>
          <w:bCs/>
        </w:rPr>
        <w:t xml:space="preserve">       </w:t>
      </w:r>
      <w:r w:rsidR="00D1563C">
        <w:rPr>
          <w:bCs/>
        </w:rPr>
        <w:t>N</w:t>
      </w:r>
      <w:r w:rsidR="00D1563C" w:rsidRPr="005A1895">
        <w:rPr>
          <w:rFonts w:ascii="Times New Roman" w:hAnsi="Times New Roman"/>
          <w:sz w:val="24"/>
          <w:szCs w:val="24"/>
        </w:rPr>
        <w:t xml:space="preserve">ávrh </w:t>
      </w:r>
      <w:r w:rsidR="00D1563C" w:rsidRPr="005A1895">
        <w:rPr>
          <w:rFonts w:ascii="Times New Roman" w:hAnsi="Times New Roman"/>
          <w:kern w:val="32"/>
          <w:sz w:val="24"/>
          <w:szCs w:val="24"/>
        </w:rPr>
        <w:t>Celoštátnej stratégie rodovej rovnosti a Akčného plán</w:t>
      </w:r>
      <w:r w:rsidR="00D1563C">
        <w:rPr>
          <w:rFonts w:ascii="Times New Roman" w:hAnsi="Times New Roman"/>
          <w:kern w:val="32"/>
          <w:sz w:val="24"/>
          <w:szCs w:val="24"/>
        </w:rPr>
        <w:t>u</w:t>
      </w:r>
      <w:r w:rsidR="00D1563C" w:rsidRPr="005A1895">
        <w:rPr>
          <w:rFonts w:ascii="Times New Roman" w:hAnsi="Times New Roman"/>
          <w:kern w:val="32"/>
          <w:sz w:val="24"/>
          <w:szCs w:val="24"/>
        </w:rPr>
        <w:t xml:space="preserve"> rodovej rovnosti </w:t>
      </w:r>
    </w:p>
    <w:p w:rsidR="00C6246E" w:rsidRPr="000D2158" w:rsidRDefault="00D1563C" w:rsidP="00D1563C">
      <w:pPr>
        <w:rPr>
          <w:bCs/>
        </w:rPr>
      </w:pPr>
      <w:r>
        <w:rPr>
          <w:kern w:val="32"/>
        </w:rPr>
        <w:t xml:space="preserve">        </w:t>
      </w:r>
      <w:r w:rsidRPr="005A1895">
        <w:rPr>
          <w:kern w:val="32"/>
        </w:rPr>
        <w:t>na roky 2014 - 2019</w:t>
      </w:r>
    </w:p>
    <w:p w:rsidR="000D2158" w:rsidRDefault="00C6246E" w:rsidP="00C6246E">
      <w:pPr>
        <w:rPr>
          <w:b/>
          <w:bCs/>
        </w:rPr>
      </w:pPr>
      <w:r>
        <w:rPr>
          <w:b/>
          <w:bCs/>
        </w:rPr>
        <w:t xml:space="preserve"> </w:t>
      </w:r>
    </w:p>
    <w:p w:rsidR="00C6246E" w:rsidRDefault="00C6246E" w:rsidP="00C6246E">
      <w:pPr>
        <w:rPr>
          <w:b/>
          <w:bCs/>
        </w:rPr>
      </w:pPr>
      <w:r>
        <w:rPr>
          <w:b/>
          <w:bCs/>
        </w:rPr>
        <w:t xml:space="preserve">       Termín začatia a ukončenia PPK:</w:t>
      </w:r>
      <w:r w:rsidR="000D2158">
        <w:rPr>
          <w:b/>
          <w:bCs/>
        </w:rPr>
        <w:t xml:space="preserve"> </w:t>
      </w:r>
      <w:r w:rsidR="00515413" w:rsidRPr="00515413">
        <w:rPr>
          <w:bCs/>
        </w:rPr>
        <w:t>1</w:t>
      </w:r>
      <w:r w:rsidR="00990D42">
        <w:rPr>
          <w:bCs/>
        </w:rPr>
        <w:t>6</w:t>
      </w:r>
      <w:r w:rsidR="000D2158" w:rsidRPr="00515413">
        <w:rPr>
          <w:bCs/>
        </w:rPr>
        <w:t>.</w:t>
      </w:r>
      <w:r w:rsidR="001371DD">
        <w:rPr>
          <w:bCs/>
        </w:rPr>
        <w:t xml:space="preserve"> </w:t>
      </w:r>
      <w:r w:rsidR="00515413">
        <w:rPr>
          <w:bCs/>
        </w:rPr>
        <w:t>0</w:t>
      </w:r>
      <w:r w:rsidR="00D1563C">
        <w:rPr>
          <w:bCs/>
        </w:rPr>
        <w:t>9</w:t>
      </w:r>
      <w:r w:rsidR="000D2158" w:rsidRPr="001371DD">
        <w:rPr>
          <w:bCs/>
        </w:rPr>
        <w:t>. –</w:t>
      </w:r>
      <w:r w:rsidR="007C3B6B">
        <w:rPr>
          <w:bCs/>
        </w:rPr>
        <w:t xml:space="preserve"> </w:t>
      </w:r>
      <w:r w:rsidR="000F58C8">
        <w:rPr>
          <w:bCs/>
        </w:rPr>
        <w:t>2</w:t>
      </w:r>
      <w:r w:rsidR="00D1563C">
        <w:rPr>
          <w:bCs/>
        </w:rPr>
        <w:t>4</w:t>
      </w:r>
      <w:r w:rsidR="000D2158" w:rsidRPr="001371DD">
        <w:rPr>
          <w:bCs/>
        </w:rPr>
        <w:t>.</w:t>
      </w:r>
      <w:r w:rsidR="001371DD">
        <w:rPr>
          <w:bCs/>
        </w:rPr>
        <w:t xml:space="preserve"> </w:t>
      </w:r>
      <w:r w:rsidR="00515413">
        <w:rPr>
          <w:bCs/>
        </w:rPr>
        <w:t>0</w:t>
      </w:r>
      <w:r w:rsidR="00D1563C">
        <w:rPr>
          <w:bCs/>
        </w:rPr>
        <w:t>9</w:t>
      </w:r>
      <w:r w:rsidR="000D2158" w:rsidRPr="001371DD">
        <w:rPr>
          <w:bCs/>
        </w:rPr>
        <w:t>. 201</w:t>
      </w:r>
      <w:r w:rsidR="007C3B6B">
        <w:rPr>
          <w:bCs/>
        </w:rPr>
        <w:t>4</w:t>
      </w:r>
    </w:p>
    <w:p w:rsidR="00C6246E" w:rsidRDefault="00C6246E" w:rsidP="00C6246E">
      <w:pPr>
        <w:rPr>
          <w:b/>
          <w:bCs/>
        </w:rPr>
      </w:pPr>
    </w:p>
    <w:p w:rsidR="00C6246E" w:rsidRDefault="00C6246E" w:rsidP="00C6246E">
      <w:pPr>
        <w:rPr>
          <w:b/>
          <w:bCs/>
        </w:rPr>
      </w:pPr>
      <w:r>
        <w:rPr>
          <w:b/>
          <w:bCs/>
        </w:rPr>
        <w:t>A.2. Vplyvy:</w:t>
      </w:r>
    </w:p>
    <w:p w:rsidR="00C6246E" w:rsidRDefault="00C6246E" w:rsidP="00C6246E"/>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26"/>
        <w:gridCol w:w="1242"/>
        <w:gridCol w:w="1260"/>
        <w:gridCol w:w="1336"/>
      </w:tblGrid>
      <w:tr w:rsidR="00C6246E" w:rsidTr="00C6246E">
        <w:tc>
          <w:tcPr>
            <w:tcW w:w="3726" w:type="dxa"/>
          </w:tcPr>
          <w:p w:rsidR="00C6246E" w:rsidRDefault="00C6246E" w:rsidP="00C6246E"/>
        </w:tc>
        <w:tc>
          <w:tcPr>
            <w:tcW w:w="1242" w:type="dxa"/>
            <w:vAlign w:val="center"/>
          </w:tcPr>
          <w:p w:rsidR="00C6246E" w:rsidRDefault="00C6246E" w:rsidP="00C6246E">
            <w:pPr>
              <w:jc w:val="center"/>
            </w:pPr>
            <w:r>
              <w:t>Pozitívne</w:t>
            </w:r>
            <w:r>
              <w:rPr>
                <w:vertAlign w:val="superscript"/>
              </w:rPr>
              <w:t>*</w:t>
            </w:r>
            <w:r>
              <w:t xml:space="preserve"> </w:t>
            </w:r>
          </w:p>
        </w:tc>
        <w:tc>
          <w:tcPr>
            <w:tcW w:w="1260" w:type="dxa"/>
            <w:vAlign w:val="center"/>
          </w:tcPr>
          <w:p w:rsidR="00C6246E" w:rsidRDefault="00C6246E" w:rsidP="00C6246E">
            <w:pPr>
              <w:jc w:val="center"/>
            </w:pPr>
            <w:r>
              <w:t>Žiadne</w:t>
            </w:r>
            <w:r>
              <w:rPr>
                <w:vertAlign w:val="superscript"/>
              </w:rPr>
              <w:t>*</w:t>
            </w:r>
          </w:p>
        </w:tc>
        <w:tc>
          <w:tcPr>
            <w:tcW w:w="1336" w:type="dxa"/>
            <w:vAlign w:val="center"/>
          </w:tcPr>
          <w:p w:rsidR="00C6246E" w:rsidRDefault="00C6246E" w:rsidP="00C6246E">
            <w:pPr>
              <w:jc w:val="center"/>
            </w:pPr>
            <w:r>
              <w:t>Negatívne</w:t>
            </w:r>
            <w:r>
              <w:rPr>
                <w:vertAlign w:val="superscript"/>
              </w:rPr>
              <w:t>*</w:t>
            </w:r>
          </w:p>
        </w:tc>
      </w:tr>
      <w:tr w:rsidR="00C6246E" w:rsidTr="00C6246E">
        <w:tc>
          <w:tcPr>
            <w:tcW w:w="3726" w:type="dxa"/>
          </w:tcPr>
          <w:p w:rsidR="00C6246E" w:rsidRPr="00915AFF" w:rsidRDefault="00C6246E" w:rsidP="00C6246E">
            <w:pPr>
              <w:rPr>
                <w:bCs/>
                <w:sz w:val="22"/>
                <w:szCs w:val="22"/>
              </w:rPr>
            </w:pPr>
            <w:r w:rsidRPr="00915AFF">
              <w:rPr>
                <w:bCs/>
                <w:sz w:val="22"/>
                <w:szCs w:val="22"/>
              </w:rPr>
              <w:t>1. Vplyvy na rozpočet verejnej správy</w:t>
            </w:r>
          </w:p>
          <w:p w:rsidR="00C6246E" w:rsidRPr="00915AFF" w:rsidRDefault="00C6246E" w:rsidP="00C6246E">
            <w:pPr>
              <w:rPr>
                <w:i/>
                <w:sz w:val="22"/>
                <w:szCs w:val="22"/>
              </w:rPr>
            </w:pPr>
          </w:p>
        </w:tc>
        <w:tc>
          <w:tcPr>
            <w:tcW w:w="1242" w:type="dxa"/>
          </w:tcPr>
          <w:p w:rsidR="00C6246E" w:rsidRDefault="00C6246E" w:rsidP="00C6246E">
            <w:pPr>
              <w:jc w:val="center"/>
            </w:pPr>
          </w:p>
        </w:tc>
        <w:tc>
          <w:tcPr>
            <w:tcW w:w="1260" w:type="dxa"/>
          </w:tcPr>
          <w:p w:rsidR="00C6246E" w:rsidRDefault="001371DD" w:rsidP="00C6246E">
            <w:pPr>
              <w:jc w:val="center"/>
            </w:pPr>
            <w:r>
              <w:t>X</w:t>
            </w:r>
          </w:p>
        </w:tc>
        <w:tc>
          <w:tcPr>
            <w:tcW w:w="1336" w:type="dxa"/>
          </w:tcPr>
          <w:p w:rsidR="00C6246E" w:rsidRDefault="00C6246E" w:rsidP="00C6246E">
            <w:pPr>
              <w:jc w:val="center"/>
            </w:pPr>
          </w:p>
        </w:tc>
      </w:tr>
      <w:tr w:rsidR="00C6246E" w:rsidTr="00C6246E">
        <w:tc>
          <w:tcPr>
            <w:tcW w:w="3726" w:type="dxa"/>
          </w:tcPr>
          <w:p w:rsidR="0074706A" w:rsidRDefault="00C6246E" w:rsidP="00C6246E">
            <w:pPr>
              <w:rPr>
                <w:bCs/>
                <w:sz w:val="22"/>
                <w:szCs w:val="22"/>
              </w:rPr>
            </w:pPr>
            <w:r w:rsidRPr="00915AFF">
              <w:rPr>
                <w:bCs/>
                <w:sz w:val="22"/>
                <w:szCs w:val="22"/>
              </w:rPr>
              <w:t xml:space="preserve">2. Vplyvy na podnikateľské prostredie – </w:t>
            </w:r>
            <w:r w:rsidR="0074706A">
              <w:rPr>
                <w:bCs/>
                <w:sz w:val="22"/>
                <w:szCs w:val="22"/>
              </w:rPr>
              <w:t xml:space="preserve"> </w:t>
            </w:r>
            <w:r w:rsidRPr="00915AFF">
              <w:rPr>
                <w:bCs/>
                <w:sz w:val="22"/>
                <w:szCs w:val="22"/>
              </w:rPr>
              <w:t xml:space="preserve">dochádza k zvýšeniu regulačného </w:t>
            </w:r>
            <w:r w:rsidR="0074706A">
              <w:rPr>
                <w:bCs/>
                <w:sz w:val="22"/>
                <w:szCs w:val="22"/>
              </w:rPr>
              <w:t xml:space="preserve"> </w:t>
            </w:r>
          </w:p>
          <w:p w:rsidR="00C6246E" w:rsidRPr="00915AFF" w:rsidRDefault="0074706A" w:rsidP="00C6246E">
            <w:pPr>
              <w:rPr>
                <w:sz w:val="22"/>
                <w:szCs w:val="22"/>
              </w:rPr>
            </w:pPr>
            <w:r>
              <w:rPr>
                <w:bCs/>
                <w:sz w:val="22"/>
                <w:szCs w:val="22"/>
              </w:rPr>
              <w:t xml:space="preserve">    </w:t>
            </w:r>
            <w:r w:rsidR="00C6246E" w:rsidRPr="00915AFF">
              <w:rPr>
                <w:bCs/>
                <w:sz w:val="22"/>
                <w:szCs w:val="22"/>
              </w:rPr>
              <w:t>zaťaženia?</w:t>
            </w:r>
          </w:p>
        </w:tc>
        <w:tc>
          <w:tcPr>
            <w:tcW w:w="1242" w:type="dxa"/>
          </w:tcPr>
          <w:p w:rsidR="00C6246E" w:rsidRDefault="00C6246E" w:rsidP="00C6246E">
            <w:pPr>
              <w:jc w:val="center"/>
            </w:pPr>
          </w:p>
        </w:tc>
        <w:tc>
          <w:tcPr>
            <w:tcW w:w="1260" w:type="dxa"/>
          </w:tcPr>
          <w:p w:rsidR="00C6246E" w:rsidRDefault="001371DD" w:rsidP="00C6246E">
            <w:pPr>
              <w:jc w:val="center"/>
            </w:pPr>
            <w:r>
              <w:t>X</w:t>
            </w:r>
          </w:p>
        </w:tc>
        <w:tc>
          <w:tcPr>
            <w:tcW w:w="1336" w:type="dxa"/>
          </w:tcPr>
          <w:p w:rsidR="00C6246E" w:rsidRDefault="00C6246E" w:rsidP="00C6246E">
            <w:pPr>
              <w:jc w:val="center"/>
            </w:pPr>
          </w:p>
        </w:tc>
      </w:tr>
      <w:tr w:rsidR="00C6246E" w:rsidTr="00C6246E">
        <w:tc>
          <w:tcPr>
            <w:tcW w:w="3726" w:type="dxa"/>
          </w:tcPr>
          <w:p w:rsidR="00C6246E" w:rsidRDefault="0074706A" w:rsidP="00C6246E">
            <w:pPr>
              <w:rPr>
                <w:bCs/>
                <w:sz w:val="22"/>
                <w:szCs w:val="22"/>
              </w:rPr>
            </w:pPr>
            <w:r>
              <w:rPr>
                <w:bCs/>
                <w:sz w:val="22"/>
                <w:szCs w:val="22"/>
              </w:rPr>
              <w:t>3.</w:t>
            </w:r>
            <w:r w:rsidR="00C6246E" w:rsidRPr="00915AFF">
              <w:rPr>
                <w:bCs/>
                <w:sz w:val="22"/>
                <w:szCs w:val="22"/>
              </w:rPr>
              <w:t xml:space="preserve"> Sociálne vplyvy </w:t>
            </w:r>
          </w:p>
          <w:p w:rsidR="0074706A" w:rsidRDefault="00C6246E" w:rsidP="00C6246E">
            <w:pPr>
              <w:rPr>
                <w:bCs/>
                <w:sz w:val="22"/>
                <w:szCs w:val="22"/>
              </w:rPr>
            </w:pPr>
            <w:r w:rsidRPr="00915AFF">
              <w:rPr>
                <w:bCs/>
                <w:sz w:val="22"/>
                <w:szCs w:val="22"/>
              </w:rPr>
              <w:t xml:space="preserve">– </w:t>
            </w:r>
            <w:r w:rsidR="0074706A">
              <w:rPr>
                <w:bCs/>
                <w:sz w:val="22"/>
                <w:szCs w:val="22"/>
              </w:rPr>
              <w:t xml:space="preserve"> </w:t>
            </w:r>
            <w:r w:rsidRPr="00915AFF">
              <w:rPr>
                <w:bCs/>
                <w:sz w:val="22"/>
                <w:szCs w:val="22"/>
              </w:rPr>
              <w:t xml:space="preserve">vplyvy  na hospodárenie </w:t>
            </w:r>
            <w:r w:rsidR="0074706A">
              <w:rPr>
                <w:bCs/>
                <w:sz w:val="22"/>
                <w:szCs w:val="22"/>
              </w:rPr>
              <w:t xml:space="preserve"> </w:t>
            </w:r>
          </w:p>
          <w:p w:rsidR="00C6246E" w:rsidRDefault="0074706A" w:rsidP="00C6246E">
            <w:pPr>
              <w:rPr>
                <w:bCs/>
                <w:sz w:val="22"/>
                <w:szCs w:val="22"/>
              </w:rPr>
            </w:pPr>
            <w:r>
              <w:rPr>
                <w:bCs/>
                <w:sz w:val="22"/>
                <w:szCs w:val="22"/>
              </w:rPr>
              <w:t xml:space="preserve">    </w:t>
            </w:r>
            <w:r w:rsidR="00C6246E" w:rsidRPr="00915AFF">
              <w:rPr>
                <w:bCs/>
                <w:sz w:val="22"/>
                <w:szCs w:val="22"/>
              </w:rPr>
              <w:t>obyvateľstva</w:t>
            </w:r>
            <w:r w:rsidR="00C6246E">
              <w:rPr>
                <w:bCs/>
                <w:sz w:val="22"/>
                <w:szCs w:val="22"/>
              </w:rPr>
              <w:t>,</w:t>
            </w:r>
          </w:p>
          <w:p w:rsidR="00C6246E" w:rsidRDefault="0074706A" w:rsidP="00C6246E">
            <w:pPr>
              <w:rPr>
                <w:bCs/>
                <w:sz w:val="22"/>
                <w:szCs w:val="22"/>
              </w:rPr>
            </w:pPr>
            <w:r>
              <w:rPr>
                <w:bCs/>
                <w:sz w:val="22"/>
                <w:szCs w:val="22"/>
              </w:rPr>
              <w:t xml:space="preserve">–  </w:t>
            </w:r>
            <w:r w:rsidR="00C6246E" w:rsidRPr="00915AFF">
              <w:rPr>
                <w:bCs/>
                <w:sz w:val="22"/>
                <w:szCs w:val="22"/>
              </w:rPr>
              <w:t>sociálnu exklúziu,</w:t>
            </w:r>
          </w:p>
          <w:p w:rsidR="0074706A" w:rsidRDefault="0074706A" w:rsidP="00C6246E">
            <w:pPr>
              <w:rPr>
                <w:bCs/>
                <w:sz w:val="22"/>
                <w:szCs w:val="22"/>
              </w:rPr>
            </w:pPr>
            <w:r>
              <w:rPr>
                <w:bCs/>
                <w:sz w:val="22"/>
                <w:szCs w:val="22"/>
              </w:rPr>
              <w:t>–</w:t>
            </w:r>
            <w:r w:rsidR="00C6246E">
              <w:rPr>
                <w:bCs/>
                <w:sz w:val="22"/>
                <w:szCs w:val="22"/>
              </w:rPr>
              <w:t xml:space="preserve"> </w:t>
            </w:r>
            <w:r w:rsidR="00C6246E" w:rsidRPr="00915AFF">
              <w:rPr>
                <w:bCs/>
                <w:sz w:val="22"/>
                <w:szCs w:val="22"/>
              </w:rPr>
              <w:t xml:space="preserve"> rovnosť príležitostí a rodovú rovnosť </w:t>
            </w:r>
          </w:p>
          <w:p w:rsidR="00C6246E" w:rsidRPr="00915AFF" w:rsidRDefault="0074706A" w:rsidP="00C6246E">
            <w:pPr>
              <w:rPr>
                <w:sz w:val="22"/>
                <w:szCs w:val="22"/>
              </w:rPr>
            </w:pPr>
            <w:r>
              <w:rPr>
                <w:bCs/>
                <w:sz w:val="22"/>
                <w:szCs w:val="22"/>
              </w:rPr>
              <w:t xml:space="preserve">    </w:t>
            </w:r>
            <w:r w:rsidR="00C6246E" w:rsidRPr="00915AFF">
              <w:rPr>
                <w:bCs/>
                <w:sz w:val="22"/>
                <w:szCs w:val="22"/>
              </w:rPr>
              <w:t>a vplyvy na zamestnanosť</w:t>
            </w:r>
          </w:p>
        </w:tc>
        <w:tc>
          <w:tcPr>
            <w:tcW w:w="1242" w:type="dxa"/>
          </w:tcPr>
          <w:p w:rsidR="00627044" w:rsidRDefault="00627044" w:rsidP="00C6246E">
            <w:pPr>
              <w:jc w:val="center"/>
            </w:pPr>
          </w:p>
          <w:p w:rsidR="00627044" w:rsidRDefault="00627044" w:rsidP="00C6246E">
            <w:pPr>
              <w:jc w:val="center"/>
            </w:pPr>
          </w:p>
          <w:p w:rsidR="00627044" w:rsidRDefault="00D1563C" w:rsidP="00C6246E">
            <w:pPr>
              <w:jc w:val="center"/>
            </w:pPr>
            <w:r>
              <w:t>X</w:t>
            </w:r>
          </w:p>
          <w:p w:rsidR="00C6246E" w:rsidRDefault="00627044" w:rsidP="007C3B6B">
            <w:r>
              <w:t xml:space="preserve">       </w:t>
            </w:r>
          </w:p>
        </w:tc>
        <w:tc>
          <w:tcPr>
            <w:tcW w:w="1260" w:type="dxa"/>
          </w:tcPr>
          <w:p w:rsidR="00C6246E" w:rsidRDefault="00C6246E" w:rsidP="00C6246E">
            <w:pPr>
              <w:jc w:val="center"/>
            </w:pPr>
          </w:p>
        </w:tc>
        <w:tc>
          <w:tcPr>
            <w:tcW w:w="1336" w:type="dxa"/>
          </w:tcPr>
          <w:p w:rsidR="00C6246E" w:rsidRDefault="00C6246E" w:rsidP="00C6246E">
            <w:pPr>
              <w:jc w:val="center"/>
            </w:pPr>
          </w:p>
        </w:tc>
      </w:tr>
      <w:tr w:rsidR="00C6246E" w:rsidTr="00C6246E">
        <w:tc>
          <w:tcPr>
            <w:tcW w:w="3726" w:type="dxa"/>
          </w:tcPr>
          <w:p w:rsidR="00C6246E" w:rsidRPr="00915AFF" w:rsidRDefault="00C6246E" w:rsidP="00C6246E">
            <w:pPr>
              <w:rPr>
                <w:sz w:val="22"/>
                <w:szCs w:val="22"/>
              </w:rPr>
            </w:pPr>
            <w:r w:rsidRPr="00915AFF">
              <w:rPr>
                <w:bCs/>
                <w:sz w:val="22"/>
                <w:szCs w:val="22"/>
                <w:lang w:val="pt-BR"/>
              </w:rPr>
              <w:t>4. Vplyvy na životné prostredie</w:t>
            </w:r>
          </w:p>
        </w:tc>
        <w:tc>
          <w:tcPr>
            <w:tcW w:w="1242" w:type="dxa"/>
          </w:tcPr>
          <w:p w:rsidR="00C6246E" w:rsidRDefault="00C6246E" w:rsidP="00C6246E">
            <w:pPr>
              <w:jc w:val="center"/>
            </w:pPr>
          </w:p>
        </w:tc>
        <w:tc>
          <w:tcPr>
            <w:tcW w:w="1260" w:type="dxa"/>
          </w:tcPr>
          <w:p w:rsidR="00C6246E" w:rsidRDefault="001371DD" w:rsidP="00C6246E">
            <w:pPr>
              <w:jc w:val="center"/>
            </w:pPr>
            <w:r>
              <w:t>X</w:t>
            </w:r>
          </w:p>
        </w:tc>
        <w:tc>
          <w:tcPr>
            <w:tcW w:w="1336" w:type="dxa"/>
          </w:tcPr>
          <w:p w:rsidR="00C6246E" w:rsidRDefault="00C6246E" w:rsidP="00C6246E">
            <w:pPr>
              <w:jc w:val="center"/>
            </w:pPr>
          </w:p>
        </w:tc>
      </w:tr>
      <w:tr w:rsidR="00C6246E" w:rsidTr="00C6246E">
        <w:tc>
          <w:tcPr>
            <w:tcW w:w="3726" w:type="dxa"/>
          </w:tcPr>
          <w:p w:rsidR="0074706A" w:rsidRDefault="00C6246E" w:rsidP="00C6246E">
            <w:pPr>
              <w:rPr>
                <w:bCs/>
                <w:sz w:val="22"/>
                <w:szCs w:val="22"/>
                <w:lang w:val="pt-BR"/>
              </w:rPr>
            </w:pPr>
            <w:r w:rsidRPr="00915AFF">
              <w:rPr>
                <w:bCs/>
                <w:sz w:val="22"/>
                <w:szCs w:val="22"/>
                <w:lang w:val="pt-BR"/>
              </w:rPr>
              <w:t xml:space="preserve">5. Vplyvy na informatizáciu </w:t>
            </w:r>
          </w:p>
          <w:p w:rsidR="00C6246E" w:rsidRPr="00915AFF" w:rsidRDefault="0074706A" w:rsidP="00C6246E">
            <w:pPr>
              <w:rPr>
                <w:bCs/>
                <w:sz w:val="22"/>
                <w:szCs w:val="22"/>
                <w:lang w:val="pt-BR"/>
              </w:rPr>
            </w:pPr>
            <w:r>
              <w:rPr>
                <w:bCs/>
                <w:sz w:val="22"/>
                <w:szCs w:val="22"/>
                <w:lang w:val="pt-BR"/>
              </w:rPr>
              <w:t xml:space="preserve">    </w:t>
            </w:r>
            <w:r w:rsidR="00BA7FE1" w:rsidRPr="00915AFF">
              <w:rPr>
                <w:bCs/>
                <w:sz w:val="22"/>
                <w:szCs w:val="22"/>
                <w:lang w:val="pt-BR"/>
              </w:rPr>
              <w:t>S</w:t>
            </w:r>
            <w:r w:rsidR="00C6246E" w:rsidRPr="00915AFF">
              <w:rPr>
                <w:bCs/>
                <w:sz w:val="22"/>
                <w:szCs w:val="22"/>
                <w:lang w:val="pt-BR"/>
              </w:rPr>
              <w:t>poločnosti</w:t>
            </w:r>
          </w:p>
        </w:tc>
        <w:tc>
          <w:tcPr>
            <w:tcW w:w="1242" w:type="dxa"/>
          </w:tcPr>
          <w:p w:rsidR="00C6246E" w:rsidRDefault="00C6246E" w:rsidP="00C6246E">
            <w:pPr>
              <w:jc w:val="center"/>
            </w:pPr>
          </w:p>
        </w:tc>
        <w:tc>
          <w:tcPr>
            <w:tcW w:w="1260" w:type="dxa"/>
          </w:tcPr>
          <w:p w:rsidR="00C6246E" w:rsidRDefault="001371DD" w:rsidP="00C6246E">
            <w:pPr>
              <w:jc w:val="center"/>
            </w:pPr>
            <w:r>
              <w:t>X</w:t>
            </w:r>
          </w:p>
        </w:tc>
        <w:tc>
          <w:tcPr>
            <w:tcW w:w="1336" w:type="dxa"/>
          </w:tcPr>
          <w:p w:rsidR="00C6246E" w:rsidRDefault="00C6246E" w:rsidP="00C6246E">
            <w:pPr>
              <w:jc w:val="center"/>
            </w:pPr>
          </w:p>
        </w:tc>
      </w:tr>
    </w:tbl>
    <w:p w:rsidR="00C6246E" w:rsidRDefault="00C6246E" w:rsidP="00C6246E">
      <w:pPr>
        <w:pStyle w:val="Zkladntext"/>
        <w:jc w:val="both"/>
        <w:rPr>
          <w:b w:val="0"/>
          <w:bCs/>
          <w:u w:val="single"/>
        </w:rPr>
      </w:pPr>
      <w:r>
        <w:rPr>
          <w:sz w:val="16"/>
          <w:szCs w:val="16"/>
        </w:rPr>
        <w:t>*</w:t>
      </w:r>
      <w:r>
        <w:rPr>
          <w:b w:val="0"/>
          <w:bCs/>
          <w:sz w:val="16"/>
          <w:szCs w:val="16"/>
        </w:rPr>
        <w:t xml:space="preserve"> </w:t>
      </w:r>
      <w:r w:rsidRPr="00B564AB">
        <w:rPr>
          <w:b w:val="0"/>
          <w:bCs/>
          <w:sz w:val="16"/>
          <w:szCs w:val="16"/>
        </w:rPr>
        <w:t>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C6246E" w:rsidRDefault="00C6246E" w:rsidP="00C6246E">
      <w:pPr>
        <w:pStyle w:val="Zkladntext"/>
        <w:jc w:val="both"/>
        <w:rPr>
          <w:bCs/>
        </w:rPr>
      </w:pPr>
    </w:p>
    <w:p w:rsidR="00EE37B3" w:rsidRPr="00C4506F" w:rsidRDefault="00C6246E" w:rsidP="00C279F3">
      <w:pPr>
        <w:pStyle w:val="Zkladntext"/>
        <w:jc w:val="both"/>
        <w:rPr>
          <w:bCs/>
        </w:rPr>
      </w:pPr>
      <w:r w:rsidRPr="006846C7">
        <w:rPr>
          <w:bCs/>
        </w:rPr>
        <w:t>A.3. Poznámky</w:t>
      </w:r>
    </w:p>
    <w:p w:rsidR="00C4506F" w:rsidRPr="00C279F3" w:rsidRDefault="00EE37B3" w:rsidP="00C4506F">
      <w:pPr>
        <w:pStyle w:val="Nadpis2"/>
        <w:jc w:val="both"/>
        <w:rPr>
          <w:rFonts w:ascii="Times New Roman" w:hAnsi="Times New Roman"/>
        </w:rPr>
      </w:pPr>
      <w:r w:rsidRPr="00C279F3">
        <w:rPr>
          <w:rFonts w:ascii="Times New Roman" w:hAnsi="Times New Roman" w:cs="Times New Roman"/>
          <w:b/>
          <w:sz w:val="24"/>
          <w:szCs w:val="24"/>
        </w:rPr>
        <w:t>Sumárne zhodnotenie vyhodnotenie sociálnych vplyvov.</w:t>
      </w:r>
      <w:r w:rsidRPr="00C279F3">
        <w:rPr>
          <w:rFonts w:ascii="Times New Roman" w:hAnsi="Times New Roman" w:cs="Times New Roman"/>
          <w:sz w:val="24"/>
          <w:szCs w:val="24"/>
        </w:rPr>
        <w:t xml:space="preserve"> Návrh </w:t>
      </w:r>
      <w:r w:rsidRPr="00C279F3">
        <w:rPr>
          <w:rFonts w:ascii="Times New Roman" w:hAnsi="Times New Roman" w:cs="Times New Roman"/>
          <w:kern w:val="32"/>
          <w:sz w:val="24"/>
          <w:szCs w:val="24"/>
        </w:rPr>
        <w:t>Celoštátnej stratégie rodovej rovnosti a Akčného plánu rodovej rovnosti na roky 2014 – 2019 bude mať</w:t>
      </w:r>
      <w:r w:rsidRPr="00C279F3">
        <w:rPr>
          <w:rFonts w:ascii="Times New Roman" w:hAnsi="Times New Roman" w:cs="Times New Roman"/>
          <w:sz w:val="24"/>
          <w:szCs w:val="24"/>
        </w:rPr>
        <w:t xml:space="preserve"> závažný bezprostredný a dlhodobý dopad na stav rodovej rovnosti, sociálno-ekonomický rast a demokraciu v spoločnosti. Podpora rodovej rovnosti prostredníctvom cieľov celoštátnej stratégie bude prispie</w:t>
      </w:r>
      <w:r w:rsidR="00730E33">
        <w:rPr>
          <w:rFonts w:ascii="Times New Roman" w:hAnsi="Times New Roman" w:cs="Times New Roman"/>
          <w:sz w:val="24"/>
          <w:szCs w:val="24"/>
        </w:rPr>
        <w:t>va</w:t>
      </w:r>
      <w:r w:rsidRPr="00C279F3">
        <w:rPr>
          <w:rFonts w:ascii="Times New Roman" w:hAnsi="Times New Roman" w:cs="Times New Roman"/>
          <w:sz w:val="24"/>
          <w:szCs w:val="24"/>
        </w:rPr>
        <w:t>ť k sociálno-ekonomickému rozvoju a zamedzí plytvani</w:t>
      </w:r>
      <w:r w:rsidR="00730E33">
        <w:rPr>
          <w:rFonts w:ascii="Times New Roman" w:hAnsi="Times New Roman" w:cs="Times New Roman"/>
          <w:sz w:val="24"/>
          <w:szCs w:val="24"/>
        </w:rPr>
        <w:t>u</w:t>
      </w:r>
      <w:r w:rsidRPr="00C279F3">
        <w:rPr>
          <w:rFonts w:ascii="Times New Roman" w:hAnsi="Times New Roman" w:cs="Times New Roman"/>
          <w:sz w:val="24"/>
          <w:szCs w:val="24"/>
        </w:rPr>
        <w:t xml:space="preserve"> ľudskými zdrojmi v spoločnosti a prispeje k sociálnej stabilite v spoločnosti a</w:t>
      </w:r>
      <w:r w:rsidR="00157376">
        <w:rPr>
          <w:rFonts w:ascii="Times New Roman" w:hAnsi="Times New Roman" w:cs="Times New Roman"/>
          <w:sz w:val="24"/>
          <w:szCs w:val="24"/>
        </w:rPr>
        <w:t xml:space="preserve"> v</w:t>
      </w:r>
      <w:r w:rsidRPr="00C279F3">
        <w:rPr>
          <w:rFonts w:ascii="Times New Roman" w:hAnsi="Times New Roman" w:cs="Times New Roman"/>
          <w:sz w:val="24"/>
          <w:szCs w:val="24"/>
        </w:rPr>
        <w:t> rodinách na Slovensku.</w:t>
      </w:r>
      <w:r w:rsidRPr="00C279F3">
        <w:rPr>
          <w:rFonts w:ascii="Times New Roman" w:hAnsi="Times New Roman" w:cs="Times New Roman"/>
          <w:sz w:val="24"/>
          <w:szCs w:val="24"/>
        </w:rPr>
        <w:br/>
        <w:t xml:space="preserve">Z týchto dôvodov môže  mať  schválenie materiálu </w:t>
      </w:r>
      <w:r w:rsidRPr="00C4506F">
        <w:rPr>
          <w:rFonts w:ascii="Times New Roman" w:hAnsi="Times New Roman" w:cs="Times New Roman"/>
          <w:b/>
          <w:sz w:val="24"/>
          <w:szCs w:val="24"/>
        </w:rPr>
        <w:t>významné pozitívne účinky</w:t>
      </w:r>
      <w:r w:rsidRPr="00C279F3">
        <w:rPr>
          <w:rFonts w:ascii="Times New Roman" w:hAnsi="Times New Roman" w:cs="Times New Roman"/>
          <w:sz w:val="24"/>
          <w:szCs w:val="24"/>
        </w:rPr>
        <w:t xml:space="preserve"> pre spoločnosť a sociálne začleneni</w:t>
      </w:r>
      <w:r w:rsidR="00B44F50">
        <w:rPr>
          <w:rFonts w:ascii="Times New Roman" w:hAnsi="Times New Roman" w:cs="Times New Roman"/>
          <w:sz w:val="24"/>
          <w:szCs w:val="24"/>
        </w:rPr>
        <w:t>e</w:t>
      </w:r>
      <w:r w:rsidRPr="00C279F3">
        <w:rPr>
          <w:rFonts w:ascii="Times New Roman" w:hAnsi="Times New Roman" w:cs="Times New Roman"/>
          <w:sz w:val="24"/>
          <w:szCs w:val="24"/>
        </w:rPr>
        <w:t xml:space="preserve"> žien. Spoločnosť s vyváženou rodovou rovnosťou je prospešná pre všetkých z hľadiska sociálno-ekonomického rastu a zlepšeni</w:t>
      </w:r>
      <w:r w:rsidR="00B44F50">
        <w:rPr>
          <w:rFonts w:ascii="Times New Roman" w:hAnsi="Times New Roman" w:cs="Times New Roman"/>
          <w:sz w:val="24"/>
          <w:szCs w:val="24"/>
        </w:rPr>
        <w:t>a</w:t>
      </w:r>
      <w:r w:rsidRPr="00C279F3">
        <w:rPr>
          <w:rFonts w:ascii="Times New Roman" w:hAnsi="Times New Roman" w:cs="Times New Roman"/>
          <w:sz w:val="24"/>
          <w:szCs w:val="24"/>
        </w:rPr>
        <w:t xml:space="preserve"> životných podmienok, čo umožní spoločensky účelnejšie využitie finančných zdrojov.</w:t>
      </w:r>
    </w:p>
    <w:p w:rsidR="00D66E30" w:rsidRDefault="00D66E30" w:rsidP="00C279F3">
      <w:pPr>
        <w:pStyle w:val="Default"/>
        <w:spacing w:line="240" w:lineRule="auto"/>
        <w:rPr>
          <w:rFonts w:ascii="Times New Roman" w:hAnsi="Times New Roman"/>
        </w:rPr>
      </w:pPr>
    </w:p>
    <w:p w:rsidR="00EE37B3" w:rsidRPr="00C279F3" w:rsidRDefault="00C279F3" w:rsidP="00C279F3">
      <w:pPr>
        <w:pStyle w:val="Default"/>
        <w:spacing w:line="240" w:lineRule="auto"/>
        <w:rPr>
          <w:rFonts w:ascii="Times New Roman" w:hAnsi="Times New Roman"/>
        </w:rPr>
      </w:pPr>
      <w:r w:rsidRPr="00C279F3">
        <w:rPr>
          <w:rFonts w:ascii="Times New Roman" w:hAnsi="Times New Roman"/>
        </w:rPr>
        <w:t xml:space="preserve">Ekonomická nezávislosť ako jeden z cieľov predkladanej celoštátnej stratégie je nevyhnutnou podmienkou toho, aby ženy i muži mali kontrolu nad svojimi životmi a mali možnosť skutočného rozhodovania. Na Slovensku sa prejavuje výrazný rodový rozmer dopadu rodičovstva na zamestnanosť žien a mužov. Celkovo  možno konštatovať, že prítomnosť detí mladších ako 6 rokov v rodine významne znižuje mieru zamestnanosti žien, kým zamestnanosť </w:t>
      </w:r>
      <w:r w:rsidRPr="00C279F3">
        <w:rPr>
          <w:rFonts w:ascii="Times New Roman" w:hAnsi="Times New Roman"/>
        </w:rPr>
        <w:lastRenderedPageBreak/>
        <w:t xml:space="preserve">mužov skôr zvyšuje. Nožnice medzi odmenou za prácu sa medzi mužmi a ženami roztvárajú viac a viac po narodení každého dieťaťa. Rozdiely v odmeňovaní, spolu s inými nevýhodami žien vo vzťahu k trhu práce, najmä veľký podiel žien mimo ekonomickej aktivity, častejšie a dlhšie prerušovanie pracovnej kariéry, nízke ohodnotenie ich práce a vyššie zaťaženie žien neplatenou prácou, znižujú ženám celoživotné úspory a dôchodky, čo vedie v neskoršom veku k vyššiemu ohrozeniu chudobou a následnou feminizáciou chudoby v staršom veku. </w:t>
      </w:r>
    </w:p>
    <w:p w:rsidR="00EE37B3" w:rsidRPr="00C279F3" w:rsidRDefault="00EE37B3" w:rsidP="00C279F3">
      <w:pPr>
        <w:pStyle w:val="Zkladntext"/>
        <w:jc w:val="both"/>
        <w:rPr>
          <w:b w:val="0"/>
          <w:bCs/>
        </w:rPr>
      </w:pPr>
    </w:p>
    <w:p w:rsidR="00C6246E" w:rsidRPr="00C279F3" w:rsidRDefault="00C6246E" w:rsidP="00C279F3">
      <w:pPr>
        <w:pStyle w:val="Zkladntext"/>
        <w:jc w:val="both"/>
      </w:pPr>
      <w:r w:rsidRPr="00C279F3">
        <w:t>A.4. Alternatívne riešenia</w:t>
      </w:r>
      <w:r w:rsidR="00D1563C" w:rsidRPr="00C279F3">
        <w:t xml:space="preserve"> – nenavrhujú sa</w:t>
      </w:r>
    </w:p>
    <w:p w:rsidR="00B743F4" w:rsidRDefault="00B743F4" w:rsidP="00C279F3">
      <w:pPr>
        <w:pStyle w:val="Zkladntext2"/>
        <w:rPr>
          <w:b/>
        </w:rPr>
      </w:pPr>
    </w:p>
    <w:p w:rsidR="00C6246E" w:rsidRDefault="00C6246E" w:rsidP="00C279F3">
      <w:pPr>
        <w:pStyle w:val="Zkladntext2"/>
        <w:rPr>
          <w:b/>
        </w:rPr>
      </w:pPr>
      <w:r w:rsidRPr="00C279F3">
        <w:rPr>
          <w:b/>
        </w:rPr>
        <w:t xml:space="preserve">A.5. Stanovisko gestorov </w:t>
      </w:r>
    </w:p>
    <w:p w:rsidR="00336454" w:rsidRDefault="00336454" w:rsidP="00C279F3">
      <w:pPr>
        <w:pStyle w:val="Zkladntext2"/>
        <w:rPr>
          <w:b/>
        </w:rPr>
      </w:pPr>
    </w:p>
    <w:p w:rsidR="00D66E30" w:rsidRDefault="00336454" w:rsidP="00336454">
      <w:pPr>
        <w:autoSpaceDE w:val="0"/>
        <w:autoSpaceDN w:val="0"/>
        <w:adjustRightInd w:val="0"/>
        <w:jc w:val="both"/>
      </w:pPr>
      <w:r w:rsidRPr="00307B7B">
        <w:rPr>
          <w:b/>
        </w:rPr>
        <w:t>Ministerstvo financií SR</w:t>
      </w:r>
      <w:r w:rsidRPr="00307B7B">
        <w:t xml:space="preserve"> nemá pripomienky k doložke vybraných vplyvov z hľadiska vplyvov na informatizáciu spoločnosti. </w:t>
      </w:r>
    </w:p>
    <w:p w:rsidR="00D66E30" w:rsidRDefault="00D66E30" w:rsidP="00336454">
      <w:pPr>
        <w:autoSpaceDE w:val="0"/>
        <w:autoSpaceDN w:val="0"/>
        <w:adjustRightInd w:val="0"/>
        <w:jc w:val="both"/>
      </w:pPr>
    </w:p>
    <w:p w:rsidR="00097932" w:rsidRDefault="00336454" w:rsidP="00336454">
      <w:pPr>
        <w:autoSpaceDE w:val="0"/>
        <w:autoSpaceDN w:val="0"/>
        <w:adjustRightInd w:val="0"/>
        <w:jc w:val="both"/>
      </w:pPr>
      <w:r w:rsidRPr="00307B7B">
        <w:t xml:space="preserve">Sekcia rozpočtovej politiky MF SR </w:t>
      </w:r>
      <w:r w:rsidR="00516D7B">
        <w:t>predložila zásadné pripomienky. Predložené pripomienky boli s predkladateľom prekonzultované a následne bola doložka vybraných vplyvov</w:t>
      </w:r>
      <w:r w:rsidR="00D66E30">
        <w:t xml:space="preserve"> upravená</w:t>
      </w:r>
      <w:r w:rsidR="00516D7B">
        <w:t>.</w:t>
      </w:r>
    </w:p>
    <w:p w:rsidR="00097932" w:rsidRDefault="00097932" w:rsidP="00336454">
      <w:pPr>
        <w:autoSpaceDE w:val="0"/>
        <w:autoSpaceDN w:val="0"/>
        <w:adjustRightInd w:val="0"/>
        <w:jc w:val="both"/>
      </w:pPr>
    </w:p>
    <w:p w:rsidR="00516D7B" w:rsidRPr="00060333" w:rsidRDefault="00516D7B" w:rsidP="00EB0178">
      <w:pPr>
        <w:widowControl w:val="0"/>
        <w:shd w:val="clear" w:color="auto" w:fill="FFFFFF"/>
        <w:adjustRightInd w:val="0"/>
        <w:jc w:val="both"/>
      </w:pPr>
      <w:r w:rsidRPr="00060333">
        <w:t xml:space="preserve">V materiáli sú navrhnuté úlohy, ktoré sa majú realizovať v rokoch 2014 až 2019. Finančné prostriedky na všetky aktivity budú zabezpečené v rámci kapitoly MPSVR SR ako aj v rámci </w:t>
      </w:r>
      <w:r w:rsidR="00EB0178">
        <w:t xml:space="preserve">schválených </w:t>
      </w:r>
      <w:r w:rsidRPr="00060333">
        <w:t xml:space="preserve">limitov príslušných rozpočtových kapitol ostatných rezortov bez ich navýšenia. </w:t>
      </w:r>
    </w:p>
    <w:p w:rsidR="00EB0178" w:rsidRDefault="00EB0178" w:rsidP="00EB0178">
      <w:pPr>
        <w:widowControl w:val="0"/>
        <w:shd w:val="clear" w:color="auto" w:fill="FFFFFF"/>
        <w:adjustRightInd w:val="0"/>
        <w:jc w:val="both"/>
      </w:pPr>
    </w:p>
    <w:p w:rsidR="00516D7B" w:rsidRPr="00060333" w:rsidRDefault="00516D7B" w:rsidP="00EB0178">
      <w:pPr>
        <w:widowControl w:val="0"/>
        <w:shd w:val="clear" w:color="auto" w:fill="FFFFFF"/>
        <w:adjustRightInd w:val="0"/>
        <w:jc w:val="both"/>
      </w:pPr>
      <w:r w:rsidRPr="00060333">
        <w:t xml:space="preserve">Realizácia úloh nepredstavuje ďalšie zvýšenie finančných prostriedkov nad rámec schváleného rozpočtu verejnej správy. Všetky predpokladané výdavky budú v rámci schválených limitov rozpočtu verejnej správy na jednotlivé rozpočtové roky bez dodatočných nárokov na rozpočet verejnej správy. Zodpovedné rezorty a subjekty už časť úloh priebežne plnia a rátajú s ich plnením aj v novom </w:t>
      </w:r>
      <w:r>
        <w:t>a</w:t>
      </w:r>
      <w:r w:rsidRPr="00060333">
        <w:t xml:space="preserve">kčnom pláne. Zodpovedné rezorty a subjekty budú  úlohy riešiť v rámci schválených limitov svojich rozpočtov </w:t>
      </w:r>
      <w:r w:rsidR="00B44F50">
        <w:t xml:space="preserve">a </w:t>
      </w:r>
      <w:r w:rsidRPr="00060333">
        <w:t xml:space="preserve">nepredpokladá sa zvýšenie nárokov na štátny rozpočet. </w:t>
      </w:r>
    </w:p>
    <w:p w:rsidR="00EB0178" w:rsidRDefault="00EB0178" w:rsidP="00516D7B">
      <w:pPr>
        <w:pStyle w:val="Normlnywebov"/>
        <w:spacing w:before="0" w:beforeAutospacing="0" w:after="0" w:afterAutospacing="0"/>
        <w:jc w:val="both"/>
        <w:rPr>
          <w:lang w:val="sk-SK"/>
        </w:rPr>
      </w:pPr>
    </w:p>
    <w:p w:rsidR="00516D7B" w:rsidRPr="00060333" w:rsidRDefault="00516D7B" w:rsidP="00516D7B">
      <w:pPr>
        <w:pStyle w:val="Normlnywebov"/>
        <w:spacing w:before="0" w:beforeAutospacing="0" w:after="0" w:afterAutospacing="0"/>
        <w:jc w:val="both"/>
        <w:rPr>
          <w:lang w:val="sk-SK"/>
        </w:rPr>
      </w:pPr>
      <w:r w:rsidRPr="00060333">
        <w:rPr>
          <w:lang w:val="sk-SK"/>
        </w:rPr>
        <w:t>Vo vzťahu k rezortom materiál vo všeobecnosti formuluje jednotlivé úlohy, ale nevymedzuje presné formy ich plnenia, preto výška vynaložených finančných prostriedkov zo strany rezortov bude závisieť od konkrétnej zvolenej formy plnenia úloh. Navyše sa v mnohých úlohách popri financovaní zo strany rezortov počíta aj so spolufinancovaním či celkovým financovaním z</w:t>
      </w:r>
      <w:r>
        <w:rPr>
          <w:lang w:val="sk-SK"/>
        </w:rPr>
        <w:t xml:space="preserve"> projektových prostriedkov a </w:t>
      </w:r>
      <w:r w:rsidRPr="00060333">
        <w:rPr>
          <w:lang w:val="sk-SK"/>
        </w:rPr>
        <w:t xml:space="preserve">značná časť úloh bude financovaná prostredníctvom </w:t>
      </w:r>
      <w:r>
        <w:rPr>
          <w:lang w:val="sk-SK"/>
        </w:rPr>
        <w:t>operačného programu Ľudské zdroje</w:t>
      </w:r>
      <w:r w:rsidRPr="00060333">
        <w:rPr>
          <w:lang w:val="sk-SK"/>
        </w:rPr>
        <w:t xml:space="preserve">. </w:t>
      </w:r>
    </w:p>
    <w:p w:rsidR="00EB0178" w:rsidRDefault="00EB0178" w:rsidP="00D66E30">
      <w:pPr>
        <w:pStyle w:val="Normlnywebov"/>
        <w:spacing w:before="0" w:beforeAutospacing="0" w:after="0" w:afterAutospacing="0"/>
        <w:jc w:val="both"/>
        <w:rPr>
          <w:lang w:val="sk-SK"/>
        </w:rPr>
      </w:pPr>
    </w:p>
    <w:p w:rsidR="00D66E30" w:rsidRPr="00D66E30" w:rsidRDefault="00516D7B" w:rsidP="00D66E30">
      <w:pPr>
        <w:pStyle w:val="Normlnywebov"/>
        <w:spacing w:before="0" w:beforeAutospacing="0" w:after="0" w:afterAutospacing="0"/>
        <w:jc w:val="both"/>
        <w:rPr>
          <w:lang w:val="sk-SK"/>
        </w:rPr>
      </w:pPr>
      <w:r w:rsidRPr="00060333">
        <w:rPr>
          <w:lang w:val="sk-SK"/>
        </w:rPr>
        <w:t xml:space="preserve">Celková čiastka alokovaná </w:t>
      </w:r>
      <w:r w:rsidR="00D66E30">
        <w:rPr>
          <w:lang w:val="sk-SK"/>
        </w:rPr>
        <w:t xml:space="preserve">v rámci </w:t>
      </w:r>
      <w:r w:rsidR="008D3998">
        <w:t xml:space="preserve">OP Ľudské zdroje sa zameriava </w:t>
      </w:r>
      <w:r w:rsidR="008D3998" w:rsidRPr="00D66E30">
        <w:rPr>
          <w:lang w:val="sk-SK"/>
        </w:rPr>
        <w:t>na uvedenú problematiku  predovšetkým v</w:t>
      </w:r>
      <w:r w:rsidR="00D66E30" w:rsidRPr="00D66E30">
        <w:rPr>
          <w:lang w:val="sk-SK"/>
        </w:rPr>
        <w:t> </w:t>
      </w:r>
      <w:r w:rsidR="008D3998" w:rsidRPr="00D66E30">
        <w:rPr>
          <w:lang w:val="sk-SK"/>
        </w:rPr>
        <w:t>časti</w:t>
      </w:r>
      <w:r w:rsidR="00D66E30" w:rsidRPr="00D66E30">
        <w:rPr>
          <w:lang w:val="sk-SK"/>
        </w:rPr>
        <w:t>:</w:t>
      </w:r>
    </w:p>
    <w:p w:rsidR="00D66E30" w:rsidRPr="00D66E30" w:rsidRDefault="00D66E30" w:rsidP="00D66E30">
      <w:pPr>
        <w:pStyle w:val="Normlnywebov"/>
        <w:spacing w:before="0" w:beforeAutospacing="0" w:after="0" w:afterAutospacing="0"/>
        <w:jc w:val="both"/>
        <w:rPr>
          <w:b/>
          <w:lang w:val="sk-SK"/>
        </w:rPr>
      </w:pPr>
    </w:p>
    <w:p w:rsidR="00D66E30" w:rsidRPr="00D66E30" w:rsidRDefault="008D3998" w:rsidP="00D66E30">
      <w:pPr>
        <w:pStyle w:val="Normlnywebov"/>
        <w:spacing w:before="0" w:beforeAutospacing="0" w:after="0" w:afterAutospacing="0"/>
        <w:jc w:val="both"/>
        <w:rPr>
          <w:lang w:val="sk-SK"/>
        </w:rPr>
      </w:pPr>
      <w:r w:rsidRPr="00D66E30">
        <w:rPr>
          <w:b/>
          <w:lang w:val="sk-SK"/>
        </w:rPr>
        <w:t>Priorit</w:t>
      </w:r>
      <w:r w:rsidR="00D66E30">
        <w:rPr>
          <w:b/>
          <w:lang w:val="sk-SK"/>
        </w:rPr>
        <w:t>n</w:t>
      </w:r>
      <w:r w:rsidR="00D66E30" w:rsidRPr="00D66E30">
        <w:rPr>
          <w:b/>
          <w:lang w:val="sk-SK"/>
        </w:rPr>
        <w:t>á</w:t>
      </w:r>
      <w:r w:rsidRPr="00D66E30">
        <w:rPr>
          <w:b/>
          <w:lang w:val="sk-SK"/>
        </w:rPr>
        <w:t xml:space="preserve"> os 3 Zamestnanosť</w:t>
      </w:r>
      <w:r w:rsidRPr="00D66E30">
        <w:rPr>
          <w:lang w:val="sk-SK"/>
        </w:rPr>
        <w:t xml:space="preserve"> </w:t>
      </w:r>
    </w:p>
    <w:p w:rsidR="00EB0178" w:rsidRDefault="00EB0178" w:rsidP="00D66E30">
      <w:pPr>
        <w:pStyle w:val="Normlnywebov"/>
        <w:spacing w:before="0" w:beforeAutospacing="0" w:after="0" w:afterAutospacing="0"/>
        <w:jc w:val="both"/>
        <w:rPr>
          <w:lang w:val="sk-SK"/>
        </w:rPr>
      </w:pPr>
    </w:p>
    <w:p w:rsidR="00516D7B" w:rsidRPr="00D66E30" w:rsidRDefault="00D66E30" w:rsidP="00D66E30">
      <w:pPr>
        <w:pStyle w:val="Normlnywebov"/>
        <w:spacing w:before="0" w:beforeAutospacing="0" w:after="0" w:afterAutospacing="0"/>
        <w:jc w:val="both"/>
        <w:rPr>
          <w:lang w:val="sk-SK"/>
        </w:rPr>
      </w:pPr>
      <w:r w:rsidRPr="00D66E30">
        <w:rPr>
          <w:lang w:val="sk-SK"/>
        </w:rPr>
        <w:t>I</w:t>
      </w:r>
      <w:r w:rsidR="008D3998" w:rsidRPr="00D66E30">
        <w:rPr>
          <w:lang w:val="sk-SK"/>
        </w:rPr>
        <w:t>nvestičn</w:t>
      </w:r>
      <w:r w:rsidRPr="00D66E30">
        <w:rPr>
          <w:lang w:val="sk-SK"/>
        </w:rPr>
        <w:t>á</w:t>
      </w:r>
      <w:r w:rsidR="008D3998" w:rsidRPr="00D66E30">
        <w:rPr>
          <w:lang w:val="sk-SK"/>
        </w:rPr>
        <w:t xml:space="preserve"> priorit</w:t>
      </w:r>
      <w:r w:rsidRPr="00D66E30">
        <w:rPr>
          <w:lang w:val="sk-SK"/>
        </w:rPr>
        <w:t>a</w:t>
      </w:r>
      <w:r w:rsidR="00516D7B" w:rsidRPr="00D66E30">
        <w:rPr>
          <w:lang w:val="sk-SK"/>
        </w:rPr>
        <w:t>:</w:t>
      </w:r>
    </w:p>
    <w:p w:rsidR="00097932" w:rsidRDefault="008D3998" w:rsidP="00336454">
      <w:pPr>
        <w:autoSpaceDE w:val="0"/>
        <w:autoSpaceDN w:val="0"/>
        <w:adjustRightInd w:val="0"/>
        <w:jc w:val="both"/>
      </w:pPr>
      <w:r>
        <w:t xml:space="preserve">3.2 Rovnosť medzi mužmi a ženami vo všetkých oblastiach vrátane oblasti prístupu k zamestnaniu, kariérnemu postupu, zosúladeniu pracovného a súkromného života </w:t>
      </w:r>
      <w:r w:rsidR="00B44F50">
        <w:t xml:space="preserve">a </w:t>
      </w:r>
      <w:r>
        <w:t>presadzovania rovnakej odmeny za rovnakú prácu</w:t>
      </w:r>
      <w:r w:rsidR="00B44F50">
        <w:t>.</w:t>
      </w:r>
    </w:p>
    <w:p w:rsidR="00516D7B" w:rsidRDefault="00516D7B" w:rsidP="00336454">
      <w:pPr>
        <w:autoSpaceDE w:val="0"/>
        <w:autoSpaceDN w:val="0"/>
        <w:adjustRightInd w:val="0"/>
        <w:jc w:val="both"/>
      </w:pPr>
    </w:p>
    <w:p w:rsidR="00097932" w:rsidRDefault="00516D7B" w:rsidP="00336454">
      <w:pPr>
        <w:autoSpaceDE w:val="0"/>
        <w:autoSpaceDN w:val="0"/>
        <w:adjustRightInd w:val="0"/>
        <w:jc w:val="both"/>
      </w:pPr>
      <w:r>
        <w:t>Šp</w:t>
      </w:r>
      <w:r w:rsidR="008D3998">
        <w:t>ecifick</w:t>
      </w:r>
      <w:r>
        <w:t>ý</w:t>
      </w:r>
      <w:r w:rsidR="008D3998">
        <w:t xml:space="preserve"> cieľ 3.2. </w:t>
      </w:r>
      <w:r w:rsidR="00B44F50">
        <w:t>Z</w:t>
      </w:r>
      <w:r w:rsidR="008D3998">
        <w:t>nížiť horizontálnu a vertikálnu rodovú segregáciu na pracovnom trhu a v príprave na povolanie</w:t>
      </w:r>
      <w:r w:rsidR="00B44F50">
        <w:t>.</w:t>
      </w:r>
    </w:p>
    <w:p w:rsidR="008D3998" w:rsidRDefault="008D3998" w:rsidP="00336454">
      <w:pPr>
        <w:autoSpaceDE w:val="0"/>
        <w:autoSpaceDN w:val="0"/>
        <w:adjustRightInd w:val="0"/>
        <w:jc w:val="both"/>
      </w:pPr>
    </w:p>
    <w:p w:rsidR="00EB0178" w:rsidRDefault="00EB0178" w:rsidP="00336454">
      <w:pPr>
        <w:autoSpaceDE w:val="0"/>
        <w:autoSpaceDN w:val="0"/>
        <w:adjustRightInd w:val="0"/>
        <w:jc w:val="both"/>
      </w:pPr>
    </w:p>
    <w:p w:rsidR="008D3998" w:rsidRDefault="008D3998" w:rsidP="00336454">
      <w:pPr>
        <w:autoSpaceDE w:val="0"/>
        <w:autoSpaceDN w:val="0"/>
        <w:adjustRightInd w:val="0"/>
        <w:jc w:val="both"/>
      </w:pPr>
      <w:r>
        <w:lastRenderedPageBreak/>
        <w:t>Špecifický cieľ 3.2.1.</w:t>
      </w:r>
    </w:p>
    <w:p w:rsidR="008D3998" w:rsidRPr="00D66E30" w:rsidRDefault="008D3998" w:rsidP="00336454">
      <w:pPr>
        <w:autoSpaceDE w:val="0"/>
        <w:autoSpaceDN w:val="0"/>
        <w:adjustRightInd w:val="0"/>
        <w:jc w:val="both"/>
        <w:rPr>
          <w:sz w:val="22"/>
          <w:szCs w:val="22"/>
        </w:rPr>
      </w:pPr>
      <w:r w:rsidRPr="00D66E30">
        <w:rPr>
          <w:sz w:val="22"/>
          <w:szCs w:val="22"/>
        </w:rPr>
        <w:t>Zlepšením podmienok pre zosúladenie pracovného a rodinného života zvýšiť zamestnanosť osôb s rodičovskými povinnosťami, najmä žien</w:t>
      </w:r>
      <w:r w:rsidR="00B44F50">
        <w:rPr>
          <w:sz w:val="22"/>
          <w:szCs w:val="22"/>
        </w:rPr>
        <w:t>.</w:t>
      </w:r>
    </w:p>
    <w:p w:rsidR="008D3998" w:rsidRPr="00D66E30" w:rsidRDefault="008D3998" w:rsidP="008D3998">
      <w:pPr>
        <w:pStyle w:val="Odsekzoznamu"/>
        <w:ind w:left="0"/>
        <w:rPr>
          <w:sz w:val="22"/>
          <w:szCs w:val="22"/>
          <w:lang w:eastAsia="sk-SK"/>
        </w:rPr>
      </w:pPr>
    </w:p>
    <w:p w:rsidR="008D3998" w:rsidRPr="00D66E30" w:rsidRDefault="008D3998" w:rsidP="008D3998">
      <w:pPr>
        <w:pStyle w:val="Odsekzoznamu"/>
        <w:ind w:left="0"/>
        <w:rPr>
          <w:sz w:val="22"/>
          <w:szCs w:val="22"/>
          <w:lang w:eastAsia="sk-SK"/>
        </w:rPr>
      </w:pPr>
      <w:r w:rsidRPr="00D66E30">
        <w:rPr>
          <w:sz w:val="22"/>
          <w:szCs w:val="22"/>
          <w:lang w:eastAsia="sk-SK"/>
        </w:rPr>
        <w:t>Špecifický cieľ 3.2.2.</w:t>
      </w:r>
    </w:p>
    <w:p w:rsidR="008D3998" w:rsidRPr="00D66E30" w:rsidRDefault="008D3998" w:rsidP="008D3998">
      <w:pPr>
        <w:pStyle w:val="Odsekzoznamu"/>
        <w:ind w:left="0"/>
        <w:rPr>
          <w:sz w:val="22"/>
          <w:szCs w:val="22"/>
          <w:lang w:eastAsia="sk-SK"/>
        </w:rPr>
      </w:pPr>
      <w:r w:rsidRPr="00D66E30">
        <w:rPr>
          <w:sz w:val="22"/>
          <w:szCs w:val="22"/>
          <w:lang w:eastAsia="sk-SK"/>
        </w:rPr>
        <w:t>Znížiť horizontálnu a vertikálnu rodovú segregáciu na pracovnom trhu a v príprave na povolanie</w:t>
      </w:r>
      <w:r w:rsidR="00B44F50">
        <w:rPr>
          <w:sz w:val="22"/>
          <w:szCs w:val="22"/>
          <w:lang w:eastAsia="sk-SK"/>
        </w:rPr>
        <w:t>.</w:t>
      </w:r>
    </w:p>
    <w:p w:rsidR="008D3998" w:rsidRDefault="008D3998" w:rsidP="00336454">
      <w:pPr>
        <w:autoSpaceDE w:val="0"/>
        <w:autoSpaceDN w:val="0"/>
        <w:adjustRightInd w:val="0"/>
        <w:jc w:val="both"/>
      </w:pPr>
    </w:p>
    <w:p w:rsidR="00516D7B" w:rsidRDefault="00516D7B" w:rsidP="00336454">
      <w:pPr>
        <w:autoSpaceDE w:val="0"/>
        <w:autoSpaceDN w:val="0"/>
        <w:adjustRightInd w:val="0"/>
        <w:jc w:val="both"/>
      </w:pPr>
    </w:p>
    <w:p w:rsidR="00516D7B" w:rsidRDefault="00516D7B" w:rsidP="00336454">
      <w:pPr>
        <w:autoSpaceDE w:val="0"/>
        <w:autoSpaceDN w:val="0"/>
        <w:adjustRightInd w:val="0"/>
        <w:jc w:val="both"/>
        <w:rPr>
          <w:b/>
        </w:rPr>
      </w:pPr>
      <w:r w:rsidRPr="00D66E30">
        <w:rPr>
          <w:b/>
        </w:rPr>
        <w:t>Prioritná os 4 Sociálne začlenenie</w:t>
      </w:r>
    </w:p>
    <w:p w:rsidR="00D66E30" w:rsidRDefault="00D66E30" w:rsidP="00336454">
      <w:pPr>
        <w:autoSpaceDE w:val="0"/>
        <w:autoSpaceDN w:val="0"/>
        <w:adjustRightInd w:val="0"/>
        <w:jc w:val="both"/>
      </w:pPr>
      <w:r>
        <w:t>Investičná priorita</w:t>
      </w:r>
    </w:p>
    <w:p w:rsidR="00D66E30" w:rsidRDefault="00D66E30" w:rsidP="00336454">
      <w:pPr>
        <w:autoSpaceDE w:val="0"/>
        <w:autoSpaceDN w:val="0"/>
        <w:adjustRightInd w:val="0"/>
        <w:jc w:val="both"/>
      </w:pPr>
      <w:r>
        <w:t>4.1 Aktívne začlenenie, a to aj s cieľom podporovať rovnaké príležitosti a aktívnu účasť a zlepšenie zamestnateľnosti</w:t>
      </w:r>
      <w:r w:rsidR="00B44F50">
        <w:t>.</w:t>
      </w:r>
      <w:r>
        <w:t xml:space="preserve"> </w:t>
      </w:r>
    </w:p>
    <w:p w:rsidR="00D66E30" w:rsidRPr="00D66E30" w:rsidRDefault="00D66E30" w:rsidP="00336454">
      <w:pPr>
        <w:autoSpaceDE w:val="0"/>
        <w:autoSpaceDN w:val="0"/>
        <w:adjustRightInd w:val="0"/>
        <w:jc w:val="both"/>
      </w:pPr>
    </w:p>
    <w:p w:rsidR="00097932" w:rsidRPr="00D66E30" w:rsidRDefault="00516D7B" w:rsidP="00336454">
      <w:pPr>
        <w:autoSpaceDE w:val="0"/>
        <w:autoSpaceDN w:val="0"/>
        <w:adjustRightInd w:val="0"/>
        <w:jc w:val="both"/>
      </w:pPr>
      <w:r>
        <w:t>Špecifický cieľ 4.1.2</w:t>
      </w:r>
      <w:r w:rsidR="00D66E30">
        <w:t>.</w:t>
      </w:r>
      <w:r>
        <w:t xml:space="preserve"> </w:t>
      </w:r>
      <w:r w:rsidRPr="00D66E30">
        <w:rPr>
          <w:sz w:val="22"/>
          <w:szCs w:val="22"/>
        </w:rPr>
        <w:t>Prevencia a eliminácia všetkých foriem diskriminácie</w:t>
      </w:r>
      <w:r w:rsidR="00B44F50">
        <w:rPr>
          <w:sz w:val="22"/>
          <w:szCs w:val="22"/>
        </w:rPr>
        <w:t>.</w:t>
      </w:r>
    </w:p>
    <w:p w:rsidR="00EB0178" w:rsidRDefault="00EB0178" w:rsidP="00336454">
      <w:pPr>
        <w:autoSpaceDE w:val="0"/>
        <w:autoSpaceDN w:val="0"/>
        <w:adjustRightInd w:val="0"/>
        <w:jc w:val="both"/>
      </w:pPr>
    </w:p>
    <w:p w:rsidR="00097932" w:rsidRPr="00097932" w:rsidRDefault="00097932" w:rsidP="00336454">
      <w:pPr>
        <w:autoSpaceDE w:val="0"/>
        <w:autoSpaceDN w:val="0"/>
        <w:adjustRightInd w:val="0"/>
        <w:jc w:val="both"/>
      </w:pPr>
      <w:r w:rsidRPr="00097932">
        <w:rPr>
          <w:b/>
          <w:sz w:val="20"/>
          <w:szCs w:val="20"/>
        </w:rPr>
        <w:t>Tabuľka:</w:t>
      </w:r>
      <w:r>
        <w:t xml:space="preserve"> </w:t>
      </w:r>
      <w:r w:rsidRPr="00097932">
        <w:rPr>
          <w:rStyle w:val="FontStyle97"/>
          <w:b w:val="0"/>
          <w:iCs/>
          <w:sz w:val="20"/>
          <w:szCs w:val="20"/>
        </w:rPr>
        <w:t>Rozdelenie finančného plánu podľa prioritnej osi, fondu, kategórie regiónu a tematického cieľa</w:t>
      </w:r>
      <w:r>
        <w:rPr>
          <w:rStyle w:val="FontStyle97"/>
          <w:b w:val="0"/>
          <w:iCs/>
          <w:sz w:val="20"/>
          <w:szCs w:val="20"/>
        </w:rPr>
        <w:t xml:space="preserve"> </w:t>
      </w:r>
    </w:p>
    <w:p w:rsidR="00097932" w:rsidRDefault="00097932" w:rsidP="00336454">
      <w:pPr>
        <w:autoSpaceDE w:val="0"/>
        <w:autoSpaceDN w:val="0"/>
        <w:adjustRightInd w:val="0"/>
        <w:jc w:val="both"/>
      </w:pPr>
    </w:p>
    <w:tbl>
      <w:tblPr>
        <w:tblW w:w="5000" w:type="pct"/>
        <w:tblLayout w:type="fixed"/>
        <w:tblCellMar>
          <w:left w:w="57" w:type="dxa"/>
          <w:right w:w="57" w:type="dxa"/>
        </w:tblCellMar>
        <w:tblLook w:val="0000" w:firstRow="0" w:lastRow="0" w:firstColumn="0" w:lastColumn="0" w:noHBand="0" w:noVBand="0"/>
      </w:tblPr>
      <w:tblGrid>
        <w:gridCol w:w="1252"/>
        <w:gridCol w:w="1080"/>
        <w:gridCol w:w="1165"/>
        <w:gridCol w:w="1336"/>
        <w:gridCol w:w="1165"/>
        <w:gridCol w:w="1593"/>
        <w:gridCol w:w="1593"/>
      </w:tblGrid>
      <w:tr w:rsidR="00097932" w:rsidRPr="00DB3C26" w:rsidTr="00F347E2">
        <w:tc>
          <w:tcPr>
            <w:tcW w:w="2019" w:type="dxa"/>
            <w:tcBorders>
              <w:top w:val="single" w:sz="6" w:space="0" w:color="auto"/>
              <w:left w:val="single" w:sz="6" w:space="0" w:color="auto"/>
              <w:bottom w:val="single" w:sz="6" w:space="0" w:color="auto"/>
              <w:right w:val="single" w:sz="6" w:space="0" w:color="auto"/>
            </w:tcBorders>
            <w:shd w:val="clear" w:color="auto" w:fill="8DB3E2"/>
            <w:vAlign w:val="center"/>
          </w:tcPr>
          <w:p w:rsidR="00097932" w:rsidRPr="00DB3C26" w:rsidRDefault="00097932" w:rsidP="00F347E2">
            <w:pPr>
              <w:jc w:val="center"/>
              <w:rPr>
                <w:b/>
                <w:sz w:val="19"/>
                <w:szCs w:val="19"/>
                <w:lang w:eastAsia="en-US"/>
              </w:rPr>
            </w:pPr>
            <w:r w:rsidRPr="009F56EB">
              <w:rPr>
                <w:b/>
                <w:sz w:val="19"/>
                <w:szCs w:val="19"/>
                <w:lang w:eastAsia="en-US"/>
              </w:rPr>
              <w:t>Prioritná os</w:t>
            </w:r>
          </w:p>
        </w:tc>
        <w:tc>
          <w:tcPr>
            <w:tcW w:w="1731" w:type="dxa"/>
            <w:tcBorders>
              <w:top w:val="single" w:sz="6" w:space="0" w:color="auto"/>
              <w:left w:val="single" w:sz="6" w:space="0" w:color="auto"/>
              <w:bottom w:val="single" w:sz="6" w:space="0" w:color="auto"/>
              <w:right w:val="single" w:sz="6" w:space="0" w:color="auto"/>
            </w:tcBorders>
            <w:shd w:val="clear" w:color="auto" w:fill="8DB3E2"/>
            <w:vAlign w:val="center"/>
          </w:tcPr>
          <w:p w:rsidR="00097932" w:rsidRPr="009F56EB" w:rsidRDefault="00097932" w:rsidP="00F347E2">
            <w:pPr>
              <w:jc w:val="center"/>
              <w:rPr>
                <w:b/>
                <w:sz w:val="19"/>
                <w:szCs w:val="19"/>
              </w:rPr>
            </w:pPr>
            <w:r w:rsidRPr="00DB3C26">
              <w:rPr>
                <w:b/>
                <w:sz w:val="19"/>
                <w:szCs w:val="19"/>
              </w:rPr>
              <w:t>Fond</w:t>
            </w:r>
            <w:r w:rsidRPr="009F56EB">
              <w:rPr>
                <w:rStyle w:val="Odkaznapoznmkupodiarou"/>
                <w:b/>
                <w:sz w:val="19"/>
                <w:szCs w:val="19"/>
              </w:rPr>
              <w:footnoteReference w:id="1"/>
            </w:r>
          </w:p>
        </w:tc>
        <w:tc>
          <w:tcPr>
            <w:tcW w:w="1875" w:type="dxa"/>
            <w:tcBorders>
              <w:top w:val="single" w:sz="6" w:space="0" w:color="auto"/>
              <w:left w:val="single" w:sz="6" w:space="0" w:color="auto"/>
              <w:bottom w:val="single" w:sz="6" w:space="0" w:color="auto"/>
              <w:right w:val="single" w:sz="6" w:space="0" w:color="auto"/>
            </w:tcBorders>
            <w:shd w:val="clear" w:color="auto" w:fill="8DB3E2"/>
            <w:vAlign w:val="center"/>
          </w:tcPr>
          <w:p w:rsidR="00097932" w:rsidRPr="00DB3C26" w:rsidRDefault="00097932" w:rsidP="00F347E2">
            <w:pPr>
              <w:jc w:val="center"/>
              <w:rPr>
                <w:b/>
                <w:sz w:val="19"/>
                <w:szCs w:val="19"/>
              </w:rPr>
            </w:pPr>
            <w:r w:rsidRPr="00DB3C26">
              <w:rPr>
                <w:b/>
                <w:sz w:val="19"/>
                <w:szCs w:val="19"/>
              </w:rPr>
              <w:t>Kategória regiónu</w:t>
            </w:r>
          </w:p>
        </w:tc>
        <w:tc>
          <w:tcPr>
            <w:tcW w:w="2163" w:type="dxa"/>
            <w:tcBorders>
              <w:top w:val="single" w:sz="6" w:space="0" w:color="auto"/>
              <w:left w:val="single" w:sz="6" w:space="0" w:color="auto"/>
              <w:bottom w:val="single" w:sz="6" w:space="0" w:color="auto"/>
              <w:right w:val="single" w:sz="6" w:space="0" w:color="auto"/>
            </w:tcBorders>
            <w:shd w:val="clear" w:color="auto" w:fill="8DB3E2"/>
            <w:vAlign w:val="center"/>
          </w:tcPr>
          <w:p w:rsidR="00097932" w:rsidRPr="00DB3C26" w:rsidRDefault="00097932" w:rsidP="00F347E2">
            <w:pPr>
              <w:jc w:val="center"/>
              <w:rPr>
                <w:b/>
                <w:sz w:val="19"/>
                <w:szCs w:val="19"/>
              </w:rPr>
            </w:pPr>
            <w:r w:rsidRPr="00DB3C26">
              <w:rPr>
                <w:b/>
                <w:sz w:val="19"/>
                <w:szCs w:val="19"/>
              </w:rPr>
              <w:t>Tematický cieľ</w:t>
            </w:r>
          </w:p>
        </w:tc>
        <w:tc>
          <w:tcPr>
            <w:tcW w:w="1875" w:type="dxa"/>
            <w:tcBorders>
              <w:top w:val="single" w:sz="6" w:space="0" w:color="auto"/>
              <w:left w:val="single" w:sz="6" w:space="0" w:color="auto"/>
              <w:bottom w:val="single" w:sz="6" w:space="0" w:color="auto"/>
              <w:right w:val="single" w:sz="6" w:space="0" w:color="auto"/>
            </w:tcBorders>
            <w:shd w:val="clear" w:color="auto" w:fill="8DB3E2"/>
            <w:vAlign w:val="center"/>
          </w:tcPr>
          <w:p w:rsidR="00097932" w:rsidRPr="00DB3C26" w:rsidRDefault="00097932" w:rsidP="00F347E2">
            <w:pPr>
              <w:jc w:val="center"/>
              <w:rPr>
                <w:b/>
                <w:color w:val="000000"/>
                <w:sz w:val="19"/>
                <w:szCs w:val="19"/>
              </w:rPr>
            </w:pPr>
            <w:r w:rsidRPr="00DB3C26">
              <w:rPr>
                <w:b/>
                <w:color w:val="000000"/>
                <w:sz w:val="19"/>
                <w:szCs w:val="19"/>
              </w:rPr>
              <w:t>Podpora Únie</w:t>
            </w:r>
          </w:p>
        </w:tc>
        <w:tc>
          <w:tcPr>
            <w:tcW w:w="2596" w:type="dxa"/>
            <w:tcBorders>
              <w:top w:val="single" w:sz="6" w:space="0" w:color="auto"/>
              <w:left w:val="single" w:sz="6" w:space="0" w:color="auto"/>
              <w:bottom w:val="single" w:sz="6" w:space="0" w:color="auto"/>
              <w:right w:val="single" w:sz="6" w:space="0" w:color="auto"/>
            </w:tcBorders>
            <w:shd w:val="clear" w:color="auto" w:fill="8DB3E2"/>
            <w:vAlign w:val="center"/>
          </w:tcPr>
          <w:p w:rsidR="00097932" w:rsidRPr="00DB3C26" w:rsidRDefault="00097932" w:rsidP="00F347E2">
            <w:pPr>
              <w:jc w:val="center"/>
              <w:rPr>
                <w:b/>
                <w:color w:val="000000"/>
                <w:sz w:val="19"/>
                <w:szCs w:val="19"/>
              </w:rPr>
            </w:pPr>
            <w:r w:rsidRPr="00DB3C26">
              <w:rPr>
                <w:b/>
                <w:color w:val="000000"/>
                <w:sz w:val="19"/>
                <w:szCs w:val="19"/>
              </w:rPr>
              <w:t>Národné finančné prostriedky</w:t>
            </w:r>
          </w:p>
        </w:tc>
        <w:tc>
          <w:tcPr>
            <w:tcW w:w="2597" w:type="dxa"/>
            <w:tcBorders>
              <w:top w:val="single" w:sz="6" w:space="0" w:color="auto"/>
              <w:left w:val="single" w:sz="6" w:space="0" w:color="auto"/>
              <w:bottom w:val="single" w:sz="6" w:space="0" w:color="auto"/>
              <w:right w:val="single" w:sz="6" w:space="0" w:color="auto"/>
            </w:tcBorders>
            <w:shd w:val="clear" w:color="auto" w:fill="8DB3E2"/>
            <w:vAlign w:val="center"/>
          </w:tcPr>
          <w:p w:rsidR="00097932" w:rsidRPr="00DB3C26" w:rsidRDefault="00097932" w:rsidP="00F347E2">
            <w:pPr>
              <w:jc w:val="center"/>
              <w:rPr>
                <w:b/>
                <w:color w:val="000000"/>
                <w:sz w:val="19"/>
                <w:szCs w:val="19"/>
              </w:rPr>
            </w:pPr>
            <w:r w:rsidRPr="00DB3C26">
              <w:rPr>
                <w:b/>
                <w:color w:val="000000"/>
                <w:sz w:val="19"/>
                <w:szCs w:val="19"/>
              </w:rPr>
              <w:t>Finančné prostriedky spolu</w:t>
            </w:r>
          </w:p>
        </w:tc>
      </w:tr>
      <w:tr w:rsidR="00097932" w:rsidRPr="00DB3C26" w:rsidTr="00F347E2">
        <w:tc>
          <w:tcPr>
            <w:tcW w:w="2019" w:type="dxa"/>
            <w:tcBorders>
              <w:top w:val="single" w:sz="6" w:space="0" w:color="auto"/>
              <w:left w:val="single" w:sz="6" w:space="0" w:color="auto"/>
              <w:bottom w:val="single" w:sz="6" w:space="0" w:color="auto"/>
              <w:right w:val="single" w:sz="6" w:space="0" w:color="auto"/>
            </w:tcBorders>
            <w:vAlign w:val="center"/>
          </w:tcPr>
          <w:p w:rsidR="00097932" w:rsidRPr="009F56EB" w:rsidRDefault="00097932" w:rsidP="00F347E2">
            <w:pPr>
              <w:rPr>
                <w:b/>
                <w:sz w:val="19"/>
                <w:szCs w:val="19"/>
                <w:lang w:eastAsia="en-US"/>
              </w:rPr>
            </w:pPr>
            <w:r w:rsidRPr="009F56EB">
              <w:rPr>
                <w:b/>
                <w:sz w:val="19"/>
                <w:szCs w:val="19"/>
                <w:lang w:eastAsia="en-US"/>
              </w:rPr>
              <w:t>Prioritná os 1</w:t>
            </w:r>
          </w:p>
        </w:tc>
        <w:tc>
          <w:tcPr>
            <w:tcW w:w="1731"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ESF</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MR, VR</w:t>
            </w:r>
          </w:p>
        </w:tc>
        <w:tc>
          <w:tcPr>
            <w:tcW w:w="2163"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Tematický cieľ 10</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widowControl w:val="0"/>
              <w:autoSpaceDE w:val="0"/>
              <w:autoSpaceDN w:val="0"/>
              <w:adjustRightInd w:val="0"/>
              <w:ind w:firstLine="350"/>
              <w:jc w:val="right"/>
              <w:rPr>
                <w:color w:val="000000"/>
                <w:sz w:val="19"/>
                <w:szCs w:val="19"/>
              </w:rPr>
            </w:pPr>
            <w:r w:rsidRPr="009C23B5">
              <w:rPr>
                <w:bCs/>
                <w:color w:val="000000"/>
                <w:sz w:val="19"/>
                <w:szCs w:val="19"/>
              </w:rPr>
              <w:t>458 746 509</w:t>
            </w:r>
          </w:p>
        </w:tc>
        <w:tc>
          <w:tcPr>
            <w:tcW w:w="2596"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sidRPr="009C23B5">
              <w:rPr>
                <w:bCs/>
                <w:sz w:val="19"/>
                <w:szCs w:val="19"/>
              </w:rPr>
              <w:t>90 338 908</w:t>
            </w:r>
          </w:p>
        </w:tc>
        <w:tc>
          <w:tcPr>
            <w:tcW w:w="2597"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sidRPr="009C23B5">
              <w:rPr>
                <w:bCs/>
                <w:color w:val="000000"/>
                <w:sz w:val="19"/>
                <w:szCs w:val="19"/>
              </w:rPr>
              <w:t>549 085 417</w:t>
            </w:r>
          </w:p>
        </w:tc>
      </w:tr>
      <w:tr w:rsidR="00097932" w:rsidRPr="00DB3C26" w:rsidTr="00F347E2">
        <w:tc>
          <w:tcPr>
            <w:tcW w:w="2019"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b/>
                <w:sz w:val="19"/>
                <w:szCs w:val="19"/>
                <w:lang w:eastAsia="en-US"/>
              </w:rPr>
            </w:pPr>
            <w:r w:rsidRPr="009F56EB">
              <w:rPr>
                <w:b/>
                <w:sz w:val="19"/>
                <w:szCs w:val="19"/>
                <w:lang w:eastAsia="en-US"/>
              </w:rPr>
              <w:t>Prioritná os 2</w:t>
            </w:r>
          </w:p>
        </w:tc>
        <w:tc>
          <w:tcPr>
            <w:tcW w:w="1731" w:type="dxa"/>
            <w:tcBorders>
              <w:top w:val="single" w:sz="6" w:space="0" w:color="auto"/>
              <w:left w:val="single" w:sz="6" w:space="0" w:color="auto"/>
              <w:bottom w:val="single" w:sz="6" w:space="0" w:color="auto"/>
              <w:right w:val="single" w:sz="6" w:space="0" w:color="auto"/>
            </w:tcBorders>
          </w:tcPr>
          <w:p w:rsidR="00097932" w:rsidRPr="009F56EB" w:rsidRDefault="00097932" w:rsidP="00F347E2">
            <w:pPr>
              <w:rPr>
                <w:sz w:val="19"/>
                <w:szCs w:val="19"/>
              </w:rPr>
            </w:pPr>
            <w:r w:rsidRPr="009C23B5">
              <w:rPr>
                <w:sz w:val="19"/>
                <w:szCs w:val="19"/>
              </w:rPr>
              <w:t>ESF/IZM</w:t>
            </w:r>
          </w:p>
        </w:tc>
        <w:tc>
          <w:tcPr>
            <w:tcW w:w="1875" w:type="dxa"/>
            <w:tcBorders>
              <w:top w:val="single" w:sz="6" w:space="0" w:color="auto"/>
              <w:left w:val="single" w:sz="6" w:space="0" w:color="auto"/>
              <w:bottom w:val="single" w:sz="6" w:space="0" w:color="auto"/>
              <w:right w:val="single" w:sz="6" w:space="0" w:color="auto"/>
            </w:tcBorders>
          </w:tcPr>
          <w:p w:rsidR="00097932" w:rsidRPr="009F56EB" w:rsidRDefault="00097932" w:rsidP="00F347E2">
            <w:pPr>
              <w:rPr>
                <w:sz w:val="19"/>
                <w:szCs w:val="19"/>
              </w:rPr>
            </w:pPr>
            <w:r w:rsidRPr="009C23B5">
              <w:rPr>
                <w:sz w:val="19"/>
                <w:szCs w:val="19"/>
              </w:rPr>
              <w:t>MR</w:t>
            </w:r>
          </w:p>
        </w:tc>
        <w:tc>
          <w:tcPr>
            <w:tcW w:w="2163" w:type="dxa"/>
            <w:tcBorders>
              <w:top w:val="single" w:sz="6" w:space="0" w:color="auto"/>
              <w:left w:val="single" w:sz="6" w:space="0" w:color="auto"/>
              <w:bottom w:val="single" w:sz="6" w:space="0" w:color="auto"/>
              <w:right w:val="single" w:sz="6" w:space="0" w:color="auto"/>
            </w:tcBorders>
            <w:vAlign w:val="center"/>
          </w:tcPr>
          <w:p w:rsidR="00097932" w:rsidRPr="009F56EB" w:rsidRDefault="00097932" w:rsidP="00F347E2">
            <w:pPr>
              <w:rPr>
                <w:sz w:val="19"/>
                <w:szCs w:val="19"/>
              </w:rPr>
            </w:pPr>
            <w:r w:rsidRPr="009C23B5">
              <w:rPr>
                <w:sz w:val="19"/>
                <w:szCs w:val="19"/>
              </w:rPr>
              <w:t>Tematický cieľ 8</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9F56EB" w:rsidRDefault="00097932" w:rsidP="00F347E2">
            <w:pPr>
              <w:jc w:val="right"/>
              <w:rPr>
                <w:color w:val="000000"/>
                <w:sz w:val="19"/>
                <w:szCs w:val="19"/>
              </w:rPr>
            </w:pPr>
            <w:r w:rsidRPr="009C23B5">
              <w:rPr>
                <w:bCs/>
                <w:color w:val="000000"/>
                <w:sz w:val="19"/>
                <w:szCs w:val="19"/>
              </w:rPr>
              <w:t>144 350 518</w:t>
            </w:r>
          </w:p>
        </w:tc>
        <w:tc>
          <w:tcPr>
            <w:tcW w:w="2596" w:type="dxa"/>
            <w:tcBorders>
              <w:top w:val="single" w:sz="6" w:space="0" w:color="auto"/>
              <w:left w:val="single" w:sz="6" w:space="0" w:color="auto"/>
              <w:bottom w:val="single" w:sz="6" w:space="0" w:color="auto"/>
              <w:right w:val="single" w:sz="6" w:space="0" w:color="auto"/>
            </w:tcBorders>
            <w:vAlign w:val="center"/>
          </w:tcPr>
          <w:p w:rsidR="00097932" w:rsidRPr="009F56EB" w:rsidRDefault="00097932" w:rsidP="00F347E2">
            <w:pPr>
              <w:jc w:val="right"/>
              <w:rPr>
                <w:color w:val="000000"/>
                <w:sz w:val="19"/>
                <w:szCs w:val="19"/>
              </w:rPr>
            </w:pPr>
            <w:r w:rsidRPr="009C23B5">
              <w:rPr>
                <w:bCs/>
                <w:sz w:val="19"/>
                <w:szCs w:val="19"/>
              </w:rPr>
              <w:t>12 736 811</w:t>
            </w:r>
          </w:p>
        </w:tc>
        <w:tc>
          <w:tcPr>
            <w:tcW w:w="2597" w:type="dxa"/>
            <w:tcBorders>
              <w:top w:val="single" w:sz="6" w:space="0" w:color="auto"/>
              <w:left w:val="single" w:sz="6" w:space="0" w:color="auto"/>
              <w:bottom w:val="single" w:sz="6" w:space="0" w:color="auto"/>
              <w:right w:val="single" w:sz="6" w:space="0" w:color="auto"/>
            </w:tcBorders>
            <w:vAlign w:val="center"/>
          </w:tcPr>
          <w:p w:rsidR="00097932" w:rsidRPr="009F56EB" w:rsidRDefault="00097932" w:rsidP="00F347E2">
            <w:pPr>
              <w:jc w:val="right"/>
              <w:rPr>
                <w:color w:val="000000"/>
                <w:sz w:val="19"/>
                <w:szCs w:val="19"/>
              </w:rPr>
            </w:pPr>
            <w:r w:rsidRPr="009C23B5">
              <w:rPr>
                <w:bCs/>
                <w:color w:val="000000"/>
                <w:sz w:val="19"/>
                <w:szCs w:val="19"/>
              </w:rPr>
              <w:t>157 087 329</w:t>
            </w:r>
          </w:p>
        </w:tc>
      </w:tr>
      <w:tr w:rsidR="00097932" w:rsidRPr="00DB3C26" w:rsidTr="00F347E2">
        <w:tc>
          <w:tcPr>
            <w:tcW w:w="2019"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b/>
                <w:sz w:val="19"/>
                <w:szCs w:val="19"/>
                <w:lang w:eastAsia="en-US"/>
              </w:rPr>
            </w:pPr>
            <w:r w:rsidRPr="009F56EB">
              <w:rPr>
                <w:b/>
                <w:sz w:val="19"/>
                <w:szCs w:val="19"/>
                <w:lang w:eastAsia="en-US"/>
              </w:rPr>
              <w:t>Prioritná os 3</w:t>
            </w:r>
          </w:p>
        </w:tc>
        <w:tc>
          <w:tcPr>
            <w:tcW w:w="1731"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ESF</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MR, VR</w:t>
            </w:r>
          </w:p>
        </w:tc>
        <w:tc>
          <w:tcPr>
            <w:tcW w:w="2163"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Tematický cieľ 8</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widowControl w:val="0"/>
              <w:autoSpaceDE w:val="0"/>
              <w:autoSpaceDN w:val="0"/>
              <w:adjustRightInd w:val="0"/>
              <w:ind w:firstLine="350"/>
              <w:jc w:val="right"/>
              <w:rPr>
                <w:color w:val="000000"/>
                <w:sz w:val="19"/>
                <w:szCs w:val="19"/>
              </w:rPr>
            </w:pPr>
            <w:r w:rsidRPr="009C23B5">
              <w:rPr>
                <w:bCs/>
                <w:color w:val="000000"/>
                <w:sz w:val="19"/>
                <w:szCs w:val="19"/>
              </w:rPr>
              <w:t>845 924 737</w:t>
            </w:r>
          </w:p>
        </w:tc>
        <w:tc>
          <w:tcPr>
            <w:tcW w:w="2596"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sidRPr="009C23B5">
              <w:rPr>
                <w:bCs/>
                <w:sz w:val="19"/>
                <w:szCs w:val="19"/>
              </w:rPr>
              <w:t>162 869 072</w:t>
            </w:r>
          </w:p>
        </w:tc>
        <w:tc>
          <w:tcPr>
            <w:tcW w:w="2597"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sidRPr="009C23B5">
              <w:rPr>
                <w:bCs/>
                <w:color w:val="000000"/>
                <w:sz w:val="19"/>
                <w:szCs w:val="19"/>
              </w:rPr>
              <w:t>1 008 793 809</w:t>
            </w:r>
          </w:p>
        </w:tc>
      </w:tr>
      <w:tr w:rsidR="00097932" w:rsidRPr="00DB3C26" w:rsidTr="00F347E2">
        <w:tc>
          <w:tcPr>
            <w:tcW w:w="2019"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b/>
                <w:sz w:val="19"/>
                <w:szCs w:val="19"/>
                <w:lang w:eastAsia="en-US"/>
              </w:rPr>
            </w:pPr>
            <w:r w:rsidRPr="009F56EB">
              <w:rPr>
                <w:b/>
                <w:sz w:val="19"/>
                <w:szCs w:val="19"/>
                <w:lang w:eastAsia="en-US"/>
              </w:rPr>
              <w:t>Prioritná os 4</w:t>
            </w:r>
          </w:p>
        </w:tc>
        <w:tc>
          <w:tcPr>
            <w:tcW w:w="1731"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ESF</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MR, VR</w:t>
            </w:r>
          </w:p>
        </w:tc>
        <w:tc>
          <w:tcPr>
            <w:tcW w:w="2163"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Tematický cieľ 9</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widowControl w:val="0"/>
              <w:autoSpaceDE w:val="0"/>
              <w:autoSpaceDN w:val="0"/>
              <w:adjustRightInd w:val="0"/>
              <w:ind w:firstLine="350"/>
              <w:jc w:val="right"/>
              <w:rPr>
                <w:color w:val="000000"/>
                <w:sz w:val="19"/>
                <w:szCs w:val="19"/>
              </w:rPr>
            </w:pPr>
            <w:r>
              <w:rPr>
                <w:bCs/>
                <w:color w:val="000000"/>
                <w:sz w:val="19"/>
                <w:szCs w:val="19"/>
              </w:rPr>
              <w:t>294 699 291</w:t>
            </w:r>
          </w:p>
        </w:tc>
        <w:tc>
          <w:tcPr>
            <w:tcW w:w="2596"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Pr>
                <w:bCs/>
                <w:sz w:val="19"/>
                <w:szCs w:val="19"/>
              </w:rPr>
              <w:t>73 972 687</w:t>
            </w:r>
          </w:p>
        </w:tc>
        <w:tc>
          <w:tcPr>
            <w:tcW w:w="2597"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highlight w:val="yellow"/>
              </w:rPr>
            </w:pPr>
            <w:r>
              <w:rPr>
                <w:bCs/>
                <w:color w:val="000000"/>
                <w:sz w:val="19"/>
                <w:szCs w:val="19"/>
              </w:rPr>
              <w:t>368 671 978</w:t>
            </w:r>
          </w:p>
        </w:tc>
      </w:tr>
      <w:tr w:rsidR="00097932" w:rsidRPr="00DB3C26" w:rsidTr="00F347E2">
        <w:tc>
          <w:tcPr>
            <w:tcW w:w="2019"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b/>
                <w:sz w:val="19"/>
                <w:szCs w:val="19"/>
                <w:lang w:eastAsia="en-US"/>
              </w:rPr>
            </w:pPr>
            <w:r w:rsidRPr="009F56EB">
              <w:rPr>
                <w:b/>
                <w:sz w:val="19"/>
                <w:szCs w:val="19"/>
                <w:lang w:eastAsia="en-US"/>
              </w:rPr>
              <w:t>Prioritná os 5</w:t>
            </w:r>
          </w:p>
        </w:tc>
        <w:tc>
          <w:tcPr>
            <w:tcW w:w="1731"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ESF</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MR</w:t>
            </w:r>
          </w:p>
        </w:tc>
        <w:tc>
          <w:tcPr>
            <w:tcW w:w="2163"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Tematický cieľ 9</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widowControl w:val="0"/>
              <w:autoSpaceDE w:val="0"/>
              <w:autoSpaceDN w:val="0"/>
              <w:adjustRightInd w:val="0"/>
              <w:ind w:firstLine="350"/>
              <w:jc w:val="right"/>
              <w:rPr>
                <w:color w:val="000000"/>
                <w:sz w:val="19"/>
                <w:szCs w:val="19"/>
              </w:rPr>
            </w:pPr>
            <w:r>
              <w:rPr>
                <w:bCs/>
                <w:color w:val="000000"/>
                <w:sz w:val="19"/>
                <w:szCs w:val="19"/>
              </w:rPr>
              <w:t>139</w:t>
            </w:r>
            <w:r w:rsidRPr="009C23B5">
              <w:rPr>
                <w:bCs/>
                <w:color w:val="000000"/>
                <w:sz w:val="19"/>
                <w:szCs w:val="19"/>
              </w:rPr>
              <w:t xml:space="preserve"> 000 000</w:t>
            </w:r>
          </w:p>
        </w:tc>
        <w:tc>
          <w:tcPr>
            <w:tcW w:w="2596"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Pr>
                <w:bCs/>
                <w:sz w:val="19"/>
                <w:szCs w:val="19"/>
              </w:rPr>
              <w:t>24 529 412</w:t>
            </w:r>
          </w:p>
        </w:tc>
        <w:tc>
          <w:tcPr>
            <w:tcW w:w="2597"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Pr>
                <w:bCs/>
                <w:color w:val="000000"/>
                <w:sz w:val="19"/>
                <w:szCs w:val="19"/>
              </w:rPr>
              <w:t>163 529 412</w:t>
            </w:r>
          </w:p>
        </w:tc>
      </w:tr>
      <w:tr w:rsidR="00097932" w:rsidRPr="00DB3C26" w:rsidTr="00F347E2">
        <w:tc>
          <w:tcPr>
            <w:tcW w:w="2019"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b/>
                <w:sz w:val="19"/>
                <w:szCs w:val="19"/>
                <w:lang w:eastAsia="en-US"/>
              </w:rPr>
            </w:pPr>
            <w:r w:rsidRPr="009F56EB">
              <w:rPr>
                <w:b/>
                <w:sz w:val="19"/>
                <w:szCs w:val="19"/>
                <w:lang w:eastAsia="en-US"/>
              </w:rPr>
              <w:t>Prioritná os 6</w:t>
            </w:r>
          </w:p>
        </w:tc>
        <w:tc>
          <w:tcPr>
            <w:tcW w:w="1731"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EFRR</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MR</w:t>
            </w:r>
          </w:p>
        </w:tc>
        <w:tc>
          <w:tcPr>
            <w:tcW w:w="2163"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Tematický cieľ 9</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widowControl w:val="0"/>
              <w:autoSpaceDE w:val="0"/>
              <w:autoSpaceDN w:val="0"/>
              <w:adjustRightInd w:val="0"/>
              <w:ind w:firstLine="350"/>
              <w:jc w:val="right"/>
              <w:rPr>
                <w:color w:val="000000"/>
                <w:sz w:val="19"/>
                <w:szCs w:val="19"/>
              </w:rPr>
            </w:pPr>
            <w:r w:rsidRPr="009C23B5">
              <w:rPr>
                <w:bCs/>
                <w:color w:val="000000"/>
                <w:sz w:val="19"/>
                <w:szCs w:val="19"/>
              </w:rPr>
              <w:t>243 662 462</w:t>
            </w:r>
          </w:p>
        </w:tc>
        <w:tc>
          <w:tcPr>
            <w:tcW w:w="2596"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sidRPr="009C23B5">
              <w:rPr>
                <w:bCs/>
                <w:sz w:val="19"/>
                <w:szCs w:val="19"/>
              </w:rPr>
              <w:t>42 999 258</w:t>
            </w:r>
          </w:p>
        </w:tc>
        <w:tc>
          <w:tcPr>
            <w:tcW w:w="2597"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sidRPr="009C23B5">
              <w:rPr>
                <w:bCs/>
                <w:color w:val="000000"/>
                <w:sz w:val="19"/>
                <w:szCs w:val="19"/>
              </w:rPr>
              <w:t>286 661 720</w:t>
            </w:r>
          </w:p>
        </w:tc>
      </w:tr>
      <w:tr w:rsidR="00097932" w:rsidRPr="00DB3C26" w:rsidTr="00F347E2">
        <w:tc>
          <w:tcPr>
            <w:tcW w:w="2019"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b/>
                <w:sz w:val="19"/>
                <w:szCs w:val="19"/>
                <w:lang w:eastAsia="en-US"/>
              </w:rPr>
            </w:pPr>
            <w:r w:rsidRPr="00DB3C26">
              <w:rPr>
                <w:b/>
                <w:sz w:val="19"/>
                <w:szCs w:val="19"/>
                <w:lang w:eastAsia="en-US"/>
              </w:rPr>
              <w:t xml:space="preserve"> Prioritná os 7</w:t>
            </w:r>
          </w:p>
        </w:tc>
        <w:tc>
          <w:tcPr>
            <w:tcW w:w="1731"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ESF</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9C23B5">
              <w:rPr>
                <w:sz w:val="19"/>
                <w:szCs w:val="19"/>
              </w:rPr>
              <w:t>MR,VR</w:t>
            </w:r>
          </w:p>
        </w:tc>
        <w:tc>
          <w:tcPr>
            <w:tcW w:w="2163"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N/A</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widowControl w:val="0"/>
              <w:autoSpaceDE w:val="0"/>
              <w:autoSpaceDN w:val="0"/>
              <w:adjustRightInd w:val="0"/>
              <w:ind w:firstLine="350"/>
              <w:jc w:val="right"/>
              <w:rPr>
                <w:color w:val="000000"/>
                <w:sz w:val="19"/>
                <w:szCs w:val="19"/>
              </w:rPr>
            </w:pPr>
            <w:r w:rsidRPr="009C23B5">
              <w:rPr>
                <w:bCs/>
                <w:color w:val="000000"/>
                <w:sz w:val="19"/>
                <w:szCs w:val="19"/>
              </w:rPr>
              <w:t>78 600 000</w:t>
            </w:r>
          </w:p>
        </w:tc>
        <w:tc>
          <w:tcPr>
            <w:tcW w:w="2596"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sidRPr="009C23B5">
              <w:rPr>
                <w:bCs/>
                <w:sz w:val="19"/>
                <w:szCs w:val="19"/>
              </w:rPr>
              <w:t>16 103 753</w:t>
            </w:r>
          </w:p>
        </w:tc>
        <w:tc>
          <w:tcPr>
            <w:tcW w:w="2597"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sidRPr="009C23B5">
              <w:rPr>
                <w:bCs/>
                <w:color w:val="000000"/>
                <w:sz w:val="19"/>
                <w:szCs w:val="19"/>
              </w:rPr>
              <w:t>94 703 753</w:t>
            </w:r>
          </w:p>
        </w:tc>
      </w:tr>
      <w:tr w:rsidR="00097932" w:rsidRPr="00DB3C26" w:rsidTr="00F347E2">
        <w:tc>
          <w:tcPr>
            <w:tcW w:w="2019" w:type="dxa"/>
            <w:tcBorders>
              <w:top w:val="single" w:sz="6" w:space="0" w:color="auto"/>
              <w:left w:val="single" w:sz="6" w:space="0" w:color="auto"/>
              <w:bottom w:val="single" w:sz="6" w:space="0" w:color="auto"/>
              <w:right w:val="single" w:sz="6" w:space="0" w:color="auto"/>
            </w:tcBorders>
            <w:vAlign w:val="center"/>
          </w:tcPr>
          <w:p w:rsidR="00097932" w:rsidRPr="009F56EB" w:rsidRDefault="00097932" w:rsidP="00F347E2">
            <w:pPr>
              <w:rPr>
                <w:b/>
                <w:sz w:val="19"/>
                <w:szCs w:val="19"/>
                <w:lang w:eastAsia="en-US"/>
              </w:rPr>
            </w:pPr>
            <w:r w:rsidRPr="009F56EB">
              <w:rPr>
                <w:b/>
                <w:sz w:val="19"/>
                <w:szCs w:val="19"/>
                <w:lang w:eastAsia="en-US"/>
              </w:rPr>
              <w:t>SPOLU</w:t>
            </w:r>
          </w:p>
        </w:tc>
        <w:tc>
          <w:tcPr>
            <w:tcW w:w="1731"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ESF, EFRR</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MR, VR</w:t>
            </w:r>
          </w:p>
        </w:tc>
        <w:tc>
          <w:tcPr>
            <w:tcW w:w="2163"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rPr>
                <w:sz w:val="19"/>
                <w:szCs w:val="19"/>
              </w:rPr>
            </w:pPr>
            <w:r w:rsidRPr="00DB3C26">
              <w:rPr>
                <w:sz w:val="19"/>
                <w:szCs w:val="19"/>
              </w:rPr>
              <w:t>N/A</w:t>
            </w:r>
          </w:p>
        </w:tc>
        <w:tc>
          <w:tcPr>
            <w:tcW w:w="1875"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widowControl w:val="0"/>
              <w:autoSpaceDE w:val="0"/>
              <w:autoSpaceDN w:val="0"/>
              <w:adjustRightInd w:val="0"/>
              <w:ind w:firstLine="350"/>
              <w:jc w:val="right"/>
              <w:rPr>
                <w:color w:val="000000"/>
                <w:sz w:val="19"/>
                <w:szCs w:val="19"/>
              </w:rPr>
            </w:pPr>
            <w:r w:rsidRPr="009C23B5">
              <w:rPr>
                <w:bCs/>
                <w:color w:val="000000"/>
                <w:sz w:val="19"/>
                <w:szCs w:val="19"/>
              </w:rPr>
              <w:t>2 204 983 517</w:t>
            </w:r>
          </w:p>
        </w:tc>
        <w:tc>
          <w:tcPr>
            <w:tcW w:w="2596"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sidRPr="009C23B5">
              <w:rPr>
                <w:bCs/>
                <w:sz w:val="19"/>
                <w:szCs w:val="19"/>
              </w:rPr>
              <w:t>423 549 901</w:t>
            </w:r>
          </w:p>
        </w:tc>
        <w:tc>
          <w:tcPr>
            <w:tcW w:w="2597" w:type="dxa"/>
            <w:tcBorders>
              <w:top w:val="single" w:sz="6" w:space="0" w:color="auto"/>
              <w:left w:val="single" w:sz="6" w:space="0" w:color="auto"/>
              <w:bottom w:val="single" w:sz="6" w:space="0" w:color="auto"/>
              <w:right w:val="single" w:sz="6" w:space="0" w:color="auto"/>
            </w:tcBorders>
            <w:vAlign w:val="center"/>
          </w:tcPr>
          <w:p w:rsidR="00097932" w:rsidRPr="00DB3C26" w:rsidRDefault="00097932" w:rsidP="00F347E2">
            <w:pPr>
              <w:jc w:val="right"/>
              <w:rPr>
                <w:color w:val="000000"/>
                <w:sz w:val="19"/>
                <w:szCs w:val="19"/>
              </w:rPr>
            </w:pPr>
            <w:r w:rsidRPr="009C23B5">
              <w:rPr>
                <w:bCs/>
                <w:color w:val="000000"/>
                <w:sz w:val="19"/>
                <w:szCs w:val="19"/>
              </w:rPr>
              <w:t>2 628 533 418</w:t>
            </w:r>
          </w:p>
        </w:tc>
      </w:tr>
    </w:tbl>
    <w:p w:rsidR="00097932" w:rsidRPr="00336454" w:rsidRDefault="00097932" w:rsidP="00336454">
      <w:pPr>
        <w:autoSpaceDE w:val="0"/>
        <w:autoSpaceDN w:val="0"/>
        <w:adjustRightInd w:val="0"/>
        <w:jc w:val="both"/>
        <w:rPr>
          <w:bCs/>
          <w:color w:val="000000"/>
          <w:lang w:eastAsia="en-US"/>
        </w:rPr>
      </w:pPr>
    </w:p>
    <w:p w:rsidR="00336454" w:rsidRDefault="00097932" w:rsidP="00336454">
      <w:pPr>
        <w:rPr>
          <w:rStyle w:val="FontStyle97"/>
          <w:iCs/>
          <w:sz w:val="20"/>
          <w:szCs w:val="20"/>
        </w:rPr>
      </w:pPr>
      <w:r w:rsidRPr="00097932">
        <w:rPr>
          <w:sz w:val="20"/>
          <w:szCs w:val="20"/>
        </w:rPr>
        <w:t>Zdroj:</w:t>
      </w:r>
      <w:r>
        <w:t xml:space="preserve"> </w:t>
      </w:r>
      <w:r>
        <w:rPr>
          <w:rStyle w:val="FontStyle97"/>
          <w:iCs/>
          <w:sz w:val="20"/>
          <w:szCs w:val="20"/>
        </w:rPr>
        <w:t>Návrh OP Ľudské zdroje z 9. septembra 2014</w:t>
      </w:r>
    </w:p>
    <w:p w:rsidR="00D66E30" w:rsidRDefault="00D66E30" w:rsidP="00516D7B">
      <w:pPr>
        <w:pStyle w:val="Normlnywebov"/>
        <w:spacing w:before="0" w:beforeAutospacing="0" w:after="120" w:afterAutospacing="0"/>
        <w:jc w:val="both"/>
        <w:rPr>
          <w:lang w:val="sk-SK"/>
        </w:rPr>
      </w:pPr>
    </w:p>
    <w:p w:rsidR="00516D7B" w:rsidRPr="00060333" w:rsidRDefault="00516D7B" w:rsidP="00516D7B">
      <w:pPr>
        <w:pStyle w:val="Normlnywebov"/>
        <w:spacing w:before="0" w:beforeAutospacing="0" w:after="120" w:afterAutospacing="0"/>
        <w:jc w:val="both"/>
        <w:rPr>
          <w:lang w:val="sk-SK"/>
        </w:rPr>
      </w:pPr>
      <w:r w:rsidRPr="00060333">
        <w:rPr>
          <w:lang w:val="sk-SK"/>
        </w:rPr>
        <w:t>Vo vzťahu k regionálnej a miestnej samospráve majú úlohy charakter odporúčania. Úlohy bude územná samospráva financovať v rámci schválených rozpočtov.</w:t>
      </w:r>
    </w:p>
    <w:p w:rsidR="00D66E30" w:rsidRDefault="00D66E30" w:rsidP="00336454">
      <w:pPr>
        <w:pStyle w:val="Obyajntext"/>
        <w:jc w:val="both"/>
        <w:rPr>
          <w:rFonts w:ascii="Times New Roman" w:hAnsi="Times New Roman"/>
          <w:b/>
          <w:sz w:val="24"/>
          <w:szCs w:val="24"/>
        </w:rPr>
      </w:pPr>
    </w:p>
    <w:p w:rsidR="00336454" w:rsidRPr="00336454" w:rsidRDefault="00336454" w:rsidP="00336454">
      <w:pPr>
        <w:pStyle w:val="Obyajntext"/>
        <w:jc w:val="both"/>
        <w:rPr>
          <w:rFonts w:ascii="Times New Roman" w:hAnsi="Times New Roman"/>
          <w:sz w:val="24"/>
          <w:szCs w:val="24"/>
        </w:rPr>
      </w:pPr>
      <w:r w:rsidRPr="00336454">
        <w:rPr>
          <w:rFonts w:ascii="Times New Roman" w:hAnsi="Times New Roman"/>
          <w:b/>
          <w:sz w:val="24"/>
          <w:szCs w:val="24"/>
        </w:rPr>
        <w:t>Ministerstvo hospodárstva SR</w:t>
      </w:r>
      <w:r>
        <w:rPr>
          <w:rFonts w:ascii="Times New Roman" w:hAnsi="Times New Roman"/>
          <w:b/>
          <w:sz w:val="24"/>
          <w:szCs w:val="24"/>
        </w:rPr>
        <w:t xml:space="preserve">, </w:t>
      </w:r>
      <w:r w:rsidRPr="00336454">
        <w:rPr>
          <w:rFonts w:ascii="Times New Roman" w:hAnsi="Times New Roman"/>
          <w:sz w:val="24"/>
          <w:szCs w:val="24"/>
        </w:rPr>
        <w:t>odbor hospodárskych analýz neuplat</w:t>
      </w:r>
      <w:r>
        <w:rPr>
          <w:rFonts w:ascii="Times New Roman" w:hAnsi="Times New Roman"/>
          <w:sz w:val="24"/>
          <w:szCs w:val="24"/>
        </w:rPr>
        <w:t>nil</w:t>
      </w:r>
      <w:r w:rsidRPr="00336454">
        <w:rPr>
          <w:rFonts w:ascii="Times New Roman" w:hAnsi="Times New Roman"/>
          <w:sz w:val="24"/>
          <w:szCs w:val="24"/>
        </w:rPr>
        <w:t xml:space="preserve"> pripomienky a súhlas</w:t>
      </w:r>
      <w:r>
        <w:rPr>
          <w:rFonts w:ascii="Times New Roman" w:hAnsi="Times New Roman"/>
          <w:sz w:val="24"/>
          <w:szCs w:val="24"/>
        </w:rPr>
        <w:t>il</w:t>
      </w:r>
      <w:r w:rsidRPr="00336454">
        <w:rPr>
          <w:rFonts w:ascii="Times New Roman" w:hAnsi="Times New Roman"/>
          <w:sz w:val="24"/>
          <w:szCs w:val="24"/>
        </w:rPr>
        <w:t xml:space="preserve"> s doložkou vybraných vplyvov</w:t>
      </w:r>
      <w:r>
        <w:rPr>
          <w:rFonts w:ascii="Times New Roman" w:hAnsi="Times New Roman"/>
          <w:sz w:val="24"/>
          <w:szCs w:val="24"/>
        </w:rPr>
        <w:t xml:space="preserve"> </w:t>
      </w:r>
      <w:r w:rsidRPr="00336454">
        <w:rPr>
          <w:rFonts w:ascii="Times New Roman" w:hAnsi="Times New Roman"/>
          <w:sz w:val="24"/>
          <w:szCs w:val="24"/>
        </w:rPr>
        <w:t>bez pripomienok.</w:t>
      </w:r>
    </w:p>
    <w:p w:rsidR="00336454" w:rsidRPr="00336454" w:rsidRDefault="00336454" w:rsidP="00336454">
      <w:pPr>
        <w:jc w:val="both"/>
      </w:pPr>
    </w:p>
    <w:p w:rsidR="00336454" w:rsidRDefault="00336454" w:rsidP="00336454">
      <w:pPr>
        <w:jc w:val="both"/>
      </w:pPr>
      <w:r w:rsidRPr="009B14EF">
        <w:rPr>
          <w:b/>
        </w:rPr>
        <w:t>Ministerstvo práce, sociálnych vecí a rodiny SR</w:t>
      </w:r>
      <w:r>
        <w:t xml:space="preserve"> bez pripomienok.</w:t>
      </w:r>
    </w:p>
    <w:p w:rsidR="00336454" w:rsidRDefault="00336454" w:rsidP="00336454">
      <w:pPr>
        <w:jc w:val="both"/>
      </w:pPr>
    </w:p>
    <w:p w:rsidR="00336454" w:rsidRPr="00BA7FE1" w:rsidRDefault="00336454" w:rsidP="00336454">
      <w:pPr>
        <w:jc w:val="both"/>
      </w:pPr>
      <w:r w:rsidRPr="009B14EF">
        <w:rPr>
          <w:b/>
        </w:rPr>
        <w:t>Ministerstvo životného prostredia SR</w:t>
      </w:r>
      <w:r w:rsidRPr="00A93BF5">
        <w:t xml:space="preserve"> súhlasí s predloženou doložkou vybraných vplyvov </w:t>
      </w:r>
      <w:r w:rsidRPr="00A93BF5">
        <w:rPr>
          <w:bCs/>
        </w:rPr>
        <w:t>bez pripomienok</w:t>
      </w:r>
      <w:r w:rsidRPr="00A93BF5">
        <w:t>.</w:t>
      </w:r>
    </w:p>
    <w:p w:rsidR="00336454" w:rsidRDefault="00336454" w:rsidP="00C279F3">
      <w:pPr>
        <w:pStyle w:val="Zkladntext2"/>
        <w:rPr>
          <w:b/>
        </w:rPr>
      </w:pPr>
    </w:p>
    <w:p w:rsidR="00336454" w:rsidRDefault="00336454" w:rsidP="00336454">
      <w:pPr>
        <w:rPr>
          <w:rFonts w:ascii="Calibri" w:hAnsi="Calibri" w:cs="Calibri"/>
          <w:color w:val="1F497D"/>
        </w:rPr>
      </w:pPr>
    </w:p>
    <w:p w:rsidR="00336454" w:rsidRPr="00C279F3" w:rsidRDefault="00336454" w:rsidP="00C279F3">
      <w:pPr>
        <w:pStyle w:val="Zkladntext2"/>
        <w:rPr>
          <w:b/>
          <w:szCs w:val="24"/>
        </w:rPr>
      </w:pPr>
    </w:p>
    <w:sectPr w:rsidR="00336454" w:rsidRPr="00C279F3" w:rsidSect="00C6246E">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C6" w:rsidRDefault="00A74CC6">
      <w:r>
        <w:separator/>
      </w:r>
    </w:p>
  </w:endnote>
  <w:endnote w:type="continuationSeparator" w:id="0">
    <w:p w:rsidR="00A74CC6" w:rsidRDefault="00A7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93266"/>
      <w:docPartObj>
        <w:docPartGallery w:val="Page Numbers (Bottom of Page)"/>
        <w:docPartUnique/>
      </w:docPartObj>
    </w:sdtPr>
    <w:sdtEndPr/>
    <w:sdtContent>
      <w:p w:rsidR="002E5E62" w:rsidRDefault="002E5E62">
        <w:pPr>
          <w:pStyle w:val="Pta"/>
          <w:jc w:val="right"/>
        </w:pPr>
        <w:r>
          <w:fldChar w:fldCharType="begin"/>
        </w:r>
        <w:r>
          <w:instrText>PAGE   \* MERGEFORMAT</w:instrText>
        </w:r>
        <w:r>
          <w:fldChar w:fldCharType="separate"/>
        </w:r>
        <w:r w:rsidR="00D16FE7">
          <w:rPr>
            <w:noProof/>
          </w:rPr>
          <w:t>1</w:t>
        </w:r>
        <w:r>
          <w:fldChar w:fldCharType="end"/>
        </w:r>
      </w:p>
    </w:sdtContent>
  </w:sdt>
  <w:p w:rsidR="002E5E62" w:rsidRDefault="002E5E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C6" w:rsidRDefault="00A74CC6">
      <w:r>
        <w:separator/>
      </w:r>
    </w:p>
  </w:footnote>
  <w:footnote w:type="continuationSeparator" w:id="0">
    <w:p w:rsidR="00A74CC6" w:rsidRDefault="00A74CC6">
      <w:r>
        <w:continuationSeparator/>
      </w:r>
    </w:p>
  </w:footnote>
  <w:footnote w:id="1">
    <w:p w:rsidR="00097932" w:rsidRPr="00AD4A71" w:rsidRDefault="00097932" w:rsidP="00097932">
      <w:pPr>
        <w:pStyle w:val="Textpoznmkypodiarou"/>
        <w:rPr>
          <w:sz w:val="18"/>
          <w:szCs w:val="18"/>
        </w:rPr>
      </w:pPr>
      <w:r w:rsidRPr="00AD4A71">
        <w:rPr>
          <w:rStyle w:val="Odkaznapoznmkupodiarou"/>
          <w:sz w:val="18"/>
          <w:szCs w:val="18"/>
        </w:rPr>
        <w:footnoteRef/>
      </w:r>
      <w:r>
        <w:rPr>
          <w:sz w:val="18"/>
          <w:szCs w:val="18"/>
        </w:rPr>
        <w:t xml:space="preserve"> </w:t>
      </w:r>
      <w:r w:rsidRPr="00AD4A71">
        <w:rPr>
          <w:sz w:val="18"/>
          <w:szCs w:val="18"/>
        </w:rPr>
        <w:t>Na účely tejto tabuľky sa IZM (osobitné pridelené rozpočtové prostriedky a zodpovedajúca podpora ESF) považuje za fond.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58" w:rsidRDefault="000D2158">
    <w:pPr>
      <w:pStyle w:val="Hlavika"/>
    </w:pPr>
  </w:p>
  <w:p w:rsidR="000D2158" w:rsidRDefault="000D215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6E"/>
    <w:rsid w:val="00063DEF"/>
    <w:rsid w:val="00074FD3"/>
    <w:rsid w:val="00097932"/>
    <w:rsid w:val="000C797F"/>
    <w:rsid w:val="000D2158"/>
    <w:rsid w:val="000F58C8"/>
    <w:rsid w:val="001371DD"/>
    <w:rsid w:val="00157376"/>
    <w:rsid w:val="0017115C"/>
    <w:rsid w:val="001948C9"/>
    <w:rsid w:val="001A3C24"/>
    <w:rsid w:val="001E4AB0"/>
    <w:rsid w:val="001E73D6"/>
    <w:rsid w:val="00244CD1"/>
    <w:rsid w:val="002635D0"/>
    <w:rsid w:val="002E5E62"/>
    <w:rsid w:val="00307B7B"/>
    <w:rsid w:val="00336454"/>
    <w:rsid w:val="003B5473"/>
    <w:rsid w:val="003C6B25"/>
    <w:rsid w:val="003F07D7"/>
    <w:rsid w:val="0040793B"/>
    <w:rsid w:val="00472C38"/>
    <w:rsid w:val="004E7D94"/>
    <w:rsid w:val="00515413"/>
    <w:rsid w:val="00516D7B"/>
    <w:rsid w:val="005E64F2"/>
    <w:rsid w:val="00627044"/>
    <w:rsid w:val="006448DB"/>
    <w:rsid w:val="00666D39"/>
    <w:rsid w:val="006846C7"/>
    <w:rsid w:val="00690C0D"/>
    <w:rsid w:val="00725E5B"/>
    <w:rsid w:val="00727A3F"/>
    <w:rsid w:val="00730E33"/>
    <w:rsid w:val="0073169C"/>
    <w:rsid w:val="0074706A"/>
    <w:rsid w:val="007A050C"/>
    <w:rsid w:val="007A4633"/>
    <w:rsid w:val="007C2034"/>
    <w:rsid w:val="007C3B6B"/>
    <w:rsid w:val="007D3F21"/>
    <w:rsid w:val="00803A4B"/>
    <w:rsid w:val="0080663A"/>
    <w:rsid w:val="00816CD5"/>
    <w:rsid w:val="00860A33"/>
    <w:rsid w:val="00881AA4"/>
    <w:rsid w:val="008A14D6"/>
    <w:rsid w:val="008B0765"/>
    <w:rsid w:val="008D3998"/>
    <w:rsid w:val="00956401"/>
    <w:rsid w:val="00990D42"/>
    <w:rsid w:val="009B14EF"/>
    <w:rsid w:val="00A63E47"/>
    <w:rsid w:val="00A74CC6"/>
    <w:rsid w:val="00A76EE7"/>
    <w:rsid w:val="00A93BF5"/>
    <w:rsid w:val="00AA37A5"/>
    <w:rsid w:val="00AF0772"/>
    <w:rsid w:val="00B27357"/>
    <w:rsid w:val="00B44F50"/>
    <w:rsid w:val="00B743F4"/>
    <w:rsid w:val="00BA7FE1"/>
    <w:rsid w:val="00BC147E"/>
    <w:rsid w:val="00BD6A88"/>
    <w:rsid w:val="00C1728D"/>
    <w:rsid w:val="00C279F3"/>
    <w:rsid w:val="00C4506F"/>
    <w:rsid w:val="00C6246E"/>
    <w:rsid w:val="00CF12F7"/>
    <w:rsid w:val="00CF1362"/>
    <w:rsid w:val="00D1563C"/>
    <w:rsid w:val="00D16FE7"/>
    <w:rsid w:val="00D545CA"/>
    <w:rsid w:val="00D66E30"/>
    <w:rsid w:val="00E31D18"/>
    <w:rsid w:val="00E4776F"/>
    <w:rsid w:val="00E75914"/>
    <w:rsid w:val="00EB0178"/>
    <w:rsid w:val="00EC112A"/>
    <w:rsid w:val="00EC4F86"/>
    <w:rsid w:val="00EE37B3"/>
    <w:rsid w:val="00EF40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6246E"/>
    <w:rPr>
      <w:sz w:val="24"/>
      <w:szCs w:val="24"/>
    </w:rPr>
  </w:style>
  <w:style w:type="paragraph" w:styleId="Nadpis2">
    <w:name w:val="heading 2"/>
    <w:basedOn w:val="Normlny"/>
    <w:link w:val="Nadpis2Char"/>
    <w:qFormat/>
    <w:rsid w:val="00D1563C"/>
    <w:pPr>
      <w:widowControl w:val="0"/>
      <w:autoSpaceDE w:val="0"/>
      <w:autoSpaceDN w:val="0"/>
      <w:adjustRightInd w:val="0"/>
      <w:outlineLvl w:val="1"/>
    </w:pPr>
    <w:rPr>
      <w:rFonts w:ascii="Arial" w:eastAsia="Arial" w:hAnsi="Arial" w:cs="Arial"/>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6246E"/>
    <w:rPr>
      <w:b/>
      <w:szCs w:val="20"/>
    </w:rPr>
  </w:style>
  <w:style w:type="paragraph" w:styleId="Zkladntext2">
    <w:name w:val="Body Text 2"/>
    <w:basedOn w:val="Normlny"/>
    <w:rsid w:val="00C6246E"/>
    <w:rPr>
      <w:szCs w:val="20"/>
    </w:rPr>
  </w:style>
  <w:style w:type="paragraph" w:styleId="Hlavika">
    <w:name w:val="header"/>
    <w:basedOn w:val="Normlny"/>
    <w:rsid w:val="00C6246E"/>
    <w:pPr>
      <w:tabs>
        <w:tab w:val="center" w:pos="4536"/>
        <w:tab w:val="right" w:pos="9072"/>
      </w:tabs>
    </w:pPr>
  </w:style>
  <w:style w:type="paragraph" w:styleId="Pta">
    <w:name w:val="footer"/>
    <w:basedOn w:val="Normlny"/>
    <w:link w:val="PtaChar"/>
    <w:uiPriority w:val="99"/>
    <w:rsid w:val="003C6B25"/>
    <w:pPr>
      <w:tabs>
        <w:tab w:val="center" w:pos="4703"/>
        <w:tab w:val="right" w:pos="9406"/>
      </w:tabs>
    </w:pPr>
  </w:style>
  <w:style w:type="character" w:customStyle="1" w:styleId="PtaChar">
    <w:name w:val="Päta Char"/>
    <w:basedOn w:val="Predvolenpsmoodseku"/>
    <w:link w:val="Pta"/>
    <w:uiPriority w:val="99"/>
    <w:rsid w:val="003C6B25"/>
    <w:rPr>
      <w:sz w:val="24"/>
      <w:szCs w:val="24"/>
      <w:lang w:val="sk-SK" w:eastAsia="sk-SK"/>
    </w:rPr>
  </w:style>
  <w:style w:type="paragraph" w:styleId="Obyajntext">
    <w:name w:val="Plain Text"/>
    <w:basedOn w:val="Normlny"/>
    <w:link w:val="ObyajntextChar"/>
    <w:uiPriority w:val="99"/>
    <w:unhideWhenUsed/>
    <w:rsid w:val="00AA37A5"/>
    <w:rPr>
      <w:rFonts w:ascii="Consolas" w:eastAsiaTheme="minorHAnsi" w:hAnsi="Consolas"/>
      <w:sz w:val="21"/>
      <w:szCs w:val="21"/>
    </w:rPr>
  </w:style>
  <w:style w:type="character" w:customStyle="1" w:styleId="ObyajntextChar">
    <w:name w:val="Obyčajný text Char"/>
    <w:basedOn w:val="Predvolenpsmoodseku"/>
    <w:link w:val="Obyajntext"/>
    <w:uiPriority w:val="99"/>
    <w:rsid w:val="00AA37A5"/>
    <w:rPr>
      <w:rFonts w:ascii="Consolas" w:eastAsiaTheme="minorHAnsi" w:hAnsi="Consolas"/>
      <w:sz w:val="21"/>
      <w:szCs w:val="21"/>
    </w:rPr>
  </w:style>
  <w:style w:type="character" w:customStyle="1" w:styleId="Nadpis2Char">
    <w:name w:val="Nadpis 2 Char"/>
    <w:basedOn w:val="Predvolenpsmoodseku"/>
    <w:link w:val="Nadpis2"/>
    <w:rsid w:val="00D1563C"/>
    <w:rPr>
      <w:rFonts w:ascii="Arial" w:eastAsia="Arial" w:hAnsi="Arial" w:cs="Arial"/>
    </w:rPr>
  </w:style>
  <w:style w:type="character" w:customStyle="1" w:styleId="ZkladntextChar">
    <w:name w:val="Základný text Char"/>
    <w:basedOn w:val="Predvolenpsmoodseku"/>
    <w:link w:val="Zkladntext"/>
    <w:rsid w:val="00EE37B3"/>
    <w:rPr>
      <w:b/>
      <w:sz w:val="24"/>
    </w:rPr>
  </w:style>
  <w:style w:type="paragraph" w:customStyle="1" w:styleId="Default">
    <w:name w:val="Default"/>
    <w:basedOn w:val="Normlny"/>
    <w:next w:val="Normlny"/>
    <w:qFormat/>
    <w:rsid w:val="00C279F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snapToGrid w:val="0"/>
      <w:color w:val="000000"/>
      <w:spacing w:val="-2"/>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rsid w:val="00097932"/>
    <w:pPr>
      <w:widowControl w:val="0"/>
      <w:autoSpaceDE w:val="0"/>
      <w:autoSpaceDN w:val="0"/>
      <w:adjustRightInd w:val="0"/>
    </w:pPr>
    <w:rPr>
      <w:rFonts w:eastAsia="Calibri"/>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rsid w:val="00097932"/>
    <w:rPr>
      <w:rFonts w:eastAsia="Calibri"/>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rsid w:val="00097932"/>
    <w:rPr>
      <w:rFonts w:cs="Times New Roman"/>
      <w:vertAlign w:val="superscript"/>
    </w:rPr>
  </w:style>
  <w:style w:type="character" w:customStyle="1" w:styleId="FontStyle97">
    <w:name w:val="Font Style97"/>
    <w:uiPriority w:val="99"/>
    <w:rsid w:val="00097932"/>
    <w:rPr>
      <w:rFonts w:ascii="Times New Roman" w:hAnsi="Times New Roman"/>
      <w:b/>
      <w:sz w:val="22"/>
    </w:rPr>
  </w:style>
  <w:style w:type="paragraph" w:styleId="Odsekzoznamu">
    <w:name w:val="List Paragraph"/>
    <w:aliases w:val="body,Odsek zoznamu2"/>
    <w:basedOn w:val="Normlny"/>
    <w:link w:val="OdsekzoznamuChar"/>
    <w:uiPriority w:val="99"/>
    <w:qFormat/>
    <w:rsid w:val="008D3998"/>
    <w:pPr>
      <w:tabs>
        <w:tab w:val="left" w:pos="426"/>
      </w:tabs>
      <w:ind w:left="720"/>
      <w:contextualSpacing/>
      <w:jc w:val="both"/>
    </w:pPr>
    <w:rPr>
      <w:rFonts w:eastAsia="Calibri"/>
      <w:sz w:val="20"/>
      <w:szCs w:val="20"/>
      <w:lang w:eastAsia="en-GB"/>
    </w:rPr>
  </w:style>
  <w:style w:type="character" w:customStyle="1" w:styleId="OdsekzoznamuChar">
    <w:name w:val="Odsek zoznamu Char"/>
    <w:aliases w:val="body Char,Odsek zoznamu2 Char"/>
    <w:link w:val="Odsekzoznamu"/>
    <w:uiPriority w:val="99"/>
    <w:locked/>
    <w:rsid w:val="008D3998"/>
    <w:rPr>
      <w:rFonts w:eastAsia="Calibri"/>
      <w:lang w:eastAsia="en-GB"/>
    </w:rPr>
  </w:style>
  <w:style w:type="paragraph" w:styleId="Normlnywebov">
    <w:name w:val="Normal (Web)"/>
    <w:basedOn w:val="Normlny"/>
    <w:rsid w:val="00516D7B"/>
    <w:pPr>
      <w:spacing w:before="100" w:beforeAutospacing="1" w:after="100" w:afterAutospacing="1"/>
    </w:pPr>
    <w:rPr>
      <w:lang w:val="cs-CZ" w:eastAsia="cs-CZ"/>
    </w:rPr>
  </w:style>
  <w:style w:type="character" w:customStyle="1" w:styleId="FontStyle91">
    <w:name w:val="Font Style91"/>
    <w:rsid w:val="00D66E30"/>
    <w:rPr>
      <w:rFonts w:ascii="Times New Roman" w:hAnsi="Times New Roman"/>
      <w:b/>
      <w:i/>
      <w:sz w:val="22"/>
    </w:rPr>
  </w:style>
  <w:style w:type="paragraph" w:customStyle="1" w:styleId="INVESTICNAPRIORITA3">
    <w:name w:val="INVESTICNA PRIORITA 3"/>
    <w:basedOn w:val="Normlny"/>
    <w:link w:val="INVESTICNAPRIORITA3Char"/>
    <w:uiPriority w:val="99"/>
    <w:rsid w:val="00D66E30"/>
    <w:pPr>
      <w:keepNext/>
      <w:keepLines/>
      <w:pBdr>
        <w:top w:val="single" w:sz="4" w:space="1" w:color="auto"/>
        <w:left w:val="single" w:sz="4" w:space="4" w:color="auto"/>
        <w:bottom w:val="single" w:sz="4" w:space="1" w:color="auto"/>
        <w:right w:val="single" w:sz="4" w:space="4" w:color="auto"/>
      </w:pBdr>
      <w:shd w:val="clear" w:color="auto" w:fill="FF0000"/>
      <w:tabs>
        <w:tab w:val="left" w:pos="2835"/>
      </w:tabs>
      <w:autoSpaceDE w:val="0"/>
      <w:autoSpaceDN w:val="0"/>
      <w:adjustRightInd w:val="0"/>
      <w:spacing w:before="200" w:after="200" w:line="288" w:lineRule="auto"/>
      <w:jc w:val="both"/>
      <w:outlineLvl w:val="1"/>
    </w:pPr>
    <w:rPr>
      <w:rFonts w:eastAsia="Calibri"/>
      <w:color w:val="FFFFFF"/>
      <w:spacing w:val="4"/>
      <w:sz w:val="23"/>
      <w:szCs w:val="23"/>
      <w:lang w:eastAsia="en-US"/>
    </w:rPr>
  </w:style>
  <w:style w:type="character" w:customStyle="1" w:styleId="INVESTICNAPRIORITA3Char">
    <w:name w:val="INVESTICNA PRIORITA 3 Char"/>
    <w:link w:val="INVESTICNAPRIORITA3"/>
    <w:uiPriority w:val="99"/>
    <w:locked/>
    <w:rsid w:val="00D66E30"/>
    <w:rPr>
      <w:rFonts w:eastAsia="Calibri"/>
      <w:color w:val="FFFFFF"/>
      <w:spacing w:val="4"/>
      <w:sz w:val="23"/>
      <w:szCs w:val="23"/>
      <w:shd w:val="clear" w:color="auto" w:fill="FF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6246E"/>
    <w:rPr>
      <w:sz w:val="24"/>
      <w:szCs w:val="24"/>
    </w:rPr>
  </w:style>
  <w:style w:type="paragraph" w:styleId="Nadpis2">
    <w:name w:val="heading 2"/>
    <w:basedOn w:val="Normlny"/>
    <w:link w:val="Nadpis2Char"/>
    <w:qFormat/>
    <w:rsid w:val="00D1563C"/>
    <w:pPr>
      <w:widowControl w:val="0"/>
      <w:autoSpaceDE w:val="0"/>
      <w:autoSpaceDN w:val="0"/>
      <w:adjustRightInd w:val="0"/>
      <w:outlineLvl w:val="1"/>
    </w:pPr>
    <w:rPr>
      <w:rFonts w:ascii="Arial" w:eastAsia="Arial" w:hAnsi="Arial" w:cs="Arial"/>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6246E"/>
    <w:rPr>
      <w:b/>
      <w:szCs w:val="20"/>
    </w:rPr>
  </w:style>
  <w:style w:type="paragraph" w:styleId="Zkladntext2">
    <w:name w:val="Body Text 2"/>
    <w:basedOn w:val="Normlny"/>
    <w:rsid w:val="00C6246E"/>
    <w:rPr>
      <w:szCs w:val="20"/>
    </w:rPr>
  </w:style>
  <w:style w:type="paragraph" w:styleId="Hlavika">
    <w:name w:val="header"/>
    <w:basedOn w:val="Normlny"/>
    <w:rsid w:val="00C6246E"/>
    <w:pPr>
      <w:tabs>
        <w:tab w:val="center" w:pos="4536"/>
        <w:tab w:val="right" w:pos="9072"/>
      </w:tabs>
    </w:pPr>
  </w:style>
  <w:style w:type="paragraph" w:styleId="Pta">
    <w:name w:val="footer"/>
    <w:basedOn w:val="Normlny"/>
    <w:link w:val="PtaChar"/>
    <w:uiPriority w:val="99"/>
    <w:rsid w:val="003C6B25"/>
    <w:pPr>
      <w:tabs>
        <w:tab w:val="center" w:pos="4703"/>
        <w:tab w:val="right" w:pos="9406"/>
      </w:tabs>
    </w:pPr>
  </w:style>
  <w:style w:type="character" w:customStyle="1" w:styleId="PtaChar">
    <w:name w:val="Päta Char"/>
    <w:basedOn w:val="Predvolenpsmoodseku"/>
    <w:link w:val="Pta"/>
    <w:uiPriority w:val="99"/>
    <w:rsid w:val="003C6B25"/>
    <w:rPr>
      <w:sz w:val="24"/>
      <w:szCs w:val="24"/>
      <w:lang w:val="sk-SK" w:eastAsia="sk-SK"/>
    </w:rPr>
  </w:style>
  <w:style w:type="paragraph" w:styleId="Obyajntext">
    <w:name w:val="Plain Text"/>
    <w:basedOn w:val="Normlny"/>
    <w:link w:val="ObyajntextChar"/>
    <w:uiPriority w:val="99"/>
    <w:unhideWhenUsed/>
    <w:rsid w:val="00AA37A5"/>
    <w:rPr>
      <w:rFonts w:ascii="Consolas" w:eastAsiaTheme="minorHAnsi" w:hAnsi="Consolas"/>
      <w:sz w:val="21"/>
      <w:szCs w:val="21"/>
    </w:rPr>
  </w:style>
  <w:style w:type="character" w:customStyle="1" w:styleId="ObyajntextChar">
    <w:name w:val="Obyčajný text Char"/>
    <w:basedOn w:val="Predvolenpsmoodseku"/>
    <w:link w:val="Obyajntext"/>
    <w:uiPriority w:val="99"/>
    <w:rsid w:val="00AA37A5"/>
    <w:rPr>
      <w:rFonts w:ascii="Consolas" w:eastAsiaTheme="minorHAnsi" w:hAnsi="Consolas"/>
      <w:sz w:val="21"/>
      <w:szCs w:val="21"/>
    </w:rPr>
  </w:style>
  <w:style w:type="character" w:customStyle="1" w:styleId="Nadpis2Char">
    <w:name w:val="Nadpis 2 Char"/>
    <w:basedOn w:val="Predvolenpsmoodseku"/>
    <w:link w:val="Nadpis2"/>
    <w:rsid w:val="00D1563C"/>
    <w:rPr>
      <w:rFonts w:ascii="Arial" w:eastAsia="Arial" w:hAnsi="Arial" w:cs="Arial"/>
    </w:rPr>
  </w:style>
  <w:style w:type="character" w:customStyle="1" w:styleId="ZkladntextChar">
    <w:name w:val="Základný text Char"/>
    <w:basedOn w:val="Predvolenpsmoodseku"/>
    <w:link w:val="Zkladntext"/>
    <w:rsid w:val="00EE37B3"/>
    <w:rPr>
      <w:b/>
      <w:sz w:val="24"/>
    </w:rPr>
  </w:style>
  <w:style w:type="paragraph" w:customStyle="1" w:styleId="Default">
    <w:name w:val="Default"/>
    <w:basedOn w:val="Normlny"/>
    <w:next w:val="Normlny"/>
    <w:qFormat/>
    <w:rsid w:val="00C279F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snapToGrid w:val="0"/>
      <w:color w:val="000000"/>
      <w:spacing w:val="-2"/>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rsid w:val="00097932"/>
    <w:pPr>
      <w:widowControl w:val="0"/>
      <w:autoSpaceDE w:val="0"/>
      <w:autoSpaceDN w:val="0"/>
      <w:adjustRightInd w:val="0"/>
    </w:pPr>
    <w:rPr>
      <w:rFonts w:eastAsia="Calibri"/>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rsid w:val="00097932"/>
    <w:rPr>
      <w:rFonts w:eastAsia="Calibri"/>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ftref"/>
    <w:rsid w:val="00097932"/>
    <w:rPr>
      <w:rFonts w:cs="Times New Roman"/>
      <w:vertAlign w:val="superscript"/>
    </w:rPr>
  </w:style>
  <w:style w:type="character" w:customStyle="1" w:styleId="FontStyle97">
    <w:name w:val="Font Style97"/>
    <w:uiPriority w:val="99"/>
    <w:rsid w:val="00097932"/>
    <w:rPr>
      <w:rFonts w:ascii="Times New Roman" w:hAnsi="Times New Roman"/>
      <w:b/>
      <w:sz w:val="22"/>
    </w:rPr>
  </w:style>
  <w:style w:type="paragraph" w:styleId="Odsekzoznamu">
    <w:name w:val="List Paragraph"/>
    <w:aliases w:val="body,Odsek zoznamu2"/>
    <w:basedOn w:val="Normlny"/>
    <w:link w:val="OdsekzoznamuChar"/>
    <w:uiPriority w:val="99"/>
    <w:qFormat/>
    <w:rsid w:val="008D3998"/>
    <w:pPr>
      <w:tabs>
        <w:tab w:val="left" w:pos="426"/>
      </w:tabs>
      <w:ind w:left="720"/>
      <w:contextualSpacing/>
      <w:jc w:val="both"/>
    </w:pPr>
    <w:rPr>
      <w:rFonts w:eastAsia="Calibri"/>
      <w:sz w:val="20"/>
      <w:szCs w:val="20"/>
      <w:lang w:eastAsia="en-GB"/>
    </w:rPr>
  </w:style>
  <w:style w:type="character" w:customStyle="1" w:styleId="OdsekzoznamuChar">
    <w:name w:val="Odsek zoznamu Char"/>
    <w:aliases w:val="body Char,Odsek zoznamu2 Char"/>
    <w:link w:val="Odsekzoznamu"/>
    <w:uiPriority w:val="99"/>
    <w:locked/>
    <w:rsid w:val="008D3998"/>
    <w:rPr>
      <w:rFonts w:eastAsia="Calibri"/>
      <w:lang w:eastAsia="en-GB"/>
    </w:rPr>
  </w:style>
  <w:style w:type="paragraph" w:styleId="Normlnywebov">
    <w:name w:val="Normal (Web)"/>
    <w:basedOn w:val="Normlny"/>
    <w:rsid w:val="00516D7B"/>
    <w:pPr>
      <w:spacing w:before="100" w:beforeAutospacing="1" w:after="100" w:afterAutospacing="1"/>
    </w:pPr>
    <w:rPr>
      <w:lang w:val="cs-CZ" w:eastAsia="cs-CZ"/>
    </w:rPr>
  </w:style>
  <w:style w:type="character" w:customStyle="1" w:styleId="FontStyle91">
    <w:name w:val="Font Style91"/>
    <w:rsid w:val="00D66E30"/>
    <w:rPr>
      <w:rFonts w:ascii="Times New Roman" w:hAnsi="Times New Roman"/>
      <w:b/>
      <w:i/>
      <w:sz w:val="22"/>
    </w:rPr>
  </w:style>
  <w:style w:type="paragraph" w:customStyle="1" w:styleId="INVESTICNAPRIORITA3">
    <w:name w:val="INVESTICNA PRIORITA 3"/>
    <w:basedOn w:val="Normlny"/>
    <w:link w:val="INVESTICNAPRIORITA3Char"/>
    <w:uiPriority w:val="99"/>
    <w:rsid w:val="00D66E30"/>
    <w:pPr>
      <w:keepNext/>
      <w:keepLines/>
      <w:pBdr>
        <w:top w:val="single" w:sz="4" w:space="1" w:color="auto"/>
        <w:left w:val="single" w:sz="4" w:space="4" w:color="auto"/>
        <w:bottom w:val="single" w:sz="4" w:space="1" w:color="auto"/>
        <w:right w:val="single" w:sz="4" w:space="4" w:color="auto"/>
      </w:pBdr>
      <w:shd w:val="clear" w:color="auto" w:fill="FF0000"/>
      <w:tabs>
        <w:tab w:val="left" w:pos="2835"/>
      </w:tabs>
      <w:autoSpaceDE w:val="0"/>
      <w:autoSpaceDN w:val="0"/>
      <w:adjustRightInd w:val="0"/>
      <w:spacing w:before="200" w:after="200" w:line="288" w:lineRule="auto"/>
      <w:jc w:val="both"/>
      <w:outlineLvl w:val="1"/>
    </w:pPr>
    <w:rPr>
      <w:rFonts w:eastAsia="Calibri"/>
      <w:color w:val="FFFFFF"/>
      <w:spacing w:val="4"/>
      <w:sz w:val="23"/>
      <w:szCs w:val="23"/>
      <w:lang w:eastAsia="en-US"/>
    </w:rPr>
  </w:style>
  <w:style w:type="character" w:customStyle="1" w:styleId="INVESTICNAPRIORITA3Char">
    <w:name w:val="INVESTICNA PRIORITA 3 Char"/>
    <w:link w:val="INVESTICNAPRIORITA3"/>
    <w:uiPriority w:val="99"/>
    <w:locked/>
    <w:rsid w:val="00D66E30"/>
    <w:rPr>
      <w:rFonts w:eastAsia="Calibri"/>
      <w:color w:val="FFFFFF"/>
      <w:spacing w:val="4"/>
      <w:sz w:val="23"/>
      <w:szCs w:val="23"/>
      <w:shd w:val="clear" w:color="auto" w:fil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8476">
      <w:bodyDiv w:val="1"/>
      <w:marLeft w:val="0"/>
      <w:marRight w:val="0"/>
      <w:marTop w:val="0"/>
      <w:marBottom w:val="0"/>
      <w:divBdr>
        <w:top w:val="none" w:sz="0" w:space="0" w:color="auto"/>
        <w:left w:val="none" w:sz="0" w:space="0" w:color="auto"/>
        <w:bottom w:val="none" w:sz="0" w:space="0" w:color="auto"/>
        <w:right w:val="none" w:sz="0" w:space="0" w:color="auto"/>
      </w:divBdr>
    </w:div>
    <w:div w:id="1722485386">
      <w:bodyDiv w:val="1"/>
      <w:marLeft w:val="0"/>
      <w:marRight w:val="0"/>
      <w:marTop w:val="0"/>
      <w:marBottom w:val="0"/>
      <w:divBdr>
        <w:top w:val="none" w:sz="0" w:space="0" w:color="auto"/>
        <w:left w:val="none" w:sz="0" w:space="0" w:color="auto"/>
        <w:bottom w:val="none" w:sz="0" w:space="0" w:color="auto"/>
        <w:right w:val="none" w:sz="0" w:space="0" w:color="auto"/>
      </w:divBdr>
    </w:div>
    <w:div w:id="21108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6019</Characters>
  <Application>Microsoft Office Word</Application>
  <DocSecurity>0</DocSecurity>
  <Lines>50</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Doložka vybraných vplyvov</vt:lpstr>
      <vt:lpstr>Doložka vybraných vplyvov</vt:lpstr>
    </vt:vector>
  </TitlesOfParts>
  <Company>MPSVR SR</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jackova</dc:creator>
  <cp:lastModifiedBy>Jackova Maria</cp:lastModifiedBy>
  <cp:revision>2</cp:revision>
  <cp:lastPrinted>2013-03-20T07:04:00Z</cp:lastPrinted>
  <dcterms:created xsi:type="dcterms:W3CDTF">2014-10-21T08:21:00Z</dcterms:created>
  <dcterms:modified xsi:type="dcterms:W3CDTF">2014-10-21T08:21:00Z</dcterms:modified>
</cp:coreProperties>
</file>