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56" w:rsidRDefault="00DF6356" w:rsidP="00DF6356">
      <w:pPr>
        <w:pStyle w:val="Normlnywebov"/>
        <w:spacing w:before="0" w:beforeAutospacing="0" w:after="0" w:afterAutospacing="0"/>
      </w:pPr>
      <w:r>
        <w:t> </w:t>
      </w:r>
    </w:p>
    <w:p w:rsidR="004161A1" w:rsidRDefault="004161A1" w:rsidP="004161A1">
      <w:pPr>
        <w:jc w:val="center"/>
      </w:pPr>
      <w:r w:rsidRPr="004161A1">
        <w:rPr>
          <w:b/>
          <w:bCs/>
          <w:sz w:val="28"/>
          <w:szCs w:val="28"/>
        </w:rPr>
        <w:t>Vplyvy na rozpočet verejnej správy,</w:t>
      </w:r>
    </w:p>
    <w:p w:rsidR="004161A1" w:rsidRDefault="004161A1" w:rsidP="004161A1">
      <w:pPr>
        <w:jc w:val="center"/>
      </w:pPr>
      <w:r w:rsidRPr="004161A1">
        <w:rPr>
          <w:b/>
          <w:bCs/>
          <w:sz w:val="28"/>
          <w:szCs w:val="28"/>
        </w:rPr>
        <w:t>na zamestnanosť vo verejnej správe a financovanie návrhu</w:t>
      </w:r>
    </w:p>
    <w:p w:rsidR="004161A1" w:rsidRDefault="004161A1" w:rsidP="004161A1">
      <w:r>
        <w:t> </w:t>
      </w:r>
    </w:p>
    <w:p w:rsidR="004161A1" w:rsidRDefault="004161A1" w:rsidP="004161A1">
      <w:bookmarkStart w:id="0" w:name="OLE_LINK2"/>
      <w:r w:rsidRPr="004161A1">
        <w:rPr>
          <w:b/>
          <w:bCs/>
        </w:rPr>
        <w:t>2.1. Zhrnutie vplyvov na rozpočet verejnej správy v návrhu</w:t>
      </w:r>
      <w:bookmarkEnd w:id="0"/>
    </w:p>
    <w:p w:rsidR="004161A1" w:rsidRDefault="004161A1" w:rsidP="004161A1">
      <w:pPr>
        <w:jc w:val="right"/>
      </w:pPr>
      <w:r w:rsidRPr="004161A1">
        <w:rPr>
          <w:sz w:val="20"/>
          <w:szCs w:val="20"/>
        </w:rPr>
        <w:t xml:space="preserve">Tabuľka č. 1 </w:t>
      </w:r>
    </w:p>
    <w:tbl>
      <w:tblPr>
        <w:tblW w:w="9729" w:type="dxa"/>
        <w:tblCellMar>
          <w:left w:w="0" w:type="dxa"/>
          <w:right w:w="0" w:type="dxa"/>
        </w:tblCellMar>
        <w:tblLook w:val="0000" w:firstRow="0" w:lastRow="0" w:firstColumn="0" w:lastColumn="0" w:noHBand="0" w:noVBand="0"/>
      </w:tblPr>
      <w:tblGrid>
        <w:gridCol w:w="4661"/>
        <w:gridCol w:w="1267"/>
        <w:gridCol w:w="1267"/>
        <w:gridCol w:w="1267"/>
        <w:gridCol w:w="1267"/>
      </w:tblGrid>
      <w:tr w:rsidR="004161A1" w:rsidRPr="004161A1" w:rsidTr="004161A1">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161A1" w:rsidRPr="004161A1" w:rsidRDefault="004161A1" w:rsidP="004161A1">
            <w:pPr>
              <w:spacing w:line="194" w:lineRule="atLeast"/>
              <w:jc w:val="center"/>
            </w:pPr>
            <w:bookmarkStart w:id="1" w:name="OLE_LINK1"/>
            <w:bookmarkEnd w:id="1"/>
            <w:r w:rsidRPr="004161A1">
              <w:rPr>
                <w:b/>
                <w:bCs/>
                <w:color w:val="FFFFFF"/>
              </w:rPr>
              <w:t xml:space="preserve">Vplyvy na </w:t>
            </w:r>
            <w:r w:rsidRPr="004161A1">
              <w:rPr>
                <w:b/>
                <w:bCs/>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161A1" w:rsidRPr="004161A1" w:rsidRDefault="004161A1" w:rsidP="004161A1">
            <w:pPr>
              <w:spacing w:line="194" w:lineRule="atLeast"/>
              <w:jc w:val="center"/>
            </w:pPr>
            <w:r w:rsidRPr="004161A1">
              <w:rPr>
                <w:b/>
                <w:bCs/>
                <w:color w:val="FFFFFF"/>
              </w:rPr>
              <w:t xml:space="preserve">Vplyv na rozpočet verejnej správy </w:t>
            </w:r>
            <w:r w:rsidRPr="004161A1">
              <w:rPr>
                <w:b/>
                <w:bCs/>
              </w:rPr>
              <w:t>(v eurách)</w:t>
            </w:r>
          </w:p>
        </w:tc>
      </w:tr>
      <w:tr w:rsidR="00106142" w:rsidRPr="004161A1" w:rsidTr="004161A1">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tcPr>
          <w:p w:rsidR="00106142" w:rsidRPr="004161A1" w:rsidRDefault="00106142" w:rsidP="004161A1"/>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06142" w:rsidRDefault="00DF393E">
            <w:pPr>
              <w:jc w:val="center"/>
              <w:rPr>
                <w:b/>
                <w:bCs/>
                <w:color w:val="FFFFFF"/>
              </w:rPr>
            </w:pPr>
            <w:r>
              <w:rPr>
                <w:b/>
                <w:bCs/>
                <w:color w:val="FFFFFF"/>
              </w:rPr>
              <w:t>2015</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06142" w:rsidRDefault="00DF393E">
            <w:pPr>
              <w:jc w:val="center"/>
              <w:rPr>
                <w:b/>
                <w:bCs/>
                <w:color w:val="FFFFFF"/>
              </w:rPr>
            </w:pPr>
            <w:r>
              <w:rPr>
                <w:b/>
                <w:bCs/>
                <w:color w:val="FFFFFF"/>
              </w:rPr>
              <w:t>2016</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06142" w:rsidRDefault="00DF393E">
            <w:pPr>
              <w:jc w:val="center"/>
              <w:rPr>
                <w:b/>
                <w:bCs/>
                <w:color w:val="FFFFFF"/>
              </w:rPr>
            </w:pPr>
            <w:r>
              <w:rPr>
                <w:b/>
                <w:bCs/>
                <w:color w:val="FFFFFF"/>
              </w:rPr>
              <w:t>2017</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06142" w:rsidRDefault="00DF393E">
            <w:pPr>
              <w:jc w:val="center"/>
              <w:rPr>
                <w:b/>
                <w:bCs/>
                <w:color w:val="FFFFFF"/>
              </w:rPr>
            </w:pPr>
            <w:r>
              <w:rPr>
                <w:b/>
                <w:bCs/>
                <w:color w:val="FFFFFF"/>
              </w:rPr>
              <w:t>2018</w:t>
            </w:r>
          </w:p>
        </w:tc>
      </w:tr>
      <w:tr w:rsidR="002410BE" w:rsidRPr="002410BE" w:rsidTr="004161A1">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rsidP="004161A1">
            <w:pPr>
              <w:spacing w:line="70" w:lineRule="atLeast"/>
            </w:pPr>
            <w:r w:rsidRPr="002410BE">
              <w:rPr>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-1 840 457</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rsidP="003D5C22">
            <w:pPr>
              <w:jc w:val="right"/>
              <w:rPr>
                <w:b/>
                <w:bCs/>
                <w:sz w:val="20"/>
                <w:szCs w:val="20"/>
              </w:rPr>
            </w:pPr>
            <w:r w:rsidRPr="002410BE">
              <w:rPr>
                <w:b/>
                <w:bCs/>
                <w:sz w:val="20"/>
                <w:szCs w:val="20"/>
              </w:rPr>
              <w:t>-6 316 989</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-10 067 147</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-15 669 041</w:t>
            </w:r>
          </w:p>
        </w:tc>
      </w:tr>
      <w:tr w:rsidR="002410BE" w:rsidRPr="002410BE" w:rsidTr="004161A1">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11560">
            <w:pPr>
              <w:spacing w:line="132" w:lineRule="atLeast"/>
            </w:pPr>
            <w:r w:rsidRPr="002410BE">
              <w:t xml:space="preserve">v tom: za </w:t>
            </w:r>
            <w:proofErr w:type="spellStart"/>
            <w:r w:rsidRPr="002410BE">
              <w:t>MŠVVaŠ</w:t>
            </w:r>
            <w:proofErr w:type="spellEnd"/>
            <w:r w:rsidRPr="002410BE">
              <w:t xml:space="preserve">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  0,00</w:t>
            </w:r>
          </w:p>
        </w:tc>
      </w:tr>
      <w:tr w:rsidR="002410BE" w:rsidRPr="002410BE" w:rsidTr="004161A1">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6C1FE1">
            <w:pPr>
              <w:spacing w:line="132" w:lineRule="atLeast"/>
            </w:pPr>
            <w:r w:rsidRPr="002410BE">
              <w:t>v tom: za MF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3D5C22">
            <w:pPr>
              <w:jc w:val="right"/>
              <w:rPr>
                <w:b/>
                <w:bCs/>
                <w:sz w:val="20"/>
                <w:szCs w:val="20"/>
              </w:rPr>
            </w:pPr>
            <w:r w:rsidRPr="002410BE">
              <w:rPr>
                <w:b/>
                <w:bCs/>
                <w:sz w:val="20"/>
                <w:szCs w:val="20"/>
              </w:rPr>
              <w:t>-1 840 457</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-6 316 989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3D5C22">
            <w:pPr>
              <w:jc w:val="right"/>
              <w:rPr>
                <w:b/>
                <w:bCs/>
                <w:sz w:val="20"/>
                <w:szCs w:val="20"/>
              </w:rPr>
            </w:pPr>
            <w:r w:rsidRPr="002410BE">
              <w:rPr>
                <w:b/>
                <w:bCs/>
                <w:sz w:val="20"/>
                <w:szCs w:val="20"/>
              </w:rPr>
              <w:t>-10 067 147</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-15 669 041</w:t>
            </w:r>
          </w:p>
        </w:tc>
      </w:tr>
      <w:tr w:rsidR="002410BE" w:rsidRPr="002410BE" w:rsidTr="004161A1">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E2852" w:rsidRPr="002410BE" w:rsidRDefault="004E2852" w:rsidP="004161A1">
            <w:pPr>
              <w:spacing w:line="70" w:lineRule="atLeast"/>
            </w:pPr>
            <w:r w:rsidRPr="002410BE">
              <w:rPr>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E2852" w:rsidRPr="002410BE" w:rsidRDefault="004E2852">
            <w:pPr>
              <w:rPr>
                <w:b/>
                <w:bCs/>
                <w:i/>
                <w:iCs/>
                <w:sz w:val="20"/>
                <w:szCs w:val="20"/>
              </w:rPr>
            </w:pPr>
            <w:r w:rsidRPr="002410BE">
              <w:rPr>
                <w:b/>
                <w:bCs/>
                <w:i/>
                <w:iCs/>
                <w:sz w:val="20"/>
                <w:szCs w:val="20"/>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E2852" w:rsidRPr="002410BE" w:rsidRDefault="004E2852">
            <w:pPr>
              <w:rPr>
                <w:b/>
                <w:bCs/>
                <w:i/>
                <w:iCs/>
                <w:sz w:val="20"/>
                <w:szCs w:val="20"/>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E2852" w:rsidRPr="002410BE" w:rsidRDefault="004E2852">
            <w:pPr>
              <w:rPr>
                <w:b/>
                <w:bCs/>
                <w:i/>
                <w:iCs/>
                <w:sz w:val="20"/>
                <w:szCs w:val="20"/>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4E2852" w:rsidRPr="002410BE" w:rsidRDefault="004E2852">
            <w:pPr>
              <w:rPr>
                <w:b/>
                <w:bCs/>
                <w:i/>
                <w:iCs/>
                <w:sz w:val="20"/>
                <w:szCs w:val="20"/>
              </w:rPr>
            </w:pPr>
          </w:p>
        </w:tc>
      </w:tr>
      <w:tr w:rsidR="002410BE" w:rsidRPr="002410BE" w:rsidTr="004161A1">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4161A1">
            <w:pPr>
              <w:spacing w:line="125" w:lineRule="atLeast"/>
            </w:pPr>
            <w:r w:rsidRPr="002410BE">
              <w:rPr>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2575A">
            <w:pPr>
              <w:jc w:val="right"/>
              <w:rPr>
                <w:b/>
                <w:bCs/>
                <w:sz w:val="20"/>
                <w:szCs w:val="20"/>
              </w:rPr>
            </w:pPr>
            <w:r w:rsidRPr="002410BE">
              <w:rPr>
                <w:b/>
                <w:bCs/>
                <w:sz w:val="20"/>
                <w:szCs w:val="20"/>
              </w:rPr>
              <w:t>-1 840 457</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2575A">
            <w:pPr>
              <w:jc w:val="right"/>
              <w:rPr>
                <w:b/>
                <w:bCs/>
                <w:sz w:val="20"/>
                <w:szCs w:val="20"/>
              </w:rPr>
            </w:pPr>
            <w:r w:rsidRPr="002410BE">
              <w:rPr>
                <w:b/>
                <w:bCs/>
                <w:sz w:val="20"/>
                <w:szCs w:val="20"/>
              </w:rPr>
              <w:t>-6 316 989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2575A">
            <w:pPr>
              <w:jc w:val="right"/>
              <w:rPr>
                <w:b/>
                <w:bCs/>
                <w:sz w:val="20"/>
                <w:szCs w:val="20"/>
              </w:rPr>
            </w:pPr>
            <w:r w:rsidRPr="002410BE">
              <w:rPr>
                <w:b/>
                <w:bCs/>
                <w:sz w:val="20"/>
                <w:szCs w:val="20"/>
              </w:rPr>
              <w:t>-10 067 147</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2575A">
            <w:pPr>
              <w:jc w:val="right"/>
              <w:rPr>
                <w:b/>
                <w:bCs/>
                <w:sz w:val="20"/>
                <w:szCs w:val="20"/>
              </w:rPr>
            </w:pPr>
            <w:r w:rsidRPr="002410BE">
              <w:rPr>
                <w:b/>
                <w:bCs/>
                <w:sz w:val="20"/>
                <w:szCs w:val="20"/>
              </w:rPr>
              <w:t>-15 669 041</w:t>
            </w:r>
          </w:p>
        </w:tc>
      </w:tr>
      <w:tr w:rsidR="002410BE" w:rsidRPr="002410BE" w:rsidTr="004161A1">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4161A1">
            <w:pPr>
              <w:spacing w:line="125" w:lineRule="atLeast"/>
            </w:pPr>
            <w:r w:rsidRPr="002410BE">
              <w:rPr>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  0.00</w:t>
            </w:r>
          </w:p>
        </w:tc>
      </w:tr>
      <w:tr w:rsidR="002410BE" w:rsidRPr="002410BE" w:rsidTr="004161A1">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rsidP="004161A1">
            <w:pPr>
              <w:spacing w:line="125" w:lineRule="atLeast"/>
            </w:pPr>
            <w:r w:rsidRPr="002410BE">
              <w:rPr>
                <w:b/>
                <w:bCs/>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-71 302</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-745 693</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rsidP="00B12FE1">
            <w:pPr>
              <w:jc w:val="right"/>
              <w:rPr>
                <w:b/>
                <w:bCs/>
                <w:sz w:val="20"/>
                <w:szCs w:val="20"/>
              </w:rPr>
            </w:pPr>
            <w:r w:rsidRPr="002410BE">
              <w:rPr>
                <w:b/>
                <w:bCs/>
                <w:sz w:val="20"/>
                <w:szCs w:val="20"/>
              </w:rPr>
              <w:t>-2 396 649</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-4 542 820 </w:t>
            </w:r>
          </w:p>
        </w:tc>
      </w:tr>
      <w:tr w:rsidR="002410BE" w:rsidRPr="002410BE" w:rsidTr="004161A1">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11560">
            <w:pPr>
              <w:spacing w:line="132" w:lineRule="atLeast"/>
            </w:pPr>
            <w:r w:rsidRPr="002410BE">
              <w:t xml:space="preserve">v tom: za </w:t>
            </w:r>
            <w:proofErr w:type="spellStart"/>
            <w:r w:rsidRPr="002410BE">
              <w:t>MŠVVaŠ</w:t>
            </w:r>
            <w:proofErr w:type="spellEnd"/>
            <w:r w:rsidRPr="002410BE">
              <w:t xml:space="preserve">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11560">
            <w:pPr>
              <w:jc w:val="right"/>
              <w:rPr>
                <w:b/>
                <w:bCs/>
                <w:sz w:val="20"/>
                <w:szCs w:val="20"/>
              </w:rPr>
            </w:pPr>
            <w:r w:rsidRPr="002410BE">
              <w:rPr>
                <w:b/>
                <w:bCs/>
                <w:sz w:val="20"/>
                <w:szCs w:val="20"/>
              </w:rPr>
              <w:t>-71 302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11560">
            <w:pPr>
              <w:jc w:val="right"/>
              <w:rPr>
                <w:b/>
                <w:bCs/>
                <w:sz w:val="20"/>
                <w:szCs w:val="20"/>
              </w:rPr>
            </w:pPr>
            <w:r w:rsidRPr="002410BE">
              <w:rPr>
                <w:b/>
                <w:bCs/>
                <w:sz w:val="20"/>
                <w:szCs w:val="20"/>
              </w:rPr>
              <w:t>-745 693</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B12FE1">
            <w:pPr>
              <w:jc w:val="right"/>
              <w:rPr>
                <w:b/>
                <w:bCs/>
                <w:sz w:val="20"/>
                <w:szCs w:val="20"/>
              </w:rPr>
            </w:pPr>
            <w:r w:rsidRPr="002410BE">
              <w:rPr>
                <w:b/>
                <w:bCs/>
                <w:sz w:val="20"/>
                <w:szCs w:val="20"/>
              </w:rPr>
              <w:t>-2 396 649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11560">
            <w:pPr>
              <w:jc w:val="right"/>
              <w:rPr>
                <w:b/>
                <w:bCs/>
                <w:sz w:val="20"/>
                <w:szCs w:val="20"/>
              </w:rPr>
            </w:pPr>
            <w:r w:rsidRPr="002410BE">
              <w:rPr>
                <w:b/>
                <w:bCs/>
                <w:sz w:val="20"/>
                <w:szCs w:val="20"/>
              </w:rPr>
              <w:t xml:space="preserve">-4 542 820 </w:t>
            </w:r>
          </w:p>
        </w:tc>
      </w:tr>
      <w:tr w:rsidR="002410BE" w:rsidRPr="002410BE" w:rsidTr="004161A1">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6C1FE1">
            <w:pPr>
              <w:spacing w:line="132" w:lineRule="atLeast"/>
            </w:pPr>
            <w:r w:rsidRPr="002410BE">
              <w:t>v tom: za MF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6C1FE1">
            <w:pPr>
              <w:jc w:val="right"/>
              <w:rPr>
                <w:b/>
                <w:sz w:val="20"/>
                <w:szCs w:val="20"/>
              </w:rPr>
            </w:pPr>
            <w:r w:rsidRPr="002410BE">
              <w:rPr>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6C1FE1">
            <w:pPr>
              <w:jc w:val="right"/>
              <w:rPr>
                <w:b/>
                <w:sz w:val="20"/>
                <w:szCs w:val="20"/>
              </w:rPr>
            </w:pPr>
            <w:r w:rsidRPr="002410BE">
              <w:rPr>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6C1FE1">
            <w:pPr>
              <w:jc w:val="right"/>
              <w:rPr>
                <w:b/>
                <w:sz w:val="20"/>
                <w:szCs w:val="20"/>
              </w:rPr>
            </w:pPr>
            <w:r w:rsidRPr="002410BE">
              <w:rPr>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6C1FE1">
            <w:pPr>
              <w:jc w:val="right"/>
              <w:rPr>
                <w:b/>
                <w:sz w:val="20"/>
                <w:szCs w:val="20"/>
              </w:rPr>
            </w:pPr>
            <w:r w:rsidRPr="002410BE">
              <w:rPr>
                <w:b/>
                <w:sz w:val="20"/>
                <w:szCs w:val="20"/>
              </w:rPr>
              <w:t xml:space="preserve">  0.00</w:t>
            </w:r>
          </w:p>
        </w:tc>
      </w:tr>
      <w:tr w:rsidR="002410BE" w:rsidRPr="002410BE" w:rsidTr="004161A1">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4161A1">
            <w:pPr>
              <w:spacing w:line="70" w:lineRule="atLeast"/>
            </w:pPr>
            <w:r w:rsidRPr="002410BE">
              <w:rPr>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11560">
            <w:pPr>
              <w:jc w:val="right"/>
              <w:rPr>
                <w:b/>
                <w:sz w:val="20"/>
                <w:szCs w:val="20"/>
              </w:rPr>
            </w:pPr>
            <w:r w:rsidRPr="002410BE">
              <w:rPr>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11560">
            <w:pPr>
              <w:jc w:val="right"/>
              <w:rPr>
                <w:b/>
                <w:sz w:val="20"/>
                <w:szCs w:val="20"/>
              </w:rPr>
            </w:pPr>
            <w:r w:rsidRPr="002410BE">
              <w:rPr>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11560">
            <w:pPr>
              <w:jc w:val="right"/>
              <w:rPr>
                <w:b/>
                <w:sz w:val="20"/>
                <w:szCs w:val="20"/>
              </w:rPr>
            </w:pPr>
            <w:r w:rsidRPr="002410BE">
              <w:rPr>
                <w:b/>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E11560">
            <w:pPr>
              <w:jc w:val="right"/>
              <w:rPr>
                <w:b/>
                <w:sz w:val="20"/>
                <w:szCs w:val="20"/>
              </w:rPr>
            </w:pPr>
            <w:r w:rsidRPr="002410BE">
              <w:rPr>
                <w:b/>
                <w:sz w:val="20"/>
                <w:szCs w:val="20"/>
              </w:rPr>
              <w:t xml:space="preserve">  0.00</w:t>
            </w:r>
          </w:p>
        </w:tc>
      </w:tr>
      <w:tr w:rsidR="002410BE" w:rsidRPr="002410BE" w:rsidTr="004161A1">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4161A1">
            <w:pPr>
              <w:spacing w:line="70" w:lineRule="atLeast"/>
            </w:pPr>
            <w:r w:rsidRPr="002410BE">
              <w:rPr>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021596">
            <w:pPr>
              <w:jc w:val="right"/>
              <w:rPr>
                <w:b/>
                <w:bCs/>
                <w:sz w:val="20"/>
                <w:szCs w:val="20"/>
              </w:rPr>
            </w:pPr>
            <w:r w:rsidRPr="002410BE">
              <w:rPr>
                <w:b/>
                <w:bCs/>
                <w:sz w:val="20"/>
                <w:szCs w:val="20"/>
              </w:rPr>
              <w:t>-71 302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021596">
            <w:pPr>
              <w:jc w:val="right"/>
              <w:rPr>
                <w:b/>
                <w:bCs/>
                <w:sz w:val="20"/>
                <w:szCs w:val="20"/>
              </w:rPr>
            </w:pPr>
            <w:r w:rsidRPr="002410BE">
              <w:rPr>
                <w:b/>
                <w:bCs/>
                <w:sz w:val="20"/>
                <w:szCs w:val="20"/>
              </w:rPr>
              <w:t>-745 693</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021596">
            <w:pPr>
              <w:jc w:val="right"/>
              <w:rPr>
                <w:b/>
                <w:bCs/>
                <w:sz w:val="20"/>
                <w:szCs w:val="20"/>
              </w:rPr>
            </w:pPr>
            <w:r w:rsidRPr="002410BE">
              <w:rPr>
                <w:b/>
                <w:bCs/>
                <w:sz w:val="20"/>
                <w:szCs w:val="20"/>
              </w:rPr>
              <w:t>-2 396 649</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021596">
            <w:pPr>
              <w:jc w:val="right"/>
              <w:rPr>
                <w:b/>
                <w:bCs/>
                <w:sz w:val="20"/>
                <w:szCs w:val="20"/>
              </w:rPr>
            </w:pPr>
            <w:r w:rsidRPr="002410BE">
              <w:rPr>
                <w:b/>
                <w:bCs/>
                <w:sz w:val="20"/>
                <w:szCs w:val="20"/>
              </w:rPr>
              <w:t xml:space="preserve">-4 542 820 </w:t>
            </w:r>
          </w:p>
        </w:tc>
      </w:tr>
      <w:tr w:rsidR="002410BE" w:rsidRPr="002410BE" w:rsidTr="004161A1">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4161A1">
            <w:pPr>
              <w:spacing w:line="125" w:lineRule="atLeast"/>
            </w:pPr>
            <w:r w:rsidRPr="002410BE">
              <w:rPr>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bCs/>
                <w:sz w:val="20"/>
                <w:szCs w:val="20"/>
              </w:rPr>
            </w:pPr>
            <w:r w:rsidRPr="002410BE">
              <w:rPr>
                <w:b/>
                <w:bCs/>
                <w:sz w:val="20"/>
                <w:szCs w:val="20"/>
              </w:rPr>
              <w:t xml:space="preserve">  0.00</w:t>
            </w:r>
          </w:p>
        </w:tc>
      </w:tr>
      <w:tr w:rsidR="002410BE" w:rsidRPr="002410BE" w:rsidTr="004161A1">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rsidP="004161A1">
            <w:pPr>
              <w:spacing w:line="70" w:lineRule="atLeast"/>
            </w:pPr>
            <w:r w:rsidRPr="002410BE">
              <w:rPr>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pPr>
              <w:jc w:val="right"/>
              <w:rPr>
                <w:b/>
                <w:bCs/>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pPr>
              <w:jc w:val="right"/>
              <w:rPr>
                <w:b/>
                <w:bCs/>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pPr>
              <w:jc w:val="right"/>
              <w:rPr>
                <w:b/>
                <w:bCs/>
                <w:sz w:val="20"/>
                <w:szCs w:val="20"/>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2410BE" w:rsidRDefault="003D5C22">
            <w:pPr>
              <w:jc w:val="right"/>
              <w:rPr>
                <w:b/>
                <w:bCs/>
                <w:sz w:val="20"/>
                <w:szCs w:val="20"/>
              </w:rPr>
            </w:pPr>
          </w:p>
        </w:tc>
      </w:tr>
      <w:tr w:rsidR="002410BE" w:rsidRPr="002410BE" w:rsidTr="004161A1">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rsidP="004161A1">
            <w:pPr>
              <w:spacing w:line="70" w:lineRule="atLeast"/>
            </w:pPr>
            <w:r w:rsidRPr="002410BE">
              <w:rPr>
                <w:b/>
                <w:bCs/>
                <w:i/>
                <w:iCs/>
              </w:rPr>
              <w:t>- z toho vplyv na ŠR</w:t>
            </w:r>
            <w:r w:rsidRPr="002410BE">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sz w:val="20"/>
                <w:szCs w:val="20"/>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sz w:val="20"/>
                <w:szCs w:val="20"/>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sz w:val="20"/>
                <w:szCs w:val="20"/>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2410BE" w:rsidRDefault="003D5C22">
            <w:pPr>
              <w:jc w:val="right"/>
              <w:rPr>
                <w:b/>
                <w:sz w:val="20"/>
                <w:szCs w:val="20"/>
              </w:rPr>
            </w:pPr>
          </w:p>
        </w:tc>
      </w:tr>
      <w:tr w:rsidR="003D5C22" w:rsidRPr="004161A1" w:rsidTr="004161A1">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4161A1" w:rsidRDefault="003D5C22" w:rsidP="004161A1">
            <w:pPr>
              <w:spacing w:line="70" w:lineRule="atLeast"/>
            </w:pPr>
            <w:r w:rsidRPr="004161A1">
              <w:rPr>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E11560" w:rsidRDefault="003D5C22">
            <w:pPr>
              <w:jc w:val="right"/>
              <w:rPr>
                <w:b/>
                <w:bCs/>
                <w:color w:val="000000"/>
                <w:sz w:val="20"/>
                <w:szCs w:val="20"/>
              </w:rPr>
            </w:pPr>
            <w:r w:rsidRPr="00E11560">
              <w:rPr>
                <w:b/>
                <w:bCs/>
                <w:color w:val="000000"/>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E11560" w:rsidRDefault="003D5C22">
            <w:pPr>
              <w:jc w:val="right"/>
              <w:rPr>
                <w:b/>
                <w:bCs/>
                <w:color w:val="000000"/>
                <w:sz w:val="20"/>
                <w:szCs w:val="20"/>
              </w:rPr>
            </w:pPr>
            <w:r w:rsidRPr="00E11560">
              <w:rPr>
                <w:b/>
                <w:bCs/>
                <w:color w:val="000000"/>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E11560" w:rsidRDefault="003D5C22">
            <w:pPr>
              <w:jc w:val="right"/>
              <w:rPr>
                <w:b/>
                <w:bCs/>
                <w:color w:val="000000"/>
                <w:sz w:val="20"/>
                <w:szCs w:val="20"/>
              </w:rPr>
            </w:pPr>
            <w:r w:rsidRPr="00E11560">
              <w:rPr>
                <w:b/>
                <w:bCs/>
                <w:color w:val="000000"/>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tcPr>
          <w:p w:rsidR="003D5C22" w:rsidRPr="00E11560" w:rsidRDefault="003D5C22">
            <w:pPr>
              <w:jc w:val="right"/>
              <w:rPr>
                <w:b/>
                <w:bCs/>
                <w:color w:val="000000"/>
                <w:sz w:val="20"/>
                <w:szCs w:val="20"/>
              </w:rPr>
            </w:pPr>
            <w:r w:rsidRPr="00E11560">
              <w:rPr>
                <w:b/>
                <w:bCs/>
                <w:color w:val="000000"/>
                <w:sz w:val="20"/>
                <w:szCs w:val="20"/>
              </w:rPr>
              <w:t xml:space="preserve">  0.00</w:t>
            </w:r>
          </w:p>
        </w:tc>
      </w:tr>
      <w:tr w:rsidR="003D5C22" w:rsidRPr="004161A1" w:rsidTr="004161A1">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4161A1" w:rsidRDefault="003D5C22" w:rsidP="00E11560">
            <w:pPr>
              <w:spacing w:line="132" w:lineRule="atLeast"/>
            </w:pPr>
            <w:r>
              <w:t xml:space="preserve">v tom: za </w:t>
            </w:r>
            <w:proofErr w:type="spellStart"/>
            <w:r>
              <w:t>MŠVVaŠ</w:t>
            </w:r>
            <w:proofErr w:type="spellEnd"/>
            <w:r>
              <w:t xml:space="preserve">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E11560" w:rsidRDefault="003D5C22" w:rsidP="00E11560">
            <w:pPr>
              <w:jc w:val="right"/>
              <w:rPr>
                <w:b/>
                <w:color w:val="000000"/>
                <w:sz w:val="20"/>
                <w:szCs w:val="20"/>
              </w:rPr>
            </w:pPr>
            <w:r w:rsidRPr="00E11560">
              <w:rPr>
                <w:b/>
                <w:color w:val="000000"/>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E11560" w:rsidRDefault="003D5C22" w:rsidP="00E11560">
            <w:pPr>
              <w:jc w:val="right"/>
              <w:rPr>
                <w:b/>
                <w:color w:val="000000"/>
                <w:sz w:val="20"/>
                <w:szCs w:val="20"/>
              </w:rPr>
            </w:pPr>
            <w:r w:rsidRPr="00E11560">
              <w:rPr>
                <w:b/>
                <w:color w:val="000000"/>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E11560" w:rsidRDefault="003D5C22" w:rsidP="00E11560">
            <w:pPr>
              <w:jc w:val="right"/>
              <w:rPr>
                <w:b/>
                <w:color w:val="000000"/>
                <w:sz w:val="20"/>
                <w:szCs w:val="20"/>
              </w:rPr>
            </w:pPr>
            <w:r w:rsidRPr="00E11560">
              <w:rPr>
                <w:b/>
                <w:color w:val="000000"/>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E11560" w:rsidRDefault="003D5C22" w:rsidP="00E11560">
            <w:pPr>
              <w:jc w:val="right"/>
              <w:rPr>
                <w:b/>
                <w:color w:val="000000"/>
                <w:sz w:val="20"/>
                <w:szCs w:val="20"/>
              </w:rPr>
            </w:pPr>
            <w:r w:rsidRPr="00E11560">
              <w:rPr>
                <w:b/>
                <w:color w:val="000000"/>
                <w:sz w:val="20"/>
                <w:szCs w:val="20"/>
              </w:rPr>
              <w:t xml:space="preserve">  0.00</w:t>
            </w:r>
          </w:p>
        </w:tc>
      </w:tr>
      <w:tr w:rsidR="003D5C22" w:rsidRPr="004161A1" w:rsidTr="004161A1">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Default="003D5C22" w:rsidP="00E11560">
            <w:pPr>
              <w:spacing w:line="132" w:lineRule="atLeast"/>
            </w:pPr>
            <w:r>
              <w:t>v tom: za MV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E11560" w:rsidRDefault="003D5C22" w:rsidP="00E11560">
            <w:pPr>
              <w:jc w:val="right"/>
              <w:rPr>
                <w:b/>
                <w:color w:val="000000"/>
                <w:sz w:val="20"/>
                <w:szCs w:val="20"/>
              </w:rPr>
            </w:pPr>
            <w:r w:rsidRPr="00E11560">
              <w:rPr>
                <w:b/>
                <w:color w:val="000000"/>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E11560" w:rsidRDefault="003D5C22" w:rsidP="00E11560">
            <w:pPr>
              <w:jc w:val="right"/>
              <w:rPr>
                <w:b/>
                <w:color w:val="000000"/>
                <w:sz w:val="20"/>
                <w:szCs w:val="20"/>
              </w:rPr>
            </w:pPr>
            <w:r w:rsidRPr="00E11560">
              <w:rPr>
                <w:b/>
                <w:color w:val="000000"/>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E11560" w:rsidRDefault="003D5C22" w:rsidP="00E11560">
            <w:pPr>
              <w:jc w:val="right"/>
              <w:rPr>
                <w:b/>
                <w:color w:val="000000"/>
                <w:sz w:val="20"/>
                <w:szCs w:val="20"/>
              </w:rPr>
            </w:pPr>
            <w:r w:rsidRPr="00E11560">
              <w:rPr>
                <w:b/>
                <w:color w:val="000000"/>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E11560" w:rsidRDefault="003D5C22" w:rsidP="00E11560">
            <w:pPr>
              <w:jc w:val="right"/>
              <w:rPr>
                <w:b/>
                <w:color w:val="000000"/>
                <w:sz w:val="20"/>
                <w:szCs w:val="20"/>
              </w:rPr>
            </w:pPr>
            <w:r w:rsidRPr="00E11560">
              <w:rPr>
                <w:b/>
                <w:color w:val="000000"/>
                <w:sz w:val="20"/>
                <w:szCs w:val="20"/>
              </w:rPr>
              <w:t xml:space="preserve">  0.00</w:t>
            </w:r>
          </w:p>
        </w:tc>
      </w:tr>
      <w:tr w:rsidR="003D5C22" w:rsidRPr="004161A1" w:rsidTr="004161A1">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Default="003D5C22" w:rsidP="00E11560">
            <w:pPr>
              <w:spacing w:line="132" w:lineRule="atLeast"/>
            </w:pPr>
            <w:r>
              <w:t>v tom: za MF SR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E11560" w:rsidRDefault="003D5C22" w:rsidP="00E11560">
            <w:pPr>
              <w:jc w:val="right"/>
              <w:rPr>
                <w:b/>
                <w:color w:val="000000"/>
                <w:sz w:val="20"/>
                <w:szCs w:val="20"/>
              </w:rPr>
            </w:pPr>
            <w:r w:rsidRPr="00E11560">
              <w:rPr>
                <w:b/>
                <w:color w:val="000000"/>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E11560" w:rsidRDefault="003D5C22" w:rsidP="00E11560">
            <w:pPr>
              <w:jc w:val="right"/>
              <w:rPr>
                <w:b/>
                <w:color w:val="000000"/>
                <w:sz w:val="20"/>
                <w:szCs w:val="20"/>
              </w:rPr>
            </w:pPr>
            <w:r w:rsidRPr="00E11560">
              <w:rPr>
                <w:b/>
                <w:color w:val="000000"/>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E11560" w:rsidRDefault="003D5C22" w:rsidP="00E11560">
            <w:pPr>
              <w:jc w:val="right"/>
              <w:rPr>
                <w:b/>
                <w:color w:val="000000"/>
                <w:sz w:val="20"/>
                <w:szCs w:val="20"/>
              </w:rPr>
            </w:pPr>
            <w:r w:rsidRPr="00E11560">
              <w:rPr>
                <w:b/>
                <w:color w:val="000000"/>
                <w:sz w:val="20"/>
                <w:szCs w:val="20"/>
              </w:rPr>
              <w:t xml:space="preserve">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D5C22" w:rsidRPr="00E11560" w:rsidRDefault="003D5C22" w:rsidP="00E11560">
            <w:pPr>
              <w:jc w:val="right"/>
              <w:rPr>
                <w:b/>
                <w:color w:val="000000"/>
                <w:sz w:val="20"/>
                <w:szCs w:val="20"/>
              </w:rPr>
            </w:pPr>
            <w:r w:rsidRPr="00E11560">
              <w:rPr>
                <w:b/>
                <w:color w:val="000000"/>
                <w:sz w:val="20"/>
                <w:szCs w:val="20"/>
              </w:rPr>
              <w:t xml:space="preserve">  0.00</w:t>
            </w:r>
          </w:p>
        </w:tc>
      </w:tr>
      <w:tr w:rsidR="003D5C22" w:rsidRPr="004161A1" w:rsidTr="004161A1">
        <w:tc>
          <w:tcPr>
            <w:tcW w:w="4661" w:type="dxa"/>
            <w:tcBorders>
              <w:top w:val="nil"/>
              <w:left w:val="nil"/>
              <w:bottom w:val="nil"/>
              <w:right w:val="nil"/>
            </w:tcBorders>
            <w:vAlign w:val="center"/>
          </w:tcPr>
          <w:p w:rsidR="003D5C22" w:rsidRPr="004161A1" w:rsidRDefault="003D5C22" w:rsidP="004161A1">
            <w:pPr>
              <w:rPr>
                <w:sz w:val="2"/>
              </w:rPr>
            </w:pPr>
          </w:p>
        </w:tc>
        <w:tc>
          <w:tcPr>
            <w:tcW w:w="1267" w:type="dxa"/>
            <w:tcBorders>
              <w:top w:val="nil"/>
              <w:left w:val="nil"/>
              <w:bottom w:val="nil"/>
              <w:right w:val="nil"/>
            </w:tcBorders>
            <w:vAlign w:val="center"/>
          </w:tcPr>
          <w:p w:rsidR="003D5C22" w:rsidRPr="004161A1" w:rsidRDefault="003D5C22" w:rsidP="004161A1">
            <w:pPr>
              <w:rPr>
                <w:sz w:val="2"/>
              </w:rPr>
            </w:pPr>
          </w:p>
        </w:tc>
        <w:tc>
          <w:tcPr>
            <w:tcW w:w="1267" w:type="dxa"/>
            <w:tcBorders>
              <w:top w:val="nil"/>
              <w:left w:val="nil"/>
              <w:bottom w:val="nil"/>
              <w:right w:val="nil"/>
            </w:tcBorders>
            <w:vAlign w:val="center"/>
          </w:tcPr>
          <w:p w:rsidR="003D5C22" w:rsidRPr="004161A1" w:rsidRDefault="003D5C22" w:rsidP="004161A1">
            <w:pPr>
              <w:rPr>
                <w:sz w:val="2"/>
              </w:rPr>
            </w:pPr>
          </w:p>
        </w:tc>
        <w:tc>
          <w:tcPr>
            <w:tcW w:w="1267" w:type="dxa"/>
            <w:tcBorders>
              <w:top w:val="nil"/>
              <w:left w:val="nil"/>
              <w:bottom w:val="nil"/>
              <w:right w:val="nil"/>
            </w:tcBorders>
            <w:vAlign w:val="center"/>
          </w:tcPr>
          <w:p w:rsidR="003D5C22" w:rsidRPr="004161A1" w:rsidRDefault="003D5C22" w:rsidP="004161A1">
            <w:pPr>
              <w:rPr>
                <w:sz w:val="2"/>
              </w:rPr>
            </w:pPr>
          </w:p>
        </w:tc>
        <w:tc>
          <w:tcPr>
            <w:tcW w:w="1267" w:type="dxa"/>
            <w:tcBorders>
              <w:top w:val="nil"/>
              <w:left w:val="nil"/>
              <w:bottom w:val="nil"/>
              <w:right w:val="nil"/>
            </w:tcBorders>
            <w:vAlign w:val="center"/>
          </w:tcPr>
          <w:p w:rsidR="003D5C22" w:rsidRPr="004161A1" w:rsidRDefault="003D5C22" w:rsidP="004161A1">
            <w:pPr>
              <w:rPr>
                <w:sz w:val="2"/>
              </w:rPr>
            </w:pPr>
          </w:p>
        </w:tc>
      </w:tr>
    </w:tbl>
    <w:p w:rsidR="004161A1" w:rsidRDefault="004161A1" w:rsidP="004161A1">
      <w:r>
        <w:t> </w:t>
      </w:r>
    </w:p>
    <w:p w:rsidR="004161A1" w:rsidRDefault="004161A1" w:rsidP="004161A1">
      <w:r w:rsidRPr="004161A1">
        <w:rPr>
          <w:b/>
          <w:bCs/>
        </w:rPr>
        <w:t>2.2. Financovanie návrhu</w:t>
      </w:r>
    </w:p>
    <w:p w:rsidR="004161A1" w:rsidRDefault="004161A1" w:rsidP="004161A1">
      <w:pPr>
        <w:jc w:val="right"/>
      </w:pPr>
      <w:r w:rsidRPr="004161A1">
        <w:rPr>
          <w:sz w:val="20"/>
          <w:szCs w:val="20"/>
        </w:rPr>
        <w:t>Tabuľka č. 2</w:t>
      </w:r>
    </w:p>
    <w:tbl>
      <w:tblPr>
        <w:tblW w:w="9722" w:type="dxa"/>
        <w:tblCellMar>
          <w:left w:w="0" w:type="dxa"/>
          <w:right w:w="0" w:type="dxa"/>
        </w:tblCellMar>
        <w:tblLook w:val="0000" w:firstRow="0" w:lastRow="0" w:firstColumn="0" w:lastColumn="0" w:noHBand="0" w:noVBand="0"/>
      </w:tblPr>
      <w:tblGrid>
        <w:gridCol w:w="4654"/>
        <w:gridCol w:w="1270"/>
        <w:gridCol w:w="6"/>
        <w:gridCol w:w="1264"/>
        <w:gridCol w:w="12"/>
        <w:gridCol w:w="1258"/>
        <w:gridCol w:w="18"/>
        <w:gridCol w:w="1240"/>
      </w:tblGrid>
      <w:tr w:rsidR="002410BE" w:rsidRPr="002410BE" w:rsidTr="002E327D">
        <w:trPr>
          <w:trHeight w:val="70"/>
        </w:trPr>
        <w:tc>
          <w:tcPr>
            <w:tcW w:w="465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161A1" w:rsidRPr="002410BE" w:rsidRDefault="004161A1" w:rsidP="004161A1">
            <w:pPr>
              <w:spacing w:line="70" w:lineRule="atLeast"/>
              <w:jc w:val="center"/>
            </w:pPr>
            <w:r w:rsidRPr="002410BE">
              <w:rPr>
                <w:b/>
                <w:bCs/>
              </w:rPr>
              <w:t>Financovanie</w:t>
            </w:r>
          </w:p>
        </w:tc>
        <w:tc>
          <w:tcPr>
            <w:tcW w:w="5068" w:type="dxa"/>
            <w:gridSpan w:val="7"/>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4161A1" w:rsidRPr="002410BE" w:rsidRDefault="004161A1" w:rsidP="004161A1">
            <w:pPr>
              <w:spacing w:line="70" w:lineRule="atLeast"/>
              <w:jc w:val="center"/>
            </w:pPr>
            <w:r w:rsidRPr="002410BE">
              <w:rPr>
                <w:b/>
                <w:bCs/>
              </w:rPr>
              <w:t>Vplyv na rozpočet verejnej správy (v eurách)</w:t>
            </w:r>
          </w:p>
        </w:tc>
      </w:tr>
      <w:tr w:rsidR="002410BE" w:rsidRPr="002410BE" w:rsidTr="002E327D">
        <w:trPr>
          <w:trHeight w:val="70"/>
        </w:trPr>
        <w:tc>
          <w:tcPr>
            <w:tcW w:w="4654" w:type="dxa"/>
            <w:vMerge/>
            <w:tcBorders>
              <w:top w:val="single" w:sz="4" w:space="0" w:color="000000"/>
              <w:left w:val="single" w:sz="4" w:space="0" w:color="000000"/>
              <w:bottom w:val="single" w:sz="4" w:space="0" w:color="000000"/>
              <w:right w:val="single" w:sz="4" w:space="0" w:color="000000"/>
            </w:tcBorders>
            <w:vAlign w:val="center"/>
          </w:tcPr>
          <w:p w:rsidR="00106142" w:rsidRPr="002410BE" w:rsidRDefault="00106142" w:rsidP="004161A1"/>
        </w:tc>
        <w:tc>
          <w:tcPr>
            <w:tcW w:w="127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06142" w:rsidRPr="002410BE" w:rsidRDefault="00DF393E">
            <w:pPr>
              <w:jc w:val="center"/>
              <w:rPr>
                <w:b/>
                <w:bCs/>
              </w:rPr>
            </w:pPr>
            <w:r w:rsidRPr="002410BE">
              <w:rPr>
                <w:b/>
                <w:bCs/>
              </w:rPr>
              <w:t>2015</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06142" w:rsidRPr="002410BE" w:rsidRDefault="00DF393E">
            <w:pPr>
              <w:jc w:val="center"/>
              <w:rPr>
                <w:b/>
                <w:bCs/>
              </w:rPr>
            </w:pPr>
            <w:r w:rsidRPr="002410BE">
              <w:rPr>
                <w:b/>
                <w:bCs/>
              </w:rPr>
              <w:t>2016</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06142" w:rsidRPr="002410BE" w:rsidRDefault="00DF393E">
            <w:pPr>
              <w:jc w:val="center"/>
              <w:rPr>
                <w:b/>
                <w:bCs/>
              </w:rPr>
            </w:pPr>
            <w:r w:rsidRPr="002410BE">
              <w:rPr>
                <w:b/>
                <w:bCs/>
              </w:rPr>
              <w:t>2017</w:t>
            </w:r>
          </w:p>
        </w:tc>
        <w:tc>
          <w:tcPr>
            <w:tcW w:w="1258"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106142" w:rsidRPr="002410BE" w:rsidRDefault="00DF393E">
            <w:pPr>
              <w:jc w:val="center"/>
              <w:rPr>
                <w:b/>
                <w:bCs/>
              </w:rPr>
            </w:pPr>
            <w:r w:rsidRPr="002410BE">
              <w:rPr>
                <w:b/>
                <w:bCs/>
              </w:rPr>
              <w:t>2018</w:t>
            </w:r>
          </w:p>
        </w:tc>
      </w:tr>
      <w:tr w:rsidR="002410BE" w:rsidRPr="002410BE" w:rsidTr="002E327D">
        <w:trPr>
          <w:trHeight w:val="70"/>
        </w:trPr>
        <w:tc>
          <w:tcPr>
            <w:tcW w:w="4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rsidP="004161A1">
            <w:pPr>
              <w:spacing w:line="70" w:lineRule="atLeast"/>
            </w:pPr>
            <w:r w:rsidRPr="002410BE">
              <w:rPr>
                <w:b/>
                <w:bCs/>
              </w:rPr>
              <w:t>Celkový vplyv na rozpočet verejnej správy (- príjmy, + výdavky)</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pPr>
              <w:jc w:val="right"/>
              <w:rPr>
                <w:b/>
                <w:bCs/>
                <w:sz w:val="20"/>
                <w:szCs w:val="20"/>
              </w:rPr>
            </w:pPr>
            <w:r w:rsidRPr="002410BE">
              <w:rPr>
                <w:b/>
                <w:bCs/>
                <w:sz w:val="20"/>
                <w:szCs w:val="20"/>
              </w:rPr>
              <w:t>1 769 155</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pPr>
              <w:jc w:val="right"/>
              <w:rPr>
                <w:b/>
                <w:bCs/>
                <w:sz w:val="20"/>
                <w:szCs w:val="20"/>
              </w:rPr>
            </w:pPr>
            <w:r w:rsidRPr="002410BE">
              <w:rPr>
                <w:b/>
                <w:bCs/>
                <w:sz w:val="20"/>
                <w:szCs w:val="20"/>
              </w:rPr>
              <w:t>5 571 296</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9021E9">
            <w:pPr>
              <w:jc w:val="right"/>
              <w:rPr>
                <w:b/>
                <w:bCs/>
                <w:sz w:val="20"/>
                <w:szCs w:val="20"/>
              </w:rPr>
            </w:pPr>
            <w:r w:rsidRPr="002410BE">
              <w:rPr>
                <w:b/>
                <w:bCs/>
                <w:sz w:val="20"/>
                <w:szCs w:val="20"/>
              </w:rPr>
              <w:t>7 670 498</w:t>
            </w:r>
          </w:p>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pPr>
              <w:jc w:val="right"/>
              <w:rPr>
                <w:b/>
                <w:bCs/>
                <w:sz w:val="20"/>
                <w:szCs w:val="20"/>
              </w:rPr>
            </w:pPr>
            <w:r w:rsidRPr="002410BE">
              <w:rPr>
                <w:b/>
                <w:bCs/>
                <w:sz w:val="20"/>
                <w:szCs w:val="20"/>
              </w:rPr>
              <w:t>11 126 22</w:t>
            </w:r>
            <w:r w:rsidR="009021E9" w:rsidRPr="002410BE">
              <w:rPr>
                <w:b/>
                <w:bCs/>
                <w:sz w:val="20"/>
                <w:szCs w:val="20"/>
              </w:rPr>
              <w:t>1</w:t>
            </w:r>
          </w:p>
        </w:tc>
      </w:tr>
      <w:tr w:rsidR="002410BE" w:rsidRPr="002410BE" w:rsidTr="002E327D">
        <w:trPr>
          <w:trHeight w:val="70"/>
        </w:trPr>
        <w:tc>
          <w:tcPr>
            <w:tcW w:w="4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4161A1">
            <w:pPr>
              <w:spacing w:line="70" w:lineRule="atLeast"/>
            </w:pPr>
            <w:r w:rsidRPr="002410BE">
              <w:t>  z toho vplyv na ŠR</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1 769 155</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5 571 296</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7 670 498</w:t>
            </w:r>
          </w:p>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11 126 221</w:t>
            </w:r>
          </w:p>
        </w:tc>
      </w:tr>
      <w:tr w:rsidR="002410BE" w:rsidRPr="002410BE" w:rsidTr="002E327D">
        <w:trPr>
          <w:trHeight w:val="151"/>
        </w:trPr>
        <w:tc>
          <w:tcPr>
            <w:tcW w:w="4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rsidP="004161A1">
            <w:pPr>
              <w:spacing w:line="151" w:lineRule="atLeast"/>
            </w:pPr>
            <w:r w:rsidRPr="002410BE">
              <w:t>  financovanie zabezpečené v rozpočte</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pPr>
              <w:jc w:val="right"/>
              <w:rPr>
                <w:b/>
                <w:bCs/>
                <w:sz w:val="20"/>
                <w:szCs w:val="20"/>
              </w:rPr>
            </w:pPr>
            <w:r w:rsidRPr="002410BE">
              <w:rPr>
                <w:b/>
                <w:bCs/>
                <w:sz w:val="20"/>
                <w:szCs w:val="20"/>
              </w:rPr>
              <w:t xml:space="preserve">  0,00</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pPr>
              <w:jc w:val="right"/>
              <w:rPr>
                <w:b/>
                <w:bCs/>
                <w:sz w:val="20"/>
                <w:szCs w:val="20"/>
              </w:rPr>
            </w:pPr>
            <w:r w:rsidRPr="002410BE">
              <w:rPr>
                <w:b/>
                <w:bCs/>
                <w:sz w:val="20"/>
                <w:szCs w:val="20"/>
              </w:rPr>
              <w:t xml:space="preserve">  0,00</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pPr>
              <w:jc w:val="right"/>
              <w:rPr>
                <w:b/>
                <w:bCs/>
                <w:sz w:val="20"/>
                <w:szCs w:val="20"/>
              </w:rPr>
            </w:pPr>
            <w:r w:rsidRPr="002410BE">
              <w:rPr>
                <w:b/>
                <w:bCs/>
                <w:sz w:val="20"/>
                <w:szCs w:val="20"/>
              </w:rPr>
              <w:t xml:space="preserve">  0,00</w:t>
            </w:r>
          </w:p>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pPr>
              <w:jc w:val="right"/>
              <w:rPr>
                <w:b/>
                <w:bCs/>
                <w:sz w:val="20"/>
                <w:szCs w:val="20"/>
              </w:rPr>
            </w:pPr>
            <w:r w:rsidRPr="002410BE">
              <w:rPr>
                <w:b/>
                <w:bCs/>
                <w:sz w:val="20"/>
                <w:szCs w:val="20"/>
              </w:rPr>
              <w:t xml:space="preserve">  0,00</w:t>
            </w:r>
          </w:p>
        </w:tc>
      </w:tr>
      <w:tr w:rsidR="002410BE" w:rsidRPr="002410BE" w:rsidTr="002E327D">
        <w:trPr>
          <w:trHeight w:val="135"/>
        </w:trPr>
        <w:tc>
          <w:tcPr>
            <w:tcW w:w="4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rsidP="004161A1">
            <w:pPr>
              <w:spacing w:line="135" w:lineRule="atLeast"/>
            </w:pPr>
            <w:r w:rsidRPr="002410BE">
              <w:t>  ostatné zdroje financovania</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pPr>
              <w:jc w:val="right"/>
              <w:rPr>
                <w:b/>
                <w:bCs/>
                <w:sz w:val="20"/>
                <w:szCs w:val="20"/>
              </w:rPr>
            </w:pPr>
            <w:r w:rsidRPr="002410BE">
              <w:rPr>
                <w:b/>
                <w:bCs/>
                <w:sz w:val="20"/>
                <w:szCs w:val="20"/>
              </w:rPr>
              <w:t xml:space="preserve">  0,00</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pPr>
              <w:jc w:val="right"/>
              <w:rPr>
                <w:b/>
                <w:bCs/>
                <w:sz w:val="20"/>
                <w:szCs w:val="20"/>
              </w:rPr>
            </w:pPr>
            <w:r w:rsidRPr="002410BE">
              <w:rPr>
                <w:b/>
                <w:bCs/>
                <w:sz w:val="20"/>
                <w:szCs w:val="20"/>
              </w:rPr>
              <w:t xml:space="preserve">  0,00</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pPr>
              <w:jc w:val="right"/>
              <w:rPr>
                <w:b/>
                <w:bCs/>
                <w:sz w:val="20"/>
                <w:szCs w:val="20"/>
              </w:rPr>
            </w:pPr>
            <w:r w:rsidRPr="002410BE">
              <w:rPr>
                <w:b/>
                <w:bCs/>
                <w:sz w:val="20"/>
                <w:szCs w:val="20"/>
              </w:rPr>
              <w:t xml:space="preserve">  0,00</w:t>
            </w:r>
          </w:p>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2575A" w:rsidRPr="002410BE" w:rsidRDefault="00E2575A">
            <w:pPr>
              <w:jc w:val="right"/>
              <w:rPr>
                <w:b/>
                <w:bCs/>
                <w:sz w:val="20"/>
                <w:szCs w:val="20"/>
              </w:rPr>
            </w:pPr>
            <w:r w:rsidRPr="002410BE">
              <w:rPr>
                <w:b/>
                <w:bCs/>
                <w:sz w:val="20"/>
                <w:szCs w:val="20"/>
              </w:rPr>
              <w:t xml:space="preserve">  0,00</w:t>
            </w:r>
          </w:p>
        </w:tc>
      </w:tr>
      <w:tr w:rsidR="002410BE" w:rsidRPr="002410BE" w:rsidTr="002E327D">
        <w:trPr>
          <w:trHeight w:val="70"/>
        </w:trPr>
        <w:tc>
          <w:tcPr>
            <w:tcW w:w="465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4161A1">
            <w:pPr>
              <w:spacing w:line="70" w:lineRule="atLeast"/>
            </w:pPr>
            <w:r w:rsidRPr="002410BE">
              <w:rPr>
                <w:b/>
                <w:bCs/>
              </w:rPr>
              <w:t>Rozpočtovo nekrytý vplyv / úspora</w:t>
            </w:r>
          </w:p>
        </w:tc>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1 769 155</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5 571 296</w:t>
            </w:r>
          </w:p>
        </w:tc>
        <w:tc>
          <w:tcPr>
            <w:tcW w:w="127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7 670 498</w:t>
            </w:r>
          </w:p>
        </w:tc>
        <w:tc>
          <w:tcPr>
            <w:tcW w:w="125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11 126 221</w:t>
            </w:r>
          </w:p>
        </w:tc>
      </w:tr>
      <w:tr w:rsidR="004161A1" w:rsidRPr="004161A1" w:rsidTr="002E327D">
        <w:tc>
          <w:tcPr>
            <w:tcW w:w="4654" w:type="dxa"/>
            <w:tcBorders>
              <w:top w:val="nil"/>
              <w:left w:val="nil"/>
              <w:bottom w:val="nil"/>
              <w:right w:val="nil"/>
            </w:tcBorders>
            <w:vAlign w:val="center"/>
          </w:tcPr>
          <w:p w:rsidR="004161A1" w:rsidRPr="004161A1" w:rsidRDefault="004161A1" w:rsidP="004161A1">
            <w:pPr>
              <w:rPr>
                <w:sz w:val="2"/>
              </w:rPr>
            </w:pPr>
          </w:p>
        </w:tc>
        <w:tc>
          <w:tcPr>
            <w:tcW w:w="1276" w:type="dxa"/>
            <w:gridSpan w:val="2"/>
            <w:tcBorders>
              <w:top w:val="nil"/>
              <w:left w:val="nil"/>
              <w:bottom w:val="nil"/>
              <w:right w:val="nil"/>
            </w:tcBorders>
            <w:vAlign w:val="center"/>
          </w:tcPr>
          <w:p w:rsidR="004161A1" w:rsidRPr="004161A1" w:rsidRDefault="004161A1" w:rsidP="004161A1">
            <w:pPr>
              <w:rPr>
                <w:sz w:val="2"/>
              </w:rPr>
            </w:pPr>
          </w:p>
        </w:tc>
        <w:tc>
          <w:tcPr>
            <w:tcW w:w="1276" w:type="dxa"/>
            <w:gridSpan w:val="2"/>
            <w:tcBorders>
              <w:top w:val="nil"/>
              <w:left w:val="nil"/>
              <w:bottom w:val="nil"/>
              <w:right w:val="nil"/>
            </w:tcBorders>
            <w:vAlign w:val="center"/>
          </w:tcPr>
          <w:p w:rsidR="004161A1" w:rsidRPr="004161A1" w:rsidRDefault="004161A1" w:rsidP="004161A1">
            <w:pPr>
              <w:rPr>
                <w:sz w:val="2"/>
              </w:rPr>
            </w:pPr>
          </w:p>
        </w:tc>
        <w:tc>
          <w:tcPr>
            <w:tcW w:w="1276" w:type="dxa"/>
            <w:gridSpan w:val="2"/>
            <w:tcBorders>
              <w:top w:val="nil"/>
              <w:left w:val="nil"/>
              <w:bottom w:val="nil"/>
              <w:right w:val="nil"/>
            </w:tcBorders>
            <w:vAlign w:val="center"/>
          </w:tcPr>
          <w:p w:rsidR="004161A1" w:rsidRPr="004161A1" w:rsidRDefault="004161A1" w:rsidP="004161A1">
            <w:pPr>
              <w:rPr>
                <w:sz w:val="2"/>
              </w:rPr>
            </w:pPr>
          </w:p>
        </w:tc>
        <w:tc>
          <w:tcPr>
            <w:tcW w:w="1240" w:type="dxa"/>
            <w:tcBorders>
              <w:top w:val="nil"/>
              <w:left w:val="nil"/>
              <w:bottom w:val="nil"/>
              <w:right w:val="nil"/>
            </w:tcBorders>
            <w:vAlign w:val="center"/>
          </w:tcPr>
          <w:p w:rsidR="004161A1" w:rsidRPr="004161A1" w:rsidRDefault="004161A1" w:rsidP="004161A1">
            <w:pPr>
              <w:rPr>
                <w:sz w:val="2"/>
              </w:rPr>
            </w:pPr>
          </w:p>
        </w:tc>
      </w:tr>
    </w:tbl>
    <w:p w:rsidR="004161A1" w:rsidRDefault="004161A1" w:rsidP="004161A1">
      <w:r>
        <w:t> </w:t>
      </w:r>
    </w:p>
    <w:p w:rsidR="004161A1" w:rsidRDefault="004161A1" w:rsidP="004161A1">
      <w:r w:rsidRPr="004161A1">
        <w:rPr>
          <w:b/>
          <w:bCs/>
        </w:rPr>
        <w:t>Návrh na riešenie úbytku príjmov alebo zvýšených výdav</w:t>
      </w:r>
      <w:r w:rsidR="004E2852">
        <w:rPr>
          <w:b/>
          <w:bCs/>
        </w:rPr>
        <w:t>kov podľa § 33 ods. 1 zákona č. </w:t>
      </w:r>
      <w:r w:rsidRPr="004161A1">
        <w:rPr>
          <w:b/>
          <w:bCs/>
        </w:rPr>
        <w:t>523/2004 Z. z. o rozpočtových pravidlách verejnej správy:</w:t>
      </w:r>
    </w:p>
    <w:p w:rsidR="004161A1" w:rsidRDefault="004161A1" w:rsidP="004161A1">
      <w:pPr>
        <w:pBdr>
          <w:top w:val="single" w:sz="4" w:space="1" w:color="000000"/>
          <w:left w:val="single" w:sz="4" w:space="4" w:color="000000"/>
          <w:bottom w:val="single" w:sz="4" w:space="1" w:color="000000"/>
          <w:right w:val="single" w:sz="4" w:space="4" w:color="000000"/>
        </w:pBdr>
      </w:pPr>
      <w:r w:rsidRPr="004161A1">
        <w:rPr>
          <w:b/>
          <w:bCs/>
        </w:rPr>
        <w:t> </w:t>
      </w:r>
    </w:p>
    <w:p w:rsidR="004161A1" w:rsidRDefault="004161A1" w:rsidP="004161A1">
      <w:pPr>
        <w:pBdr>
          <w:top w:val="single" w:sz="4" w:space="1" w:color="000000"/>
          <w:left w:val="single" w:sz="4" w:space="4" w:color="000000"/>
          <w:bottom w:val="single" w:sz="4" w:space="1" w:color="000000"/>
          <w:right w:val="single" w:sz="4" w:space="4" w:color="000000"/>
        </w:pBdr>
      </w:pPr>
      <w:r w:rsidRPr="004161A1">
        <w:rPr>
          <w:b/>
          <w:bCs/>
        </w:rPr>
        <w:t> </w:t>
      </w:r>
    </w:p>
    <w:p w:rsidR="004161A1" w:rsidRDefault="004161A1" w:rsidP="004161A1">
      <w:pPr>
        <w:pBdr>
          <w:top w:val="single" w:sz="4" w:space="1" w:color="000000"/>
          <w:left w:val="single" w:sz="4" w:space="4" w:color="000000"/>
          <w:bottom w:val="single" w:sz="4" w:space="1" w:color="000000"/>
          <w:right w:val="single" w:sz="4" w:space="4" w:color="000000"/>
        </w:pBdr>
      </w:pPr>
      <w:r w:rsidRPr="004161A1">
        <w:rPr>
          <w:b/>
          <w:bCs/>
        </w:rPr>
        <w:t>  </w:t>
      </w:r>
    </w:p>
    <w:p w:rsidR="004161A1" w:rsidRDefault="004161A1" w:rsidP="004161A1">
      <w:pPr>
        <w:pBdr>
          <w:top w:val="single" w:sz="4" w:space="1" w:color="000000"/>
          <w:left w:val="single" w:sz="4" w:space="4" w:color="000000"/>
          <w:bottom w:val="single" w:sz="4" w:space="1" w:color="000000"/>
          <w:right w:val="single" w:sz="4" w:space="4" w:color="000000"/>
        </w:pBdr>
      </w:pPr>
    </w:p>
    <w:p w:rsidR="00762EA7" w:rsidRDefault="00762EA7" w:rsidP="004161A1">
      <w:pPr>
        <w:rPr>
          <w:b/>
          <w:bCs/>
        </w:rPr>
      </w:pPr>
    </w:p>
    <w:p w:rsidR="003A1F30" w:rsidRDefault="003A1F30" w:rsidP="004161A1">
      <w:pPr>
        <w:rPr>
          <w:b/>
          <w:bCs/>
        </w:rPr>
      </w:pPr>
    </w:p>
    <w:p w:rsidR="004161A1" w:rsidRDefault="004161A1" w:rsidP="004161A1">
      <w:r w:rsidRPr="004161A1">
        <w:rPr>
          <w:b/>
          <w:bCs/>
        </w:rPr>
        <w:t>2.3. Popis a charakteristika návrhu</w:t>
      </w:r>
    </w:p>
    <w:p w:rsidR="004161A1" w:rsidRDefault="004161A1" w:rsidP="004161A1">
      <w:r>
        <w:t> </w:t>
      </w:r>
    </w:p>
    <w:p w:rsidR="004161A1" w:rsidRPr="00021596" w:rsidRDefault="004161A1" w:rsidP="00833793">
      <w:pPr>
        <w:jc w:val="both"/>
      </w:pPr>
      <w:r w:rsidRPr="004161A1">
        <w:rPr>
          <w:b/>
          <w:bCs/>
        </w:rPr>
        <w:t>2.3.1. Popis návrhu:</w:t>
      </w:r>
    </w:p>
    <w:p w:rsidR="004161A1" w:rsidRDefault="004161A1" w:rsidP="004161A1">
      <w:r>
        <w:t> </w:t>
      </w:r>
    </w:p>
    <w:p w:rsidR="00833793" w:rsidRPr="005A1D7A" w:rsidRDefault="0017249C" w:rsidP="005A1D7A">
      <w:pPr>
        <w:jc w:val="both"/>
      </w:pPr>
      <w:r w:rsidRPr="005A1D7A">
        <w:t xml:space="preserve">Návrh na zavedenie systému duálneho vzdelávania pre učebné odbory </w:t>
      </w:r>
      <w:r w:rsidR="00911624" w:rsidRPr="005A1D7A">
        <w:t xml:space="preserve">a študijné odbory s rozšíreným počtom hodín praktického vyučovania </w:t>
      </w:r>
      <w:r w:rsidRPr="005A1D7A">
        <w:t>stredných odborných škôl rieši problematiku slabej uplatniteľnosti absolventov týchto odborov na trhu práce, a tým nedostatok kvalifikovaných pracovných síl pre potreby krytia výpadku pracovných síl v týchto odboroch z dôvodu odchodov do dôchodku a pre potreby zabezpečenia ďalšieho ekonomického rastu.</w:t>
      </w:r>
      <w:r w:rsidR="00833793" w:rsidRPr="005A1D7A">
        <w:t xml:space="preserve"> </w:t>
      </w:r>
      <w:r w:rsidR="00A45298" w:rsidRPr="005A1D7A">
        <w:t xml:space="preserve">Príprava </w:t>
      </w:r>
      <w:r w:rsidR="00A154DE" w:rsidRPr="005A1D7A">
        <w:t>žiakov</w:t>
      </w:r>
      <w:r w:rsidR="00833793" w:rsidRPr="005A1D7A">
        <w:t xml:space="preserve"> na ich budúce povolanie podľa predpokladaných potrieb trhu</w:t>
      </w:r>
      <w:r w:rsidR="00A45298" w:rsidRPr="005A1D7A">
        <w:t xml:space="preserve"> práce zabezpečí účelnejšie a efektívnejšie vynaloženie prostriedkov štátu, pracovné sily zodpovedajúce</w:t>
      </w:r>
      <w:r w:rsidR="00833793" w:rsidRPr="005A1D7A">
        <w:t xml:space="preserve"> potrebám trhu </w:t>
      </w:r>
      <w:r w:rsidR="00A45298" w:rsidRPr="005A1D7A">
        <w:t>práce a zvýšenie konkurencieschopnosti</w:t>
      </w:r>
      <w:r w:rsidR="00833793" w:rsidRPr="005A1D7A">
        <w:t xml:space="preserve"> krajiny.</w:t>
      </w:r>
    </w:p>
    <w:p w:rsidR="00833793" w:rsidRPr="005A1D7A" w:rsidRDefault="00833793" w:rsidP="005A1D7A">
      <w:pPr>
        <w:jc w:val="both"/>
      </w:pPr>
    </w:p>
    <w:p w:rsidR="00833793" w:rsidRPr="005A1D7A" w:rsidRDefault="00833793" w:rsidP="005A1D7A">
      <w:pPr>
        <w:jc w:val="both"/>
      </w:pPr>
      <w:r w:rsidRPr="005A1D7A">
        <w:t xml:space="preserve">Podľa zamestnávateľov odborné vzdelávanie a príprava nedostatočne reaguje </w:t>
      </w:r>
      <w:r w:rsidR="00021596">
        <w:t>na aktuálne potreby trhu práce,</w:t>
      </w:r>
      <w:r w:rsidRPr="005A1D7A">
        <w:t xml:space="preserve"> nedokáže pripraviť kvalifikovanú pracovnú silu v takej miere, aby bola schopná bezprostredne po ukončení štúdia vstúpiť do pracovného procesu, a tak nedokáže efektívne nahrádzať výpadok odborných pracovníkov odchádzajúcich do dôchodku. Dôsledky pretrvávajúcich problémov stredného odborného školstva sa v strednodobom horizonte premietajú do vývoja slovenskej ekonomiky a jej konkurencieschopnosti. Zahraničná prax so systémami duálneho vzdelávania a praktickej prípravy </w:t>
      </w:r>
      <w:r w:rsidR="00A154DE" w:rsidRPr="005A1D7A">
        <w:t xml:space="preserve">žiakov </w:t>
      </w:r>
      <w:r w:rsidRPr="005A1D7A">
        <w:t>na povolanie ukazuje, že zapojením zamestnávateľov do praktickej výučby sa zvyšuje uplatniteľnosť absolventov učebných odborov na trhu práce, znižuje sa ich nezamestnanosť a doba trvania nezamestnanosti po absolvovaní štúdia. Absolventi duálneho štúdia sú tiež pr</w:t>
      </w:r>
      <w:r w:rsidR="00A45298" w:rsidRPr="005A1D7A">
        <w:t>oduktívnejší a lepšie pripravení</w:t>
      </w:r>
      <w:r w:rsidRPr="005A1D7A">
        <w:t xml:space="preserve"> na prax.</w:t>
      </w:r>
    </w:p>
    <w:p w:rsidR="00833793" w:rsidRPr="005A1D7A" w:rsidRDefault="00833793" w:rsidP="005A1D7A">
      <w:pPr>
        <w:jc w:val="both"/>
      </w:pPr>
    </w:p>
    <w:p w:rsidR="00833793" w:rsidRPr="00021596" w:rsidRDefault="00833793" w:rsidP="005A1D7A">
      <w:pPr>
        <w:jc w:val="both"/>
      </w:pPr>
      <w:r w:rsidRPr="005A1D7A">
        <w:t>Cieľom zavedenia systému duálneho vzdelávania na Slovensku je zvýšiť flexibilitu školského systému vo vzťahu k potrebám trhu a umožniť zamestnávateľom aktívne sa podieľať na odbornej príprave</w:t>
      </w:r>
      <w:r w:rsidR="00A154DE" w:rsidRPr="005A1D7A">
        <w:t xml:space="preserve"> žiakov</w:t>
      </w:r>
      <w:r w:rsidRPr="005A1D7A">
        <w:t xml:space="preserve"> s cieľom vychovať si odborne pripravených zamestnancov pre svoju spoločnosť, prípadne odvetvie. Cieľom má byť tiež zvýšenie uplatniteľnosti absolventov stredných odborných škôl na trhu </w:t>
      </w:r>
      <w:r w:rsidR="00A45298" w:rsidRPr="005A1D7A">
        <w:t xml:space="preserve">práce </w:t>
      </w:r>
      <w:r w:rsidRPr="005A1D7A">
        <w:t>a zníženie nezamestnanosti mladých.</w:t>
      </w:r>
    </w:p>
    <w:p w:rsidR="00833793" w:rsidRDefault="00833793" w:rsidP="005A1D7A">
      <w:pPr>
        <w:jc w:val="both"/>
      </w:pPr>
    </w:p>
    <w:p w:rsidR="00833793" w:rsidRPr="00021596" w:rsidRDefault="00833793" w:rsidP="005A1D7A">
      <w:pPr>
        <w:jc w:val="both"/>
      </w:pPr>
      <w:r>
        <w:t>Návrh bude implementovať Ministerstvo školstva, vedy, výskumu a športu Slovenskej republiky</w:t>
      </w:r>
      <w:r w:rsidR="001A7375">
        <w:t xml:space="preserve">, Štátny inštitút odborného vzdelávania, stavovské </w:t>
      </w:r>
      <w:r w:rsidR="005A1D7A">
        <w:t xml:space="preserve">organizácie </w:t>
      </w:r>
      <w:r w:rsidR="001A7375">
        <w:t>a profesijné organizácie</w:t>
      </w:r>
      <w:r w:rsidR="005A1D7A">
        <w:t>.</w:t>
      </w:r>
    </w:p>
    <w:p w:rsidR="00833793" w:rsidRDefault="00833793" w:rsidP="005A1D7A">
      <w:pPr>
        <w:jc w:val="both"/>
      </w:pPr>
    </w:p>
    <w:p w:rsidR="004161A1" w:rsidRDefault="00833793" w:rsidP="00A71B38">
      <w:pPr>
        <w:jc w:val="both"/>
      </w:pPr>
      <w:r>
        <w:t xml:space="preserve">Systém </w:t>
      </w:r>
      <w:r w:rsidRPr="005A1D7A">
        <w:t xml:space="preserve">duálneho </w:t>
      </w:r>
      <w:r w:rsidR="000E1384" w:rsidRPr="005A1D7A">
        <w:t xml:space="preserve">vzdelávania </w:t>
      </w:r>
      <w:r w:rsidRPr="005A1D7A">
        <w:t xml:space="preserve">bude implementovaný plošne pre učebné odbory </w:t>
      </w:r>
      <w:r w:rsidR="000E1384" w:rsidRPr="005A1D7A">
        <w:t xml:space="preserve">a študijné odbory s rozšíreným počtom hodín praktického vyučovania </w:t>
      </w:r>
      <w:r w:rsidRPr="005A1D7A">
        <w:t>stredných odborných škôl a po splnení podmienok, ktoré budú bližšie špecifikované, sa</w:t>
      </w:r>
      <w:r>
        <w:t xml:space="preserve"> budú môcť do neho zapojiť všet</w:t>
      </w:r>
      <w:r w:rsidR="005A1D7A">
        <w:t>ci zamestnávatelia a stredné odborné školy</w:t>
      </w:r>
      <w:r>
        <w:t>.</w:t>
      </w:r>
    </w:p>
    <w:p w:rsidR="004161A1" w:rsidRDefault="004161A1" w:rsidP="004161A1">
      <w:r>
        <w:t> </w:t>
      </w:r>
    </w:p>
    <w:p w:rsidR="004161A1" w:rsidRDefault="004161A1" w:rsidP="004161A1">
      <w:r w:rsidRPr="004161A1">
        <w:rPr>
          <w:b/>
          <w:bCs/>
        </w:rPr>
        <w:t>2.3.2. Charakteristika návrhu podľa bodu  2.3.2. Metodiky :</w:t>
      </w:r>
    </w:p>
    <w:p w:rsidR="004161A1" w:rsidRDefault="004161A1" w:rsidP="004161A1">
      <w:r>
        <w:t> </w:t>
      </w:r>
    </w:p>
    <w:p w:rsidR="004161A1" w:rsidRDefault="004161A1" w:rsidP="004161A1">
      <w:r w:rsidRPr="004161A1">
        <w:rPr>
          <w:b/>
          <w:bCs/>
          <w:bdr w:val="single" w:sz="4" w:space="0" w:color="000000" w:frame="1"/>
        </w:rPr>
        <w:t xml:space="preserve">     </w:t>
      </w:r>
      <w:r w:rsidRPr="004161A1">
        <w:rPr>
          <w:b/>
          <w:bCs/>
        </w:rPr>
        <w:t xml:space="preserve">  </w:t>
      </w:r>
      <w:r>
        <w:t>zmena sadzby</w:t>
      </w:r>
    </w:p>
    <w:p w:rsidR="004161A1" w:rsidRDefault="00C36D06" w:rsidP="004161A1">
      <w:r>
        <w:rPr>
          <w:bdr w:val="single" w:sz="4" w:space="0" w:color="000000" w:frame="1"/>
        </w:rPr>
        <w:t xml:space="preserve">    </w:t>
      </w:r>
      <w:r w:rsidR="004161A1">
        <w:rPr>
          <w:bdr w:val="single" w:sz="4" w:space="0" w:color="000000" w:frame="1"/>
        </w:rPr>
        <w:t> </w:t>
      </w:r>
      <w:r w:rsidR="004161A1">
        <w:t>  zmena v nároku</w:t>
      </w:r>
    </w:p>
    <w:p w:rsidR="004161A1" w:rsidRDefault="00C36D06" w:rsidP="004161A1">
      <w:r>
        <w:rPr>
          <w:bdr w:val="single" w:sz="4" w:space="0" w:color="000000" w:frame="1"/>
        </w:rPr>
        <w:t xml:space="preserve">    </w:t>
      </w:r>
      <w:r w:rsidR="004161A1">
        <w:rPr>
          <w:bdr w:val="single" w:sz="4" w:space="0" w:color="000000" w:frame="1"/>
        </w:rPr>
        <w:t xml:space="preserve"> </w:t>
      </w:r>
      <w:r w:rsidR="004161A1">
        <w:t>  nová služba alebo nariadenie (alebo ich zrušenie)</w:t>
      </w:r>
    </w:p>
    <w:p w:rsidR="004161A1" w:rsidRDefault="00C36D06" w:rsidP="004161A1">
      <w:r>
        <w:rPr>
          <w:bdr w:val="single" w:sz="4" w:space="0" w:color="000000" w:frame="1"/>
        </w:rPr>
        <w:t>  x</w:t>
      </w:r>
      <w:r w:rsidR="004161A1">
        <w:rPr>
          <w:bdr w:val="single" w:sz="4" w:space="0" w:color="000000" w:frame="1"/>
        </w:rPr>
        <w:t xml:space="preserve"> </w:t>
      </w:r>
      <w:r w:rsidR="004161A1">
        <w:t>  kombinovaný návrh</w:t>
      </w:r>
    </w:p>
    <w:p w:rsidR="004161A1" w:rsidRDefault="004161A1" w:rsidP="004161A1">
      <w:r>
        <w:rPr>
          <w:bdr w:val="single" w:sz="4" w:space="0" w:color="000000" w:frame="1"/>
        </w:rPr>
        <w:t xml:space="preserve">     </w:t>
      </w:r>
      <w:r>
        <w:t xml:space="preserve">  iné </w:t>
      </w:r>
    </w:p>
    <w:p w:rsidR="004161A1" w:rsidRDefault="004161A1" w:rsidP="004161A1">
      <w:r>
        <w:lastRenderedPageBreak/>
        <w:t> </w:t>
      </w:r>
    </w:p>
    <w:p w:rsidR="004161A1" w:rsidRDefault="004161A1" w:rsidP="004161A1">
      <w:r>
        <w:t> </w:t>
      </w:r>
    </w:p>
    <w:p w:rsidR="004161A1" w:rsidRDefault="004161A1" w:rsidP="004161A1">
      <w:r w:rsidRPr="004161A1">
        <w:rPr>
          <w:b/>
          <w:bCs/>
        </w:rPr>
        <w:t>2.3.3. Predpoklady vývoja objemu aktivít:</w:t>
      </w:r>
    </w:p>
    <w:p w:rsidR="004161A1" w:rsidRDefault="004161A1" w:rsidP="004161A1">
      <w:r>
        <w:t> </w:t>
      </w:r>
    </w:p>
    <w:p w:rsidR="004161A1" w:rsidRPr="005A1D7A" w:rsidRDefault="00833793" w:rsidP="00833793">
      <w:pPr>
        <w:jc w:val="both"/>
      </w:pPr>
      <w:r w:rsidRPr="005A1D7A">
        <w:t>Hlavným determinantom vplyvov návrh</w:t>
      </w:r>
      <w:r w:rsidR="00183916">
        <w:t>u na rozpočet verejnej správy sú poč</w:t>
      </w:r>
      <w:r w:rsidRPr="005A1D7A">
        <w:t>t</w:t>
      </w:r>
      <w:r w:rsidR="00183916">
        <w:t>y</w:t>
      </w:r>
      <w:r w:rsidRPr="005A1D7A">
        <w:t xml:space="preserve"> </w:t>
      </w:r>
      <w:r w:rsidR="00EA5D56" w:rsidRPr="005A1D7A">
        <w:t xml:space="preserve">žiakov </w:t>
      </w:r>
      <w:r w:rsidRPr="005A1D7A">
        <w:t xml:space="preserve">učebných odborov </w:t>
      </w:r>
      <w:r w:rsidR="00EA5D56" w:rsidRPr="005A1D7A">
        <w:t xml:space="preserve">a študijných odborov s rozšíreným počtom hodín praktického vyučovania </w:t>
      </w:r>
      <w:r w:rsidRPr="005A1D7A">
        <w:t xml:space="preserve">stredných odborný škôl, ktorí sa </w:t>
      </w:r>
      <w:r w:rsidR="00183916" w:rsidRPr="005A1D7A">
        <w:t xml:space="preserve">zapoja </w:t>
      </w:r>
      <w:r w:rsidRPr="005A1D7A">
        <w:t xml:space="preserve">do systému duálneho vzdelávania </w:t>
      </w:r>
      <w:r w:rsidR="00021596">
        <w:t xml:space="preserve">na základe učebnej zmluvy </w:t>
      </w:r>
      <w:r w:rsidR="00183916">
        <w:t>a</w:t>
      </w:r>
      <w:r w:rsidR="00694610">
        <w:t xml:space="preserve"> počet žiakov, ktorí sa budú </w:t>
      </w:r>
      <w:r w:rsidR="00021596">
        <w:t xml:space="preserve">vykonávať praktické vyučovanie na pracoviskách zamestnávateľov na základe dohody medzi školou a zamestnávateľom v tzv. </w:t>
      </w:r>
      <w:r w:rsidR="00694610">
        <w:t>zmiešanom systéme.</w:t>
      </w:r>
    </w:p>
    <w:p w:rsidR="000D1714" w:rsidRPr="005A1D7A" w:rsidRDefault="000D1714" w:rsidP="00833793">
      <w:pPr>
        <w:jc w:val="both"/>
      </w:pPr>
    </w:p>
    <w:p w:rsidR="000D1714" w:rsidRPr="005A1D7A" w:rsidRDefault="000D1714" w:rsidP="00833793">
      <w:pPr>
        <w:jc w:val="both"/>
      </w:pPr>
      <w:r w:rsidRPr="005A1D7A">
        <w:t xml:space="preserve">Počet </w:t>
      </w:r>
      <w:r w:rsidR="00BA4F44" w:rsidRPr="005A1D7A">
        <w:t>žiakov</w:t>
      </w:r>
      <w:r w:rsidRPr="005A1D7A">
        <w:t xml:space="preserve"> v jednotlivých ročníkoch má vplyv na príjmy a výdavky rozpočtu verejnej správy najmä vo forme </w:t>
      </w:r>
      <w:r w:rsidR="00183916">
        <w:t xml:space="preserve">finančného a hmotného zabezpečenia žiakov, ktoré bude </w:t>
      </w:r>
      <w:r w:rsidRPr="005A1D7A">
        <w:t>vyplácan</w:t>
      </w:r>
      <w:r w:rsidR="00183916">
        <w:t>é</w:t>
      </w:r>
      <w:r w:rsidRPr="005A1D7A">
        <w:t xml:space="preserve"> </w:t>
      </w:r>
      <w:r w:rsidR="00A154DE" w:rsidRPr="005A1D7A">
        <w:t>žiakom</w:t>
      </w:r>
      <w:r w:rsidRPr="005A1D7A">
        <w:t xml:space="preserve"> </w:t>
      </w:r>
      <w:r w:rsidR="00183916">
        <w:t xml:space="preserve">v súvislosti </w:t>
      </w:r>
      <w:r w:rsidR="005A697D">
        <w:t>so</w:t>
      </w:r>
      <w:r w:rsidR="00183916">
        <w:t xml:space="preserve"> zapojením</w:t>
      </w:r>
      <w:r w:rsidRPr="005A1D7A">
        <w:t xml:space="preserve"> sa do systému duálneho vzdelávania, </w:t>
      </w:r>
      <w:r w:rsidR="005A697D">
        <w:t xml:space="preserve">motivačných štipendií vyplácaných z verejných zdrojov žiakom, ktorí sa budú pripravovať v odboroch vzdelávania s nedostatočným počtom absolventov na trhu práce, úspory výdavkov na </w:t>
      </w:r>
      <w:r w:rsidR="000B002D">
        <w:t xml:space="preserve">časť mzdového </w:t>
      </w:r>
      <w:r w:rsidR="005A697D">
        <w:t xml:space="preserve"> normatív</w:t>
      </w:r>
      <w:r w:rsidR="000B002D">
        <w:t xml:space="preserve">u za žiakov vykonávajúcich praktické vyučovanie v systéme duálneho vzdelávania </w:t>
      </w:r>
      <w:r w:rsidR="005A697D">
        <w:t xml:space="preserve">a </w:t>
      </w:r>
      <w:r w:rsidRPr="005A1D7A">
        <w:t>ďalej vo forme daňových úľav poskytovaných zamestnávateľom zapojeným d</w:t>
      </w:r>
      <w:r w:rsidR="005A1D7A" w:rsidRPr="005A1D7A">
        <w:t>o systému duálneho vzdelávania.</w:t>
      </w:r>
    </w:p>
    <w:p w:rsidR="000D1714" w:rsidRDefault="000D1714" w:rsidP="00833793">
      <w:pPr>
        <w:jc w:val="both"/>
      </w:pPr>
    </w:p>
    <w:p w:rsidR="000D1714" w:rsidRDefault="000D1714" w:rsidP="00833793">
      <w:pPr>
        <w:jc w:val="both"/>
      </w:pPr>
      <w:r w:rsidRPr="005A1D7A">
        <w:t>Spustenie systému duálneho vzdelávania sa predpokladá od 1.</w:t>
      </w:r>
      <w:r w:rsidR="00BA4F44" w:rsidRPr="005A1D7A">
        <w:t xml:space="preserve"> </w:t>
      </w:r>
      <w:r w:rsidRPr="005A1D7A">
        <w:t xml:space="preserve">9. </w:t>
      </w:r>
      <w:r w:rsidR="00BA4F44" w:rsidRPr="005A1D7A">
        <w:t>2015</w:t>
      </w:r>
      <w:r w:rsidRPr="005A1D7A">
        <w:t>,</w:t>
      </w:r>
      <w:r>
        <w:t xml:space="preserve"> kedy by sa malo</w:t>
      </w:r>
      <w:r w:rsidR="00694610">
        <w:t xml:space="preserve"> do systému zapojiť odhadom 1 </w:t>
      </w:r>
      <w:r w:rsidR="00694610" w:rsidRPr="00694610">
        <w:t>500</w:t>
      </w:r>
      <w:r w:rsidRPr="00694610">
        <w:t xml:space="preserve"> </w:t>
      </w:r>
      <w:r w:rsidR="00BA4F44" w:rsidRPr="00694610">
        <w:t>žiakov</w:t>
      </w:r>
      <w:r w:rsidR="000B002D">
        <w:t xml:space="preserve">. </w:t>
      </w:r>
      <w:r w:rsidR="009E0FEB">
        <w:t>Predpokladá sa</w:t>
      </w:r>
      <w:r w:rsidR="00694610">
        <w:t>, že počet žiakov v duálnom vzdelávaní bude postupne narastať a počet ostatných žiakov v zmiešanom systéme, ktorí budú vykonávať praktické vyučovanie u zamestnávateľov bude postupne mierne klesať.</w:t>
      </w:r>
    </w:p>
    <w:p w:rsidR="00833793" w:rsidRDefault="00833793" w:rsidP="00833793">
      <w:pPr>
        <w:jc w:val="both"/>
      </w:pPr>
    </w:p>
    <w:p w:rsidR="004161A1" w:rsidRDefault="004161A1" w:rsidP="004161A1">
      <w:pPr>
        <w:jc w:val="right"/>
      </w:pPr>
      <w:r w:rsidRPr="004161A1">
        <w:rPr>
          <w:sz w:val="20"/>
          <w:szCs w:val="20"/>
        </w:rPr>
        <w:t xml:space="preserve">Tabuľka č. 3 </w:t>
      </w:r>
    </w:p>
    <w:tbl>
      <w:tblPr>
        <w:tblW w:w="0" w:type="auto"/>
        <w:tblCellMar>
          <w:left w:w="0" w:type="dxa"/>
          <w:right w:w="0" w:type="dxa"/>
        </w:tblCellMar>
        <w:tblLook w:val="0000" w:firstRow="0" w:lastRow="0" w:firstColumn="0" w:lastColumn="0" w:noHBand="0" w:noVBand="0"/>
      </w:tblPr>
      <w:tblGrid>
        <w:gridCol w:w="4530"/>
        <w:gridCol w:w="1134"/>
        <w:gridCol w:w="1134"/>
        <w:gridCol w:w="1134"/>
        <w:gridCol w:w="1134"/>
      </w:tblGrid>
      <w:tr w:rsidR="004161A1" w:rsidRPr="004161A1" w:rsidTr="00436802">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4161A1" w:rsidRPr="004161A1" w:rsidRDefault="004161A1" w:rsidP="004161A1">
            <w:pPr>
              <w:spacing w:line="70" w:lineRule="atLeast"/>
              <w:jc w:val="center"/>
            </w:pPr>
            <w:r w:rsidRPr="004161A1">
              <w:rPr>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4161A1" w:rsidRPr="004161A1" w:rsidRDefault="004161A1" w:rsidP="004161A1">
            <w:pPr>
              <w:spacing w:line="70" w:lineRule="atLeast"/>
              <w:jc w:val="center"/>
            </w:pPr>
            <w:r w:rsidRPr="004161A1">
              <w:rPr>
                <w:b/>
                <w:bCs/>
                <w:color w:val="FFFFFF"/>
              </w:rPr>
              <w:t>Odhadované objemy</w:t>
            </w:r>
          </w:p>
        </w:tc>
      </w:tr>
      <w:tr w:rsidR="00106142" w:rsidRPr="004161A1" w:rsidTr="00436802">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tcPr>
          <w:p w:rsidR="00106142" w:rsidRPr="004161A1" w:rsidRDefault="00106142" w:rsidP="004161A1"/>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106142" w:rsidRDefault="005A1D7A">
            <w:pPr>
              <w:jc w:val="center"/>
              <w:rPr>
                <w:b/>
                <w:bCs/>
                <w:color w:val="FFFFFF"/>
              </w:rPr>
            </w:pPr>
            <w:r>
              <w:rPr>
                <w:b/>
                <w:bCs/>
                <w:color w:val="FFFFFF"/>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106142" w:rsidRDefault="005A1D7A">
            <w:pPr>
              <w:jc w:val="center"/>
              <w:rPr>
                <w:b/>
                <w:bCs/>
                <w:color w:val="FFFFFF"/>
              </w:rPr>
            </w:pPr>
            <w:r>
              <w:rPr>
                <w:b/>
                <w:bCs/>
                <w:color w:val="FFFFFF"/>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106142" w:rsidRDefault="00106142">
            <w:pPr>
              <w:jc w:val="center"/>
              <w:rPr>
                <w:b/>
                <w:bCs/>
                <w:color w:val="FFFFFF"/>
              </w:rPr>
            </w:pPr>
            <w:r>
              <w:rPr>
                <w:b/>
                <w:bCs/>
                <w:color w:val="FFFFFF"/>
              </w:rPr>
              <w:t>20</w:t>
            </w:r>
            <w:r w:rsidR="005A1D7A">
              <w:rPr>
                <w:b/>
                <w:bCs/>
                <w:color w:val="FFFFFF"/>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vAlign w:val="center"/>
          </w:tcPr>
          <w:p w:rsidR="00106142" w:rsidRDefault="005A1D7A">
            <w:pPr>
              <w:jc w:val="center"/>
              <w:rPr>
                <w:b/>
                <w:bCs/>
                <w:color w:val="FFFFFF"/>
              </w:rPr>
            </w:pPr>
            <w:r>
              <w:rPr>
                <w:b/>
                <w:bCs/>
                <w:color w:val="FFFFFF"/>
              </w:rPr>
              <w:t>2018</w:t>
            </w:r>
          </w:p>
        </w:tc>
      </w:tr>
      <w:tr w:rsidR="00880845" w:rsidRPr="004161A1" w:rsidTr="00436802">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845" w:rsidRPr="005A1D7A" w:rsidRDefault="005A1D7A" w:rsidP="00EC7FD4">
            <w:r w:rsidRPr="005A1D7A">
              <w:t>Počet ž</w:t>
            </w:r>
            <w:r w:rsidR="00A154DE" w:rsidRPr="005A1D7A">
              <w:t>ia</w:t>
            </w:r>
            <w:r w:rsidRPr="005A1D7A">
              <w:t xml:space="preserve">kov </w:t>
            </w:r>
            <w:r w:rsidR="00EC7FD4">
              <w:t>zúčastnených na duálnom vzdelávaní</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845" w:rsidRDefault="00EC7FD4" w:rsidP="00EC7FD4">
            <w:pPr>
              <w:jc w:val="right"/>
              <w:rPr>
                <w:color w:val="000000"/>
              </w:rPr>
            </w:pPr>
            <w:r>
              <w:rPr>
                <w:color w:val="000000"/>
              </w:rPr>
              <w:t>1500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845" w:rsidRDefault="00694610" w:rsidP="00EC7FD4">
            <w:pPr>
              <w:jc w:val="right"/>
              <w:rPr>
                <w:color w:val="000000"/>
              </w:rPr>
            </w:pPr>
            <w:r>
              <w:rPr>
                <w:color w:val="000000"/>
              </w:rPr>
              <w:t>4 270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845" w:rsidRDefault="00694610" w:rsidP="00EC7FD4">
            <w:pPr>
              <w:jc w:val="right"/>
              <w:rPr>
                <w:color w:val="000000"/>
              </w:rPr>
            </w:pPr>
            <w:r>
              <w:rPr>
                <w:color w:val="000000"/>
              </w:rPr>
              <w:t>8 429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80845" w:rsidRDefault="00694610">
            <w:pPr>
              <w:jc w:val="right"/>
              <w:rPr>
                <w:color w:val="000000"/>
              </w:rPr>
            </w:pPr>
            <w:r>
              <w:rPr>
                <w:color w:val="000000"/>
              </w:rPr>
              <w:t>13 997</w:t>
            </w:r>
          </w:p>
        </w:tc>
      </w:tr>
      <w:tr w:rsidR="00EC7FD4" w:rsidRPr="004161A1" w:rsidTr="00436802">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Pr="005A1D7A" w:rsidRDefault="00EC7FD4" w:rsidP="00225D2C">
            <w:r w:rsidRPr="005A1D7A">
              <w:t>Počet žiakov zapojených do duálneho systému - 1. ročník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 xml:space="preserve"> 1500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 xml:space="preserve"> 2 867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 xml:space="preserve"> 4 379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 xml:space="preserve"> 6 135</w:t>
            </w:r>
          </w:p>
        </w:tc>
      </w:tr>
      <w:tr w:rsidR="00EC7FD4" w:rsidRPr="004161A1" w:rsidTr="00436802">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rPr>
                <w:color w:val="000000"/>
              </w:rPr>
            </w:pPr>
            <w:r w:rsidRPr="005A1D7A">
              <w:t xml:space="preserve">Počet žiakov zapojených do duálneho systému - </w:t>
            </w:r>
            <w:r>
              <w:t>2</w:t>
            </w:r>
            <w:r w:rsidRPr="005A1D7A">
              <w:t>. ročník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 xml:space="preserve">  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1 403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pPr>
              <w:jc w:val="right"/>
              <w:rPr>
                <w:color w:val="000000"/>
              </w:rPr>
            </w:pPr>
            <w:r>
              <w:rPr>
                <w:color w:val="000000"/>
              </w:rPr>
              <w:t>2 677</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pPr>
              <w:jc w:val="right"/>
              <w:rPr>
                <w:color w:val="000000"/>
              </w:rPr>
            </w:pPr>
            <w:r>
              <w:rPr>
                <w:color w:val="000000"/>
              </w:rPr>
              <w:t>4 092</w:t>
            </w:r>
          </w:p>
        </w:tc>
      </w:tr>
      <w:tr w:rsidR="00EC7FD4" w:rsidRPr="004161A1" w:rsidTr="00436802">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rPr>
                <w:color w:val="000000"/>
              </w:rPr>
            </w:pPr>
            <w:r w:rsidRPr="005A1D7A">
              <w:t xml:space="preserve">Počet žiakov zapojených do duálneho systému - </w:t>
            </w:r>
            <w:r>
              <w:t>3</w:t>
            </w:r>
            <w:r w:rsidRPr="005A1D7A">
              <w:t>. ročník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pPr>
              <w:jc w:val="right"/>
              <w:rPr>
                <w:color w:val="000000"/>
              </w:rPr>
            </w:pPr>
            <w:r>
              <w:rPr>
                <w:color w:val="000000"/>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pPr>
              <w:jc w:val="right"/>
              <w:rPr>
                <w:color w:val="000000"/>
              </w:rPr>
            </w:pPr>
            <w:r>
              <w:rPr>
                <w:color w:val="000000"/>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pPr>
              <w:jc w:val="right"/>
              <w:rPr>
                <w:color w:val="000000"/>
              </w:rPr>
            </w:pPr>
            <w:r>
              <w:rPr>
                <w:color w:val="000000"/>
              </w:rPr>
              <w:t>1 373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pPr>
              <w:jc w:val="right"/>
              <w:rPr>
                <w:color w:val="000000"/>
              </w:rPr>
            </w:pPr>
            <w:r>
              <w:rPr>
                <w:color w:val="000000"/>
              </w:rPr>
              <w:t>2 623</w:t>
            </w:r>
          </w:p>
        </w:tc>
      </w:tr>
      <w:tr w:rsidR="00EC7FD4" w:rsidRPr="004161A1" w:rsidTr="00436802">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rPr>
                <w:color w:val="000000"/>
              </w:rPr>
            </w:pPr>
            <w:r w:rsidRPr="005A1D7A">
              <w:t xml:space="preserve">Počet žiakov zapojených do duálneho systému - </w:t>
            </w:r>
            <w:r>
              <w:t>4</w:t>
            </w:r>
            <w:r w:rsidRPr="005A1D7A">
              <w:t>. ročník</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1 147</w:t>
            </w:r>
          </w:p>
        </w:tc>
      </w:tr>
      <w:tr w:rsidR="00EC7FD4" w:rsidRPr="004161A1" w:rsidTr="00436802">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rPr>
                <w:color w:val="000000"/>
              </w:rPr>
            </w:pPr>
            <w:r>
              <w:rPr>
                <w:color w:val="000000"/>
              </w:rPr>
              <w:t xml:space="preserve">Počet žiakov študujúcich v zmiešanom </w:t>
            </w:r>
            <w:r w:rsidR="00694610">
              <w:rPr>
                <w:color w:val="000000"/>
              </w:rPr>
              <w:t>sy</w:t>
            </w:r>
            <w:r>
              <w:rPr>
                <w:color w:val="000000"/>
              </w:rPr>
              <w:t>stéme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4 912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4 156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3 495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FD4" w:rsidRDefault="00EC7FD4" w:rsidP="00225D2C">
            <w:pPr>
              <w:jc w:val="right"/>
              <w:rPr>
                <w:color w:val="000000"/>
              </w:rPr>
            </w:pPr>
            <w:r>
              <w:rPr>
                <w:color w:val="000000"/>
              </w:rPr>
              <w:t xml:space="preserve">2 872 </w:t>
            </w:r>
          </w:p>
        </w:tc>
      </w:tr>
    </w:tbl>
    <w:p w:rsidR="00FB77B2" w:rsidRDefault="00FB77B2" w:rsidP="004161A1">
      <w:pPr>
        <w:rPr>
          <w:b/>
          <w:bCs/>
        </w:rPr>
      </w:pPr>
    </w:p>
    <w:p w:rsidR="00FB77B2" w:rsidRDefault="00FB77B2" w:rsidP="004161A1">
      <w:pPr>
        <w:rPr>
          <w:b/>
          <w:bCs/>
        </w:rPr>
      </w:pPr>
    </w:p>
    <w:p w:rsidR="00FB77B2" w:rsidRDefault="00FB77B2" w:rsidP="004161A1">
      <w:pPr>
        <w:rPr>
          <w:b/>
          <w:bCs/>
        </w:rPr>
      </w:pPr>
    </w:p>
    <w:p w:rsidR="00FB77B2" w:rsidRDefault="00FB77B2" w:rsidP="004161A1">
      <w:pPr>
        <w:rPr>
          <w:b/>
          <w:bCs/>
        </w:rPr>
      </w:pPr>
    </w:p>
    <w:p w:rsidR="00FB77B2" w:rsidRDefault="00FB77B2" w:rsidP="004161A1">
      <w:pPr>
        <w:rPr>
          <w:b/>
          <w:bCs/>
        </w:rPr>
      </w:pPr>
    </w:p>
    <w:p w:rsidR="00FB77B2" w:rsidRDefault="00FB77B2" w:rsidP="004161A1">
      <w:pPr>
        <w:rPr>
          <w:b/>
          <w:bCs/>
        </w:rPr>
      </w:pPr>
    </w:p>
    <w:p w:rsidR="00FB77B2" w:rsidRDefault="00FB77B2" w:rsidP="004161A1">
      <w:pPr>
        <w:rPr>
          <w:b/>
          <w:bCs/>
        </w:rPr>
      </w:pPr>
    </w:p>
    <w:p w:rsidR="004161A1" w:rsidRDefault="004161A1" w:rsidP="004161A1">
      <w:r w:rsidRPr="004161A1">
        <w:rPr>
          <w:b/>
          <w:bCs/>
        </w:rPr>
        <w:lastRenderedPageBreak/>
        <w:t>2.3.4. Výpočty vplyvov na verejné financie</w:t>
      </w:r>
    </w:p>
    <w:p w:rsidR="004161A1" w:rsidRDefault="004161A1" w:rsidP="004161A1">
      <w:r>
        <w:t> </w:t>
      </w:r>
    </w:p>
    <w:p w:rsidR="00FD4451" w:rsidRPr="00FD4451" w:rsidRDefault="00FD4451" w:rsidP="00FD4451">
      <w:pPr>
        <w:jc w:val="both"/>
        <w:rPr>
          <w:b/>
        </w:rPr>
      </w:pPr>
      <w:r w:rsidRPr="00FD4451">
        <w:rPr>
          <w:b/>
        </w:rPr>
        <w:t>Dopady na príjmovej strane:</w:t>
      </w:r>
    </w:p>
    <w:p w:rsidR="00FD4451" w:rsidRDefault="00FD4451" w:rsidP="00FD4451">
      <w:pPr>
        <w:jc w:val="both"/>
      </w:pPr>
    </w:p>
    <w:p w:rsidR="00FD4451" w:rsidRPr="00FD4451" w:rsidRDefault="00FD4451" w:rsidP="00FD4451">
      <w:pPr>
        <w:jc w:val="both"/>
        <w:rPr>
          <w:i/>
        </w:rPr>
      </w:pPr>
      <w:r w:rsidRPr="00FD4451">
        <w:rPr>
          <w:i/>
        </w:rPr>
        <w:t>Vplyv na daňové príjmy:</w:t>
      </w:r>
    </w:p>
    <w:p w:rsidR="003D1F39" w:rsidRDefault="003D1F39" w:rsidP="003D1F39">
      <w:pPr>
        <w:jc w:val="both"/>
      </w:pPr>
    </w:p>
    <w:p w:rsidR="003D1F39" w:rsidRDefault="003D1F39" w:rsidP="003D1F39">
      <w:pPr>
        <w:jc w:val="both"/>
      </w:pPr>
      <w:r>
        <w:t xml:space="preserve">Z hľadiska negatívnych vplyvov na </w:t>
      </w:r>
      <w:r w:rsidR="00A3716F">
        <w:t xml:space="preserve">daňové </w:t>
      </w:r>
      <w:r>
        <w:t>príjmy v</w:t>
      </w:r>
      <w:r w:rsidR="00225D2C">
        <w:t>erejného rozpočtu sa predpokladajú</w:t>
      </w:r>
      <w:r>
        <w:t xml:space="preserve"> </w:t>
      </w:r>
      <w:r w:rsidR="005C7DF9">
        <w:t>štyri</w:t>
      </w:r>
      <w:r w:rsidR="00267D56">
        <w:t xml:space="preserve"> </w:t>
      </w:r>
      <w:r>
        <w:t>vplyv</w:t>
      </w:r>
      <w:r w:rsidR="00267D56">
        <w:t>y</w:t>
      </w:r>
      <w:r>
        <w:t>:</w:t>
      </w:r>
    </w:p>
    <w:p w:rsidR="003D1F39" w:rsidRDefault="003D1F39" w:rsidP="003D1F39">
      <w:pPr>
        <w:jc w:val="both"/>
      </w:pPr>
    </w:p>
    <w:p w:rsidR="009A5C66" w:rsidRPr="005C7DF9" w:rsidRDefault="00267D56" w:rsidP="009A5C66">
      <w:pPr>
        <w:numPr>
          <w:ilvl w:val="0"/>
          <w:numId w:val="8"/>
        </w:numPr>
        <w:jc w:val="both"/>
      </w:pPr>
      <w:r>
        <w:rPr>
          <w:b/>
        </w:rPr>
        <w:t>Zníženie základu dane zamestnávateľa</w:t>
      </w:r>
      <w:r w:rsidR="00BA6491">
        <w:rPr>
          <w:b/>
        </w:rPr>
        <w:t xml:space="preserve"> – </w:t>
      </w:r>
      <w:r w:rsidR="006D4DBE" w:rsidRPr="00267D56">
        <w:t>s cieľom motivovať zamestnávateľov</w:t>
      </w:r>
      <w:r w:rsidR="006D4DBE" w:rsidRPr="00267D56">
        <w:rPr>
          <w:b/>
        </w:rPr>
        <w:t xml:space="preserve"> </w:t>
      </w:r>
      <w:r w:rsidR="006D4DBE" w:rsidRPr="00267D56">
        <w:t>zapojiť sa do duálneho systému vzdelávania sa navrhuje aby sa základ dane zamestnávateľa, ktorý poskytuje žiakovi praktické vyučovanie v systéme duálneho vzdelávania znížil o paušálnu sumu. Výška paušálnej daňovej úľavy je navrhnutá na úrovni 16</w:t>
      </w:r>
      <w:r>
        <w:t>00 Eur</w:t>
      </w:r>
      <w:r w:rsidR="006D4DBE" w:rsidRPr="00267D56">
        <w:t xml:space="preserve"> ročne na žiaka, ktorý sa vzdeláva u zamestnávateľa 2</w:t>
      </w:r>
      <w:r>
        <w:t>00 až 400 hodín ročne a </w:t>
      </w:r>
      <w:r w:rsidR="006C1FE1" w:rsidRPr="006C1FE1">
        <w:rPr>
          <w:color w:val="FF0000"/>
        </w:rPr>
        <w:t>3200</w:t>
      </w:r>
      <w:r w:rsidRPr="006C1FE1">
        <w:rPr>
          <w:color w:val="FF0000"/>
        </w:rPr>
        <w:t xml:space="preserve"> Eur</w:t>
      </w:r>
      <w:r w:rsidR="006D4DBE" w:rsidRPr="006C1FE1">
        <w:rPr>
          <w:color w:val="FF0000"/>
        </w:rPr>
        <w:t xml:space="preserve"> </w:t>
      </w:r>
      <w:r w:rsidR="006D4DBE" w:rsidRPr="00267D56">
        <w:t>ročne na žiaka, ktorý sa vzdeláva u zamestnávateľa nad 400 hodín ročne.</w:t>
      </w:r>
      <w:r w:rsidR="006D4DBE" w:rsidRPr="005E147E">
        <w:t xml:space="preserve"> </w:t>
      </w:r>
      <w:r w:rsidR="00B5610E" w:rsidRPr="005C7DF9">
        <w:t>Navrhovanou d</w:t>
      </w:r>
      <w:r w:rsidR="006D4DBE" w:rsidRPr="005C7DF9">
        <w:t xml:space="preserve">aňovou úľavou sa </w:t>
      </w:r>
      <w:r w:rsidR="003C5335" w:rsidRPr="005C7DF9">
        <w:t xml:space="preserve">zamestnávateľom poskytujúcim praktické vyučovanie v duálnom systéme vzdelávania čiastočne vykompenzuje strata, ktorá im vznikne </w:t>
      </w:r>
      <w:r w:rsidR="00183916" w:rsidRPr="005C7DF9">
        <w:t xml:space="preserve">z </w:t>
      </w:r>
      <w:r w:rsidR="003C5335" w:rsidRPr="005C7DF9">
        <w:t xml:space="preserve">rozdielu </w:t>
      </w:r>
      <w:r w:rsidR="00D619CF" w:rsidRPr="005C7DF9">
        <w:t xml:space="preserve">súčtu </w:t>
      </w:r>
      <w:r w:rsidR="003C5335" w:rsidRPr="005C7DF9">
        <w:t>povinne poskytnutého finančného a hmotného zabezpečenia</w:t>
      </w:r>
      <w:r w:rsidR="00D619CF" w:rsidRPr="005C7DF9">
        <w:t xml:space="preserve"> </w:t>
      </w:r>
      <w:r w:rsidR="003C5335" w:rsidRPr="005C7DF9">
        <w:t>a</w:t>
      </w:r>
      <w:r w:rsidR="00D619CF" w:rsidRPr="005C7DF9">
        <w:t xml:space="preserve"> minimálnej </w:t>
      </w:r>
      <w:r w:rsidR="00B5610E" w:rsidRPr="005C7DF9">
        <w:t>výšky nákladov na </w:t>
      </w:r>
      <w:r w:rsidR="00D619CF" w:rsidRPr="005C7DF9">
        <w:t>financovanie praktického vyučovania, ktorá predstavuje sumu nákladov na mzdy a platy pedagogických zamestnancov, pod vedením ktorých vykonávajú žiaci praktické vyučovanie</w:t>
      </w:r>
      <w:r w:rsidR="00B5610E" w:rsidRPr="005C7DF9">
        <w:t xml:space="preserve"> a úspory na dani, ktorá im vznikne uplatnením týchto nákladov ako daňového výdavku.</w:t>
      </w:r>
    </w:p>
    <w:p w:rsidR="004161A1" w:rsidRDefault="004161A1" w:rsidP="004161A1">
      <w:pPr>
        <w:jc w:val="both"/>
      </w:pPr>
    </w:p>
    <w:p w:rsidR="00A53B3F" w:rsidRDefault="00267D56" w:rsidP="004161A1">
      <w:pPr>
        <w:numPr>
          <w:ilvl w:val="0"/>
          <w:numId w:val="8"/>
        </w:numPr>
        <w:jc w:val="both"/>
      </w:pPr>
      <w:r w:rsidRPr="00A53B3F">
        <w:rPr>
          <w:b/>
        </w:rPr>
        <w:t>Uplatnenie nákladov poskytnutých z prostriedkov zamestnávateľov na f</w:t>
      </w:r>
      <w:r w:rsidR="009A5C66" w:rsidRPr="00A53B3F">
        <w:rPr>
          <w:b/>
        </w:rPr>
        <w:t>inančné a hmotné</w:t>
      </w:r>
      <w:r w:rsidRPr="00A53B3F">
        <w:rPr>
          <w:b/>
        </w:rPr>
        <w:t xml:space="preserve"> zabezpečeni</w:t>
      </w:r>
      <w:r w:rsidR="000A3BD7" w:rsidRPr="00A53B3F">
        <w:rPr>
          <w:b/>
        </w:rPr>
        <w:t>e</w:t>
      </w:r>
      <w:r w:rsidR="009A5C66" w:rsidRPr="00A53B3F">
        <w:rPr>
          <w:b/>
        </w:rPr>
        <w:t xml:space="preserve"> </w:t>
      </w:r>
      <w:r w:rsidRPr="00A53B3F">
        <w:rPr>
          <w:b/>
        </w:rPr>
        <w:t xml:space="preserve">žiakov ako daňového výdavku </w:t>
      </w:r>
      <w:r w:rsidR="007D42BF" w:rsidRPr="00A53B3F">
        <w:rPr>
          <w:b/>
        </w:rPr>
        <w:t>–</w:t>
      </w:r>
      <w:r w:rsidRPr="00A53B3F">
        <w:rPr>
          <w:b/>
        </w:rPr>
        <w:t xml:space="preserve"> </w:t>
      </w:r>
      <w:r w:rsidR="007D42BF" w:rsidRPr="00A53B3F">
        <w:t>daňový výdavok si budú môcť uplatniť zamestnávatelia poskytujúci finančné a hmotné zabezpečenie ž</w:t>
      </w:r>
      <w:r w:rsidR="00672516">
        <w:t>iakom</w:t>
      </w:r>
      <w:r w:rsidR="007D42BF" w:rsidRPr="00A53B3F">
        <w:t xml:space="preserve"> v duálnom systéme vzdelávania aj ostatn</w:t>
      </w:r>
      <w:r w:rsidR="00672516">
        <w:t>ým žiakom</w:t>
      </w:r>
      <w:r w:rsidR="007D42BF" w:rsidRPr="00A53B3F">
        <w:t xml:space="preserve">. </w:t>
      </w:r>
      <w:r w:rsidR="00672516">
        <w:t>N</w:t>
      </w:r>
      <w:r w:rsidR="007D42BF" w:rsidRPr="00A53B3F">
        <w:t xml:space="preserve">áklady na finančné zabezpečenie </w:t>
      </w:r>
      <w:r w:rsidR="00672516">
        <w:t>budú obsahovať</w:t>
      </w:r>
      <w:r w:rsidR="007D42BF" w:rsidRPr="00A53B3F">
        <w:t xml:space="preserve"> od</w:t>
      </w:r>
      <w:r w:rsidR="006C1FE1">
        <w:t xml:space="preserve">menu za produktívnu prácu žiaka </w:t>
      </w:r>
      <w:r w:rsidR="006C1FE1" w:rsidRPr="002410BE">
        <w:t>a</w:t>
      </w:r>
      <w:r w:rsidR="007D42BF" w:rsidRPr="002410BE">
        <w:t xml:space="preserve"> </w:t>
      </w:r>
      <w:r w:rsidR="007D42BF" w:rsidRPr="00A53B3F">
        <w:t xml:space="preserve">podnikové štipendium, náklady na hmotné zabezpečenie zahŕňajú </w:t>
      </w:r>
      <w:r w:rsidR="00A53B3F" w:rsidRPr="00A53B3F">
        <w:t>náklady žiaka na stravovanie, ubytovanie, cestovné, osobné ochranné pracovné prostriedky žiaka a posúdenie zdravotnej, zmyslovej a psychologickej spôsobilosti žiaka.</w:t>
      </w:r>
    </w:p>
    <w:p w:rsidR="00672516" w:rsidRDefault="00672516" w:rsidP="00672516">
      <w:pPr>
        <w:ind w:left="720"/>
        <w:jc w:val="both"/>
      </w:pPr>
      <w:r w:rsidRPr="00672516">
        <w:t>Zamestnávateľom poskytujúcim praktické vzdelávanie žiakom v duálnom systéme vzdelávania vznikne povinnosť poskytnúť žiakom hmotné zab</w:t>
      </w:r>
      <w:r>
        <w:t xml:space="preserve">ezpečenie, pracovné štipendium a </w:t>
      </w:r>
      <w:r w:rsidRPr="00672516">
        <w:t xml:space="preserve">odmenu za produktívnu </w:t>
      </w:r>
      <w:r>
        <w:t>prácu ak ju žiak bude vykonávať.</w:t>
      </w:r>
    </w:p>
    <w:p w:rsidR="00672516" w:rsidRPr="00672516" w:rsidRDefault="00672516" w:rsidP="00672516">
      <w:pPr>
        <w:ind w:left="720"/>
        <w:jc w:val="both"/>
      </w:pPr>
      <w:r>
        <w:t xml:space="preserve">Poskytnutie </w:t>
      </w:r>
      <w:r w:rsidR="007C6F7E">
        <w:t xml:space="preserve">finančného a hmotného zabezpečenia pre žiakov v zmiešanom systéme nebude pre zamestnávateľa, okrem odmeny za produktívnu prácu a hmotného zabezpečenia osobných ochranných pracovných prostriedkov a posúdenia zdravotnej, zmyslovej a psychologickej spôsobilosti žiaka, povinné. </w:t>
      </w:r>
    </w:p>
    <w:p w:rsidR="00847D8F" w:rsidRDefault="00847D8F" w:rsidP="003C5335">
      <w:pPr>
        <w:ind w:left="720"/>
        <w:jc w:val="both"/>
        <w:rPr>
          <w:color w:val="FF0000"/>
        </w:rPr>
      </w:pPr>
    </w:p>
    <w:p w:rsidR="00847D8F" w:rsidRPr="00B03ACD" w:rsidRDefault="00847D8F" w:rsidP="00B03ACD">
      <w:pPr>
        <w:numPr>
          <w:ilvl w:val="0"/>
          <w:numId w:val="8"/>
        </w:numPr>
        <w:jc w:val="both"/>
        <w:rPr>
          <w:b/>
        </w:rPr>
      </w:pPr>
      <w:r>
        <w:rPr>
          <w:b/>
        </w:rPr>
        <w:t xml:space="preserve">Uplatnenie minimálnej výšky nákladov na financovanie praktického vyučovania </w:t>
      </w:r>
      <w:r w:rsidR="00B03ACD">
        <w:rPr>
          <w:b/>
        </w:rPr>
        <w:t>ako daňo</w:t>
      </w:r>
      <w:r>
        <w:rPr>
          <w:b/>
        </w:rPr>
        <w:t>v</w:t>
      </w:r>
      <w:r w:rsidR="00B03ACD">
        <w:rPr>
          <w:b/>
        </w:rPr>
        <w:t>ého výdavku</w:t>
      </w:r>
      <w:r>
        <w:rPr>
          <w:b/>
        </w:rPr>
        <w:t xml:space="preserve"> </w:t>
      </w:r>
      <w:r w:rsidR="007C6F7E">
        <w:rPr>
          <w:b/>
        </w:rPr>
        <w:t>–</w:t>
      </w:r>
      <w:r w:rsidR="00304AF3">
        <w:rPr>
          <w:b/>
        </w:rPr>
        <w:t xml:space="preserve"> </w:t>
      </w:r>
      <w:r w:rsidR="00C53060" w:rsidRPr="00C53060">
        <w:t>Zamestnávateľ</w:t>
      </w:r>
      <w:r w:rsidR="00B03ACD">
        <w:t xml:space="preserve"> </w:t>
      </w:r>
      <w:r w:rsidR="00B03ACD" w:rsidRPr="00B03ACD">
        <w:t>v systéme duálneho vzdelávania</w:t>
      </w:r>
      <w:r w:rsidR="00B03ACD">
        <w:rPr>
          <w:b/>
        </w:rPr>
        <w:t xml:space="preserve"> </w:t>
      </w:r>
      <w:r w:rsidR="00C53060" w:rsidRPr="00C53060">
        <w:t>si bude môcť uplatniť ako daňový výdavok</w:t>
      </w:r>
      <w:r w:rsidR="00C53060" w:rsidRPr="00B03ACD">
        <w:rPr>
          <w:b/>
        </w:rPr>
        <w:t xml:space="preserve"> </w:t>
      </w:r>
      <w:r w:rsidR="00C53060" w:rsidRPr="00B03ACD">
        <w:t>minimálne náklady</w:t>
      </w:r>
      <w:r w:rsidR="00C53060">
        <w:t xml:space="preserve">, ktoré bude musieť vynaložiť </w:t>
      </w:r>
      <w:r w:rsidR="00304AF3" w:rsidRPr="00DB4DCE">
        <w:t xml:space="preserve">na mzdy a platy </w:t>
      </w:r>
      <w:r w:rsidR="000021A1">
        <w:t>majstrov odbornej výchovy</w:t>
      </w:r>
      <w:r w:rsidR="00304AF3" w:rsidRPr="00DB4DCE">
        <w:t>, pod vedením ktorých žiaci vykonávajú praktické vyučovanie v príslušných kategóriách stredných odborných škôl.</w:t>
      </w:r>
    </w:p>
    <w:p w:rsidR="00A01542" w:rsidRDefault="00A01542" w:rsidP="00B03ACD">
      <w:pPr>
        <w:ind w:left="720"/>
        <w:jc w:val="both"/>
      </w:pPr>
      <w:r w:rsidRPr="00A01542">
        <w:t>Základom pre výpočet predpokladanej hodnoty daňového výdavku, ktorý si uplatnia zame</w:t>
      </w:r>
      <w:r w:rsidR="005C7DF9">
        <w:t>s</w:t>
      </w:r>
      <w:r w:rsidRPr="00A01542">
        <w:t>tnávatelia</w:t>
      </w:r>
      <w:r>
        <w:t>,</w:t>
      </w:r>
      <w:r w:rsidRPr="00A01542">
        <w:t xml:space="preserve"> je súčin hodnoty usporeného normatívu na jedného žiaka a predpokladaného počtu žiakov v duálnom systéme.</w:t>
      </w:r>
    </w:p>
    <w:p w:rsidR="005C7DF9" w:rsidRDefault="005C7DF9" w:rsidP="00B03ACD">
      <w:pPr>
        <w:ind w:left="720"/>
        <w:jc w:val="both"/>
      </w:pPr>
    </w:p>
    <w:p w:rsidR="006A151B" w:rsidRDefault="005C7DF9" w:rsidP="005C7DF9">
      <w:pPr>
        <w:numPr>
          <w:ilvl w:val="0"/>
          <w:numId w:val="8"/>
        </w:numPr>
        <w:jc w:val="both"/>
      </w:pPr>
      <w:r>
        <w:rPr>
          <w:b/>
        </w:rPr>
        <w:t>Oslobodenie odmeny za produktívnu prácu od zdravotných odvodov</w:t>
      </w:r>
      <w:r w:rsidR="007C0D71">
        <w:rPr>
          <w:b/>
        </w:rPr>
        <w:t xml:space="preserve">. </w:t>
      </w:r>
      <w:r w:rsidR="007C0D71" w:rsidRPr="007C0D71">
        <w:t>V</w:t>
      </w:r>
      <w:r w:rsidR="006A151B">
        <w:t> nadväznosti na</w:t>
      </w:r>
      <w:r w:rsidR="00D56317">
        <w:t> </w:t>
      </w:r>
      <w:r w:rsidR="006A151B">
        <w:t>vylúčenie</w:t>
      </w:r>
      <w:r w:rsidR="00D56317">
        <w:t xml:space="preserve"> odmeny za produktívnu prácu z predmetu </w:t>
      </w:r>
      <w:r w:rsidR="006A151B">
        <w:t xml:space="preserve">dane fyzických osôb, nebude sa na tento príjem vzťahovať </w:t>
      </w:r>
      <w:r w:rsidR="009D4670">
        <w:t xml:space="preserve">ani </w:t>
      </w:r>
      <w:r w:rsidR="006A151B">
        <w:t xml:space="preserve">povinnosť odvodu na zdravotné poistenie. </w:t>
      </w:r>
    </w:p>
    <w:p w:rsidR="005C7DF9" w:rsidRPr="00A01542" w:rsidRDefault="007C0D71" w:rsidP="00B8086F">
      <w:pPr>
        <w:ind w:left="708"/>
        <w:jc w:val="both"/>
      </w:pPr>
      <w:r>
        <w:t>Pri výpočte sa vychádza z maximálnej výšky odmeny za produktívnu prácu, ktorú by žiak mohol dosiahnuť za jeden mesiac</w:t>
      </w:r>
      <w:r w:rsidR="009B5D38">
        <w:t xml:space="preserve">. Odmenu za produktívnu prácu poskytuje zamestnávateľ žiakovi </w:t>
      </w:r>
      <w:r>
        <w:t>vo výške 50 – 100 % hodinovej minimálnej mzd</w:t>
      </w:r>
      <w:r w:rsidR="009B5D38">
        <w:t xml:space="preserve">y v závislosti od kvality práce a správania žiaka. </w:t>
      </w:r>
      <w:r>
        <w:t xml:space="preserve">  </w:t>
      </w:r>
    </w:p>
    <w:p w:rsidR="00A53B3F" w:rsidRPr="003C5335" w:rsidRDefault="00A53B3F" w:rsidP="00847D8F">
      <w:pPr>
        <w:jc w:val="both"/>
        <w:rPr>
          <w:color w:val="FF0000"/>
        </w:rPr>
      </w:pPr>
    </w:p>
    <w:p w:rsidR="00C41242" w:rsidRPr="00D147F0" w:rsidRDefault="00C41242" w:rsidP="005C7DF9">
      <w:pPr>
        <w:jc w:val="both"/>
        <w:rPr>
          <w:i/>
        </w:rPr>
      </w:pPr>
      <w:r w:rsidRPr="00D147F0">
        <w:rPr>
          <w:i/>
        </w:rPr>
        <w:t>Vyššie spomínané negatívne vplyvy na príjmy verejného rozpočtu sú v tabuľke č. 4 uvedené po</w:t>
      </w:r>
      <w:r w:rsidR="009D4670" w:rsidRPr="00D147F0">
        <w:rPr>
          <w:i/>
        </w:rPr>
        <w:t>d položkou Daňové príjmy (100).</w:t>
      </w:r>
    </w:p>
    <w:p w:rsidR="00C41242" w:rsidRDefault="00C41242" w:rsidP="004161A1">
      <w:pPr>
        <w:jc w:val="both"/>
      </w:pPr>
    </w:p>
    <w:p w:rsidR="004161A1" w:rsidRDefault="004161A1" w:rsidP="004161A1">
      <w:pPr>
        <w:jc w:val="both"/>
      </w:pPr>
    </w:p>
    <w:p w:rsidR="008F2754" w:rsidRPr="00A3716F" w:rsidRDefault="00A3716F" w:rsidP="008F2754">
      <w:pPr>
        <w:jc w:val="both"/>
        <w:rPr>
          <w:b/>
        </w:rPr>
      </w:pPr>
      <w:r w:rsidRPr="00A3716F">
        <w:rPr>
          <w:b/>
        </w:rPr>
        <w:t>Dopady na výdavkovej strane</w:t>
      </w:r>
      <w:r w:rsidR="008F2754" w:rsidRPr="00A3716F">
        <w:rPr>
          <w:b/>
        </w:rPr>
        <w:t>:</w:t>
      </w:r>
    </w:p>
    <w:p w:rsidR="008F2754" w:rsidRDefault="008F2754" w:rsidP="008F2754">
      <w:pPr>
        <w:jc w:val="both"/>
      </w:pPr>
    </w:p>
    <w:p w:rsidR="00A3716F" w:rsidRDefault="00A3716F" w:rsidP="008F2754">
      <w:pPr>
        <w:jc w:val="both"/>
        <w:rPr>
          <w:i/>
        </w:rPr>
      </w:pPr>
      <w:r w:rsidRPr="00A3716F">
        <w:rPr>
          <w:i/>
        </w:rPr>
        <w:t>Vplyv na bežné výdavky:</w:t>
      </w:r>
    </w:p>
    <w:p w:rsidR="00A3716F" w:rsidRPr="00A3716F" w:rsidRDefault="00A3716F" w:rsidP="008F2754">
      <w:pPr>
        <w:jc w:val="both"/>
        <w:rPr>
          <w:i/>
        </w:rPr>
      </w:pPr>
    </w:p>
    <w:p w:rsidR="00A3716F" w:rsidRDefault="008F2754" w:rsidP="008F2754">
      <w:pPr>
        <w:jc w:val="both"/>
      </w:pPr>
      <w:r>
        <w:t xml:space="preserve">Z hľadiska pozitívnych vplyvov na </w:t>
      </w:r>
      <w:r w:rsidR="00A3716F">
        <w:t xml:space="preserve">bežné </w:t>
      </w:r>
      <w:r>
        <w:t>výdavky ver</w:t>
      </w:r>
      <w:r w:rsidR="00A53B3F">
        <w:t>ejného rozpočtu sa predpokladá</w:t>
      </w:r>
      <w:r>
        <w:t xml:space="preserve"> </w:t>
      </w:r>
      <w:r w:rsidR="005C7DF9">
        <w:t>jeden</w:t>
      </w:r>
      <w:r w:rsidR="00A53B3F">
        <w:t xml:space="preserve"> vplyv</w:t>
      </w:r>
      <w:r>
        <w:t>:</w:t>
      </w:r>
    </w:p>
    <w:p w:rsidR="00C41242" w:rsidRDefault="00C41242" w:rsidP="00C41242">
      <w:pPr>
        <w:ind w:left="720"/>
        <w:jc w:val="both"/>
      </w:pPr>
    </w:p>
    <w:p w:rsidR="00513048" w:rsidRDefault="00C41242" w:rsidP="00513048">
      <w:pPr>
        <w:numPr>
          <w:ilvl w:val="0"/>
          <w:numId w:val="9"/>
        </w:numPr>
        <w:autoSpaceDE w:val="0"/>
        <w:autoSpaceDN w:val="0"/>
        <w:adjustRightInd w:val="0"/>
        <w:jc w:val="both"/>
        <w:rPr>
          <w:color w:val="000000"/>
        </w:rPr>
      </w:pPr>
      <w:r w:rsidRPr="00C41242">
        <w:rPr>
          <w:b/>
          <w:bCs/>
          <w:color w:val="000000"/>
        </w:rPr>
        <w:t>Úspora výdavkov na vzdelávanie</w:t>
      </w:r>
      <w:r w:rsidRPr="00A3716F">
        <w:rPr>
          <w:b/>
          <w:bCs/>
          <w:color w:val="000000"/>
        </w:rPr>
        <w:t xml:space="preserve"> –</w:t>
      </w:r>
      <w:r w:rsidR="00B03ACD">
        <w:rPr>
          <w:b/>
          <w:bCs/>
          <w:color w:val="000000"/>
        </w:rPr>
        <w:t xml:space="preserve"> </w:t>
      </w:r>
      <w:r w:rsidR="00513048" w:rsidRPr="00513048">
        <w:t>V systéme duálneho vzdelávania náklady na praktické vyučovanie žiakov znáša v plnom rozsahu zamestnávateľ, a t</w:t>
      </w:r>
      <w:r w:rsidR="009D4670">
        <w:t>o minimálne vo </w:t>
      </w:r>
      <w:r w:rsidR="00513048" w:rsidRPr="00513048">
        <w:t xml:space="preserve">výške určenej normatívom. O tieto náklady, ktoré znáša zamestnávateľ, </w:t>
      </w:r>
      <w:r w:rsidR="009D4670">
        <w:t>bude krátený</w:t>
      </w:r>
      <w:r w:rsidR="00513048" w:rsidRPr="00513048">
        <w:t xml:space="preserve"> normatív prideľovaný </w:t>
      </w:r>
      <w:r w:rsidR="009D4670">
        <w:t xml:space="preserve">strednej odbornej </w:t>
      </w:r>
      <w:r w:rsidR="00513048" w:rsidRPr="00513048">
        <w:t>škole</w:t>
      </w:r>
      <w:r w:rsidR="009D4670">
        <w:t>, za každého žiaka zapojeného do duálneho vzdelávania</w:t>
      </w:r>
      <w:r w:rsidR="00D147F0">
        <w:t xml:space="preserve">, čím vznikne úspora výdavkov </w:t>
      </w:r>
      <w:proofErr w:type="spellStart"/>
      <w:r w:rsidR="00D147F0">
        <w:t>MŠVVaŠ</w:t>
      </w:r>
      <w:proofErr w:type="spellEnd"/>
      <w:r w:rsidR="00D147F0">
        <w:t xml:space="preserve"> SR na normatívne prideľované prostriedky na výchovu a vzdelávania</w:t>
      </w:r>
      <w:r w:rsidR="00513048" w:rsidRPr="00513048">
        <w:t xml:space="preserve">. </w:t>
      </w:r>
      <w:r w:rsidRPr="00617C94">
        <w:t xml:space="preserve">Výpočet úspory </w:t>
      </w:r>
      <w:r w:rsidR="00513048">
        <w:t>vychádza z priemerného</w:t>
      </w:r>
      <w:r w:rsidRPr="00617C94">
        <w:t xml:space="preserve"> </w:t>
      </w:r>
      <w:r w:rsidR="00513048">
        <w:t>mzdového</w:t>
      </w:r>
      <w:r w:rsidR="006704BB" w:rsidRPr="00617C94">
        <w:t xml:space="preserve"> </w:t>
      </w:r>
      <w:r w:rsidR="00513048">
        <w:t>normatív</w:t>
      </w:r>
      <w:r w:rsidR="00513048">
        <w:rPr>
          <w:color w:val="000000"/>
        </w:rPr>
        <w:t>u na žiaka strednej odbornej školy u</w:t>
      </w:r>
      <w:r w:rsidR="00513048">
        <w:t xml:space="preserve">praveného </w:t>
      </w:r>
      <w:r w:rsidRPr="00617C94">
        <w:t>koeficientom úspory výdavkov štátu na vzdelávanie.</w:t>
      </w:r>
      <w:r w:rsidR="00347E22" w:rsidRPr="00617C94">
        <w:t xml:space="preserve"> </w:t>
      </w:r>
      <w:r w:rsidR="000B7095" w:rsidRPr="00617C94">
        <w:t xml:space="preserve">Koeficient </w:t>
      </w:r>
      <w:r w:rsidR="00513048">
        <w:t xml:space="preserve">úspory </w:t>
      </w:r>
      <w:r w:rsidR="000B7095" w:rsidRPr="00617C94">
        <w:t>je vypočítaný</w:t>
      </w:r>
      <w:r w:rsidR="000B7095" w:rsidRPr="00513048">
        <w:rPr>
          <w:color w:val="000000"/>
        </w:rPr>
        <w:t xml:space="preserve"> ako podiel celkových osobných nákladov na majstrov odbornej výchovy na celkových osobných nákladoch na pedagogických zamestnancov za rok.</w:t>
      </w:r>
    </w:p>
    <w:p w:rsidR="00513048" w:rsidRDefault="000B7095" w:rsidP="00513048">
      <w:pPr>
        <w:autoSpaceDE w:val="0"/>
        <w:autoSpaceDN w:val="0"/>
        <w:adjustRightInd w:val="0"/>
        <w:ind w:left="720"/>
        <w:jc w:val="both"/>
        <w:rPr>
          <w:color w:val="000000"/>
        </w:rPr>
      </w:pPr>
      <w:r w:rsidRPr="00513048">
        <w:rPr>
          <w:color w:val="000000"/>
        </w:rPr>
        <w:t xml:space="preserve"> </w:t>
      </w:r>
    </w:p>
    <w:p w:rsidR="009A5C66" w:rsidRPr="00D147F0" w:rsidRDefault="00347E22" w:rsidP="005C7DF9">
      <w:pPr>
        <w:autoSpaceDE w:val="0"/>
        <w:autoSpaceDN w:val="0"/>
        <w:adjustRightInd w:val="0"/>
        <w:jc w:val="both"/>
        <w:rPr>
          <w:i/>
        </w:rPr>
      </w:pPr>
      <w:r w:rsidRPr="00D147F0">
        <w:rPr>
          <w:i/>
        </w:rPr>
        <w:t>Tento vplyv na bežné výdavky verejného rozpočtu je uvedený v tabuľke č. 5 pod položkou Transfery v rámci verejnej správy (641).</w:t>
      </w:r>
    </w:p>
    <w:p w:rsidR="008F2754" w:rsidRDefault="008F2754" w:rsidP="008F2754">
      <w:pPr>
        <w:jc w:val="both"/>
      </w:pPr>
    </w:p>
    <w:p w:rsidR="00A3716F" w:rsidRPr="00A3716F" w:rsidRDefault="00A3716F" w:rsidP="00A3716F">
      <w:pPr>
        <w:autoSpaceDE w:val="0"/>
        <w:autoSpaceDN w:val="0"/>
        <w:adjustRightInd w:val="0"/>
        <w:jc w:val="both"/>
        <w:rPr>
          <w:color w:val="000000"/>
        </w:rPr>
      </w:pPr>
      <w:r w:rsidRPr="00A3716F">
        <w:rPr>
          <w:color w:val="000000"/>
        </w:rPr>
        <w:t xml:space="preserve">Z hľadiska negatívnych vplyvov na </w:t>
      </w:r>
      <w:r>
        <w:rPr>
          <w:color w:val="000000"/>
        </w:rPr>
        <w:t>bežné výdavky</w:t>
      </w:r>
      <w:r w:rsidRPr="00A3716F">
        <w:rPr>
          <w:color w:val="000000"/>
        </w:rPr>
        <w:t xml:space="preserve"> verejného rozpočtu sa predpokladajú </w:t>
      </w:r>
      <w:r w:rsidR="005C7DF9">
        <w:rPr>
          <w:color w:val="000000"/>
        </w:rPr>
        <w:t>dva</w:t>
      </w:r>
      <w:r>
        <w:rPr>
          <w:color w:val="000000"/>
        </w:rPr>
        <w:t xml:space="preserve"> </w:t>
      </w:r>
      <w:r w:rsidRPr="00A3716F">
        <w:rPr>
          <w:color w:val="000000"/>
        </w:rPr>
        <w:t>vplyvy:</w:t>
      </w:r>
    </w:p>
    <w:p w:rsidR="00A3716F" w:rsidRDefault="00A3716F" w:rsidP="00A3716F">
      <w:pPr>
        <w:autoSpaceDE w:val="0"/>
        <w:autoSpaceDN w:val="0"/>
        <w:adjustRightInd w:val="0"/>
        <w:jc w:val="both"/>
        <w:rPr>
          <w:rFonts w:ascii="Georgia" w:hAnsi="Georgia" w:cs="Georgia"/>
          <w:color w:val="000000"/>
          <w:sz w:val="16"/>
          <w:szCs w:val="16"/>
        </w:rPr>
      </w:pPr>
    </w:p>
    <w:p w:rsidR="00513048" w:rsidRDefault="00513048" w:rsidP="003F1A28">
      <w:pPr>
        <w:numPr>
          <w:ilvl w:val="0"/>
          <w:numId w:val="16"/>
        </w:numPr>
        <w:autoSpaceDE w:val="0"/>
        <w:autoSpaceDN w:val="0"/>
        <w:adjustRightInd w:val="0"/>
        <w:jc w:val="both"/>
        <w:rPr>
          <w:bCs/>
          <w:color w:val="000000"/>
        </w:rPr>
      </w:pPr>
      <w:r w:rsidRPr="003F1A28">
        <w:rPr>
          <w:b/>
          <w:bCs/>
          <w:color w:val="000000"/>
        </w:rPr>
        <w:t>Dotácia na výkon kompetencií stavovských a profesijných organizácií</w:t>
      </w:r>
      <w:r w:rsidR="003F1A28">
        <w:rPr>
          <w:b/>
          <w:bCs/>
          <w:color w:val="000000"/>
        </w:rPr>
        <w:t>.</w:t>
      </w:r>
      <w:r w:rsidRPr="003F1A28">
        <w:rPr>
          <w:b/>
          <w:bCs/>
          <w:color w:val="000000"/>
        </w:rPr>
        <w:t xml:space="preserve"> </w:t>
      </w:r>
      <w:r w:rsidRPr="003F1A28">
        <w:rPr>
          <w:bCs/>
          <w:color w:val="000000"/>
        </w:rPr>
        <w:t>Ide o nastavenie prechodného obdobia na rozbehnutie návrhom zákona nastaveného mechanizmu. Uvažuje sa o podpore dvoch zamestnancov (800 Eur/</w:t>
      </w:r>
      <w:proofErr w:type="spellStart"/>
      <w:r w:rsidRPr="003F1A28">
        <w:rPr>
          <w:bCs/>
          <w:color w:val="000000"/>
        </w:rPr>
        <w:t>osobomesiac</w:t>
      </w:r>
      <w:proofErr w:type="spellEnd"/>
      <w:r w:rsidRPr="003F1A28">
        <w:rPr>
          <w:bCs/>
          <w:color w:val="000000"/>
        </w:rPr>
        <w:t>) na každú stavovskú a profesijnú organizáciu (7)</w:t>
      </w:r>
      <w:r w:rsidR="00D147F0">
        <w:rPr>
          <w:bCs/>
          <w:color w:val="000000"/>
        </w:rPr>
        <w:t xml:space="preserve"> formou  dotácie</w:t>
      </w:r>
      <w:r w:rsidRPr="003F1A28">
        <w:rPr>
          <w:bCs/>
          <w:color w:val="000000"/>
        </w:rPr>
        <w:t>.</w:t>
      </w:r>
    </w:p>
    <w:p w:rsidR="00C41242" w:rsidRDefault="00C41242" w:rsidP="00D147F0">
      <w:pPr>
        <w:autoSpaceDE w:val="0"/>
        <w:autoSpaceDN w:val="0"/>
        <w:adjustRightInd w:val="0"/>
        <w:jc w:val="both"/>
        <w:rPr>
          <w:color w:val="000000"/>
        </w:rPr>
      </w:pPr>
    </w:p>
    <w:p w:rsidR="003F1A28" w:rsidRPr="005C7DF9" w:rsidRDefault="00C41242" w:rsidP="003F1A28">
      <w:pPr>
        <w:numPr>
          <w:ilvl w:val="0"/>
          <w:numId w:val="16"/>
        </w:numPr>
        <w:autoSpaceDE w:val="0"/>
        <w:autoSpaceDN w:val="0"/>
        <w:adjustRightInd w:val="0"/>
        <w:jc w:val="both"/>
        <w:rPr>
          <w:color w:val="FF0000"/>
        </w:rPr>
      </w:pPr>
      <w:r w:rsidRPr="003F1A28">
        <w:rPr>
          <w:b/>
        </w:rPr>
        <w:t xml:space="preserve">Náklady na </w:t>
      </w:r>
      <w:r w:rsidR="005E147E" w:rsidRPr="003F1A28">
        <w:rPr>
          <w:b/>
        </w:rPr>
        <w:t xml:space="preserve">motivačné štipendiá </w:t>
      </w:r>
      <w:r w:rsidRPr="003F1A28">
        <w:t xml:space="preserve">– </w:t>
      </w:r>
      <w:r w:rsidR="0044350D" w:rsidRPr="003F1A28">
        <w:t>vzniknú v súvislosti so zrušením motivačných</w:t>
      </w:r>
      <w:r w:rsidR="0044350D">
        <w:rPr>
          <w:color w:val="000000"/>
        </w:rPr>
        <w:t xml:space="preserve"> štipendií poskytovaných z prostriedkov zamestnávateľov. Návrh predpokladá poskytovanie </w:t>
      </w:r>
      <w:r w:rsidR="003707DC">
        <w:rPr>
          <w:color w:val="000000"/>
        </w:rPr>
        <w:t xml:space="preserve">motivačných štipendií </w:t>
      </w:r>
      <w:r w:rsidR="00D147F0">
        <w:rPr>
          <w:color w:val="000000"/>
        </w:rPr>
        <w:t xml:space="preserve">z prostriedkov štátu </w:t>
      </w:r>
      <w:r w:rsidR="003707DC">
        <w:rPr>
          <w:color w:val="000000"/>
        </w:rPr>
        <w:t xml:space="preserve">všetkým </w:t>
      </w:r>
      <w:r w:rsidR="0044350D">
        <w:rPr>
          <w:color w:val="000000"/>
        </w:rPr>
        <w:t>žiakom</w:t>
      </w:r>
      <w:r w:rsidR="00D147F0" w:rsidRPr="00D147F0">
        <w:rPr>
          <w:color w:val="000000"/>
        </w:rPr>
        <w:t xml:space="preserve"> </w:t>
      </w:r>
      <w:r w:rsidR="00D147F0">
        <w:rPr>
          <w:color w:val="000000"/>
        </w:rPr>
        <w:t>v období školského vyučovania (10 mesiacov)</w:t>
      </w:r>
      <w:r w:rsidR="0044350D">
        <w:rPr>
          <w:color w:val="000000"/>
        </w:rPr>
        <w:t xml:space="preserve">, ktorí študujú v odboroch vzdelávania, ktoré sú zaradené do Zoznamu odborov vzdelávania a nedostatočným počtom absolventov pre </w:t>
      </w:r>
      <w:r w:rsidR="0044350D">
        <w:rPr>
          <w:color w:val="000000"/>
        </w:rPr>
        <w:lastRenderedPageBreak/>
        <w:t>potreby trhu práce</w:t>
      </w:r>
      <w:r w:rsidR="002D767B">
        <w:rPr>
          <w:color w:val="000000"/>
        </w:rPr>
        <w:t xml:space="preserve">. </w:t>
      </w:r>
      <w:r w:rsidR="00345F99">
        <w:rPr>
          <w:color w:val="000000"/>
        </w:rPr>
        <w:t>V</w:t>
      </w:r>
      <w:r w:rsidR="002D767B">
        <w:rPr>
          <w:color w:val="000000"/>
        </w:rPr>
        <w:t xml:space="preserve">ýška štipendia </w:t>
      </w:r>
      <w:r w:rsidR="002D767B" w:rsidRPr="005C7DF9">
        <w:t>sa vypočítava percentuálnym podielom zo sumy životného minima podľa dosiahnutého prospechu žiaka.</w:t>
      </w:r>
      <w:r w:rsidR="003707DC" w:rsidRPr="005C7DF9">
        <w:t xml:space="preserve"> </w:t>
      </w:r>
      <w:r w:rsidR="005C06B2" w:rsidRPr="005C7DF9">
        <w:t>Odhad</w:t>
      </w:r>
      <w:r w:rsidR="005C06B2">
        <w:rPr>
          <w:color w:val="000000"/>
        </w:rPr>
        <w:t xml:space="preserve"> vychádza zo súčasného počtu žiakov pripravujúcich sa v odboroch vzdelávania </w:t>
      </w:r>
      <w:r w:rsidR="003F1A28">
        <w:rPr>
          <w:color w:val="000000"/>
        </w:rPr>
        <w:t xml:space="preserve">s </w:t>
      </w:r>
      <w:r w:rsidR="005C06B2">
        <w:rPr>
          <w:color w:val="000000"/>
        </w:rPr>
        <w:t>nedostatočným počtom absolventov pre potreby trhu práce a</w:t>
      </w:r>
      <w:r w:rsidR="00345F99">
        <w:rPr>
          <w:color w:val="000000"/>
        </w:rPr>
        <w:t xml:space="preserve"> z </w:t>
      </w:r>
      <w:r w:rsidR="005C06B2">
        <w:rPr>
          <w:color w:val="000000"/>
        </w:rPr>
        <w:t xml:space="preserve">percentuálneho rozdelenia žiakov </w:t>
      </w:r>
      <w:r w:rsidR="003F1A28">
        <w:rPr>
          <w:color w:val="000000"/>
        </w:rPr>
        <w:t xml:space="preserve">do príslušných skupín </w:t>
      </w:r>
      <w:r w:rsidR="005C06B2">
        <w:rPr>
          <w:color w:val="000000"/>
        </w:rPr>
        <w:t xml:space="preserve">podľa </w:t>
      </w:r>
      <w:r w:rsidR="003F1A28">
        <w:rPr>
          <w:color w:val="000000"/>
        </w:rPr>
        <w:t xml:space="preserve">úrovne prospechu podľa výkazu </w:t>
      </w:r>
      <w:proofErr w:type="spellStart"/>
      <w:r w:rsidR="003F1A28">
        <w:rPr>
          <w:color w:val="000000"/>
        </w:rPr>
        <w:t>Škol</w:t>
      </w:r>
      <w:proofErr w:type="spellEnd"/>
      <w:r w:rsidR="003F1A28">
        <w:rPr>
          <w:color w:val="000000"/>
        </w:rPr>
        <w:t xml:space="preserve"> (MŠVVŠ SR) 2 – 01 Prospech a dochádzka žiakov stredných škôl</w:t>
      </w:r>
      <w:r w:rsidR="002D767B">
        <w:rPr>
          <w:color w:val="000000"/>
        </w:rPr>
        <w:t xml:space="preserve"> v školskom roku 2012/2013</w:t>
      </w:r>
      <w:r w:rsidR="005C7DF9">
        <w:rPr>
          <w:color w:val="000000"/>
        </w:rPr>
        <w:t>.</w:t>
      </w:r>
    </w:p>
    <w:p w:rsidR="005C7DF9" w:rsidRPr="003F1A28" w:rsidRDefault="005C7DF9" w:rsidP="005C7DF9">
      <w:pPr>
        <w:autoSpaceDE w:val="0"/>
        <w:autoSpaceDN w:val="0"/>
        <w:adjustRightInd w:val="0"/>
        <w:ind w:left="720"/>
        <w:jc w:val="both"/>
        <w:rPr>
          <w:color w:val="FF0000"/>
        </w:rPr>
      </w:pPr>
    </w:p>
    <w:p w:rsidR="00A3716F" w:rsidRPr="00D147F0" w:rsidRDefault="00347E22" w:rsidP="003F1A28">
      <w:pPr>
        <w:autoSpaceDE w:val="0"/>
        <w:autoSpaceDN w:val="0"/>
        <w:adjustRightInd w:val="0"/>
        <w:jc w:val="both"/>
        <w:rPr>
          <w:i/>
        </w:rPr>
      </w:pPr>
      <w:r w:rsidRPr="00D147F0">
        <w:rPr>
          <w:i/>
        </w:rPr>
        <w:t>Tento vplyv na bežné výdavky verejného rozpočtu je uvedený v tabuľke č. 5 pod položkou Transfery jednotlivcom a neziskovým právnickým osobám (642).</w:t>
      </w:r>
    </w:p>
    <w:p w:rsidR="008F2754" w:rsidRDefault="008F2754" w:rsidP="008F2754">
      <w:pPr>
        <w:jc w:val="both"/>
      </w:pPr>
    </w:p>
    <w:p w:rsidR="008F2754" w:rsidRDefault="008F2754" w:rsidP="008F2754">
      <w:pPr>
        <w:jc w:val="both"/>
      </w:pPr>
    </w:p>
    <w:p w:rsidR="008F2754" w:rsidRDefault="008F2754" w:rsidP="008F2754">
      <w:pPr>
        <w:jc w:val="both"/>
        <w:sectPr w:rsidR="008F2754">
          <w:headerReference w:type="default" r:id="rId12"/>
          <w:pgSz w:w="12240" w:h="15840"/>
          <w:pgMar w:top="1417" w:right="1417" w:bottom="1417" w:left="1417" w:header="708" w:footer="708" w:gutter="0"/>
          <w:cols w:space="708"/>
          <w:rtlGutter/>
        </w:sectPr>
      </w:pPr>
    </w:p>
    <w:p w:rsidR="00943EB2" w:rsidRDefault="00943EB2" w:rsidP="00943EB2">
      <w:pPr>
        <w:pStyle w:val="Normlnywebov"/>
        <w:spacing w:before="0" w:beforeAutospacing="0" w:after="0" w:afterAutospacing="0"/>
        <w:jc w:val="right"/>
      </w:pPr>
      <w:r>
        <w:lastRenderedPageBreak/>
        <w:t xml:space="preserve">Tabuľka č. 4 </w:t>
      </w:r>
    </w:p>
    <w:tbl>
      <w:tblPr>
        <w:tblW w:w="13950" w:type="dxa"/>
        <w:tblCellMar>
          <w:left w:w="0" w:type="dxa"/>
          <w:right w:w="0" w:type="dxa"/>
        </w:tblCellMar>
        <w:tblLook w:val="0000" w:firstRow="0" w:lastRow="0" w:firstColumn="0" w:lastColumn="0" w:noHBand="0" w:noVBand="0"/>
      </w:tblPr>
      <w:tblGrid>
        <w:gridCol w:w="4950"/>
        <w:gridCol w:w="1500"/>
        <w:gridCol w:w="1500"/>
        <w:gridCol w:w="1500"/>
        <w:gridCol w:w="1500"/>
        <w:gridCol w:w="3000"/>
      </w:tblGrid>
      <w:tr w:rsidR="00943EB2" w:rsidTr="00943EB2">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943EB2" w:rsidRDefault="00943EB2">
            <w:pPr>
              <w:pStyle w:val="Normlnywebov"/>
              <w:spacing w:before="0" w:beforeAutospacing="0" w:after="0" w:afterAutospacing="0"/>
              <w:jc w:val="center"/>
            </w:pPr>
            <w:r>
              <w:t> </w:t>
            </w:r>
            <w:r>
              <w:rPr>
                <w:b/>
                <w:bCs/>
                <w:color w:val="FFFFFF"/>
              </w:rPr>
              <w:t>Príjmy (v eurách)</w:t>
            </w:r>
          </w:p>
        </w:tc>
        <w:tc>
          <w:tcPr>
            <w:tcW w:w="0" w:type="auto"/>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943EB2" w:rsidRDefault="00943EB2">
            <w:pPr>
              <w:pStyle w:val="Normlnywebov"/>
              <w:spacing w:before="0" w:beforeAutospacing="0" w:after="0" w:afterAutospacing="0"/>
              <w:jc w:val="center"/>
            </w:pPr>
            <w:r>
              <w:rPr>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943EB2" w:rsidRDefault="00943EB2">
            <w:pPr>
              <w:pStyle w:val="Normlnywebov"/>
              <w:spacing w:before="0" w:beforeAutospacing="0" w:after="0" w:afterAutospacing="0"/>
              <w:jc w:val="center"/>
            </w:pPr>
            <w:r>
              <w:rPr>
                <w:b/>
                <w:bCs/>
                <w:color w:val="FFFFFF"/>
              </w:rPr>
              <w:t>poznámka</w:t>
            </w:r>
          </w:p>
        </w:tc>
      </w:tr>
      <w:tr w:rsidR="00943EB2" w:rsidTr="00943EB2">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tcPr>
          <w:p w:rsidR="00943EB2" w:rsidRDefault="00943EB2"/>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943EB2" w:rsidRDefault="0017249C">
            <w:pPr>
              <w:pStyle w:val="Normlnywebov"/>
              <w:spacing w:before="0" w:beforeAutospacing="0" w:after="0" w:afterAutospacing="0"/>
              <w:jc w:val="center"/>
            </w:pPr>
            <w:r>
              <w:rPr>
                <w:b/>
                <w:bCs/>
                <w:color w:val="FFFFFF"/>
              </w:rPr>
              <w:t>201</w:t>
            </w:r>
            <w:r w:rsidR="00DF393E">
              <w:rPr>
                <w:b/>
                <w:bCs/>
                <w:color w:val="FFFFFF"/>
              </w:rPr>
              <w:t>5</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943EB2" w:rsidRDefault="0017249C">
            <w:pPr>
              <w:pStyle w:val="Normlnywebov"/>
              <w:spacing w:before="0" w:beforeAutospacing="0" w:after="0" w:afterAutospacing="0"/>
              <w:jc w:val="center"/>
            </w:pPr>
            <w:r>
              <w:rPr>
                <w:b/>
                <w:bCs/>
                <w:color w:val="FFFFFF"/>
              </w:rPr>
              <w:t>20</w:t>
            </w:r>
            <w:r w:rsidR="00943EB2">
              <w:rPr>
                <w:b/>
                <w:bCs/>
                <w:color w:val="FFFFFF"/>
              </w:rPr>
              <w:t>1</w:t>
            </w:r>
            <w:r w:rsidR="00DF393E">
              <w:rPr>
                <w:b/>
                <w:bCs/>
                <w:color w:val="FFFFFF"/>
              </w:rPr>
              <w:t>6</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943EB2" w:rsidRPr="0017249C" w:rsidRDefault="0017249C">
            <w:pPr>
              <w:pStyle w:val="Normlnywebov"/>
              <w:spacing w:before="0" w:beforeAutospacing="0" w:after="0" w:afterAutospacing="0"/>
              <w:jc w:val="center"/>
              <w:rPr>
                <w:b/>
              </w:rPr>
            </w:pPr>
            <w:r w:rsidRPr="0017249C">
              <w:rPr>
                <w:b/>
              </w:rPr>
              <w:t>201</w:t>
            </w:r>
            <w:r w:rsidR="00DF393E">
              <w:rPr>
                <w:b/>
              </w:rPr>
              <w:t>7</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tcPr>
          <w:p w:rsidR="00943EB2" w:rsidRDefault="0017249C" w:rsidP="0017249C">
            <w:pPr>
              <w:pStyle w:val="Normlnywebov"/>
              <w:spacing w:before="0" w:beforeAutospacing="0" w:after="0" w:afterAutospacing="0"/>
              <w:jc w:val="center"/>
            </w:pPr>
            <w:r>
              <w:rPr>
                <w:b/>
                <w:bCs/>
                <w:color w:val="FFFFFF"/>
              </w:rPr>
              <w:t>201</w:t>
            </w:r>
            <w:r w:rsidR="00DF393E">
              <w:rPr>
                <w:b/>
                <w:bCs/>
                <w:color w:val="FFFFFF"/>
              </w:rPr>
              <w:t>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943EB2" w:rsidRDefault="00943EB2"/>
        </w:tc>
      </w:tr>
      <w:tr w:rsidR="002410BE" w:rsidRPr="002410BE" w:rsidTr="000D1714">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9021E9" w:rsidRPr="002410BE" w:rsidRDefault="009021E9">
            <w:pPr>
              <w:pStyle w:val="Normlnywebov"/>
              <w:spacing w:before="0" w:beforeAutospacing="0" w:after="0" w:afterAutospacing="0"/>
            </w:pPr>
            <w:r w:rsidRPr="002410BE">
              <w:rPr>
                <w:b/>
                <w:bCs/>
              </w:rPr>
              <w:t>Daňové príjmy (100)</w:t>
            </w:r>
            <w:r w:rsidRPr="002410BE">
              <w:rPr>
                <w:b/>
                <w:bCs/>
                <w:sz w:val="16"/>
                <w:szCs w:val="16"/>
                <w:vertAlign w:val="superscript"/>
              </w:rPr>
              <w:t>1</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-1 840 457</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-6 316 989</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-10 067 147</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-15 669 041</w:t>
            </w:r>
          </w:p>
        </w:tc>
        <w:tc>
          <w:tcPr>
            <w:tcW w:w="3000" w:type="dxa"/>
            <w:tcBorders>
              <w:bottom w:val="single" w:sz="4" w:space="0" w:color="000000"/>
              <w:right w:val="single" w:sz="4" w:space="0" w:color="000000"/>
            </w:tcBorders>
            <w:tcMar>
              <w:top w:w="0" w:type="dxa"/>
              <w:left w:w="70" w:type="dxa"/>
              <w:bottom w:w="0" w:type="dxa"/>
              <w:right w:w="70" w:type="dxa"/>
            </w:tcMar>
            <w:vAlign w:val="center"/>
          </w:tcPr>
          <w:p w:rsidR="009021E9" w:rsidRPr="002410BE" w:rsidRDefault="009021E9" w:rsidP="00345F99">
            <w:pPr>
              <w:jc w:val="both"/>
            </w:pPr>
            <w:r w:rsidRPr="002410BE">
              <w:t xml:space="preserve">Položka zahŕňa zníženie daňových príjmov vyplývajúcich z daňových úľav poskytovaných zamestnávateľom zapojeným v duálnom systéme vrátane vplyvu na zdravotné odvody. </w:t>
            </w:r>
          </w:p>
        </w:tc>
      </w:tr>
      <w:tr w:rsidR="002410BE" w:rsidRPr="002410BE" w:rsidTr="000D1714">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Pr="002410BE" w:rsidRDefault="00880845" w:rsidP="00106142">
            <w:pPr>
              <w:rPr>
                <w:b/>
                <w:bCs/>
              </w:rPr>
            </w:pPr>
            <w:r w:rsidRPr="002410BE">
              <w:rPr>
                <w:b/>
                <w:bCs/>
              </w:rPr>
              <w:t>Poistné (150)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30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r w:rsidRPr="002410BE">
              <w:t> </w:t>
            </w:r>
          </w:p>
        </w:tc>
      </w:tr>
      <w:tr w:rsidR="002410BE" w:rsidRPr="002410BE" w:rsidTr="000D1714">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Pr="002410BE" w:rsidRDefault="00880845">
            <w:pPr>
              <w:pStyle w:val="Normlnywebov"/>
              <w:spacing w:before="0" w:beforeAutospacing="0" w:after="0" w:afterAutospacing="0"/>
            </w:pPr>
            <w:r w:rsidRPr="002410BE">
              <w:rPr>
                <w:b/>
                <w:bCs/>
              </w:rPr>
              <w:t>Nedaňové príjmy (200)</w:t>
            </w:r>
            <w:r w:rsidRPr="002410BE">
              <w:rPr>
                <w:b/>
                <w:bCs/>
                <w:sz w:val="16"/>
                <w:szCs w:val="16"/>
                <w:vertAlign w:val="superscript"/>
              </w:rPr>
              <w:t>1</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30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r w:rsidRPr="002410BE">
              <w:t> </w:t>
            </w:r>
          </w:p>
        </w:tc>
      </w:tr>
      <w:tr w:rsidR="002410BE" w:rsidRPr="002410BE" w:rsidTr="000D1714">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Pr="002410BE" w:rsidRDefault="00880845">
            <w:pPr>
              <w:pStyle w:val="Normlnywebov"/>
              <w:spacing w:before="0" w:beforeAutospacing="0" w:after="0" w:afterAutospacing="0"/>
            </w:pPr>
            <w:r w:rsidRPr="002410BE">
              <w:rPr>
                <w:b/>
                <w:bCs/>
              </w:rPr>
              <w:t>Granty a transfery (300)</w:t>
            </w:r>
            <w:r w:rsidRPr="002410BE">
              <w:rPr>
                <w:b/>
                <w:bCs/>
                <w:sz w:val="16"/>
                <w:szCs w:val="16"/>
                <w:vertAlign w:val="superscript"/>
              </w:rPr>
              <w:t>1</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30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r w:rsidRPr="002410BE">
              <w:t> </w:t>
            </w:r>
          </w:p>
        </w:tc>
      </w:tr>
      <w:tr w:rsidR="002410BE" w:rsidRPr="002410BE" w:rsidTr="000D1714">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Pr="002410BE" w:rsidRDefault="00880845">
            <w:pPr>
              <w:pStyle w:val="Normlnywebov"/>
              <w:spacing w:before="0" w:beforeAutospacing="0" w:after="0" w:afterAutospacing="0"/>
            </w:pPr>
            <w:r w:rsidRPr="002410BE">
              <w:rPr>
                <w:b/>
                <w:bCs/>
              </w:rPr>
              <w:t>Príjmy z transakcií s finančnými aktívami a finančnými pasívami (400)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30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r w:rsidRPr="002410BE">
              <w:t> </w:t>
            </w:r>
          </w:p>
        </w:tc>
      </w:tr>
      <w:tr w:rsidR="002410BE" w:rsidRPr="002410BE" w:rsidTr="000D1714">
        <w:trPr>
          <w:trHeight w:val="255"/>
        </w:trPr>
        <w:tc>
          <w:tcPr>
            <w:tcW w:w="495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Pr="002410BE" w:rsidRDefault="00880845">
            <w:pPr>
              <w:pStyle w:val="Normlnywebov"/>
              <w:spacing w:before="0" w:beforeAutospacing="0" w:after="0" w:afterAutospacing="0"/>
            </w:pPr>
            <w:r w:rsidRPr="002410BE">
              <w:rPr>
                <w:b/>
                <w:bCs/>
              </w:rPr>
              <w:t>Prijaté úvery, pôžičky a návratné finančné výpomoci (500)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1500" w:type="dxa"/>
            <w:tcBorders>
              <w:bottom w:val="single" w:sz="4" w:space="0" w:color="000000"/>
              <w:right w:val="single" w:sz="4" w:space="0" w:color="000000"/>
            </w:tcBorders>
            <w:shd w:val="clear" w:color="auto" w:fill="FFFF99"/>
            <w:tcMar>
              <w:top w:w="0" w:type="dxa"/>
              <w:left w:w="70" w:type="dxa"/>
              <w:bottom w:w="0" w:type="dxa"/>
              <w:right w:w="70" w:type="dxa"/>
            </w:tcMar>
            <w:vAlign w:val="center"/>
          </w:tcPr>
          <w:p w:rsidR="00880845" w:rsidRPr="002410BE" w:rsidRDefault="00880845">
            <w:pPr>
              <w:jc w:val="right"/>
              <w:rPr>
                <w:b/>
                <w:bCs/>
                <w:sz w:val="20"/>
              </w:rPr>
            </w:pPr>
            <w:r w:rsidRPr="002410BE">
              <w:rPr>
                <w:b/>
                <w:bCs/>
                <w:sz w:val="20"/>
              </w:rPr>
              <w:t xml:space="preserve">  0.00</w:t>
            </w:r>
          </w:p>
        </w:tc>
        <w:tc>
          <w:tcPr>
            <w:tcW w:w="300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r w:rsidRPr="002410BE">
              <w:t> </w:t>
            </w:r>
          </w:p>
        </w:tc>
      </w:tr>
      <w:tr w:rsidR="002410BE" w:rsidRPr="002410BE" w:rsidTr="000D1714">
        <w:trPr>
          <w:trHeight w:val="255"/>
        </w:trPr>
        <w:tc>
          <w:tcPr>
            <w:tcW w:w="4950" w:type="dxa"/>
            <w:tcBorders>
              <w:left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9021E9" w:rsidRPr="002410BE" w:rsidRDefault="009021E9">
            <w:pPr>
              <w:pStyle w:val="Normlnywebov"/>
              <w:spacing w:before="0" w:beforeAutospacing="0" w:after="0" w:afterAutospacing="0"/>
            </w:pPr>
            <w:r w:rsidRPr="002410BE">
              <w:rPr>
                <w:b/>
                <w:bCs/>
              </w:rPr>
              <w:t>Dopad na príjmy verejnej správy celkom</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-1 840 457</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-6 316 989</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-10 067 147</w:t>
            </w:r>
          </w:p>
        </w:tc>
        <w:tc>
          <w:tcPr>
            <w:tcW w:w="150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9021E9" w:rsidRPr="002410BE" w:rsidRDefault="009021E9" w:rsidP="00C90AB8">
            <w:pPr>
              <w:jc w:val="right"/>
              <w:rPr>
                <w:b/>
                <w:bCs/>
                <w:sz w:val="20"/>
                <w:szCs w:val="20"/>
              </w:rPr>
            </w:pPr>
            <w:r w:rsidRPr="002410BE">
              <w:rPr>
                <w:b/>
                <w:bCs/>
                <w:sz w:val="20"/>
                <w:szCs w:val="20"/>
              </w:rPr>
              <w:t>-15 669 041</w:t>
            </w:r>
          </w:p>
        </w:tc>
        <w:tc>
          <w:tcPr>
            <w:tcW w:w="300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9021E9" w:rsidRPr="002410BE" w:rsidRDefault="009021E9">
            <w:r w:rsidRPr="002410BE">
              <w:t> </w:t>
            </w:r>
          </w:p>
        </w:tc>
      </w:tr>
      <w:tr w:rsidR="002410BE" w:rsidRPr="002410BE" w:rsidTr="00943EB2">
        <w:tc>
          <w:tcPr>
            <w:tcW w:w="4950" w:type="dxa"/>
            <w:tcBorders>
              <w:top w:val="nil"/>
              <w:left w:val="nil"/>
              <w:bottom w:val="nil"/>
              <w:right w:val="nil"/>
            </w:tcBorders>
            <w:vAlign w:val="center"/>
          </w:tcPr>
          <w:p w:rsidR="00943EB2" w:rsidRPr="002410BE" w:rsidRDefault="00943EB2">
            <w:pPr>
              <w:rPr>
                <w:sz w:val="2"/>
              </w:rPr>
            </w:pPr>
          </w:p>
        </w:tc>
        <w:tc>
          <w:tcPr>
            <w:tcW w:w="1500" w:type="dxa"/>
            <w:tcBorders>
              <w:top w:val="nil"/>
              <w:left w:val="nil"/>
              <w:bottom w:val="nil"/>
              <w:right w:val="nil"/>
            </w:tcBorders>
            <w:vAlign w:val="center"/>
          </w:tcPr>
          <w:p w:rsidR="00943EB2" w:rsidRPr="002410BE" w:rsidRDefault="00943EB2">
            <w:pPr>
              <w:rPr>
                <w:sz w:val="2"/>
              </w:rPr>
            </w:pPr>
          </w:p>
        </w:tc>
        <w:tc>
          <w:tcPr>
            <w:tcW w:w="1500" w:type="dxa"/>
            <w:tcBorders>
              <w:top w:val="nil"/>
              <w:left w:val="nil"/>
              <w:bottom w:val="nil"/>
              <w:right w:val="nil"/>
            </w:tcBorders>
            <w:vAlign w:val="center"/>
          </w:tcPr>
          <w:p w:rsidR="00943EB2" w:rsidRPr="002410BE" w:rsidRDefault="00943EB2">
            <w:pPr>
              <w:rPr>
                <w:sz w:val="2"/>
              </w:rPr>
            </w:pPr>
          </w:p>
        </w:tc>
        <w:tc>
          <w:tcPr>
            <w:tcW w:w="1500" w:type="dxa"/>
            <w:tcBorders>
              <w:top w:val="nil"/>
              <w:left w:val="nil"/>
              <w:bottom w:val="nil"/>
              <w:right w:val="nil"/>
            </w:tcBorders>
            <w:vAlign w:val="center"/>
          </w:tcPr>
          <w:p w:rsidR="00943EB2" w:rsidRPr="002410BE" w:rsidRDefault="00943EB2">
            <w:pPr>
              <w:rPr>
                <w:sz w:val="2"/>
              </w:rPr>
            </w:pPr>
          </w:p>
        </w:tc>
        <w:tc>
          <w:tcPr>
            <w:tcW w:w="1500" w:type="dxa"/>
            <w:tcBorders>
              <w:top w:val="nil"/>
              <w:left w:val="nil"/>
              <w:bottom w:val="nil"/>
              <w:right w:val="nil"/>
            </w:tcBorders>
            <w:vAlign w:val="center"/>
          </w:tcPr>
          <w:p w:rsidR="00943EB2" w:rsidRPr="002410BE" w:rsidRDefault="00943EB2">
            <w:pPr>
              <w:rPr>
                <w:sz w:val="2"/>
              </w:rPr>
            </w:pPr>
          </w:p>
        </w:tc>
        <w:tc>
          <w:tcPr>
            <w:tcW w:w="3000" w:type="dxa"/>
            <w:tcBorders>
              <w:top w:val="nil"/>
              <w:left w:val="nil"/>
              <w:bottom w:val="nil"/>
              <w:right w:val="nil"/>
            </w:tcBorders>
            <w:vAlign w:val="center"/>
          </w:tcPr>
          <w:p w:rsidR="00943EB2" w:rsidRPr="002410BE" w:rsidRDefault="00943EB2">
            <w:pPr>
              <w:rPr>
                <w:sz w:val="2"/>
              </w:rPr>
            </w:pPr>
          </w:p>
        </w:tc>
      </w:tr>
    </w:tbl>
    <w:p w:rsidR="00BB7494" w:rsidRPr="002410BE" w:rsidRDefault="00943EB2" w:rsidP="00943EB2">
      <w:pPr>
        <w:pStyle w:val="Normlnywebov"/>
        <w:spacing w:before="0" w:beforeAutospacing="0" w:after="0" w:afterAutospacing="0"/>
        <w:jc w:val="both"/>
        <w:rPr>
          <w:sz w:val="20"/>
          <w:szCs w:val="20"/>
        </w:rPr>
      </w:pPr>
      <w:r w:rsidRPr="002410BE">
        <w:rPr>
          <w:sz w:val="20"/>
          <w:szCs w:val="20"/>
        </w:rPr>
        <w:t xml:space="preserve">1 –  príjmy rozpísať až do položiek platnej ekonomickej klasifikácie    </w:t>
      </w:r>
    </w:p>
    <w:p w:rsidR="00347E22" w:rsidRPr="002410BE" w:rsidRDefault="00347E22" w:rsidP="00943EB2">
      <w:pPr>
        <w:pStyle w:val="Normlnywebov"/>
        <w:spacing w:before="0" w:beforeAutospacing="0" w:after="0" w:afterAutospacing="0"/>
        <w:jc w:val="both"/>
        <w:rPr>
          <w:sz w:val="20"/>
          <w:szCs w:val="20"/>
        </w:rPr>
      </w:pPr>
    </w:p>
    <w:p w:rsidR="00347E22" w:rsidRDefault="00347E22" w:rsidP="00943EB2">
      <w:pPr>
        <w:pStyle w:val="Normlnywebov"/>
        <w:spacing w:before="0" w:beforeAutospacing="0" w:after="0" w:afterAutospacing="0"/>
        <w:jc w:val="both"/>
        <w:rPr>
          <w:sz w:val="20"/>
          <w:szCs w:val="20"/>
        </w:rPr>
      </w:pPr>
    </w:p>
    <w:p w:rsidR="00943EB2" w:rsidRDefault="00943EB2" w:rsidP="00943EB2">
      <w:pPr>
        <w:pStyle w:val="Normlnywebov"/>
        <w:spacing w:before="0" w:beforeAutospacing="0" w:after="0" w:afterAutospacing="0"/>
        <w:jc w:val="both"/>
      </w:pPr>
      <w:r>
        <w:rPr>
          <w:sz w:val="20"/>
          <w:szCs w:val="20"/>
        </w:rPr>
        <w:t xml:space="preserve">                                                                                                                          </w:t>
      </w:r>
      <w:r w:rsidR="00BB7494">
        <w:rPr>
          <w:sz w:val="20"/>
          <w:szCs w:val="20"/>
        </w:rPr>
        <w:t xml:space="preserve">                                                                                                                 </w:t>
      </w:r>
      <w:r>
        <w:t xml:space="preserve">Tabuľka č. 5 </w:t>
      </w:r>
    </w:p>
    <w:tbl>
      <w:tblPr>
        <w:tblW w:w="15450" w:type="dxa"/>
        <w:tblInd w:w="-1223" w:type="dxa"/>
        <w:tblCellMar>
          <w:left w:w="0" w:type="dxa"/>
          <w:right w:w="0" w:type="dxa"/>
        </w:tblCellMar>
        <w:tblLook w:val="0000" w:firstRow="0" w:lastRow="0" w:firstColumn="0" w:lastColumn="0" w:noHBand="0" w:noVBand="0"/>
      </w:tblPr>
      <w:tblGrid>
        <w:gridCol w:w="7070"/>
        <w:gridCol w:w="1540"/>
        <w:gridCol w:w="1540"/>
        <w:gridCol w:w="1540"/>
        <w:gridCol w:w="1540"/>
        <w:gridCol w:w="2220"/>
      </w:tblGrid>
      <w:tr w:rsidR="00943EB2" w:rsidTr="00044049">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943EB2" w:rsidRDefault="00943EB2">
            <w:pPr>
              <w:pStyle w:val="Normlnywebov"/>
              <w:spacing w:before="0" w:beforeAutospacing="0" w:after="0" w:afterAutospacing="0"/>
              <w:jc w:val="center"/>
            </w:pPr>
            <w:r>
              <w:rPr>
                <w:b/>
                <w:bCs/>
                <w:color w:val="FFFFFF"/>
                <w:sz w:val="20"/>
                <w:szCs w:val="20"/>
              </w:rPr>
              <w:t>Výdavky (v eurách)</w:t>
            </w:r>
          </w:p>
        </w:tc>
        <w:tc>
          <w:tcPr>
            <w:tcW w:w="0" w:type="auto"/>
            <w:gridSpan w:val="4"/>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943EB2" w:rsidRDefault="00943EB2">
            <w:pPr>
              <w:pStyle w:val="Normlnywebov"/>
              <w:spacing w:before="0" w:beforeAutospacing="0" w:after="0" w:afterAutospacing="0"/>
              <w:jc w:val="center"/>
            </w:pPr>
            <w:r>
              <w:rPr>
                <w:b/>
                <w:bCs/>
                <w:color w:val="FFFFFF"/>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943EB2" w:rsidRDefault="00943EB2">
            <w:pPr>
              <w:pStyle w:val="Normlnywebov"/>
              <w:spacing w:before="0" w:beforeAutospacing="0" w:after="0" w:afterAutospacing="0"/>
              <w:jc w:val="center"/>
            </w:pPr>
            <w:r>
              <w:rPr>
                <w:b/>
                <w:bCs/>
                <w:color w:val="FFFFFF"/>
              </w:rPr>
              <w:t>poznámka</w:t>
            </w:r>
          </w:p>
        </w:tc>
      </w:tr>
      <w:tr w:rsidR="0017249C" w:rsidTr="000D1714">
        <w:trPr>
          <w:trHeight w:val="197"/>
        </w:trPr>
        <w:tc>
          <w:tcPr>
            <w:tcW w:w="0" w:type="auto"/>
            <w:vMerge/>
            <w:tcBorders>
              <w:top w:val="single" w:sz="4" w:space="0" w:color="000000"/>
              <w:left w:val="single" w:sz="4" w:space="0" w:color="000000"/>
              <w:bottom w:val="single" w:sz="4" w:space="0" w:color="000000"/>
              <w:right w:val="single" w:sz="4" w:space="0" w:color="000000"/>
            </w:tcBorders>
            <w:vAlign w:val="center"/>
          </w:tcPr>
          <w:p w:rsidR="0017249C" w:rsidRDefault="0017249C"/>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17249C" w:rsidRDefault="002969E0">
            <w:pPr>
              <w:jc w:val="center"/>
              <w:rPr>
                <w:b/>
                <w:bCs/>
                <w:color w:val="FFFFFF"/>
                <w:sz w:val="20"/>
                <w:szCs w:val="20"/>
              </w:rPr>
            </w:pPr>
            <w:r>
              <w:rPr>
                <w:b/>
                <w:bCs/>
                <w:color w:val="FFFFFF"/>
                <w:sz w:val="20"/>
                <w:szCs w:val="20"/>
              </w:rPr>
              <w:t>2015</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17249C" w:rsidRDefault="002969E0">
            <w:pPr>
              <w:jc w:val="center"/>
              <w:rPr>
                <w:b/>
                <w:bCs/>
                <w:color w:val="FFFFFF"/>
                <w:sz w:val="20"/>
                <w:szCs w:val="20"/>
              </w:rPr>
            </w:pPr>
            <w:r>
              <w:rPr>
                <w:b/>
                <w:bCs/>
                <w:color w:val="FFFFFF"/>
                <w:sz w:val="20"/>
                <w:szCs w:val="20"/>
              </w:rPr>
              <w:t>2016</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17249C" w:rsidRDefault="0017249C" w:rsidP="002969E0">
            <w:pPr>
              <w:jc w:val="center"/>
              <w:rPr>
                <w:b/>
                <w:bCs/>
                <w:color w:val="FFFFFF"/>
                <w:sz w:val="20"/>
                <w:szCs w:val="20"/>
              </w:rPr>
            </w:pPr>
            <w:r>
              <w:rPr>
                <w:b/>
                <w:bCs/>
                <w:color w:val="FFFFFF"/>
                <w:sz w:val="20"/>
                <w:szCs w:val="20"/>
              </w:rPr>
              <w:t>201</w:t>
            </w:r>
            <w:r w:rsidR="002969E0">
              <w:rPr>
                <w:b/>
                <w:bCs/>
                <w:color w:val="FFFFFF"/>
                <w:sz w:val="20"/>
                <w:szCs w:val="20"/>
              </w:rPr>
              <w:t>7</w:t>
            </w:r>
          </w:p>
        </w:tc>
        <w:tc>
          <w:tcPr>
            <w:tcW w:w="1540"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17249C" w:rsidRDefault="002969E0">
            <w:pPr>
              <w:jc w:val="center"/>
              <w:rPr>
                <w:b/>
                <w:bCs/>
                <w:color w:val="FFFFFF"/>
                <w:sz w:val="20"/>
                <w:szCs w:val="20"/>
              </w:rPr>
            </w:pPr>
            <w:r>
              <w:rPr>
                <w:b/>
                <w:bCs/>
                <w:color w:val="FFFFFF"/>
                <w:sz w:val="20"/>
                <w:szCs w:val="20"/>
              </w:rPr>
              <w:t>2018</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17249C" w:rsidRDefault="0017249C"/>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Default="00880845">
            <w:pPr>
              <w:pStyle w:val="Normlnywebov"/>
              <w:spacing w:before="0" w:beforeAutospacing="0" w:after="0" w:afterAutospacing="0"/>
            </w:pPr>
            <w:r>
              <w:rPr>
                <w:b/>
                <w:bCs/>
                <w:sz w:val="20"/>
                <w:szCs w:val="20"/>
              </w:rPr>
              <w:t>Bežné výdavky (600)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5A1507">
            <w:pPr>
              <w:jc w:val="right"/>
              <w:rPr>
                <w:b/>
                <w:bCs/>
                <w:color w:val="000000"/>
                <w:sz w:val="20"/>
                <w:szCs w:val="20"/>
              </w:rPr>
            </w:pPr>
            <w:r w:rsidRPr="005A1507">
              <w:rPr>
                <w:b/>
                <w:bCs/>
                <w:color w:val="000000"/>
                <w:sz w:val="20"/>
                <w:szCs w:val="20"/>
              </w:rPr>
              <w:t>-71</w:t>
            </w:r>
            <w:r>
              <w:rPr>
                <w:b/>
                <w:bCs/>
                <w:color w:val="000000"/>
                <w:sz w:val="20"/>
                <w:szCs w:val="20"/>
              </w:rPr>
              <w:t xml:space="preserve"> </w:t>
            </w:r>
            <w:r w:rsidRPr="005A1507">
              <w:rPr>
                <w:b/>
                <w:bCs/>
                <w:color w:val="000000"/>
                <w:sz w:val="20"/>
                <w:szCs w:val="20"/>
              </w:rPr>
              <w:t>302</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5A1507">
            <w:pPr>
              <w:jc w:val="right"/>
              <w:rPr>
                <w:b/>
                <w:bCs/>
                <w:sz w:val="20"/>
                <w:szCs w:val="20"/>
              </w:rPr>
            </w:pPr>
            <w:r w:rsidRPr="002410BE">
              <w:rPr>
                <w:b/>
                <w:bCs/>
                <w:sz w:val="20"/>
                <w:szCs w:val="20"/>
              </w:rPr>
              <w:t>-745</w:t>
            </w:r>
            <w:r w:rsidR="002969E0" w:rsidRPr="002410BE">
              <w:rPr>
                <w:b/>
                <w:bCs/>
                <w:sz w:val="20"/>
                <w:szCs w:val="20"/>
              </w:rPr>
              <w:t xml:space="preserve"> </w:t>
            </w:r>
            <w:r w:rsidRPr="002410BE">
              <w:rPr>
                <w:b/>
                <w:bCs/>
                <w:sz w:val="20"/>
                <w:szCs w:val="20"/>
              </w:rPr>
              <w:t>693</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2969E0" w:rsidP="00B12FE1">
            <w:pPr>
              <w:jc w:val="right"/>
              <w:rPr>
                <w:b/>
                <w:bCs/>
                <w:sz w:val="20"/>
                <w:szCs w:val="20"/>
              </w:rPr>
            </w:pPr>
            <w:r w:rsidRPr="002410BE">
              <w:rPr>
                <w:b/>
                <w:bCs/>
                <w:sz w:val="20"/>
                <w:szCs w:val="20"/>
              </w:rPr>
              <w:t xml:space="preserve">-2 396 </w:t>
            </w:r>
            <w:r w:rsidR="00B12FE1" w:rsidRPr="002410BE">
              <w:rPr>
                <w:b/>
                <w:bCs/>
                <w:sz w:val="20"/>
                <w:szCs w:val="20"/>
              </w:rPr>
              <w:t>649</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2969E0" w:rsidP="002969E0">
            <w:pPr>
              <w:jc w:val="right"/>
              <w:rPr>
                <w:b/>
                <w:bCs/>
                <w:sz w:val="20"/>
                <w:szCs w:val="20"/>
              </w:rPr>
            </w:pPr>
            <w:r w:rsidRPr="002410BE">
              <w:rPr>
                <w:b/>
                <w:bCs/>
                <w:sz w:val="20"/>
                <w:szCs w:val="20"/>
              </w:rPr>
              <w:t>-4 542 820</w:t>
            </w: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rPr>
                <w:color w:val="000000"/>
              </w:rPr>
            </w:pPr>
            <w:r>
              <w:rPr>
                <w:color w:val="000000"/>
              </w:rPr>
              <w:t> </w:t>
            </w: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Default="00880845">
            <w:pPr>
              <w:pStyle w:val="Normlnywebov"/>
              <w:spacing w:before="0" w:beforeAutospacing="0" w:after="0" w:afterAutospacing="0"/>
            </w:pPr>
            <w:r>
              <w:rPr>
                <w:sz w:val="20"/>
                <w:szCs w:val="20"/>
              </w:rPr>
              <w:t>  Mzdy, platy, služobné príjmy a ostatné osobné vyrovnania (610)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Pr="00C004E3" w:rsidRDefault="00880845">
            <w:pPr>
              <w:rPr>
                <w:color w:val="00B050"/>
              </w:rPr>
            </w:pP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80845" w:rsidRDefault="00880845">
            <w:pPr>
              <w:rPr>
                <w:color w:val="000000"/>
                <w:sz w:val="20"/>
                <w:szCs w:val="20"/>
              </w:rPr>
            </w:pPr>
            <w:r>
              <w:rPr>
                <w:color w:val="000000"/>
                <w:sz w:val="20"/>
                <w:szCs w:val="20"/>
              </w:rPr>
              <w:t xml:space="preserve">  Tovary a služby (630)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Pr="00C004E3" w:rsidRDefault="00880845">
            <w:pPr>
              <w:rPr>
                <w:color w:val="FF0000"/>
              </w:rPr>
            </w:pP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80845" w:rsidRDefault="00880845">
            <w:pPr>
              <w:rPr>
                <w:color w:val="000000"/>
                <w:sz w:val="20"/>
                <w:szCs w:val="20"/>
              </w:rPr>
            </w:pPr>
            <w:r>
              <w:rPr>
                <w:color w:val="000000"/>
                <w:sz w:val="20"/>
                <w:szCs w:val="20"/>
              </w:rPr>
              <w:t xml:space="preserve">  Cestovné náhrady (631)</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Pr="00C004E3" w:rsidRDefault="00880845">
            <w:pPr>
              <w:rPr>
                <w:color w:val="FF0000"/>
              </w:rPr>
            </w:pP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80845" w:rsidRDefault="00880845">
            <w:pPr>
              <w:rPr>
                <w:color w:val="000000"/>
                <w:sz w:val="20"/>
                <w:szCs w:val="20"/>
              </w:rPr>
            </w:pPr>
            <w:r>
              <w:rPr>
                <w:color w:val="000000"/>
                <w:sz w:val="20"/>
                <w:szCs w:val="20"/>
              </w:rPr>
              <w:t xml:space="preserve">  Nájomné za nájom (636)</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Pr="00C004E3" w:rsidRDefault="00880845">
            <w:pPr>
              <w:rPr>
                <w:color w:val="FF0000"/>
              </w:rPr>
            </w:pP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Default="00880845">
            <w:pPr>
              <w:pStyle w:val="Normlnywebov"/>
              <w:spacing w:before="0" w:beforeAutospacing="0" w:after="0" w:afterAutospacing="0"/>
            </w:pPr>
            <w:r>
              <w:rPr>
                <w:sz w:val="20"/>
                <w:szCs w:val="20"/>
              </w:rPr>
              <w:t>  Poistné a príspevok do poisťovní (620)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Pr="00C004E3" w:rsidRDefault="00880845">
            <w:pPr>
              <w:rPr>
                <w:color w:val="FF0000"/>
              </w:rPr>
            </w:pP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Default="00880845">
            <w:pPr>
              <w:pStyle w:val="Normlnywebov"/>
              <w:spacing w:before="0" w:beforeAutospacing="0" w:after="0" w:afterAutospacing="0"/>
            </w:pPr>
            <w:r>
              <w:rPr>
                <w:sz w:val="20"/>
                <w:szCs w:val="20"/>
              </w:rPr>
              <w:t>  Bežné transfery (640)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rPr>
                <w:color w:val="000000"/>
              </w:rPr>
            </w:pPr>
            <w:r>
              <w:rPr>
                <w:color w:val="000000"/>
              </w:rPr>
              <w:t> </w:t>
            </w: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80845" w:rsidRDefault="00880845">
            <w:pPr>
              <w:ind w:firstLineChars="300" w:firstLine="540"/>
              <w:rPr>
                <w:i/>
                <w:iCs/>
                <w:color w:val="000000"/>
                <w:sz w:val="18"/>
                <w:szCs w:val="18"/>
              </w:rPr>
            </w:pPr>
            <w:r>
              <w:rPr>
                <w:i/>
                <w:iCs/>
                <w:color w:val="000000"/>
                <w:sz w:val="18"/>
                <w:szCs w:val="18"/>
              </w:rPr>
              <w:t>v tom: Transfery jednotlivcom a neziskovým právnickým osobám (642 )</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rsidP="008D3DCB">
            <w:pPr>
              <w:jc w:val="right"/>
              <w:rPr>
                <w:i/>
                <w:iCs/>
                <w:color w:val="000000"/>
                <w:sz w:val="18"/>
                <w:szCs w:val="18"/>
              </w:rPr>
            </w:pPr>
            <w:r>
              <w:rPr>
                <w:i/>
                <w:iCs/>
                <w:color w:val="000000"/>
                <w:sz w:val="18"/>
                <w:szCs w:val="18"/>
              </w:rPr>
              <w:t xml:space="preserve"> </w:t>
            </w:r>
            <w:r w:rsidR="008D3DCB">
              <w:rPr>
                <w:i/>
                <w:iCs/>
                <w:color w:val="000000"/>
                <w:sz w:val="18"/>
                <w:szCs w:val="18"/>
              </w:rPr>
              <w:t>2</w:t>
            </w:r>
            <w:r w:rsidR="005A1507">
              <w:rPr>
                <w:i/>
                <w:iCs/>
                <w:color w:val="000000"/>
                <w:sz w:val="18"/>
                <w:szCs w:val="18"/>
              </w:rPr>
              <w:t>57 2</w:t>
            </w:r>
            <w:r w:rsidR="008D3DCB">
              <w:rPr>
                <w:i/>
                <w:iCs/>
                <w:color w:val="000000"/>
                <w:sz w:val="18"/>
                <w:szCs w:val="18"/>
              </w:rPr>
              <w:t>07</w:t>
            </w:r>
            <w:r>
              <w:rPr>
                <w:i/>
                <w:iCs/>
                <w:color w:val="000000"/>
                <w:sz w:val="18"/>
                <w:szCs w:val="18"/>
              </w:rPr>
              <w:t>.00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5A1507">
            <w:pPr>
              <w:jc w:val="right"/>
              <w:rPr>
                <w:i/>
                <w:iCs/>
                <w:color w:val="000000"/>
                <w:sz w:val="18"/>
                <w:szCs w:val="18"/>
              </w:rPr>
            </w:pPr>
            <w:r>
              <w:rPr>
                <w:i/>
                <w:iCs/>
                <w:color w:val="000000"/>
                <w:sz w:val="18"/>
                <w:szCs w:val="18"/>
              </w:rPr>
              <w:t>682 225</w:t>
            </w:r>
            <w:r w:rsidR="00880845">
              <w:rPr>
                <w:i/>
                <w:iCs/>
                <w:color w:val="000000"/>
                <w:sz w:val="18"/>
                <w:szCs w:val="18"/>
              </w:rPr>
              <w:t>.00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5A1507" w:rsidP="005A1507">
            <w:pPr>
              <w:jc w:val="right"/>
              <w:rPr>
                <w:i/>
                <w:iCs/>
                <w:color w:val="000000"/>
                <w:sz w:val="18"/>
                <w:szCs w:val="18"/>
              </w:rPr>
            </w:pPr>
            <w:r>
              <w:rPr>
                <w:i/>
                <w:iCs/>
                <w:color w:val="000000"/>
                <w:sz w:val="18"/>
                <w:szCs w:val="18"/>
              </w:rPr>
              <w:t>852 0</w:t>
            </w:r>
            <w:r w:rsidR="008D3DCB">
              <w:rPr>
                <w:i/>
                <w:iCs/>
                <w:color w:val="000000"/>
                <w:sz w:val="18"/>
                <w:szCs w:val="18"/>
              </w:rPr>
              <w:t>64</w:t>
            </w:r>
            <w:r w:rsidR="00880845">
              <w:rPr>
                <w:i/>
                <w:iCs/>
                <w:color w:val="000000"/>
                <w:sz w:val="18"/>
                <w:szCs w:val="18"/>
              </w:rPr>
              <w:t>.00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D3DCB" w:rsidP="005A1507">
            <w:pPr>
              <w:jc w:val="right"/>
              <w:rPr>
                <w:i/>
                <w:iCs/>
                <w:color w:val="000000"/>
                <w:sz w:val="18"/>
                <w:szCs w:val="18"/>
              </w:rPr>
            </w:pPr>
            <w:r>
              <w:rPr>
                <w:i/>
                <w:iCs/>
                <w:color w:val="000000"/>
                <w:sz w:val="18"/>
                <w:szCs w:val="18"/>
              </w:rPr>
              <w:t>1</w:t>
            </w:r>
            <w:r w:rsidR="005A1507">
              <w:rPr>
                <w:i/>
                <w:iCs/>
                <w:color w:val="000000"/>
                <w:sz w:val="18"/>
                <w:szCs w:val="18"/>
              </w:rPr>
              <w:t xml:space="preserve"> 291 </w:t>
            </w:r>
            <w:r w:rsidR="002969E0">
              <w:rPr>
                <w:i/>
                <w:iCs/>
                <w:color w:val="000000"/>
                <w:sz w:val="18"/>
                <w:szCs w:val="18"/>
              </w:rPr>
              <w:t>6</w:t>
            </w:r>
            <w:r w:rsidR="005A1507">
              <w:rPr>
                <w:i/>
                <w:iCs/>
                <w:color w:val="000000"/>
                <w:sz w:val="18"/>
                <w:szCs w:val="18"/>
              </w:rPr>
              <w:t>05</w:t>
            </w:r>
            <w:r>
              <w:rPr>
                <w:i/>
                <w:iCs/>
                <w:color w:val="000000"/>
                <w:sz w:val="18"/>
                <w:szCs w:val="18"/>
              </w:rPr>
              <w:t>.00</w:t>
            </w: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5A1507" w:rsidRPr="009567FC" w:rsidRDefault="00880845" w:rsidP="005A1507">
            <w:pPr>
              <w:rPr>
                <w:i/>
                <w:iCs/>
                <w:sz w:val="18"/>
                <w:szCs w:val="18"/>
              </w:rPr>
            </w:pPr>
            <w:r w:rsidRPr="009567FC">
              <w:rPr>
                <w:i/>
                <w:iCs/>
                <w:sz w:val="18"/>
                <w:szCs w:val="18"/>
              </w:rPr>
              <w:t xml:space="preserve">Položka zahŕňa </w:t>
            </w:r>
            <w:r w:rsidR="008D3DCB" w:rsidRPr="009567FC">
              <w:rPr>
                <w:i/>
                <w:iCs/>
                <w:sz w:val="18"/>
                <w:szCs w:val="18"/>
              </w:rPr>
              <w:t>motivačné štipendiá poskytované žiakov</w:t>
            </w:r>
            <w:r w:rsidRPr="009567FC">
              <w:rPr>
                <w:i/>
                <w:iCs/>
                <w:sz w:val="18"/>
                <w:szCs w:val="18"/>
              </w:rPr>
              <w:t xml:space="preserve"> </w:t>
            </w:r>
            <w:r w:rsidR="008D3DCB" w:rsidRPr="009567FC">
              <w:rPr>
                <w:i/>
                <w:iCs/>
                <w:sz w:val="18"/>
                <w:szCs w:val="18"/>
              </w:rPr>
              <w:t>žiakom</w:t>
            </w:r>
            <w:r w:rsidR="00A154DE" w:rsidRPr="009567FC">
              <w:rPr>
                <w:i/>
                <w:iCs/>
                <w:sz w:val="18"/>
                <w:szCs w:val="18"/>
              </w:rPr>
              <w:t xml:space="preserve"> </w:t>
            </w:r>
            <w:r w:rsidR="005A1507" w:rsidRPr="009567FC">
              <w:rPr>
                <w:i/>
                <w:iCs/>
                <w:sz w:val="18"/>
                <w:szCs w:val="18"/>
              </w:rPr>
              <w:t xml:space="preserve">a dotácie na </w:t>
            </w:r>
            <w:r w:rsidR="005A1507" w:rsidRPr="009567FC">
              <w:rPr>
                <w:i/>
                <w:iCs/>
                <w:sz w:val="18"/>
                <w:szCs w:val="18"/>
              </w:rPr>
              <w:lastRenderedPageBreak/>
              <w:t>výkon kompetencií stavovských a profesijných organizácií</w:t>
            </w: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80845" w:rsidRDefault="00880845">
            <w:pPr>
              <w:ind w:firstLineChars="300" w:firstLine="540"/>
              <w:rPr>
                <w:i/>
                <w:iCs/>
                <w:color w:val="000000"/>
                <w:sz w:val="18"/>
                <w:szCs w:val="18"/>
              </w:rPr>
            </w:pPr>
            <w:r>
              <w:rPr>
                <w:i/>
                <w:iCs/>
                <w:color w:val="000000"/>
                <w:sz w:val="18"/>
                <w:szCs w:val="18"/>
              </w:rPr>
              <w:lastRenderedPageBreak/>
              <w:t>v tom: Transfery v rámci verejnej správy (641)</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5A1507">
            <w:pPr>
              <w:jc w:val="right"/>
              <w:rPr>
                <w:i/>
                <w:iCs/>
                <w:color w:val="000000"/>
                <w:sz w:val="18"/>
                <w:szCs w:val="18"/>
              </w:rPr>
            </w:pPr>
            <w:r>
              <w:rPr>
                <w:i/>
                <w:iCs/>
                <w:color w:val="000000"/>
                <w:sz w:val="18"/>
                <w:szCs w:val="18"/>
              </w:rPr>
              <w:t>- 328 509.00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5A1507">
            <w:pPr>
              <w:jc w:val="right"/>
              <w:rPr>
                <w:i/>
                <w:iCs/>
                <w:color w:val="000000"/>
                <w:sz w:val="18"/>
                <w:szCs w:val="18"/>
              </w:rPr>
            </w:pPr>
            <w:r>
              <w:rPr>
                <w:i/>
                <w:iCs/>
                <w:color w:val="000000"/>
                <w:sz w:val="18"/>
                <w:szCs w:val="18"/>
              </w:rPr>
              <w:t>-1 427 918,00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5A1507">
            <w:pPr>
              <w:jc w:val="right"/>
              <w:rPr>
                <w:i/>
                <w:iCs/>
                <w:color w:val="000000"/>
                <w:sz w:val="18"/>
                <w:szCs w:val="18"/>
              </w:rPr>
            </w:pPr>
            <w:r>
              <w:rPr>
                <w:i/>
                <w:iCs/>
                <w:color w:val="000000"/>
                <w:sz w:val="18"/>
                <w:szCs w:val="18"/>
              </w:rPr>
              <w:t>-3 248 733,00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5A1507">
            <w:pPr>
              <w:jc w:val="right"/>
              <w:rPr>
                <w:i/>
                <w:iCs/>
                <w:color w:val="000000"/>
                <w:sz w:val="18"/>
                <w:szCs w:val="18"/>
              </w:rPr>
            </w:pPr>
            <w:r>
              <w:rPr>
                <w:i/>
                <w:iCs/>
                <w:color w:val="000000"/>
                <w:sz w:val="18"/>
                <w:szCs w:val="18"/>
              </w:rPr>
              <w:t>-5 834 425,00</w:t>
            </w: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Pr="009567FC" w:rsidRDefault="00880845" w:rsidP="00BD747C">
            <w:pPr>
              <w:rPr>
                <w:i/>
                <w:iCs/>
                <w:sz w:val="18"/>
                <w:szCs w:val="18"/>
              </w:rPr>
            </w:pPr>
            <w:r w:rsidRPr="009567FC">
              <w:rPr>
                <w:i/>
                <w:iCs/>
                <w:sz w:val="18"/>
                <w:szCs w:val="18"/>
              </w:rPr>
              <w:t xml:space="preserve">Položka zahŕňa úsporu výdavkov na vzdelávanie vyplývajúcu zo zníženého normatívu na </w:t>
            </w:r>
            <w:r w:rsidR="00A154DE" w:rsidRPr="009567FC">
              <w:rPr>
                <w:i/>
                <w:iCs/>
                <w:sz w:val="18"/>
                <w:szCs w:val="18"/>
              </w:rPr>
              <w:t xml:space="preserve">žiaka </w:t>
            </w:r>
            <w:r w:rsidRPr="009567FC">
              <w:rPr>
                <w:i/>
                <w:iCs/>
                <w:sz w:val="18"/>
                <w:szCs w:val="18"/>
              </w:rPr>
              <w:t>zapojeného do duálneho systému.</w:t>
            </w: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rsidR="00880845" w:rsidRDefault="00880845">
            <w:pPr>
              <w:pStyle w:val="Normlnywebov"/>
              <w:spacing w:before="0" w:beforeAutospacing="0" w:after="0" w:afterAutospacing="0"/>
            </w:pPr>
            <w:r>
              <w:rPr>
                <w:sz w:val="20"/>
                <w:szCs w:val="20"/>
              </w:rPr>
              <w:t>  Splácanie úrokov a ostatné platby súvisiace s úvermi, pôžičkami a NFV (650)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r>
              <w:rPr>
                <w:color w:val="000000"/>
                <w:sz w:val="20"/>
                <w:szCs w:val="20"/>
              </w:rPr>
              <w:t xml:space="preserve">  0.00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r>
              <w:rPr>
                <w:color w:val="000000"/>
                <w:sz w:val="20"/>
                <w:szCs w:val="20"/>
              </w:rPr>
              <w:t xml:space="preserve">  0.00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r>
              <w:rPr>
                <w:color w:val="000000"/>
                <w:sz w:val="20"/>
                <w:szCs w:val="20"/>
              </w:rPr>
              <w:t xml:space="preserve">  0.00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rPr>
            </w:pPr>
            <w:r>
              <w:rPr>
                <w:color w:val="000000"/>
              </w:rPr>
              <w:t xml:space="preserve">  0.00</w:t>
            </w: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rPr>
                <w:color w:val="000000"/>
              </w:rPr>
            </w:pPr>
            <w:r>
              <w:rPr>
                <w:color w:val="000000"/>
              </w:rPr>
              <w:t> </w:t>
            </w: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Default="00880845">
            <w:pPr>
              <w:pStyle w:val="Normlnywebov"/>
              <w:spacing w:before="0" w:beforeAutospacing="0" w:after="0" w:afterAutospacing="0"/>
            </w:pPr>
            <w:r>
              <w:rPr>
                <w:b/>
                <w:bCs/>
                <w:sz w:val="20"/>
                <w:szCs w:val="20"/>
              </w:rPr>
              <w:t>Kapitálové výdavky (700)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b/>
                <w:bCs/>
                <w:color w:val="000000"/>
                <w:sz w:val="20"/>
                <w:szCs w:val="20"/>
              </w:rPr>
            </w:pPr>
            <w:r>
              <w:rPr>
                <w:b/>
                <w:bCs/>
                <w:color w:val="000000"/>
                <w:sz w:val="20"/>
                <w:szCs w:val="20"/>
              </w:rPr>
              <w:t xml:space="preserve">  0.00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b/>
                <w:bCs/>
                <w:color w:val="000000"/>
                <w:sz w:val="20"/>
                <w:szCs w:val="20"/>
              </w:rPr>
            </w:pPr>
            <w:r>
              <w:rPr>
                <w:b/>
                <w:bCs/>
                <w:color w:val="000000"/>
                <w:sz w:val="20"/>
                <w:szCs w:val="20"/>
              </w:rPr>
              <w:t xml:space="preserve">  0.00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b/>
                <w:bCs/>
                <w:color w:val="000000"/>
                <w:sz w:val="20"/>
                <w:szCs w:val="20"/>
              </w:rPr>
            </w:pPr>
            <w:r>
              <w:rPr>
                <w:b/>
                <w:bCs/>
                <w:color w:val="000000"/>
                <w:sz w:val="20"/>
                <w:szCs w:val="20"/>
              </w:rPr>
              <w:t xml:space="preserve">  0.00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b/>
                <w:bCs/>
                <w:color w:val="000000"/>
                <w:sz w:val="20"/>
                <w:szCs w:val="20"/>
              </w:rPr>
            </w:pPr>
            <w:r>
              <w:rPr>
                <w:b/>
                <w:bCs/>
                <w:color w:val="000000"/>
                <w:sz w:val="20"/>
                <w:szCs w:val="20"/>
              </w:rPr>
              <w:t xml:space="preserve">  0.00</w:t>
            </w: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rPr>
                <w:color w:val="000000"/>
              </w:rPr>
            </w:pPr>
            <w:r>
              <w:rPr>
                <w:color w:val="000000"/>
              </w:rPr>
              <w:t> </w:t>
            </w: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Default="00880845">
            <w:pPr>
              <w:pStyle w:val="Normlnywebov"/>
              <w:spacing w:before="0" w:beforeAutospacing="0" w:after="0" w:afterAutospacing="0"/>
            </w:pPr>
            <w:r>
              <w:rPr>
                <w:sz w:val="20"/>
                <w:szCs w:val="20"/>
              </w:rPr>
              <w:t>  Obstarávanie kapitálových aktív (710)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r>
              <w:rPr>
                <w:color w:val="000000"/>
                <w:sz w:val="20"/>
                <w:szCs w:val="20"/>
              </w:rPr>
              <w:t xml:space="preserve">  0.00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r>
              <w:rPr>
                <w:color w:val="000000"/>
                <w:sz w:val="20"/>
                <w:szCs w:val="20"/>
              </w:rPr>
              <w:t xml:space="preserve">  0.00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sz w:val="20"/>
                <w:szCs w:val="20"/>
              </w:rPr>
            </w:pPr>
            <w:r w:rsidRPr="002410BE">
              <w:rPr>
                <w:sz w:val="20"/>
                <w:szCs w:val="20"/>
              </w:rPr>
              <w:t xml:space="preserve">  0.00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rPr>
            </w:pPr>
            <w:r>
              <w:rPr>
                <w:color w:val="000000"/>
              </w:rPr>
              <w:t xml:space="preserve">  0.00</w:t>
            </w: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rPr>
                <w:color w:val="000000"/>
              </w:rPr>
            </w:pPr>
            <w:r>
              <w:rPr>
                <w:color w:val="000000"/>
              </w:rPr>
              <w:t> </w:t>
            </w: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Default="00880845">
            <w:pPr>
              <w:pStyle w:val="Normlnywebov"/>
              <w:spacing w:before="0" w:beforeAutospacing="0" w:after="0" w:afterAutospacing="0"/>
            </w:pPr>
            <w:r>
              <w:rPr>
                <w:sz w:val="20"/>
                <w:szCs w:val="20"/>
              </w:rPr>
              <w:t>  Kapitálové transfery (720)</w:t>
            </w:r>
            <w:r>
              <w:rPr>
                <w:sz w:val="13"/>
                <w:szCs w:val="13"/>
                <w:vertAlign w:val="superscript"/>
              </w:rPr>
              <w:t>2</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r>
              <w:rPr>
                <w:color w:val="000000"/>
                <w:sz w:val="20"/>
                <w:szCs w:val="20"/>
              </w:rPr>
              <w:t xml:space="preserve">  0.00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sz w:val="20"/>
                <w:szCs w:val="20"/>
              </w:rPr>
            </w:pPr>
            <w:r>
              <w:rPr>
                <w:color w:val="000000"/>
                <w:sz w:val="20"/>
                <w:szCs w:val="20"/>
              </w:rPr>
              <w:t xml:space="preserve">  0.00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Pr="002410BE" w:rsidRDefault="00880845">
            <w:pPr>
              <w:jc w:val="right"/>
              <w:rPr>
                <w:sz w:val="20"/>
                <w:szCs w:val="20"/>
              </w:rPr>
            </w:pPr>
            <w:r w:rsidRPr="002410BE">
              <w:rPr>
                <w:sz w:val="20"/>
                <w:szCs w:val="20"/>
              </w:rPr>
              <w:t xml:space="preserve">  0.00</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jc w:val="right"/>
              <w:rPr>
                <w:color w:val="000000"/>
              </w:rPr>
            </w:pPr>
            <w:r>
              <w:rPr>
                <w:color w:val="000000"/>
              </w:rPr>
              <w:t xml:space="preserve">  0.00</w:t>
            </w: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rPr>
                <w:color w:val="000000"/>
              </w:rPr>
            </w:pPr>
            <w:r>
              <w:rPr>
                <w:color w:val="000000"/>
              </w:rPr>
              <w:t> </w:t>
            </w:r>
          </w:p>
        </w:tc>
      </w:tr>
      <w:tr w:rsidR="00880845"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880845" w:rsidRDefault="00880845">
            <w:pPr>
              <w:pStyle w:val="Normlnywebov"/>
              <w:spacing w:before="0" w:beforeAutospacing="0" w:after="0" w:afterAutospacing="0"/>
            </w:pPr>
            <w:r>
              <w:rPr>
                <w:b/>
                <w:bCs/>
                <w:sz w:val="20"/>
                <w:szCs w:val="20"/>
              </w:rPr>
              <w:t>Výdavky z transakcií s finančnými aktívami a finančnými pasívami (800)</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vAlign w:val="center"/>
          </w:tcPr>
          <w:p w:rsidR="00880845" w:rsidRDefault="00880845">
            <w:pPr>
              <w:jc w:val="right"/>
              <w:rPr>
                <w:b/>
                <w:bCs/>
                <w:color w:val="000000"/>
                <w:sz w:val="20"/>
                <w:szCs w:val="20"/>
              </w:rPr>
            </w:pPr>
            <w:r>
              <w:rPr>
                <w:b/>
                <w:bCs/>
                <w:color w:val="000000"/>
                <w:sz w:val="20"/>
                <w:szCs w:val="20"/>
              </w:rPr>
              <w:t xml:space="preserve">  0.00</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vAlign w:val="center"/>
          </w:tcPr>
          <w:p w:rsidR="00880845" w:rsidRDefault="00880845">
            <w:pPr>
              <w:jc w:val="right"/>
              <w:rPr>
                <w:b/>
                <w:bCs/>
                <w:color w:val="000000"/>
                <w:sz w:val="20"/>
                <w:szCs w:val="20"/>
              </w:rPr>
            </w:pPr>
            <w:r>
              <w:rPr>
                <w:b/>
                <w:bCs/>
                <w:color w:val="000000"/>
                <w:sz w:val="20"/>
                <w:szCs w:val="20"/>
              </w:rPr>
              <w:t xml:space="preserve">  0.00</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vAlign w:val="center"/>
          </w:tcPr>
          <w:p w:rsidR="00880845" w:rsidRPr="002410BE" w:rsidRDefault="00880845">
            <w:pPr>
              <w:jc w:val="right"/>
              <w:rPr>
                <w:b/>
                <w:bCs/>
                <w:sz w:val="20"/>
                <w:szCs w:val="20"/>
              </w:rPr>
            </w:pPr>
            <w:r w:rsidRPr="002410BE">
              <w:rPr>
                <w:b/>
                <w:bCs/>
                <w:sz w:val="20"/>
                <w:szCs w:val="20"/>
              </w:rPr>
              <w:t xml:space="preserve">  0.00</w:t>
            </w:r>
          </w:p>
        </w:tc>
        <w:tc>
          <w:tcPr>
            <w:tcW w:w="1540" w:type="dxa"/>
            <w:tcBorders>
              <w:bottom w:val="single" w:sz="4" w:space="0" w:color="000000"/>
              <w:right w:val="single" w:sz="4" w:space="0" w:color="000000"/>
            </w:tcBorders>
            <w:shd w:val="clear" w:color="auto" w:fill="FFFF99"/>
            <w:tcMar>
              <w:top w:w="0" w:type="dxa"/>
              <w:left w:w="70" w:type="dxa"/>
              <w:bottom w:w="0" w:type="dxa"/>
              <w:right w:w="70" w:type="dxa"/>
            </w:tcMar>
            <w:vAlign w:val="center"/>
          </w:tcPr>
          <w:p w:rsidR="00880845" w:rsidRDefault="00880845">
            <w:pPr>
              <w:jc w:val="right"/>
              <w:rPr>
                <w:b/>
                <w:bCs/>
                <w:color w:val="000000"/>
              </w:rPr>
            </w:pPr>
            <w:r>
              <w:rPr>
                <w:b/>
                <w:bCs/>
                <w:color w:val="000000"/>
              </w:rPr>
              <w:t xml:space="preserve">  0.00</w:t>
            </w: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880845" w:rsidRDefault="00880845">
            <w:pPr>
              <w:rPr>
                <w:color w:val="000000"/>
              </w:rPr>
            </w:pPr>
            <w:r>
              <w:rPr>
                <w:color w:val="000000"/>
              </w:rPr>
              <w:t> </w:t>
            </w:r>
          </w:p>
        </w:tc>
      </w:tr>
      <w:tr w:rsidR="00880845" w:rsidTr="000D1714">
        <w:trPr>
          <w:trHeight w:val="255"/>
        </w:trPr>
        <w:tc>
          <w:tcPr>
            <w:tcW w:w="7070" w:type="dxa"/>
            <w:tcBorders>
              <w:left w:val="single" w:sz="4" w:space="0" w:color="000000"/>
              <w:right w:val="single" w:sz="4" w:space="0" w:color="000000"/>
            </w:tcBorders>
            <w:shd w:val="clear" w:color="auto" w:fill="000000"/>
            <w:tcMar>
              <w:top w:w="0" w:type="dxa"/>
              <w:left w:w="70" w:type="dxa"/>
              <w:bottom w:w="0" w:type="dxa"/>
              <w:right w:w="70" w:type="dxa"/>
            </w:tcMar>
          </w:tcPr>
          <w:p w:rsidR="00880845" w:rsidRDefault="00880845">
            <w:pPr>
              <w:pStyle w:val="Normlnywebov"/>
              <w:spacing w:before="0" w:beforeAutospacing="0" w:after="0" w:afterAutospacing="0"/>
            </w:pPr>
            <w:r>
              <w:rPr>
                <w:b/>
                <w:bCs/>
                <w:color w:val="FFFFFF"/>
                <w:sz w:val="20"/>
                <w:szCs w:val="20"/>
              </w:rPr>
              <w:t>Dopad na výdavky verejnej správy celkom</w:t>
            </w:r>
          </w:p>
        </w:tc>
        <w:tc>
          <w:tcPr>
            <w:tcW w:w="1540" w:type="dxa"/>
            <w:tcBorders>
              <w:right w:val="single" w:sz="4" w:space="0" w:color="000000"/>
            </w:tcBorders>
            <w:shd w:val="clear" w:color="auto" w:fill="000000"/>
            <w:tcMar>
              <w:top w:w="0" w:type="dxa"/>
              <w:left w:w="70" w:type="dxa"/>
              <w:bottom w:w="0" w:type="dxa"/>
              <w:right w:w="70" w:type="dxa"/>
            </w:tcMar>
            <w:vAlign w:val="center"/>
          </w:tcPr>
          <w:p w:rsidR="00880845" w:rsidRDefault="00274667">
            <w:pPr>
              <w:jc w:val="right"/>
              <w:rPr>
                <w:b/>
                <w:bCs/>
                <w:color w:val="FFFFFF"/>
                <w:sz w:val="20"/>
                <w:szCs w:val="20"/>
              </w:rPr>
            </w:pPr>
            <w:r>
              <w:rPr>
                <w:b/>
                <w:bCs/>
                <w:color w:val="FFFFFF"/>
                <w:sz w:val="20"/>
                <w:szCs w:val="20"/>
              </w:rPr>
              <w:t xml:space="preserve"> -71 302</w:t>
            </w:r>
          </w:p>
        </w:tc>
        <w:tc>
          <w:tcPr>
            <w:tcW w:w="1540" w:type="dxa"/>
            <w:tcBorders>
              <w:right w:val="single" w:sz="4" w:space="0" w:color="000000"/>
            </w:tcBorders>
            <w:shd w:val="clear" w:color="auto" w:fill="000000"/>
            <w:tcMar>
              <w:top w:w="0" w:type="dxa"/>
              <w:left w:w="70" w:type="dxa"/>
              <w:bottom w:w="0" w:type="dxa"/>
              <w:right w:w="70" w:type="dxa"/>
            </w:tcMar>
            <w:vAlign w:val="center"/>
          </w:tcPr>
          <w:p w:rsidR="00880845" w:rsidRDefault="00880845" w:rsidP="00274667">
            <w:pPr>
              <w:jc w:val="right"/>
              <w:rPr>
                <w:b/>
                <w:bCs/>
                <w:color w:val="FFFFFF"/>
                <w:sz w:val="20"/>
                <w:szCs w:val="20"/>
              </w:rPr>
            </w:pPr>
            <w:r>
              <w:rPr>
                <w:b/>
                <w:bCs/>
                <w:color w:val="FFFFFF"/>
                <w:sz w:val="20"/>
                <w:szCs w:val="20"/>
              </w:rPr>
              <w:t xml:space="preserve"> </w:t>
            </w:r>
            <w:r w:rsidR="00274667">
              <w:rPr>
                <w:b/>
                <w:bCs/>
                <w:color w:val="FFFFFF"/>
                <w:sz w:val="20"/>
                <w:szCs w:val="20"/>
              </w:rPr>
              <w:t>-745 693</w:t>
            </w:r>
          </w:p>
        </w:tc>
        <w:tc>
          <w:tcPr>
            <w:tcW w:w="1540" w:type="dxa"/>
            <w:tcBorders>
              <w:right w:val="single" w:sz="4" w:space="0" w:color="000000"/>
            </w:tcBorders>
            <w:shd w:val="clear" w:color="auto" w:fill="000000"/>
            <w:tcMar>
              <w:top w:w="0" w:type="dxa"/>
              <w:left w:w="70" w:type="dxa"/>
              <w:bottom w:w="0" w:type="dxa"/>
              <w:right w:w="70" w:type="dxa"/>
            </w:tcMar>
            <w:vAlign w:val="center"/>
          </w:tcPr>
          <w:p w:rsidR="00880845" w:rsidRPr="002410BE" w:rsidRDefault="00880845" w:rsidP="00B12FE1">
            <w:pPr>
              <w:jc w:val="right"/>
              <w:rPr>
                <w:b/>
                <w:bCs/>
                <w:sz w:val="20"/>
                <w:szCs w:val="20"/>
              </w:rPr>
            </w:pPr>
            <w:r w:rsidRPr="002410BE">
              <w:rPr>
                <w:b/>
                <w:bCs/>
                <w:sz w:val="20"/>
                <w:szCs w:val="20"/>
              </w:rPr>
              <w:t xml:space="preserve"> </w:t>
            </w:r>
            <w:r w:rsidR="00274667" w:rsidRPr="002410BE">
              <w:rPr>
                <w:b/>
                <w:bCs/>
                <w:sz w:val="20"/>
                <w:szCs w:val="20"/>
              </w:rPr>
              <w:t>-2 396 </w:t>
            </w:r>
            <w:r w:rsidR="00B12FE1" w:rsidRPr="002410BE">
              <w:rPr>
                <w:b/>
                <w:bCs/>
                <w:sz w:val="20"/>
                <w:szCs w:val="20"/>
              </w:rPr>
              <w:t>649</w:t>
            </w:r>
          </w:p>
        </w:tc>
        <w:tc>
          <w:tcPr>
            <w:tcW w:w="1540" w:type="dxa"/>
            <w:tcBorders>
              <w:right w:val="single" w:sz="4" w:space="0" w:color="000000"/>
            </w:tcBorders>
            <w:shd w:val="clear" w:color="auto" w:fill="000000"/>
            <w:tcMar>
              <w:top w:w="0" w:type="dxa"/>
              <w:left w:w="70" w:type="dxa"/>
              <w:bottom w:w="0" w:type="dxa"/>
              <w:right w:w="70" w:type="dxa"/>
            </w:tcMar>
            <w:vAlign w:val="center"/>
          </w:tcPr>
          <w:p w:rsidR="00880845" w:rsidRDefault="00880845" w:rsidP="00274667">
            <w:pPr>
              <w:jc w:val="right"/>
              <w:rPr>
                <w:b/>
                <w:bCs/>
                <w:color w:val="FFFFFF"/>
                <w:sz w:val="20"/>
                <w:szCs w:val="20"/>
              </w:rPr>
            </w:pPr>
            <w:r>
              <w:rPr>
                <w:b/>
                <w:bCs/>
                <w:color w:val="FFFFFF"/>
                <w:sz w:val="20"/>
                <w:szCs w:val="20"/>
              </w:rPr>
              <w:t xml:space="preserve"> </w:t>
            </w:r>
            <w:r w:rsidR="00274667">
              <w:rPr>
                <w:b/>
                <w:bCs/>
                <w:color w:val="FFFFFF"/>
                <w:sz w:val="20"/>
                <w:szCs w:val="20"/>
              </w:rPr>
              <w:t>-4 542 820</w:t>
            </w:r>
          </w:p>
        </w:tc>
        <w:tc>
          <w:tcPr>
            <w:tcW w:w="2220" w:type="dxa"/>
            <w:tcBorders>
              <w:right w:val="single" w:sz="4" w:space="0" w:color="000000"/>
            </w:tcBorders>
            <w:shd w:val="clear" w:color="auto" w:fill="000000"/>
            <w:tcMar>
              <w:top w:w="0" w:type="dxa"/>
              <w:left w:w="70" w:type="dxa"/>
              <w:bottom w:w="0" w:type="dxa"/>
              <w:right w:w="70" w:type="dxa"/>
            </w:tcMar>
            <w:vAlign w:val="center"/>
          </w:tcPr>
          <w:p w:rsidR="00880845" w:rsidRDefault="00880845">
            <w:pPr>
              <w:rPr>
                <w:color w:val="FFFFFF"/>
              </w:rPr>
            </w:pPr>
            <w:r>
              <w:rPr>
                <w:color w:val="FFFFFF"/>
              </w:rPr>
              <w:t> </w:t>
            </w:r>
          </w:p>
        </w:tc>
      </w:tr>
      <w:tr w:rsidR="00274667" w:rsidTr="000D1714">
        <w:trPr>
          <w:trHeight w:val="255"/>
        </w:trPr>
        <w:tc>
          <w:tcPr>
            <w:tcW w:w="7070" w:type="dxa"/>
            <w:tcBorders>
              <w:left w:val="single" w:sz="4" w:space="0" w:color="000000"/>
              <w:bottom w:val="single" w:sz="4" w:space="0" w:color="000000"/>
              <w:right w:val="single" w:sz="4" w:space="0" w:color="000000"/>
            </w:tcBorders>
            <w:tcMar>
              <w:top w:w="0" w:type="dxa"/>
              <w:left w:w="70" w:type="dxa"/>
              <w:bottom w:w="0" w:type="dxa"/>
              <w:right w:w="70" w:type="dxa"/>
            </w:tcMar>
          </w:tcPr>
          <w:p w:rsidR="00274667" w:rsidRDefault="00274667">
            <w:pPr>
              <w:pStyle w:val="Normlnywebov"/>
              <w:spacing w:before="0" w:beforeAutospacing="0" w:after="0" w:afterAutospacing="0"/>
            </w:pPr>
            <w:r>
              <w:rPr>
                <w:b/>
                <w:bCs/>
                <w:sz w:val="20"/>
                <w:szCs w:val="20"/>
              </w:rPr>
              <w:t>  z toho výdavky na ŠR</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274667" w:rsidRDefault="00274667" w:rsidP="00021596">
            <w:pPr>
              <w:jc w:val="right"/>
              <w:rPr>
                <w:b/>
                <w:bCs/>
                <w:color w:val="000000"/>
                <w:sz w:val="20"/>
                <w:szCs w:val="20"/>
              </w:rPr>
            </w:pPr>
            <w:r w:rsidRPr="005A1507">
              <w:rPr>
                <w:b/>
                <w:bCs/>
                <w:color w:val="000000"/>
                <w:sz w:val="20"/>
                <w:szCs w:val="20"/>
              </w:rPr>
              <w:t>-71</w:t>
            </w:r>
            <w:r>
              <w:rPr>
                <w:b/>
                <w:bCs/>
                <w:color w:val="000000"/>
                <w:sz w:val="20"/>
                <w:szCs w:val="20"/>
              </w:rPr>
              <w:t xml:space="preserve"> </w:t>
            </w:r>
            <w:r w:rsidRPr="005A1507">
              <w:rPr>
                <w:b/>
                <w:bCs/>
                <w:color w:val="000000"/>
                <w:sz w:val="20"/>
                <w:szCs w:val="20"/>
              </w:rPr>
              <w:t>302</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274667" w:rsidRDefault="00274667" w:rsidP="00021596">
            <w:pPr>
              <w:jc w:val="right"/>
              <w:rPr>
                <w:b/>
                <w:bCs/>
                <w:color w:val="000000"/>
                <w:sz w:val="20"/>
                <w:szCs w:val="20"/>
              </w:rPr>
            </w:pPr>
            <w:r w:rsidRPr="005A1507">
              <w:rPr>
                <w:b/>
                <w:bCs/>
                <w:color w:val="000000"/>
                <w:sz w:val="20"/>
                <w:szCs w:val="20"/>
              </w:rPr>
              <w:t>-745</w:t>
            </w:r>
            <w:r>
              <w:rPr>
                <w:b/>
                <w:bCs/>
                <w:color w:val="000000"/>
                <w:sz w:val="20"/>
                <w:szCs w:val="20"/>
              </w:rPr>
              <w:t xml:space="preserve"> </w:t>
            </w:r>
            <w:r w:rsidRPr="005A1507">
              <w:rPr>
                <w:b/>
                <w:bCs/>
                <w:color w:val="000000"/>
                <w:sz w:val="20"/>
                <w:szCs w:val="20"/>
              </w:rPr>
              <w:t>693</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274667" w:rsidRPr="002410BE" w:rsidRDefault="00274667" w:rsidP="00B12FE1">
            <w:pPr>
              <w:jc w:val="right"/>
              <w:rPr>
                <w:b/>
                <w:bCs/>
                <w:sz w:val="20"/>
                <w:szCs w:val="20"/>
              </w:rPr>
            </w:pPr>
            <w:r w:rsidRPr="002410BE">
              <w:rPr>
                <w:b/>
                <w:bCs/>
                <w:sz w:val="20"/>
                <w:szCs w:val="20"/>
              </w:rPr>
              <w:t>-2 396 6</w:t>
            </w:r>
            <w:r w:rsidR="00B12FE1" w:rsidRPr="002410BE">
              <w:rPr>
                <w:b/>
                <w:bCs/>
                <w:sz w:val="20"/>
                <w:szCs w:val="20"/>
              </w:rPr>
              <w:t>4</w:t>
            </w:r>
            <w:r w:rsidRPr="002410BE">
              <w:rPr>
                <w:b/>
                <w:bCs/>
                <w:sz w:val="20"/>
                <w:szCs w:val="20"/>
              </w:rPr>
              <w:t>9</w:t>
            </w:r>
          </w:p>
        </w:tc>
        <w:tc>
          <w:tcPr>
            <w:tcW w:w="1540" w:type="dxa"/>
            <w:tcBorders>
              <w:bottom w:val="single" w:sz="4" w:space="0" w:color="000000"/>
              <w:right w:val="single" w:sz="4" w:space="0" w:color="000000"/>
            </w:tcBorders>
            <w:tcMar>
              <w:top w:w="0" w:type="dxa"/>
              <w:left w:w="70" w:type="dxa"/>
              <w:bottom w:w="0" w:type="dxa"/>
              <w:right w:w="70" w:type="dxa"/>
            </w:tcMar>
            <w:vAlign w:val="center"/>
          </w:tcPr>
          <w:p w:rsidR="00274667" w:rsidRDefault="00274667" w:rsidP="00021596">
            <w:pPr>
              <w:jc w:val="right"/>
              <w:rPr>
                <w:b/>
                <w:bCs/>
                <w:color w:val="000000"/>
                <w:sz w:val="20"/>
                <w:szCs w:val="20"/>
              </w:rPr>
            </w:pPr>
            <w:r>
              <w:rPr>
                <w:b/>
                <w:bCs/>
                <w:color w:val="000000"/>
                <w:sz w:val="20"/>
                <w:szCs w:val="20"/>
              </w:rPr>
              <w:t>-4 542 8</w:t>
            </w:r>
            <w:r w:rsidRPr="002969E0">
              <w:rPr>
                <w:b/>
                <w:bCs/>
                <w:color w:val="000000"/>
                <w:sz w:val="20"/>
                <w:szCs w:val="20"/>
              </w:rPr>
              <w:t>20</w:t>
            </w:r>
          </w:p>
        </w:tc>
        <w:tc>
          <w:tcPr>
            <w:tcW w:w="2220" w:type="dxa"/>
            <w:tcBorders>
              <w:bottom w:val="single" w:sz="4" w:space="0" w:color="000000"/>
              <w:right w:val="single" w:sz="4" w:space="0" w:color="000000"/>
            </w:tcBorders>
            <w:tcMar>
              <w:top w:w="0" w:type="dxa"/>
              <w:left w:w="70" w:type="dxa"/>
              <w:bottom w:w="0" w:type="dxa"/>
              <w:right w:w="70" w:type="dxa"/>
            </w:tcMar>
            <w:vAlign w:val="center"/>
          </w:tcPr>
          <w:p w:rsidR="00274667" w:rsidRDefault="00274667">
            <w:pPr>
              <w:rPr>
                <w:color w:val="000000"/>
              </w:rPr>
            </w:pPr>
            <w:r>
              <w:rPr>
                <w:color w:val="000000"/>
              </w:rPr>
              <w:t> </w:t>
            </w:r>
          </w:p>
        </w:tc>
      </w:tr>
      <w:tr w:rsidR="00274667" w:rsidTr="000D1714">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74667" w:rsidRDefault="00274667">
            <w:pPr>
              <w:pStyle w:val="Normlnywebov"/>
              <w:spacing w:before="0" w:beforeAutospacing="0" w:after="0" w:afterAutospacing="0"/>
            </w:pPr>
            <w:r>
              <w:rPr>
                <w:sz w:val="20"/>
                <w:szCs w:val="20"/>
              </w:rPr>
              <w:t>   Bežné výdavky</w:t>
            </w:r>
            <w:r>
              <w:rPr>
                <w:b/>
                <w:bCs/>
                <w:sz w:val="20"/>
                <w:szCs w:val="20"/>
              </w:rPr>
              <w:t xml:space="preserve"> </w:t>
            </w:r>
            <w:r>
              <w:rPr>
                <w:sz w:val="20"/>
                <w:szCs w:val="20"/>
              </w:rPr>
              <w:t>(600)</w:t>
            </w:r>
            <w:r>
              <w:rPr>
                <w:b/>
                <w:bCs/>
                <w:sz w:val="20"/>
                <w:szCs w:val="20"/>
              </w:rPr>
              <w:t xml:space="preserve"> </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rsidP="00021596">
            <w:pPr>
              <w:jc w:val="right"/>
              <w:rPr>
                <w:b/>
                <w:bCs/>
                <w:color w:val="000000"/>
                <w:sz w:val="20"/>
                <w:szCs w:val="20"/>
              </w:rPr>
            </w:pPr>
            <w:r w:rsidRPr="005A1507">
              <w:rPr>
                <w:b/>
                <w:bCs/>
                <w:color w:val="000000"/>
                <w:sz w:val="20"/>
                <w:szCs w:val="20"/>
              </w:rPr>
              <w:t>-71</w:t>
            </w:r>
            <w:r>
              <w:rPr>
                <w:b/>
                <w:bCs/>
                <w:color w:val="000000"/>
                <w:sz w:val="20"/>
                <w:szCs w:val="20"/>
              </w:rPr>
              <w:t xml:space="preserve"> </w:t>
            </w:r>
            <w:r w:rsidRPr="005A1507">
              <w:rPr>
                <w:b/>
                <w:bCs/>
                <w:color w:val="000000"/>
                <w:sz w:val="20"/>
                <w:szCs w:val="20"/>
              </w:rPr>
              <w:t>302</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rsidP="00021596">
            <w:pPr>
              <w:jc w:val="right"/>
              <w:rPr>
                <w:b/>
                <w:bCs/>
                <w:color w:val="000000"/>
                <w:sz w:val="20"/>
                <w:szCs w:val="20"/>
              </w:rPr>
            </w:pPr>
            <w:r w:rsidRPr="005A1507">
              <w:rPr>
                <w:b/>
                <w:bCs/>
                <w:color w:val="000000"/>
                <w:sz w:val="20"/>
                <w:szCs w:val="20"/>
              </w:rPr>
              <w:t>-745</w:t>
            </w:r>
            <w:r>
              <w:rPr>
                <w:b/>
                <w:bCs/>
                <w:color w:val="000000"/>
                <w:sz w:val="20"/>
                <w:szCs w:val="20"/>
              </w:rPr>
              <w:t xml:space="preserve"> </w:t>
            </w:r>
            <w:r w:rsidRPr="005A1507">
              <w:rPr>
                <w:b/>
                <w:bCs/>
                <w:color w:val="000000"/>
                <w:sz w:val="20"/>
                <w:szCs w:val="20"/>
              </w:rPr>
              <w:t>693</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Pr="002410BE" w:rsidRDefault="00274667" w:rsidP="00021596">
            <w:pPr>
              <w:jc w:val="right"/>
              <w:rPr>
                <w:b/>
                <w:bCs/>
                <w:sz w:val="20"/>
                <w:szCs w:val="20"/>
              </w:rPr>
            </w:pPr>
            <w:r w:rsidRPr="002410BE">
              <w:rPr>
                <w:b/>
                <w:bCs/>
                <w:sz w:val="20"/>
                <w:szCs w:val="20"/>
              </w:rPr>
              <w:t xml:space="preserve">-2 396 </w:t>
            </w:r>
            <w:r w:rsidR="00B12FE1" w:rsidRPr="002410BE">
              <w:rPr>
                <w:b/>
                <w:bCs/>
                <w:sz w:val="20"/>
                <w:szCs w:val="20"/>
              </w:rPr>
              <w:t>64</w:t>
            </w:r>
            <w:r w:rsidRPr="002410BE">
              <w:rPr>
                <w:b/>
                <w:bCs/>
                <w:sz w:val="20"/>
                <w:szCs w:val="20"/>
              </w:rPr>
              <w:t>9</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rsidP="00021596">
            <w:pPr>
              <w:jc w:val="right"/>
              <w:rPr>
                <w:b/>
                <w:bCs/>
                <w:color w:val="000000"/>
                <w:sz w:val="20"/>
                <w:szCs w:val="20"/>
              </w:rPr>
            </w:pPr>
            <w:r>
              <w:rPr>
                <w:b/>
                <w:bCs/>
                <w:color w:val="000000"/>
                <w:sz w:val="20"/>
                <w:szCs w:val="20"/>
              </w:rPr>
              <w:t>-4 542 8</w:t>
            </w:r>
            <w:r w:rsidRPr="002969E0">
              <w:rPr>
                <w:b/>
                <w:bCs/>
                <w:color w:val="000000"/>
                <w:sz w:val="20"/>
                <w:szCs w:val="20"/>
              </w:rPr>
              <w:t>20</w:t>
            </w: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rPr>
                <w:color w:val="000000"/>
              </w:rPr>
            </w:pPr>
            <w:r>
              <w:rPr>
                <w:color w:val="000000"/>
              </w:rPr>
              <w:t> </w:t>
            </w:r>
          </w:p>
        </w:tc>
      </w:tr>
      <w:tr w:rsidR="00274667" w:rsidTr="000D1714">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74667" w:rsidRDefault="00274667">
            <w:pPr>
              <w:pStyle w:val="Normlnywebov"/>
              <w:spacing w:before="0" w:beforeAutospacing="0" w:after="0" w:afterAutospacing="0"/>
            </w:pPr>
            <w:r>
              <w:rPr>
                <w:b/>
                <w:bCs/>
                <w:sz w:val="20"/>
                <w:szCs w:val="20"/>
              </w:rPr>
              <w:t>    </w:t>
            </w:r>
            <w:r>
              <w:rPr>
                <w:sz w:val="20"/>
                <w:szCs w:val="20"/>
              </w:rPr>
              <w:t>Mzdy, platy, služobné príjmy a ostatné osobné vyrovnania (610)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jc w:val="right"/>
              <w:rPr>
                <w:color w:val="000000"/>
                <w:sz w:val="20"/>
                <w:szCs w:val="20"/>
              </w:rPr>
            </w:pPr>
            <w:r>
              <w:rPr>
                <w:color w:val="000000"/>
                <w:sz w:val="20"/>
                <w:szCs w:val="20"/>
              </w:rPr>
              <w:t>0.00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jc w:val="right"/>
              <w:rPr>
                <w:color w:val="000000"/>
                <w:sz w:val="20"/>
                <w:szCs w:val="20"/>
              </w:rPr>
            </w:pPr>
            <w:r>
              <w:rPr>
                <w:color w:val="000000"/>
                <w:sz w:val="20"/>
                <w:szCs w:val="20"/>
              </w:rPr>
              <w:t>0.00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Pr="002410BE" w:rsidRDefault="00274667">
            <w:pPr>
              <w:jc w:val="right"/>
              <w:rPr>
                <w:sz w:val="20"/>
                <w:szCs w:val="20"/>
              </w:rPr>
            </w:pPr>
            <w:r w:rsidRPr="002410BE">
              <w:rPr>
                <w:sz w:val="20"/>
                <w:szCs w:val="20"/>
              </w:rPr>
              <w:t>0.00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jc w:val="right"/>
              <w:rPr>
                <w:color w:val="000000"/>
                <w:sz w:val="20"/>
                <w:szCs w:val="20"/>
              </w:rPr>
            </w:pPr>
            <w:r>
              <w:rPr>
                <w:color w:val="000000"/>
                <w:sz w:val="20"/>
                <w:szCs w:val="20"/>
              </w:rPr>
              <w:t>0.00</w:t>
            </w: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rPr>
                <w:color w:val="000000"/>
              </w:rPr>
            </w:pPr>
            <w:r>
              <w:rPr>
                <w:color w:val="000000"/>
              </w:rPr>
              <w:t> </w:t>
            </w:r>
          </w:p>
        </w:tc>
      </w:tr>
      <w:tr w:rsidR="00274667" w:rsidTr="000D1714">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74667" w:rsidRDefault="00274667">
            <w:pPr>
              <w:pStyle w:val="Normlnywebov"/>
              <w:spacing w:before="0" w:beforeAutospacing="0" w:after="0" w:afterAutospacing="0"/>
            </w:pPr>
            <w:r>
              <w:rPr>
                <w:sz w:val="20"/>
                <w:szCs w:val="20"/>
              </w:rPr>
              <w:t>    Kapitálové výdavky (700)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jc w:val="right"/>
              <w:rPr>
                <w:color w:val="000000"/>
                <w:sz w:val="20"/>
                <w:szCs w:val="20"/>
              </w:rPr>
            </w:pPr>
            <w:r>
              <w:rPr>
                <w:color w:val="000000"/>
                <w:sz w:val="20"/>
                <w:szCs w:val="20"/>
              </w:rPr>
              <w:t xml:space="preserve">  0.00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jc w:val="right"/>
              <w:rPr>
                <w:color w:val="000000"/>
                <w:sz w:val="20"/>
                <w:szCs w:val="20"/>
              </w:rPr>
            </w:pPr>
            <w:r>
              <w:rPr>
                <w:color w:val="000000"/>
                <w:sz w:val="20"/>
                <w:szCs w:val="20"/>
              </w:rPr>
              <w:t xml:space="preserve">  0.00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jc w:val="right"/>
              <w:rPr>
                <w:color w:val="000000"/>
                <w:sz w:val="20"/>
                <w:szCs w:val="20"/>
              </w:rPr>
            </w:pPr>
            <w:r>
              <w:rPr>
                <w:color w:val="000000"/>
                <w:sz w:val="20"/>
                <w:szCs w:val="20"/>
              </w:rPr>
              <w:t xml:space="preserve">  0.00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jc w:val="right"/>
              <w:rPr>
                <w:color w:val="000000"/>
                <w:sz w:val="20"/>
                <w:szCs w:val="20"/>
              </w:rPr>
            </w:pPr>
            <w:r>
              <w:rPr>
                <w:color w:val="000000"/>
                <w:sz w:val="20"/>
                <w:szCs w:val="20"/>
              </w:rPr>
              <w:t xml:space="preserve">  0.00</w:t>
            </w: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rPr>
                <w:color w:val="000000"/>
              </w:rPr>
            </w:pPr>
            <w:r>
              <w:rPr>
                <w:color w:val="000000"/>
              </w:rPr>
              <w:t> </w:t>
            </w:r>
          </w:p>
        </w:tc>
      </w:tr>
      <w:tr w:rsidR="00274667" w:rsidTr="000D1714">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274667" w:rsidRDefault="00274667">
            <w:pPr>
              <w:pStyle w:val="Normlnywebov"/>
              <w:spacing w:before="0" w:beforeAutospacing="0" w:after="0" w:afterAutospacing="0"/>
            </w:pPr>
            <w:r>
              <w:rPr>
                <w:sz w:val="20"/>
                <w:szCs w:val="20"/>
              </w:rPr>
              <w:t>    Výdavky z transakcií s finančnými aktívami a finančnými pasívami (800)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jc w:val="right"/>
              <w:rPr>
                <w:color w:val="000000"/>
                <w:sz w:val="20"/>
                <w:szCs w:val="20"/>
              </w:rPr>
            </w:pPr>
            <w:r>
              <w:rPr>
                <w:color w:val="000000"/>
                <w:sz w:val="20"/>
                <w:szCs w:val="20"/>
              </w:rPr>
              <w:t xml:space="preserve">  0.00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jc w:val="right"/>
              <w:rPr>
                <w:color w:val="000000"/>
                <w:sz w:val="20"/>
                <w:szCs w:val="20"/>
              </w:rPr>
            </w:pPr>
            <w:r>
              <w:rPr>
                <w:color w:val="000000"/>
                <w:sz w:val="20"/>
                <w:szCs w:val="20"/>
              </w:rPr>
              <w:t xml:space="preserve">  0.00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jc w:val="right"/>
              <w:rPr>
                <w:color w:val="000000"/>
                <w:sz w:val="20"/>
                <w:szCs w:val="20"/>
              </w:rPr>
            </w:pPr>
            <w:r>
              <w:rPr>
                <w:color w:val="000000"/>
                <w:sz w:val="20"/>
                <w:szCs w:val="20"/>
              </w:rPr>
              <w:t xml:space="preserve">  0.00</w:t>
            </w:r>
          </w:p>
        </w:tc>
        <w:tc>
          <w:tcPr>
            <w:tcW w:w="154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jc w:val="right"/>
              <w:rPr>
                <w:color w:val="000000"/>
                <w:sz w:val="20"/>
                <w:szCs w:val="20"/>
              </w:rPr>
            </w:pPr>
            <w:r>
              <w:rPr>
                <w:color w:val="000000"/>
                <w:sz w:val="20"/>
                <w:szCs w:val="20"/>
              </w:rPr>
              <w:t xml:space="preserve">  0.00</w:t>
            </w:r>
          </w:p>
        </w:tc>
        <w:tc>
          <w:tcPr>
            <w:tcW w:w="2220"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274667" w:rsidRDefault="00274667">
            <w:pPr>
              <w:rPr>
                <w:color w:val="000000"/>
              </w:rPr>
            </w:pPr>
            <w:r>
              <w:rPr>
                <w:color w:val="000000"/>
              </w:rPr>
              <w:t> </w:t>
            </w:r>
          </w:p>
        </w:tc>
      </w:tr>
      <w:tr w:rsidR="00274667" w:rsidTr="00044049">
        <w:tc>
          <w:tcPr>
            <w:tcW w:w="7070" w:type="dxa"/>
            <w:tcBorders>
              <w:top w:val="nil"/>
              <w:left w:val="nil"/>
              <w:bottom w:val="nil"/>
              <w:right w:val="nil"/>
            </w:tcBorders>
            <w:vAlign w:val="center"/>
          </w:tcPr>
          <w:p w:rsidR="00274667" w:rsidRDefault="00274667">
            <w:pPr>
              <w:rPr>
                <w:sz w:val="2"/>
              </w:rPr>
            </w:pPr>
          </w:p>
        </w:tc>
        <w:tc>
          <w:tcPr>
            <w:tcW w:w="1540" w:type="dxa"/>
            <w:tcBorders>
              <w:top w:val="nil"/>
              <w:left w:val="nil"/>
              <w:bottom w:val="nil"/>
              <w:right w:val="nil"/>
            </w:tcBorders>
            <w:vAlign w:val="center"/>
          </w:tcPr>
          <w:p w:rsidR="00274667" w:rsidRDefault="00274667">
            <w:pPr>
              <w:rPr>
                <w:sz w:val="2"/>
              </w:rPr>
            </w:pPr>
          </w:p>
        </w:tc>
        <w:tc>
          <w:tcPr>
            <w:tcW w:w="1540" w:type="dxa"/>
            <w:tcBorders>
              <w:top w:val="nil"/>
              <w:left w:val="nil"/>
              <w:bottom w:val="nil"/>
              <w:right w:val="nil"/>
            </w:tcBorders>
            <w:vAlign w:val="center"/>
          </w:tcPr>
          <w:p w:rsidR="00274667" w:rsidRDefault="00274667">
            <w:pPr>
              <w:rPr>
                <w:sz w:val="2"/>
              </w:rPr>
            </w:pPr>
          </w:p>
        </w:tc>
        <w:tc>
          <w:tcPr>
            <w:tcW w:w="1540" w:type="dxa"/>
            <w:tcBorders>
              <w:top w:val="nil"/>
              <w:left w:val="nil"/>
              <w:bottom w:val="nil"/>
              <w:right w:val="nil"/>
            </w:tcBorders>
            <w:vAlign w:val="center"/>
          </w:tcPr>
          <w:p w:rsidR="00274667" w:rsidRDefault="00274667">
            <w:pPr>
              <w:rPr>
                <w:sz w:val="2"/>
              </w:rPr>
            </w:pPr>
          </w:p>
        </w:tc>
        <w:tc>
          <w:tcPr>
            <w:tcW w:w="1540" w:type="dxa"/>
            <w:tcBorders>
              <w:top w:val="nil"/>
              <w:left w:val="nil"/>
              <w:bottom w:val="nil"/>
              <w:right w:val="nil"/>
            </w:tcBorders>
            <w:vAlign w:val="center"/>
          </w:tcPr>
          <w:p w:rsidR="00274667" w:rsidRDefault="00274667">
            <w:pPr>
              <w:rPr>
                <w:sz w:val="2"/>
              </w:rPr>
            </w:pPr>
          </w:p>
        </w:tc>
        <w:tc>
          <w:tcPr>
            <w:tcW w:w="2220" w:type="dxa"/>
            <w:tcBorders>
              <w:top w:val="nil"/>
              <w:left w:val="nil"/>
              <w:bottom w:val="nil"/>
              <w:right w:val="nil"/>
            </w:tcBorders>
            <w:vAlign w:val="center"/>
          </w:tcPr>
          <w:p w:rsidR="00274667" w:rsidRDefault="00274667">
            <w:pPr>
              <w:rPr>
                <w:sz w:val="2"/>
              </w:rPr>
            </w:pPr>
          </w:p>
        </w:tc>
      </w:tr>
    </w:tbl>
    <w:p w:rsidR="00943EB2" w:rsidRDefault="00943EB2" w:rsidP="00943EB2">
      <w:pPr>
        <w:pStyle w:val="Normlnywebov"/>
        <w:spacing w:before="0" w:beforeAutospacing="0" w:after="0" w:afterAutospacing="0"/>
        <w:jc w:val="both"/>
      </w:pPr>
      <w:r>
        <w:rPr>
          <w:sz w:val="20"/>
          <w:szCs w:val="20"/>
        </w:rPr>
        <w:t>2 –  výdavky rozpísať až do položiek platnej ekonomickej klasifikácie</w:t>
      </w:r>
    </w:p>
    <w:p w:rsidR="00943EB2" w:rsidRDefault="00943EB2" w:rsidP="00943EB2">
      <w:pPr>
        <w:pStyle w:val="Normlnywebov"/>
        <w:spacing w:before="0" w:beforeAutospacing="0" w:after="0" w:afterAutospacing="0"/>
        <w:jc w:val="both"/>
      </w:pPr>
      <w:r>
        <w:rPr>
          <w:sz w:val="20"/>
          <w:szCs w:val="20"/>
        </w:rPr>
        <w:t xml:space="preserve">                                                                                                                                                                                                                       </w:t>
      </w:r>
      <w:r>
        <w:t xml:space="preserve">                 Tabuľka č. 6 </w:t>
      </w:r>
    </w:p>
    <w:tbl>
      <w:tblPr>
        <w:tblpPr w:leftFromText="141" w:rightFromText="141" w:vertAnchor="text" w:horzAnchor="margin" w:tblpXSpec="center" w:tblpY="170"/>
        <w:tblW w:w="15114" w:type="dxa"/>
        <w:tblCellMar>
          <w:left w:w="0" w:type="dxa"/>
          <w:right w:w="0" w:type="dxa"/>
        </w:tblCellMar>
        <w:tblLook w:val="0000" w:firstRow="0" w:lastRow="0" w:firstColumn="0" w:lastColumn="0" w:noHBand="0" w:noVBand="0"/>
      </w:tblPr>
      <w:tblGrid>
        <w:gridCol w:w="4276"/>
        <w:gridCol w:w="1162"/>
        <w:gridCol w:w="1222"/>
        <w:gridCol w:w="397"/>
        <w:gridCol w:w="1105"/>
        <w:gridCol w:w="1219"/>
        <w:gridCol w:w="2142"/>
        <w:gridCol w:w="3591"/>
      </w:tblGrid>
      <w:tr w:rsidR="00044049" w:rsidTr="00347E22">
        <w:trPr>
          <w:trHeight w:val="255"/>
        </w:trPr>
        <w:tc>
          <w:tcPr>
            <w:tcW w:w="4276"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044049" w:rsidRDefault="00044049" w:rsidP="00044049">
            <w:pPr>
              <w:pStyle w:val="Normlnywebov"/>
              <w:spacing w:before="0" w:beforeAutospacing="0" w:after="0" w:afterAutospacing="0"/>
              <w:jc w:val="center"/>
            </w:pPr>
            <w:r>
              <w:rPr>
                <w:b/>
                <w:bCs/>
                <w:color w:val="FFFFFF"/>
              </w:rPr>
              <w:t>Zamestnanosť</w:t>
            </w:r>
          </w:p>
        </w:tc>
        <w:tc>
          <w:tcPr>
            <w:tcW w:w="0" w:type="auto"/>
            <w:gridSpan w:val="5"/>
            <w:tcBorders>
              <w:top w:val="single" w:sz="4" w:space="0" w:color="000000"/>
              <w:bottom w:val="single" w:sz="4" w:space="0" w:color="000000"/>
              <w:right w:val="single" w:sz="4" w:space="0" w:color="000000"/>
            </w:tcBorders>
            <w:shd w:val="clear" w:color="auto" w:fill="000000"/>
            <w:tcMar>
              <w:top w:w="0" w:type="dxa"/>
              <w:left w:w="70" w:type="dxa"/>
              <w:bottom w:w="0" w:type="dxa"/>
              <w:right w:w="70" w:type="dxa"/>
            </w:tcMar>
          </w:tcPr>
          <w:p w:rsidR="00044049" w:rsidRDefault="00044049" w:rsidP="00044049">
            <w:pPr>
              <w:pStyle w:val="Normlnywebov"/>
              <w:spacing w:before="0" w:beforeAutospacing="0" w:after="0" w:afterAutospacing="0"/>
              <w:jc w:val="center"/>
            </w:pPr>
            <w:r>
              <w:rPr>
                <w:b/>
                <w:bCs/>
                <w:color w:val="FFFFFF"/>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vAlign w:val="center"/>
          </w:tcPr>
          <w:p w:rsidR="00044049" w:rsidRDefault="00044049" w:rsidP="00044049">
            <w:pPr>
              <w:pStyle w:val="Normlnywebov"/>
              <w:spacing w:before="0" w:beforeAutospacing="0" w:after="0" w:afterAutospacing="0"/>
              <w:jc w:val="center"/>
            </w:pPr>
            <w:r>
              <w:rPr>
                <w:b/>
                <w:bCs/>
                <w:color w:val="FFFFFF"/>
              </w:rPr>
              <w:t>poznámka</w:t>
            </w:r>
          </w:p>
        </w:tc>
      </w:tr>
      <w:tr w:rsidR="0017249C" w:rsidTr="00347E22">
        <w:trPr>
          <w:trHeight w:val="255"/>
        </w:trPr>
        <w:tc>
          <w:tcPr>
            <w:tcW w:w="4276" w:type="dxa"/>
            <w:vMerge/>
            <w:tcBorders>
              <w:top w:val="single" w:sz="4" w:space="0" w:color="000000"/>
              <w:left w:val="single" w:sz="4" w:space="0" w:color="000000"/>
              <w:bottom w:val="single" w:sz="4" w:space="0" w:color="000000"/>
              <w:right w:val="single" w:sz="4" w:space="0" w:color="000000"/>
            </w:tcBorders>
            <w:vAlign w:val="center"/>
          </w:tcPr>
          <w:p w:rsidR="0017249C" w:rsidRDefault="0017249C" w:rsidP="00044049"/>
        </w:tc>
        <w:tc>
          <w:tcPr>
            <w:tcW w:w="1162"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17249C" w:rsidRDefault="0017249C">
            <w:pPr>
              <w:jc w:val="center"/>
              <w:rPr>
                <w:b/>
                <w:bCs/>
                <w:color w:val="FFFFFF"/>
              </w:rPr>
            </w:pPr>
            <w:r>
              <w:rPr>
                <w:b/>
                <w:bCs/>
                <w:color w:val="FFFFFF"/>
              </w:rPr>
              <w:t>20</w:t>
            </w:r>
            <w:r w:rsidR="00274667">
              <w:rPr>
                <w:b/>
                <w:bCs/>
                <w:color w:val="FFFFFF"/>
              </w:rPr>
              <w:t>15</w:t>
            </w:r>
          </w:p>
        </w:tc>
        <w:tc>
          <w:tcPr>
            <w:tcW w:w="1222"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17249C" w:rsidRDefault="00274667">
            <w:pPr>
              <w:jc w:val="center"/>
              <w:rPr>
                <w:b/>
                <w:bCs/>
                <w:color w:val="FFFFFF"/>
              </w:rPr>
            </w:pPr>
            <w:r>
              <w:rPr>
                <w:b/>
                <w:bCs/>
                <w:color w:val="FFFFFF"/>
              </w:rPr>
              <w:t>2016</w:t>
            </w:r>
          </w:p>
        </w:tc>
        <w:tc>
          <w:tcPr>
            <w:tcW w:w="0" w:type="auto"/>
            <w:gridSpan w:val="2"/>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17249C" w:rsidRDefault="00274667">
            <w:pPr>
              <w:jc w:val="center"/>
              <w:rPr>
                <w:b/>
                <w:bCs/>
                <w:color w:val="FFFFFF"/>
              </w:rPr>
            </w:pPr>
            <w:r>
              <w:rPr>
                <w:b/>
                <w:bCs/>
                <w:color w:val="FFFFFF"/>
              </w:rPr>
              <w:t>2017</w:t>
            </w:r>
          </w:p>
        </w:tc>
        <w:tc>
          <w:tcPr>
            <w:tcW w:w="1219"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17249C" w:rsidRDefault="00274667">
            <w:pPr>
              <w:jc w:val="center"/>
              <w:rPr>
                <w:b/>
                <w:bCs/>
                <w:color w:val="FFFFFF"/>
              </w:rPr>
            </w:pPr>
            <w:r>
              <w:rPr>
                <w:b/>
                <w:bCs/>
                <w:color w:val="FFFFFF"/>
              </w:rPr>
              <w:t>2018</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tcPr>
          <w:p w:rsidR="0017249C" w:rsidRDefault="0017249C" w:rsidP="00044049"/>
        </w:tc>
      </w:tr>
      <w:tr w:rsidR="0017249C" w:rsidTr="00347E22">
        <w:trPr>
          <w:trHeight w:val="255"/>
        </w:trPr>
        <w:tc>
          <w:tcPr>
            <w:tcW w:w="4276" w:type="dxa"/>
            <w:tcBorders>
              <w:left w:val="single" w:sz="4" w:space="0" w:color="000000"/>
              <w:bottom w:val="single" w:sz="4" w:space="0" w:color="000000"/>
              <w:right w:val="single" w:sz="4" w:space="0" w:color="000000"/>
            </w:tcBorders>
          </w:tcPr>
          <w:p w:rsidR="0017249C" w:rsidRDefault="0017249C" w:rsidP="00044049">
            <w:pPr>
              <w:pStyle w:val="Normlnywebov"/>
              <w:spacing w:before="0" w:beforeAutospacing="0" w:after="0" w:afterAutospacing="0"/>
            </w:pPr>
            <w:r>
              <w:rPr>
                <w:b/>
                <w:bCs/>
              </w:rPr>
              <w:t>Počet zamestnancov celkom*</w:t>
            </w:r>
          </w:p>
        </w:tc>
        <w:tc>
          <w:tcPr>
            <w:tcW w:w="1162" w:type="dxa"/>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22" w:type="dxa"/>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19" w:type="dxa"/>
            <w:tcBorders>
              <w:bottom w:val="single" w:sz="4" w:space="0" w:color="000000"/>
              <w:right w:val="single" w:sz="4" w:space="0" w:color="000000"/>
            </w:tcBorders>
            <w:tcMar>
              <w:top w:w="0" w:type="dxa"/>
              <w:left w:w="70" w:type="dxa"/>
              <w:bottom w:w="0" w:type="dxa"/>
              <w:right w:w="70" w:type="dxa"/>
            </w:tcMar>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tcMar>
              <w:top w:w="0" w:type="dxa"/>
              <w:left w:w="70" w:type="dxa"/>
              <w:bottom w:w="0" w:type="dxa"/>
              <w:right w:w="70" w:type="dxa"/>
            </w:tcMar>
            <w:vAlign w:val="center"/>
          </w:tcPr>
          <w:p w:rsidR="0017249C" w:rsidRDefault="0017249C">
            <w:pPr>
              <w:rPr>
                <w:color w:val="000000"/>
              </w:rPr>
            </w:pPr>
          </w:p>
        </w:tc>
      </w:tr>
      <w:tr w:rsidR="0017249C" w:rsidTr="00347E22">
        <w:trPr>
          <w:trHeight w:val="255"/>
        </w:trPr>
        <w:tc>
          <w:tcPr>
            <w:tcW w:w="4276" w:type="dxa"/>
            <w:tcBorders>
              <w:left w:val="single" w:sz="4" w:space="0" w:color="000000"/>
              <w:bottom w:val="single" w:sz="4" w:space="0" w:color="000000"/>
              <w:right w:val="single" w:sz="4" w:space="0" w:color="000000"/>
            </w:tcBorders>
          </w:tcPr>
          <w:p w:rsidR="0017249C" w:rsidRDefault="0017249C" w:rsidP="00044049">
            <w:pPr>
              <w:pStyle w:val="Normlnywebov"/>
              <w:spacing w:before="0" w:beforeAutospacing="0" w:after="0" w:afterAutospacing="0"/>
            </w:pPr>
            <w:r>
              <w:rPr>
                <w:b/>
                <w:bCs/>
              </w:rPr>
              <w:t>   z toho vplyv na ŠR</w:t>
            </w:r>
          </w:p>
        </w:tc>
        <w:tc>
          <w:tcPr>
            <w:tcW w:w="1162" w:type="dxa"/>
            <w:tcBorders>
              <w:top w:val="single" w:sz="4" w:space="0" w:color="000000"/>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22" w:type="dxa"/>
            <w:tcBorders>
              <w:top w:val="single" w:sz="4" w:space="0" w:color="000000"/>
              <w:bottom w:val="single" w:sz="4" w:space="0" w:color="000000"/>
              <w:right w:val="single" w:sz="4" w:space="0" w:color="000000"/>
            </w:tcBorders>
            <w:vAlign w:val="center"/>
          </w:tcPr>
          <w:p w:rsidR="0017249C" w:rsidRPr="0017249C" w:rsidRDefault="0017249C">
            <w:pPr>
              <w:jc w:val="right"/>
              <w:rPr>
                <w:b/>
                <w:bCs/>
                <w:color w:val="000000"/>
                <w:sz w:val="20"/>
              </w:rPr>
            </w:pPr>
          </w:p>
        </w:tc>
        <w:tc>
          <w:tcPr>
            <w:tcW w:w="0" w:type="auto"/>
            <w:gridSpan w:val="2"/>
            <w:tcBorders>
              <w:top w:val="single" w:sz="4" w:space="0" w:color="000000"/>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19"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tcMar>
              <w:top w:w="0" w:type="dxa"/>
              <w:left w:w="70" w:type="dxa"/>
              <w:bottom w:w="0" w:type="dxa"/>
              <w:right w:w="70" w:type="dxa"/>
            </w:tcMar>
            <w:vAlign w:val="center"/>
          </w:tcPr>
          <w:p w:rsidR="0017249C" w:rsidRDefault="0017249C">
            <w:pPr>
              <w:rPr>
                <w:color w:val="000000"/>
              </w:rPr>
            </w:pPr>
          </w:p>
        </w:tc>
      </w:tr>
      <w:tr w:rsidR="0017249C" w:rsidTr="00347E22">
        <w:trPr>
          <w:trHeight w:val="255"/>
        </w:trPr>
        <w:tc>
          <w:tcPr>
            <w:tcW w:w="4276" w:type="dxa"/>
            <w:tcBorders>
              <w:left w:val="single" w:sz="4" w:space="0" w:color="000000"/>
              <w:bottom w:val="single" w:sz="4" w:space="0" w:color="000000"/>
              <w:right w:val="single" w:sz="4" w:space="0" w:color="000000"/>
            </w:tcBorders>
          </w:tcPr>
          <w:p w:rsidR="0017249C" w:rsidRDefault="0017249C" w:rsidP="00044049">
            <w:pPr>
              <w:pStyle w:val="Normlnywebov"/>
              <w:spacing w:before="0" w:beforeAutospacing="0" w:after="0" w:afterAutospacing="0"/>
            </w:pPr>
            <w:r>
              <w:rPr>
                <w:b/>
                <w:bCs/>
              </w:rPr>
              <w:t>Priemerný mzdový výdavok (v eurách)*</w:t>
            </w:r>
          </w:p>
        </w:tc>
        <w:tc>
          <w:tcPr>
            <w:tcW w:w="1162" w:type="dxa"/>
            <w:tcBorders>
              <w:top w:val="single" w:sz="4" w:space="0" w:color="000000"/>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22" w:type="dxa"/>
            <w:tcBorders>
              <w:top w:val="single" w:sz="4" w:space="0" w:color="000000"/>
              <w:bottom w:val="single" w:sz="4" w:space="0" w:color="000000"/>
              <w:right w:val="single" w:sz="4" w:space="0" w:color="000000"/>
            </w:tcBorders>
            <w:vAlign w:val="center"/>
          </w:tcPr>
          <w:p w:rsidR="0017249C" w:rsidRPr="0017249C" w:rsidRDefault="0017249C">
            <w:pPr>
              <w:jc w:val="right"/>
              <w:rPr>
                <w:b/>
                <w:bCs/>
                <w:color w:val="000000"/>
                <w:sz w:val="20"/>
              </w:rPr>
            </w:pPr>
          </w:p>
        </w:tc>
        <w:tc>
          <w:tcPr>
            <w:tcW w:w="0" w:type="auto"/>
            <w:gridSpan w:val="2"/>
            <w:tcBorders>
              <w:top w:val="single" w:sz="4" w:space="0" w:color="000000"/>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19"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tcMar>
              <w:top w:w="0" w:type="dxa"/>
              <w:left w:w="70" w:type="dxa"/>
              <w:bottom w:w="0" w:type="dxa"/>
              <w:right w:w="70" w:type="dxa"/>
            </w:tcMar>
            <w:vAlign w:val="center"/>
          </w:tcPr>
          <w:p w:rsidR="0017249C" w:rsidRDefault="0017249C">
            <w:pPr>
              <w:rPr>
                <w:color w:val="000000"/>
              </w:rPr>
            </w:pPr>
          </w:p>
        </w:tc>
      </w:tr>
      <w:tr w:rsidR="0017249C" w:rsidTr="00347E22">
        <w:trPr>
          <w:trHeight w:val="255"/>
        </w:trPr>
        <w:tc>
          <w:tcPr>
            <w:tcW w:w="4276" w:type="dxa"/>
            <w:tcBorders>
              <w:left w:val="single" w:sz="4" w:space="0" w:color="000000"/>
              <w:bottom w:val="single" w:sz="4" w:space="0" w:color="000000"/>
              <w:right w:val="single" w:sz="4" w:space="0" w:color="000000"/>
            </w:tcBorders>
          </w:tcPr>
          <w:p w:rsidR="0017249C" w:rsidRDefault="0017249C" w:rsidP="00044049">
            <w:pPr>
              <w:pStyle w:val="Normlnywebov"/>
              <w:spacing w:before="0" w:beforeAutospacing="0" w:after="0" w:afterAutospacing="0"/>
            </w:pPr>
            <w:r>
              <w:rPr>
                <w:b/>
                <w:bCs/>
              </w:rPr>
              <w:t>   z toho vplyv na ŠR</w:t>
            </w:r>
          </w:p>
        </w:tc>
        <w:tc>
          <w:tcPr>
            <w:tcW w:w="1162" w:type="dxa"/>
            <w:tcBorders>
              <w:top w:val="single" w:sz="4" w:space="0" w:color="000000"/>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22" w:type="dxa"/>
            <w:tcBorders>
              <w:top w:val="single" w:sz="4" w:space="0" w:color="000000"/>
              <w:bottom w:val="single" w:sz="4" w:space="0" w:color="000000"/>
              <w:right w:val="single" w:sz="4" w:space="0" w:color="000000"/>
            </w:tcBorders>
            <w:vAlign w:val="center"/>
          </w:tcPr>
          <w:p w:rsidR="0017249C" w:rsidRPr="0017249C" w:rsidRDefault="0017249C">
            <w:pPr>
              <w:jc w:val="right"/>
              <w:rPr>
                <w:b/>
                <w:bCs/>
                <w:color w:val="000000"/>
                <w:sz w:val="20"/>
              </w:rPr>
            </w:pPr>
          </w:p>
        </w:tc>
        <w:tc>
          <w:tcPr>
            <w:tcW w:w="0" w:type="auto"/>
            <w:gridSpan w:val="2"/>
            <w:tcBorders>
              <w:top w:val="single" w:sz="4" w:space="0" w:color="000000"/>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19" w:type="dxa"/>
            <w:tcBorders>
              <w:top w:val="single" w:sz="4" w:space="0" w:color="000000"/>
              <w:bottom w:val="single" w:sz="4" w:space="0" w:color="000000"/>
              <w:right w:val="single" w:sz="4" w:space="0" w:color="000000"/>
            </w:tcBorders>
            <w:tcMar>
              <w:top w:w="0" w:type="dxa"/>
              <w:left w:w="70" w:type="dxa"/>
              <w:bottom w:w="0" w:type="dxa"/>
              <w:right w:w="70" w:type="dxa"/>
            </w:tcMar>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tcMar>
              <w:top w:w="0" w:type="dxa"/>
              <w:left w:w="70" w:type="dxa"/>
              <w:bottom w:w="0" w:type="dxa"/>
              <w:right w:w="70" w:type="dxa"/>
            </w:tcMar>
            <w:vAlign w:val="center"/>
          </w:tcPr>
          <w:p w:rsidR="0017249C" w:rsidRDefault="0017249C">
            <w:pPr>
              <w:rPr>
                <w:color w:val="000000"/>
              </w:rPr>
            </w:pPr>
          </w:p>
        </w:tc>
      </w:tr>
      <w:tr w:rsidR="0017249C" w:rsidTr="00347E22">
        <w:trPr>
          <w:trHeight w:val="255"/>
        </w:trPr>
        <w:tc>
          <w:tcPr>
            <w:tcW w:w="4276" w:type="dxa"/>
            <w:tcBorders>
              <w:left w:val="single" w:sz="4" w:space="0" w:color="000000"/>
              <w:bottom w:val="single" w:sz="4" w:space="0" w:color="000000"/>
              <w:right w:val="single" w:sz="4" w:space="0" w:color="000000"/>
            </w:tcBorders>
            <w:shd w:val="clear" w:color="auto" w:fill="000000"/>
          </w:tcPr>
          <w:p w:rsidR="0017249C" w:rsidRDefault="0017249C" w:rsidP="00044049">
            <w:pPr>
              <w:pStyle w:val="Normlnywebov"/>
              <w:spacing w:before="0" w:beforeAutospacing="0" w:after="0" w:afterAutospacing="0"/>
            </w:pPr>
            <w:r>
              <w:rPr>
                <w:b/>
                <w:bCs/>
                <w:color w:val="FFFFFF"/>
              </w:rPr>
              <w:t>Osobné výdavky celkom (v eurách)</w:t>
            </w:r>
          </w:p>
        </w:tc>
        <w:tc>
          <w:tcPr>
            <w:tcW w:w="1162" w:type="dxa"/>
            <w:tcBorders>
              <w:bottom w:val="single" w:sz="4" w:space="0" w:color="000000"/>
              <w:right w:val="single" w:sz="4" w:space="0" w:color="000000"/>
            </w:tcBorders>
            <w:shd w:val="clear" w:color="auto" w:fill="000000"/>
            <w:vAlign w:val="center"/>
          </w:tcPr>
          <w:p w:rsidR="0017249C" w:rsidRPr="0017249C" w:rsidRDefault="0017249C">
            <w:pPr>
              <w:rPr>
                <w:b/>
                <w:bCs/>
                <w:color w:val="FFFFFF"/>
                <w:sz w:val="20"/>
              </w:rPr>
            </w:pPr>
            <w:r w:rsidRPr="0017249C">
              <w:rPr>
                <w:b/>
                <w:bCs/>
                <w:color w:val="FFFFFF"/>
                <w:sz w:val="20"/>
              </w:rPr>
              <w:t> </w:t>
            </w:r>
          </w:p>
        </w:tc>
        <w:tc>
          <w:tcPr>
            <w:tcW w:w="1222" w:type="dxa"/>
            <w:tcBorders>
              <w:bottom w:val="single" w:sz="4" w:space="0" w:color="000000"/>
              <w:right w:val="single" w:sz="4" w:space="0" w:color="000000"/>
            </w:tcBorders>
            <w:shd w:val="clear" w:color="auto" w:fill="000000"/>
            <w:vAlign w:val="center"/>
          </w:tcPr>
          <w:p w:rsidR="0017249C" w:rsidRPr="0017249C" w:rsidRDefault="0017249C">
            <w:pPr>
              <w:rPr>
                <w:b/>
                <w:bCs/>
                <w:color w:val="FFFFFF"/>
                <w:sz w:val="20"/>
              </w:rPr>
            </w:pPr>
            <w:r w:rsidRPr="0017249C">
              <w:rPr>
                <w:b/>
                <w:bCs/>
                <w:color w:val="FFFFFF"/>
                <w:sz w:val="20"/>
              </w:rPr>
              <w:t> </w:t>
            </w:r>
          </w:p>
        </w:tc>
        <w:tc>
          <w:tcPr>
            <w:tcW w:w="0" w:type="auto"/>
            <w:gridSpan w:val="2"/>
            <w:tcBorders>
              <w:bottom w:val="single" w:sz="4" w:space="0" w:color="000000"/>
              <w:right w:val="single" w:sz="4" w:space="0" w:color="000000"/>
            </w:tcBorders>
            <w:shd w:val="clear" w:color="auto" w:fill="000000"/>
            <w:vAlign w:val="center"/>
          </w:tcPr>
          <w:p w:rsidR="0017249C" w:rsidRPr="0017249C" w:rsidRDefault="0017249C">
            <w:pPr>
              <w:rPr>
                <w:b/>
                <w:bCs/>
                <w:color w:val="FFFFFF"/>
                <w:sz w:val="20"/>
              </w:rPr>
            </w:pPr>
            <w:r w:rsidRPr="0017249C">
              <w:rPr>
                <w:b/>
                <w:bCs/>
                <w:color w:val="FFFFFF"/>
                <w:sz w:val="20"/>
              </w:rPr>
              <w:t> </w:t>
            </w:r>
          </w:p>
        </w:tc>
        <w:tc>
          <w:tcPr>
            <w:tcW w:w="1219" w:type="dxa"/>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17249C" w:rsidRPr="0017249C" w:rsidRDefault="0017249C">
            <w:pPr>
              <w:rPr>
                <w:b/>
                <w:bCs/>
                <w:color w:val="FFFFFF"/>
                <w:sz w:val="20"/>
              </w:rPr>
            </w:pPr>
            <w:r w:rsidRPr="0017249C">
              <w:rPr>
                <w:b/>
                <w:bCs/>
                <w:color w:val="FFFFFF"/>
                <w:sz w:val="20"/>
              </w:rPr>
              <w:t> </w:t>
            </w:r>
          </w:p>
        </w:tc>
        <w:tc>
          <w:tcPr>
            <w:tcW w:w="0" w:type="auto"/>
            <w:gridSpan w:val="2"/>
            <w:tcBorders>
              <w:bottom w:val="single" w:sz="4" w:space="0" w:color="000000"/>
              <w:right w:val="single" w:sz="4" w:space="0" w:color="000000"/>
            </w:tcBorders>
            <w:shd w:val="clear" w:color="auto" w:fill="000000"/>
            <w:tcMar>
              <w:top w:w="0" w:type="dxa"/>
              <w:left w:w="70" w:type="dxa"/>
              <w:bottom w:w="0" w:type="dxa"/>
              <w:right w:w="70" w:type="dxa"/>
            </w:tcMar>
            <w:vAlign w:val="center"/>
          </w:tcPr>
          <w:p w:rsidR="0017249C" w:rsidRDefault="0017249C">
            <w:pPr>
              <w:rPr>
                <w:b/>
                <w:bCs/>
                <w:color w:val="FFFFFF"/>
              </w:rPr>
            </w:pPr>
            <w:r>
              <w:rPr>
                <w:b/>
                <w:bCs/>
                <w:color w:val="FFFFFF"/>
              </w:rPr>
              <w:t> </w:t>
            </w:r>
          </w:p>
        </w:tc>
      </w:tr>
      <w:tr w:rsidR="0017249C" w:rsidTr="00347E22">
        <w:trPr>
          <w:trHeight w:val="255"/>
        </w:trPr>
        <w:tc>
          <w:tcPr>
            <w:tcW w:w="4276" w:type="dxa"/>
            <w:tcBorders>
              <w:left w:val="single" w:sz="4" w:space="0" w:color="000000"/>
              <w:bottom w:val="single" w:sz="4" w:space="0" w:color="000000"/>
              <w:right w:val="single" w:sz="4" w:space="0" w:color="000000"/>
            </w:tcBorders>
          </w:tcPr>
          <w:p w:rsidR="0017249C" w:rsidRDefault="0017249C" w:rsidP="00044049">
            <w:pPr>
              <w:pStyle w:val="Normlnywebov"/>
              <w:spacing w:before="0" w:beforeAutospacing="0" w:after="0" w:afterAutospacing="0"/>
            </w:pPr>
            <w:r>
              <w:rPr>
                <w:b/>
                <w:bCs/>
              </w:rPr>
              <w:t xml:space="preserve">Mzdy, platy, služobné príjmy a ostatné osobné vyrovnania (610)* </w:t>
            </w:r>
          </w:p>
        </w:tc>
        <w:tc>
          <w:tcPr>
            <w:tcW w:w="1162" w:type="dxa"/>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22" w:type="dxa"/>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19" w:type="dxa"/>
            <w:tcBorders>
              <w:bottom w:val="single" w:sz="4" w:space="0" w:color="000000"/>
              <w:right w:val="single" w:sz="4" w:space="0" w:color="000000"/>
            </w:tcBorders>
            <w:tcMar>
              <w:top w:w="0" w:type="dxa"/>
              <w:left w:w="70" w:type="dxa"/>
              <w:bottom w:w="0" w:type="dxa"/>
              <w:right w:w="70" w:type="dxa"/>
            </w:tcMar>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tcMar>
              <w:top w:w="0" w:type="dxa"/>
              <w:left w:w="70" w:type="dxa"/>
              <w:bottom w:w="0" w:type="dxa"/>
              <w:right w:w="70" w:type="dxa"/>
            </w:tcMar>
            <w:vAlign w:val="center"/>
          </w:tcPr>
          <w:p w:rsidR="0017249C" w:rsidRDefault="0017249C">
            <w:pPr>
              <w:rPr>
                <w:b/>
                <w:bCs/>
                <w:color w:val="000000"/>
              </w:rPr>
            </w:pPr>
            <w:r>
              <w:rPr>
                <w:b/>
                <w:bCs/>
                <w:color w:val="000000"/>
              </w:rPr>
              <w:t> </w:t>
            </w:r>
          </w:p>
        </w:tc>
      </w:tr>
      <w:tr w:rsidR="0017249C" w:rsidTr="00347E22">
        <w:trPr>
          <w:trHeight w:val="255"/>
        </w:trPr>
        <w:tc>
          <w:tcPr>
            <w:tcW w:w="4276" w:type="dxa"/>
            <w:tcBorders>
              <w:left w:val="single" w:sz="4" w:space="0" w:color="000000"/>
              <w:bottom w:val="single" w:sz="4" w:space="0" w:color="000000"/>
              <w:right w:val="single" w:sz="4" w:space="0" w:color="000000"/>
            </w:tcBorders>
          </w:tcPr>
          <w:p w:rsidR="0017249C" w:rsidRDefault="0017249C" w:rsidP="00044049">
            <w:pPr>
              <w:pStyle w:val="Normlnywebov"/>
              <w:spacing w:before="0" w:beforeAutospacing="0" w:after="0" w:afterAutospacing="0"/>
            </w:pPr>
            <w:r>
              <w:rPr>
                <w:b/>
                <w:bCs/>
              </w:rPr>
              <w:t>   z toho vplyv na ŠR</w:t>
            </w:r>
          </w:p>
        </w:tc>
        <w:tc>
          <w:tcPr>
            <w:tcW w:w="1162" w:type="dxa"/>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22" w:type="dxa"/>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19" w:type="dxa"/>
            <w:tcBorders>
              <w:bottom w:val="single" w:sz="4" w:space="0" w:color="000000"/>
              <w:right w:val="single" w:sz="4" w:space="0" w:color="000000"/>
            </w:tcBorders>
            <w:tcMar>
              <w:top w:w="0" w:type="dxa"/>
              <w:left w:w="70" w:type="dxa"/>
              <w:bottom w:w="0" w:type="dxa"/>
              <w:right w:w="70" w:type="dxa"/>
            </w:tcMar>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tcMar>
              <w:top w:w="0" w:type="dxa"/>
              <w:left w:w="70" w:type="dxa"/>
              <w:bottom w:w="0" w:type="dxa"/>
              <w:right w:w="70" w:type="dxa"/>
            </w:tcMar>
            <w:vAlign w:val="center"/>
          </w:tcPr>
          <w:p w:rsidR="0017249C" w:rsidRDefault="0017249C">
            <w:pPr>
              <w:rPr>
                <w:color w:val="000000"/>
              </w:rPr>
            </w:pPr>
          </w:p>
        </w:tc>
      </w:tr>
      <w:tr w:rsidR="0017249C" w:rsidTr="00347E22">
        <w:trPr>
          <w:trHeight w:val="255"/>
        </w:trPr>
        <w:tc>
          <w:tcPr>
            <w:tcW w:w="4276" w:type="dxa"/>
            <w:tcBorders>
              <w:left w:val="single" w:sz="4" w:space="0" w:color="000000"/>
              <w:bottom w:val="single" w:sz="4" w:space="0" w:color="000000"/>
              <w:right w:val="single" w:sz="4" w:space="0" w:color="000000"/>
            </w:tcBorders>
          </w:tcPr>
          <w:p w:rsidR="0017249C" w:rsidRDefault="0017249C" w:rsidP="00044049">
            <w:pPr>
              <w:pStyle w:val="Normlnywebov"/>
              <w:spacing w:before="0" w:beforeAutospacing="0" w:after="0" w:afterAutospacing="0"/>
            </w:pPr>
            <w:r>
              <w:rPr>
                <w:b/>
                <w:bCs/>
              </w:rPr>
              <w:t>Poistné a príspevok do poisťovní (620)*</w:t>
            </w:r>
          </w:p>
        </w:tc>
        <w:tc>
          <w:tcPr>
            <w:tcW w:w="1162" w:type="dxa"/>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22" w:type="dxa"/>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19" w:type="dxa"/>
            <w:tcBorders>
              <w:bottom w:val="single" w:sz="4" w:space="0" w:color="000000"/>
              <w:right w:val="single" w:sz="4" w:space="0" w:color="000000"/>
            </w:tcBorders>
            <w:tcMar>
              <w:top w:w="0" w:type="dxa"/>
              <w:left w:w="70" w:type="dxa"/>
              <w:bottom w:w="0" w:type="dxa"/>
              <w:right w:w="70" w:type="dxa"/>
            </w:tcMar>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tcMar>
              <w:top w:w="0" w:type="dxa"/>
              <w:left w:w="70" w:type="dxa"/>
              <w:bottom w:w="0" w:type="dxa"/>
              <w:right w:w="70" w:type="dxa"/>
            </w:tcMar>
            <w:vAlign w:val="center"/>
          </w:tcPr>
          <w:p w:rsidR="0017249C" w:rsidRDefault="0017249C">
            <w:pPr>
              <w:rPr>
                <w:b/>
                <w:bCs/>
                <w:color w:val="000000"/>
              </w:rPr>
            </w:pPr>
          </w:p>
        </w:tc>
      </w:tr>
      <w:tr w:rsidR="0017249C" w:rsidTr="00347E22">
        <w:trPr>
          <w:trHeight w:val="255"/>
        </w:trPr>
        <w:tc>
          <w:tcPr>
            <w:tcW w:w="4276" w:type="dxa"/>
            <w:tcBorders>
              <w:left w:val="single" w:sz="4" w:space="0" w:color="000000"/>
              <w:bottom w:val="single" w:sz="4" w:space="0" w:color="000000"/>
              <w:right w:val="single" w:sz="4" w:space="0" w:color="000000"/>
            </w:tcBorders>
          </w:tcPr>
          <w:p w:rsidR="0017249C" w:rsidRDefault="0017249C" w:rsidP="00044049">
            <w:pPr>
              <w:pStyle w:val="Normlnywebov"/>
              <w:spacing w:before="0" w:beforeAutospacing="0" w:after="0" w:afterAutospacing="0"/>
            </w:pPr>
            <w:r>
              <w:rPr>
                <w:b/>
                <w:bCs/>
              </w:rPr>
              <w:t>   z toho vplyv na ŠR</w:t>
            </w:r>
          </w:p>
        </w:tc>
        <w:tc>
          <w:tcPr>
            <w:tcW w:w="1162" w:type="dxa"/>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22" w:type="dxa"/>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vAlign w:val="center"/>
          </w:tcPr>
          <w:p w:rsidR="0017249C" w:rsidRPr="0017249C" w:rsidRDefault="0017249C">
            <w:pPr>
              <w:jc w:val="right"/>
              <w:rPr>
                <w:b/>
                <w:bCs/>
                <w:color w:val="000000"/>
                <w:sz w:val="20"/>
              </w:rPr>
            </w:pPr>
          </w:p>
        </w:tc>
        <w:tc>
          <w:tcPr>
            <w:tcW w:w="1219" w:type="dxa"/>
            <w:tcBorders>
              <w:bottom w:val="single" w:sz="4" w:space="0" w:color="000000"/>
              <w:right w:val="single" w:sz="4" w:space="0" w:color="000000"/>
            </w:tcBorders>
            <w:tcMar>
              <w:top w:w="0" w:type="dxa"/>
              <w:left w:w="70" w:type="dxa"/>
              <w:bottom w:w="0" w:type="dxa"/>
              <w:right w:w="70" w:type="dxa"/>
            </w:tcMar>
            <w:vAlign w:val="center"/>
          </w:tcPr>
          <w:p w:rsidR="0017249C" w:rsidRPr="0017249C" w:rsidRDefault="0017249C">
            <w:pPr>
              <w:jc w:val="right"/>
              <w:rPr>
                <w:b/>
                <w:bCs/>
                <w:color w:val="000000"/>
                <w:sz w:val="20"/>
              </w:rPr>
            </w:pPr>
          </w:p>
        </w:tc>
        <w:tc>
          <w:tcPr>
            <w:tcW w:w="0" w:type="auto"/>
            <w:gridSpan w:val="2"/>
            <w:tcBorders>
              <w:bottom w:val="single" w:sz="4" w:space="0" w:color="000000"/>
              <w:right w:val="single" w:sz="4" w:space="0" w:color="000000"/>
            </w:tcBorders>
            <w:tcMar>
              <w:top w:w="0" w:type="dxa"/>
              <w:left w:w="70" w:type="dxa"/>
              <w:bottom w:w="0" w:type="dxa"/>
              <w:right w:w="70" w:type="dxa"/>
            </w:tcMar>
            <w:vAlign w:val="center"/>
          </w:tcPr>
          <w:p w:rsidR="0017249C" w:rsidRDefault="0017249C">
            <w:pPr>
              <w:rPr>
                <w:color w:val="000000"/>
              </w:rPr>
            </w:pPr>
          </w:p>
        </w:tc>
      </w:tr>
      <w:tr w:rsidR="00044049" w:rsidTr="00347E22">
        <w:trPr>
          <w:trHeight w:val="255"/>
        </w:trPr>
        <w:tc>
          <w:tcPr>
            <w:tcW w:w="4276" w:type="dxa"/>
            <w:vAlign w:val="bottom"/>
          </w:tcPr>
          <w:p w:rsidR="00044049" w:rsidRDefault="00044049" w:rsidP="00044049">
            <w:pPr>
              <w:pStyle w:val="Normlnywebov"/>
              <w:spacing w:before="0" w:beforeAutospacing="0" w:after="0" w:afterAutospacing="0"/>
            </w:pPr>
            <w:r>
              <w:lastRenderedPageBreak/>
              <w:t> </w:t>
            </w:r>
          </w:p>
        </w:tc>
        <w:tc>
          <w:tcPr>
            <w:tcW w:w="1162" w:type="dxa"/>
            <w:vAlign w:val="bottom"/>
          </w:tcPr>
          <w:p w:rsidR="00044049" w:rsidRDefault="00044049" w:rsidP="00044049">
            <w:pPr>
              <w:pStyle w:val="Normlnywebov"/>
              <w:spacing w:before="0" w:beforeAutospacing="0" w:after="0" w:afterAutospacing="0"/>
            </w:pPr>
            <w:r>
              <w:t> </w:t>
            </w:r>
          </w:p>
        </w:tc>
        <w:tc>
          <w:tcPr>
            <w:tcW w:w="1222" w:type="dxa"/>
            <w:vAlign w:val="bottom"/>
          </w:tcPr>
          <w:p w:rsidR="00044049" w:rsidRDefault="00044049" w:rsidP="00044049">
            <w:pPr>
              <w:pStyle w:val="Normlnywebov"/>
              <w:spacing w:before="0" w:beforeAutospacing="0" w:after="0" w:afterAutospacing="0"/>
            </w:pPr>
            <w:r>
              <w:t> </w:t>
            </w:r>
          </w:p>
        </w:tc>
        <w:tc>
          <w:tcPr>
            <w:tcW w:w="0" w:type="auto"/>
            <w:gridSpan w:val="2"/>
            <w:vAlign w:val="bottom"/>
          </w:tcPr>
          <w:p w:rsidR="00044049" w:rsidRDefault="00044049" w:rsidP="00044049">
            <w:pPr>
              <w:pStyle w:val="Normlnywebov"/>
              <w:spacing w:before="0" w:beforeAutospacing="0" w:after="0" w:afterAutospacing="0"/>
            </w:pPr>
            <w:r>
              <w:t> </w:t>
            </w:r>
          </w:p>
        </w:tc>
        <w:tc>
          <w:tcPr>
            <w:tcW w:w="1219" w:type="dxa"/>
            <w:tcMar>
              <w:top w:w="0" w:type="dxa"/>
              <w:left w:w="70" w:type="dxa"/>
              <w:bottom w:w="0" w:type="dxa"/>
              <w:right w:w="70" w:type="dxa"/>
            </w:tcMar>
            <w:vAlign w:val="bottom"/>
          </w:tcPr>
          <w:p w:rsidR="00044049" w:rsidRDefault="00044049" w:rsidP="00044049">
            <w:pPr>
              <w:pStyle w:val="Normlnywebov"/>
              <w:spacing w:before="0" w:beforeAutospacing="0" w:after="0" w:afterAutospacing="0"/>
            </w:pPr>
            <w:r>
              <w:t> </w:t>
            </w:r>
          </w:p>
        </w:tc>
        <w:tc>
          <w:tcPr>
            <w:tcW w:w="0" w:type="auto"/>
            <w:gridSpan w:val="2"/>
            <w:tcMar>
              <w:top w:w="0" w:type="dxa"/>
              <w:left w:w="70" w:type="dxa"/>
              <w:bottom w:w="0" w:type="dxa"/>
              <w:right w:w="70" w:type="dxa"/>
            </w:tcMar>
            <w:vAlign w:val="bottom"/>
          </w:tcPr>
          <w:p w:rsidR="00044049" w:rsidRDefault="00044049" w:rsidP="00044049">
            <w:pPr>
              <w:pStyle w:val="Normlnywebov"/>
              <w:spacing w:before="0" w:beforeAutospacing="0" w:after="0" w:afterAutospacing="0"/>
            </w:pPr>
            <w:r>
              <w:t> </w:t>
            </w:r>
          </w:p>
        </w:tc>
      </w:tr>
      <w:tr w:rsidR="00044049" w:rsidTr="00347E22">
        <w:trPr>
          <w:trHeight w:val="255"/>
        </w:trPr>
        <w:tc>
          <w:tcPr>
            <w:tcW w:w="4276" w:type="dxa"/>
          </w:tcPr>
          <w:p w:rsidR="00044049" w:rsidRDefault="00044049" w:rsidP="00044049">
            <w:pPr>
              <w:pStyle w:val="Normlnywebov"/>
              <w:spacing w:before="0" w:beforeAutospacing="0" w:after="0" w:afterAutospacing="0"/>
            </w:pPr>
            <w:r>
              <w:rPr>
                <w:b/>
                <w:bCs/>
              </w:rPr>
              <w:t>Poznámky:</w:t>
            </w:r>
          </w:p>
        </w:tc>
        <w:tc>
          <w:tcPr>
            <w:tcW w:w="1162" w:type="dxa"/>
            <w:vAlign w:val="bottom"/>
          </w:tcPr>
          <w:p w:rsidR="00044049" w:rsidRDefault="00044049" w:rsidP="00044049">
            <w:pPr>
              <w:pStyle w:val="Normlnywebov"/>
              <w:spacing w:before="0" w:beforeAutospacing="0" w:after="0" w:afterAutospacing="0"/>
            </w:pPr>
            <w:r>
              <w:t> </w:t>
            </w:r>
          </w:p>
        </w:tc>
        <w:tc>
          <w:tcPr>
            <w:tcW w:w="1222" w:type="dxa"/>
            <w:vAlign w:val="bottom"/>
          </w:tcPr>
          <w:p w:rsidR="00044049" w:rsidRDefault="00044049" w:rsidP="00044049">
            <w:pPr>
              <w:pStyle w:val="Normlnywebov"/>
              <w:spacing w:before="0" w:beforeAutospacing="0" w:after="0" w:afterAutospacing="0"/>
            </w:pPr>
            <w:r>
              <w:t> </w:t>
            </w:r>
          </w:p>
        </w:tc>
        <w:tc>
          <w:tcPr>
            <w:tcW w:w="0" w:type="auto"/>
            <w:gridSpan w:val="2"/>
            <w:vAlign w:val="bottom"/>
          </w:tcPr>
          <w:p w:rsidR="00044049" w:rsidRDefault="00044049" w:rsidP="00044049">
            <w:pPr>
              <w:pStyle w:val="Normlnywebov"/>
              <w:spacing w:before="0" w:beforeAutospacing="0" w:after="0" w:afterAutospacing="0"/>
            </w:pPr>
            <w:r>
              <w:t> </w:t>
            </w:r>
          </w:p>
        </w:tc>
        <w:tc>
          <w:tcPr>
            <w:tcW w:w="1219" w:type="dxa"/>
            <w:tcMar>
              <w:top w:w="0" w:type="dxa"/>
              <w:left w:w="70" w:type="dxa"/>
              <w:bottom w:w="0" w:type="dxa"/>
              <w:right w:w="70" w:type="dxa"/>
            </w:tcMar>
            <w:vAlign w:val="bottom"/>
          </w:tcPr>
          <w:p w:rsidR="00044049" w:rsidRDefault="00044049" w:rsidP="00044049">
            <w:pPr>
              <w:pStyle w:val="Normlnywebov"/>
              <w:spacing w:before="0" w:beforeAutospacing="0" w:after="0" w:afterAutospacing="0"/>
            </w:pPr>
            <w:r>
              <w:t> </w:t>
            </w:r>
          </w:p>
        </w:tc>
        <w:tc>
          <w:tcPr>
            <w:tcW w:w="0" w:type="auto"/>
            <w:gridSpan w:val="2"/>
            <w:tcMar>
              <w:top w:w="0" w:type="dxa"/>
              <w:left w:w="70" w:type="dxa"/>
              <w:bottom w:w="0" w:type="dxa"/>
              <w:right w:w="70" w:type="dxa"/>
            </w:tcMar>
            <w:vAlign w:val="bottom"/>
          </w:tcPr>
          <w:p w:rsidR="00044049" w:rsidRDefault="00044049" w:rsidP="00044049">
            <w:pPr>
              <w:pStyle w:val="Normlnywebov"/>
              <w:spacing w:before="0" w:beforeAutospacing="0" w:after="0" w:afterAutospacing="0"/>
            </w:pPr>
            <w:r>
              <w:t> </w:t>
            </w:r>
          </w:p>
        </w:tc>
      </w:tr>
      <w:tr w:rsidR="00044049" w:rsidTr="00347E22">
        <w:trPr>
          <w:trHeight w:val="255"/>
        </w:trPr>
        <w:tc>
          <w:tcPr>
            <w:tcW w:w="9381" w:type="dxa"/>
            <w:gridSpan w:val="6"/>
            <w:tcMar>
              <w:top w:w="0" w:type="dxa"/>
              <w:left w:w="70" w:type="dxa"/>
              <w:bottom w:w="0" w:type="dxa"/>
              <w:right w:w="70" w:type="dxa"/>
            </w:tcMar>
          </w:tcPr>
          <w:p w:rsidR="00044049" w:rsidRDefault="00044049" w:rsidP="00044049">
            <w:pPr>
              <w:pStyle w:val="Normlnywebov"/>
              <w:spacing w:before="0" w:beforeAutospacing="0" w:after="0" w:afterAutospacing="0"/>
            </w:pPr>
            <w:r>
              <w:t>Priemerný mzdový výdavok je tvorený podielom mzdových výdavkov na jedného zamestnanca na jeden kalendárny mesiac bežného roka</w:t>
            </w:r>
          </w:p>
        </w:tc>
        <w:tc>
          <w:tcPr>
            <w:tcW w:w="0" w:type="auto"/>
            <w:gridSpan w:val="2"/>
            <w:tcMar>
              <w:top w:w="0" w:type="dxa"/>
              <w:left w:w="70" w:type="dxa"/>
              <w:bottom w:w="0" w:type="dxa"/>
              <w:right w:w="70" w:type="dxa"/>
            </w:tcMar>
            <w:vAlign w:val="bottom"/>
          </w:tcPr>
          <w:p w:rsidR="00044049" w:rsidRDefault="00044049" w:rsidP="00044049">
            <w:pPr>
              <w:pStyle w:val="Normlnywebov"/>
              <w:spacing w:before="0" w:beforeAutospacing="0" w:after="0" w:afterAutospacing="0"/>
            </w:pPr>
            <w:r>
              <w:t> </w:t>
            </w:r>
          </w:p>
        </w:tc>
      </w:tr>
      <w:tr w:rsidR="00044049" w:rsidTr="00044049">
        <w:trPr>
          <w:trHeight w:val="255"/>
        </w:trPr>
        <w:tc>
          <w:tcPr>
            <w:tcW w:w="15114" w:type="dxa"/>
            <w:gridSpan w:val="8"/>
            <w:tcMar>
              <w:top w:w="0" w:type="dxa"/>
              <w:left w:w="70" w:type="dxa"/>
              <w:bottom w:w="0" w:type="dxa"/>
              <w:right w:w="70" w:type="dxa"/>
            </w:tcMar>
            <w:vAlign w:val="bottom"/>
          </w:tcPr>
          <w:p w:rsidR="00044049" w:rsidRDefault="00044049" w:rsidP="00044049">
            <w:pPr>
              <w:pStyle w:val="Normlnywebov"/>
              <w:spacing w:before="0" w:beforeAutospacing="0" w:after="0" w:afterAutospacing="0"/>
            </w:pPr>
            <w: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rsidR="00347E22" w:rsidTr="009915F8">
        <w:trPr>
          <w:trHeight w:val="255"/>
        </w:trPr>
        <w:tc>
          <w:tcPr>
            <w:tcW w:w="15114" w:type="dxa"/>
            <w:gridSpan w:val="8"/>
            <w:vAlign w:val="bottom"/>
          </w:tcPr>
          <w:p w:rsidR="00347E22" w:rsidRDefault="00347E22" w:rsidP="00044049">
            <w:pPr>
              <w:pStyle w:val="Normlnywebov"/>
              <w:spacing w:before="0" w:beforeAutospacing="0" w:after="0" w:afterAutospacing="0"/>
            </w:pPr>
            <w:r>
              <w:t>Kategórie 610 a 620 sú z tejto prílohy automaticky prenášané do príslušných kategórií prílohy „výdavky“</w:t>
            </w:r>
          </w:p>
          <w:p w:rsidR="00347E22" w:rsidRDefault="00347E22" w:rsidP="00044049">
            <w:pPr>
              <w:pStyle w:val="Normlnywebov"/>
              <w:spacing w:before="0" w:beforeAutospacing="0" w:after="0" w:afterAutospacing="0"/>
            </w:pPr>
            <w:r>
              <w:t> </w:t>
            </w:r>
          </w:p>
        </w:tc>
      </w:tr>
      <w:tr w:rsidR="00044049" w:rsidTr="00347E22">
        <w:tc>
          <w:tcPr>
            <w:tcW w:w="4276" w:type="dxa"/>
            <w:tcBorders>
              <w:top w:val="nil"/>
              <w:left w:val="nil"/>
              <w:bottom w:val="nil"/>
              <w:right w:val="nil"/>
            </w:tcBorders>
            <w:vAlign w:val="center"/>
          </w:tcPr>
          <w:p w:rsidR="00044049" w:rsidRDefault="00044049" w:rsidP="00044049">
            <w:pPr>
              <w:rPr>
                <w:sz w:val="2"/>
              </w:rPr>
            </w:pPr>
          </w:p>
        </w:tc>
        <w:tc>
          <w:tcPr>
            <w:tcW w:w="1162" w:type="dxa"/>
            <w:tcBorders>
              <w:top w:val="nil"/>
              <w:left w:val="nil"/>
              <w:bottom w:val="nil"/>
              <w:right w:val="nil"/>
            </w:tcBorders>
            <w:vAlign w:val="center"/>
          </w:tcPr>
          <w:p w:rsidR="00044049" w:rsidRDefault="00044049" w:rsidP="00044049">
            <w:pPr>
              <w:rPr>
                <w:sz w:val="2"/>
              </w:rPr>
            </w:pPr>
          </w:p>
        </w:tc>
        <w:tc>
          <w:tcPr>
            <w:tcW w:w="1222" w:type="dxa"/>
            <w:tcBorders>
              <w:top w:val="nil"/>
              <w:left w:val="nil"/>
              <w:bottom w:val="nil"/>
              <w:right w:val="nil"/>
            </w:tcBorders>
            <w:vAlign w:val="center"/>
          </w:tcPr>
          <w:p w:rsidR="00044049" w:rsidRDefault="00044049" w:rsidP="00044049">
            <w:pPr>
              <w:rPr>
                <w:sz w:val="2"/>
              </w:rPr>
            </w:pPr>
          </w:p>
        </w:tc>
        <w:tc>
          <w:tcPr>
            <w:tcW w:w="397" w:type="dxa"/>
            <w:tcBorders>
              <w:top w:val="nil"/>
              <w:left w:val="nil"/>
              <w:bottom w:val="nil"/>
              <w:right w:val="nil"/>
            </w:tcBorders>
            <w:vAlign w:val="center"/>
          </w:tcPr>
          <w:p w:rsidR="00044049" w:rsidRDefault="00044049" w:rsidP="00044049">
            <w:pPr>
              <w:rPr>
                <w:sz w:val="2"/>
              </w:rPr>
            </w:pPr>
          </w:p>
        </w:tc>
        <w:tc>
          <w:tcPr>
            <w:tcW w:w="1105" w:type="dxa"/>
            <w:tcBorders>
              <w:top w:val="nil"/>
              <w:left w:val="nil"/>
              <w:bottom w:val="nil"/>
              <w:right w:val="nil"/>
            </w:tcBorders>
            <w:vAlign w:val="center"/>
          </w:tcPr>
          <w:p w:rsidR="00044049" w:rsidRDefault="00044049" w:rsidP="00044049">
            <w:pPr>
              <w:rPr>
                <w:sz w:val="2"/>
              </w:rPr>
            </w:pPr>
          </w:p>
        </w:tc>
        <w:tc>
          <w:tcPr>
            <w:tcW w:w="1219" w:type="dxa"/>
            <w:tcBorders>
              <w:top w:val="nil"/>
              <w:left w:val="nil"/>
              <w:bottom w:val="nil"/>
              <w:right w:val="nil"/>
            </w:tcBorders>
            <w:vAlign w:val="center"/>
          </w:tcPr>
          <w:p w:rsidR="00044049" w:rsidRDefault="00044049" w:rsidP="00044049">
            <w:pPr>
              <w:rPr>
                <w:sz w:val="2"/>
              </w:rPr>
            </w:pPr>
          </w:p>
        </w:tc>
        <w:tc>
          <w:tcPr>
            <w:tcW w:w="2142" w:type="dxa"/>
            <w:tcBorders>
              <w:top w:val="nil"/>
              <w:left w:val="nil"/>
              <w:bottom w:val="nil"/>
              <w:right w:val="nil"/>
            </w:tcBorders>
            <w:vAlign w:val="center"/>
          </w:tcPr>
          <w:p w:rsidR="00044049" w:rsidRDefault="00044049" w:rsidP="00044049">
            <w:pPr>
              <w:rPr>
                <w:sz w:val="2"/>
              </w:rPr>
            </w:pPr>
          </w:p>
        </w:tc>
        <w:tc>
          <w:tcPr>
            <w:tcW w:w="3591" w:type="dxa"/>
            <w:tcBorders>
              <w:top w:val="nil"/>
              <w:left w:val="nil"/>
              <w:bottom w:val="nil"/>
              <w:right w:val="nil"/>
            </w:tcBorders>
            <w:vAlign w:val="center"/>
          </w:tcPr>
          <w:p w:rsidR="00044049" w:rsidRDefault="00044049" w:rsidP="00044049">
            <w:pPr>
              <w:rPr>
                <w:sz w:val="2"/>
              </w:rPr>
            </w:pPr>
          </w:p>
        </w:tc>
      </w:tr>
    </w:tbl>
    <w:p w:rsidR="00586278" w:rsidRDefault="00586278" w:rsidP="00DF6356">
      <w:pPr>
        <w:pStyle w:val="Normlnywebov"/>
        <w:spacing w:before="0" w:beforeAutospacing="0" w:after="0" w:afterAutospacing="0"/>
        <w:jc w:val="both"/>
      </w:pPr>
    </w:p>
    <w:p w:rsidR="00586278" w:rsidRDefault="00586278" w:rsidP="00586278"/>
    <w:p w:rsidR="00586278" w:rsidRDefault="00586278" w:rsidP="00586278">
      <w:pPr>
        <w:tabs>
          <w:tab w:val="left" w:pos="7590"/>
        </w:tabs>
      </w:pPr>
      <w:r>
        <w:tab/>
      </w:r>
    </w:p>
    <w:p w:rsidR="00586278" w:rsidRDefault="00586278" w:rsidP="00586278"/>
    <w:p w:rsidR="00DF6356" w:rsidRPr="00586278" w:rsidRDefault="00DF6356" w:rsidP="00586278">
      <w:pPr>
        <w:sectPr w:rsidR="00DF6356" w:rsidRPr="00586278" w:rsidSect="00B67A6A">
          <w:headerReference w:type="default" r:id="rId13"/>
          <w:footerReference w:type="even" r:id="rId14"/>
          <w:footerReference w:type="default" r:id="rId15"/>
          <w:pgSz w:w="15840" w:h="12240" w:orient="landscape"/>
          <w:pgMar w:top="1418" w:right="1418" w:bottom="1418" w:left="1418" w:header="709" w:footer="709" w:gutter="0"/>
          <w:cols w:space="708"/>
        </w:sectPr>
      </w:pPr>
    </w:p>
    <w:p w:rsidR="00AB1BDA" w:rsidRDefault="00AB1BDA" w:rsidP="00AB1BDA">
      <w:pPr>
        <w:jc w:val="center"/>
        <w:rPr>
          <w:b/>
          <w:bCs/>
          <w:sz w:val="28"/>
          <w:szCs w:val="28"/>
        </w:rPr>
      </w:pPr>
      <w:r>
        <w:rPr>
          <w:b/>
          <w:bCs/>
          <w:sz w:val="28"/>
          <w:szCs w:val="28"/>
        </w:rPr>
        <w:lastRenderedPageBreak/>
        <w:t>Vplyvy na podnikateľské prostredie</w:t>
      </w:r>
    </w:p>
    <w:p w:rsidR="00AB1BDA" w:rsidRDefault="00AB1BDA" w:rsidP="00AB1BDA">
      <w:pPr>
        <w:rPr>
          <w:b/>
          <w:bCs/>
          <w:sz w:val="28"/>
          <w:szCs w:val="28"/>
        </w:rPr>
      </w:pPr>
    </w:p>
    <w:p w:rsidR="00AB1BDA" w:rsidRDefault="00AB1BDA" w:rsidP="00AB1BDA">
      <w:pPr>
        <w:rPr>
          <w:b/>
          <w:bCs/>
        </w:rPr>
      </w:pPr>
    </w:p>
    <w:tbl>
      <w:tblPr>
        <w:tblW w:w="9195" w:type="dxa"/>
        <w:tblInd w:w="55" w:type="dxa"/>
        <w:tblCellMar>
          <w:left w:w="70" w:type="dxa"/>
          <w:right w:w="70" w:type="dxa"/>
        </w:tblCellMar>
        <w:tblLook w:val="0000" w:firstRow="0" w:lastRow="0" w:firstColumn="0" w:lastColumn="0" w:noHBand="0" w:noVBand="0"/>
      </w:tblPr>
      <w:tblGrid>
        <w:gridCol w:w="4155"/>
        <w:gridCol w:w="5040"/>
      </w:tblGrid>
      <w:tr w:rsidR="00AB1BDA" w:rsidTr="00495672">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vAlign w:val="center"/>
          </w:tcPr>
          <w:p w:rsidR="00AB1BDA" w:rsidRDefault="00AB1BDA" w:rsidP="00495672">
            <w:pPr>
              <w:jc w:val="center"/>
              <w:rPr>
                <w:b/>
                <w:bCs/>
                <w:color w:val="FFFFFF"/>
              </w:rPr>
            </w:pPr>
            <w:r>
              <w:rPr>
                <w:b/>
                <w:bCs/>
                <w:color w:val="FFFFFF"/>
              </w:rPr>
              <w:t>Vplyvy na podnikateľské prostredie</w:t>
            </w:r>
          </w:p>
        </w:tc>
      </w:tr>
      <w:tr w:rsidR="00B00F01" w:rsidTr="00C22BA5">
        <w:trPr>
          <w:trHeight w:val="1271"/>
        </w:trPr>
        <w:tc>
          <w:tcPr>
            <w:tcW w:w="4155" w:type="dxa"/>
            <w:tcBorders>
              <w:top w:val="nil"/>
              <w:left w:val="single" w:sz="8" w:space="0" w:color="auto"/>
              <w:bottom w:val="single" w:sz="4" w:space="0" w:color="auto"/>
              <w:right w:val="single" w:sz="4" w:space="0" w:color="auto"/>
            </w:tcBorders>
            <w:noWrap/>
            <w:vAlign w:val="center"/>
          </w:tcPr>
          <w:p w:rsidR="00B00F01" w:rsidRDefault="00B00F01" w:rsidP="00495672">
            <w:pPr>
              <w:jc w:val="both"/>
            </w:pPr>
            <w:r w:rsidRPr="00C22BA5">
              <w:rPr>
                <w:b/>
              </w:rPr>
              <w:t>3.1.</w:t>
            </w:r>
            <w:r>
              <w:t xml:space="preserve"> Ktoré podnikateľské subjekty budú predkladaným návrhom ovplyvnené a aký je ich počet?</w:t>
            </w:r>
          </w:p>
        </w:tc>
        <w:tc>
          <w:tcPr>
            <w:tcW w:w="5040" w:type="dxa"/>
            <w:tcBorders>
              <w:top w:val="nil"/>
              <w:left w:val="nil"/>
              <w:bottom w:val="single" w:sz="4" w:space="0" w:color="auto"/>
              <w:right w:val="single" w:sz="8" w:space="0" w:color="auto"/>
            </w:tcBorders>
            <w:noWrap/>
            <w:vAlign w:val="center"/>
          </w:tcPr>
          <w:p w:rsidR="00C22BA5" w:rsidRPr="00EB56AB" w:rsidRDefault="00B00F01" w:rsidP="00C22BA5">
            <w:pPr>
              <w:jc w:val="both"/>
            </w:pPr>
            <w:r w:rsidRPr="00EB56AB">
              <w:t>Vo všeobecnosti všetky subjekt</w:t>
            </w:r>
            <w:r w:rsidR="00345F99" w:rsidRPr="00EB56AB">
              <w:t>y, ktoré využívajú absolventov stredných odborných škôl</w:t>
            </w:r>
            <w:r w:rsidRPr="00EB56AB">
              <w:t>, ale primárne by sa malo jednať o subjekty, ktoré sa rozhodnú zapojiť do systému duálneho školstva.</w:t>
            </w:r>
          </w:p>
        </w:tc>
      </w:tr>
      <w:tr w:rsidR="00B00F01" w:rsidTr="00495672">
        <w:trPr>
          <w:trHeight w:val="600"/>
        </w:trPr>
        <w:tc>
          <w:tcPr>
            <w:tcW w:w="4155" w:type="dxa"/>
            <w:tcBorders>
              <w:top w:val="nil"/>
              <w:left w:val="single" w:sz="8" w:space="0" w:color="auto"/>
              <w:bottom w:val="single" w:sz="4" w:space="0" w:color="auto"/>
              <w:right w:val="single" w:sz="4" w:space="0" w:color="auto"/>
            </w:tcBorders>
            <w:noWrap/>
            <w:vAlign w:val="center"/>
          </w:tcPr>
          <w:p w:rsidR="00B00F01" w:rsidRPr="007C2398" w:rsidRDefault="00B00F01" w:rsidP="00C22BA5">
            <w:pPr>
              <w:jc w:val="both"/>
            </w:pPr>
            <w:r w:rsidRPr="007C2398">
              <w:rPr>
                <w:b/>
              </w:rPr>
              <w:t>3.2</w:t>
            </w:r>
            <w:r w:rsidRPr="007C2398">
              <w:t>. Aký je predpokladaný charakter a rozsah nákladov a prínosov?</w:t>
            </w:r>
          </w:p>
        </w:tc>
        <w:tc>
          <w:tcPr>
            <w:tcW w:w="5040" w:type="dxa"/>
            <w:tcBorders>
              <w:top w:val="nil"/>
              <w:left w:val="nil"/>
              <w:bottom w:val="single" w:sz="4" w:space="0" w:color="auto"/>
              <w:right w:val="single" w:sz="8" w:space="0" w:color="auto"/>
            </w:tcBorders>
            <w:noWrap/>
            <w:vAlign w:val="center"/>
          </w:tcPr>
          <w:p w:rsidR="00B00F01" w:rsidRPr="007C2398" w:rsidRDefault="00B00F01" w:rsidP="00495672">
            <w:pPr>
              <w:jc w:val="both"/>
            </w:pPr>
            <w:r w:rsidRPr="007C2398">
              <w:t>Charakter nákladov:</w:t>
            </w:r>
          </w:p>
          <w:p w:rsidR="00B00F01" w:rsidRPr="007C2398" w:rsidRDefault="00B00F01" w:rsidP="006461B0">
            <w:pPr>
              <w:pStyle w:val="Odsekzoznamu"/>
              <w:numPr>
                <w:ilvl w:val="0"/>
                <w:numId w:val="13"/>
              </w:numPr>
              <w:spacing w:after="0" w:line="240" w:lineRule="auto"/>
              <w:ind w:left="326" w:hanging="283"/>
              <w:jc w:val="both"/>
              <w:rPr>
                <w:rFonts w:ascii="Times New Roman" w:hAnsi="Times New Roman"/>
                <w:sz w:val="24"/>
              </w:rPr>
            </w:pPr>
            <w:r w:rsidRPr="007C2398">
              <w:rPr>
                <w:rFonts w:ascii="Times New Roman" w:hAnsi="Times New Roman"/>
                <w:sz w:val="24"/>
              </w:rPr>
              <w:t xml:space="preserve">Náklady na </w:t>
            </w:r>
            <w:r w:rsidR="000021A1" w:rsidRPr="007C2398">
              <w:rPr>
                <w:rFonts w:ascii="Times New Roman" w:hAnsi="Times New Roman"/>
                <w:sz w:val="24"/>
              </w:rPr>
              <w:t xml:space="preserve">materiálno technické a priestorové zabezpečenie praktického vyučovania </w:t>
            </w:r>
            <w:r w:rsidRPr="007C2398">
              <w:rPr>
                <w:rFonts w:ascii="Times New Roman" w:hAnsi="Times New Roman"/>
                <w:sz w:val="24"/>
              </w:rPr>
              <w:t>(obstaranie dlhodobé</w:t>
            </w:r>
            <w:r w:rsidR="000021A1" w:rsidRPr="007C2398">
              <w:rPr>
                <w:rFonts w:ascii="Times New Roman" w:hAnsi="Times New Roman"/>
                <w:sz w:val="24"/>
              </w:rPr>
              <w:t>ho majetku, materiálové náklady a pod.).</w:t>
            </w:r>
          </w:p>
          <w:p w:rsidR="000021A1" w:rsidRPr="007C2398" w:rsidRDefault="000021A1" w:rsidP="006461B0">
            <w:pPr>
              <w:pStyle w:val="Odsekzoznamu"/>
              <w:numPr>
                <w:ilvl w:val="0"/>
                <w:numId w:val="13"/>
              </w:numPr>
              <w:spacing w:after="0" w:line="240" w:lineRule="auto"/>
              <w:ind w:left="326" w:hanging="283"/>
              <w:jc w:val="both"/>
              <w:rPr>
                <w:rFonts w:ascii="Times New Roman" w:hAnsi="Times New Roman"/>
                <w:sz w:val="24"/>
              </w:rPr>
            </w:pPr>
            <w:r w:rsidRPr="007C2398">
              <w:rPr>
                <w:rFonts w:ascii="Times New Roman" w:hAnsi="Times New Roman"/>
                <w:sz w:val="24"/>
              </w:rPr>
              <w:t>Náklady na personálne zabezpečenie praktického vyučovania (mzdy a platy inštruktorov a majstrov odbornej výchovy).</w:t>
            </w:r>
          </w:p>
          <w:p w:rsidR="000021A1" w:rsidRPr="007C2398" w:rsidRDefault="000021A1" w:rsidP="006461B0">
            <w:pPr>
              <w:pStyle w:val="Odsekzoznamu"/>
              <w:numPr>
                <w:ilvl w:val="0"/>
                <w:numId w:val="13"/>
              </w:numPr>
              <w:spacing w:after="0" w:line="240" w:lineRule="auto"/>
              <w:ind w:left="326" w:hanging="283"/>
              <w:jc w:val="both"/>
              <w:rPr>
                <w:rFonts w:ascii="Times New Roman" w:hAnsi="Times New Roman"/>
                <w:sz w:val="24"/>
              </w:rPr>
            </w:pPr>
            <w:r w:rsidRPr="007C2398">
              <w:rPr>
                <w:rFonts w:ascii="Times New Roman" w:hAnsi="Times New Roman"/>
                <w:sz w:val="24"/>
              </w:rPr>
              <w:t>Náklady na finančné a hmotné zabezpečenie žiaka.</w:t>
            </w:r>
          </w:p>
          <w:p w:rsidR="00B00F01" w:rsidRPr="007C2398" w:rsidRDefault="00B00F01" w:rsidP="006461B0">
            <w:pPr>
              <w:pStyle w:val="Odsekzoznamu"/>
              <w:numPr>
                <w:ilvl w:val="0"/>
                <w:numId w:val="13"/>
              </w:numPr>
              <w:spacing w:after="0" w:line="240" w:lineRule="auto"/>
              <w:ind w:left="326" w:hanging="283"/>
              <w:jc w:val="both"/>
              <w:rPr>
                <w:rFonts w:ascii="Times New Roman" w:hAnsi="Times New Roman"/>
                <w:sz w:val="24"/>
              </w:rPr>
            </w:pPr>
            <w:r w:rsidRPr="007C2398">
              <w:rPr>
                <w:rFonts w:ascii="Times New Roman" w:hAnsi="Times New Roman"/>
                <w:sz w:val="24"/>
              </w:rPr>
              <w:t>Administratívne náklady (náklady súvisiace so správou systému duálneho vzdelávania v rámci podnikateľského subjektu)</w:t>
            </w:r>
          </w:p>
          <w:p w:rsidR="00B00F01" w:rsidRPr="007C2398" w:rsidRDefault="00B00F01" w:rsidP="006461B0">
            <w:pPr>
              <w:jc w:val="both"/>
            </w:pPr>
            <w:r w:rsidRPr="007C2398">
              <w:t>Charakter prínosov:</w:t>
            </w:r>
          </w:p>
          <w:p w:rsidR="000021A1" w:rsidRPr="007C2398" w:rsidRDefault="000021A1" w:rsidP="006461B0">
            <w:pPr>
              <w:pStyle w:val="Odsekzoznamu"/>
              <w:numPr>
                <w:ilvl w:val="0"/>
                <w:numId w:val="12"/>
              </w:numPr>
              <w:spacing w:after="0" w:line="240" w:lineRule="auto"/>
              <w:ind w:left="326" w:hanging="283"/>
              <w:jc w:val="both"/>
              <w:rPr>
                <w:rFonts w:ascii="Times New Roman" w:hAnsi="Times New Roman"/>
                <w:sz w:val="24"/>
              </w:rPr>
            </w:pPr>
            <w:r w:rsidRPr="007C2398">
              <w:rPr>
                <w:rFonts w:ascii="Times New Roman" w:hAnsi="Times New Roman"/>
                <w:sz w:val="24"/>
              </w:rPr>
              <w:t xml:space="preserve">Zníženie nákladov súvisiacich s vyhľadávaním pracovných síl, skrátenie procesu adaptácie </w:t>
            </w:r>
            <w:r w:rsidR="006461B0" w:rsidRPr="007C2398">
              <w:rPr>
                <w:rFonts w:ascii="Times New Roman" w:hAnsi="Times New Roman"/>
                <w:sz w:val="24"/>
              </w:rPr>
              <w:t>absolventov po nástupe do zamestnania</w:t>
            </w:r>
            <w:r w:rsidRPr="007C2398">
              <w:rPr>
                <w:rFonts w:ascii="Times New Roman" w:hAnsi="Times New Roman"/>
                <w:sz w:val="24"/>
              </w:rPr>
              <w:t xml:space="preserve">, zníženie nákladov na rekvalifikácie  </w:t>
            </w:r>
          </w:p>
          <w:p w:rsidR="00B00F01" w:rsidRPr="007C2398" w:rsidRDefault="00B00F01" w:rsidP="006461B0">
            <w:pPr>
              <w:pStyle w:val="Odsekzoznamu"/>
              <w:numPr>
                <w:ilvl w:val="0"/>
                <w:numId w:val="12"/>
              </w:numPr>
              <w:spacing w:after="0" w:line="240" w:lineRule="auto"/>
              <w:ind w:left="326" w:hanging="283"/>
              <w:jc w:val="both"/>
              <w:rPr>
                <w:rFonts w:ascii="Times New Roman" w:hAnsi="Times New Roman"/>
                <w:sz w:val="24"/>
              </w:rPr>
            </w:pPr>
            <w:r w:rsidRPr="007C2398">
              <w:rPr>
                <w:rFonts w:ascii="Times New Roman" w:hAnsi="Times New Roman"/>
                <w:sz w:val="24"/>
              </w:rPr>
              <w:t xml:space="preserve">Paušálna daňová úľava za každého žiaka </w:t>
            </w:r>
            <w:r w:rsidR="006461B0" w:rsidRPr="007C2398">
              <w:rPr>
                <w:rFonts w:ascii="Times New Roman" w:hAnsi="Times New Roman"/>
                <w:sz w:val="24"/>
              </w:rPr>
              <w:t xml:space="preserve">vykonávajúceho praktické vyučovanie </w:t>
            </w:r>
            <w:r w:rsidRPr="007C2398">
              <w:rPr>
                <w:rFonts w:ascii="Times New Roman" w:hAnsi="Times New Roman"/>
                <w:sz w:val="24"/>
              </w:rPr>
              <w:t>aspoň 200</w:t>
            </w:r>
            <w:r w:rsidR="006461B0" w:rsidRPr="007C2398">
              <w:rPr>
                <w:rFonts w:ascii="Times New Roman" w:hAnsi="Times New Roman"/>
                <w:sz w:val="24"/>
              </w:rPr>
              <w:t xml:space="preserve"> </w:t>
            </w:r>
            <w:r w:rsidRPr="007C2398">
              <w:rPr>
                <w:rFonts w:ascii="Times New Roman" w:hAnsi="Times New Roman"/>
                <w:sz w:val="24"/>
              </w:rPr>
              <w:t>h</w:t>
            </w:r>
            <w:r w:rsidR="006461B0" w:rsidRPr="007C2398">
              <w:rPr>
                <w:rFonts w:ascii="Times New Roman" w:hAnsi="Times New Roman"/>
                <w:sz w:val="24"/>
              </w:rPr>
              <w:t>odín</w:t>
            </w:r>
            <w:r w:rsidRPr="007C2398">
              <w:rPr>
                <w:rFonts w:ascii="Times New Roman" w:hAnsi="Times New Roman"/>
                <w:sz w:val="24"/>
              </w:rPr>
              <w:t xml:space="preserve"> ročne</w:t>
            </w:r>
          </w:p>
          <w:p w:rsidR="00B00F01" w:rsidRPr="00C441E9" w:rsidRDefault="00B00F01" w:rsidP="00B00F01">
            <w:pPr>
              <w:pStyle w:val="Odsekzoznamu"/>
              <w:numPr>
                <w:ilvl w:val="0"/>
                <w:numId w:val="12"/>
              </w:numPr>
              <w:spacing w:after="0" w:line="240" w:lineRule="auto"/>
              <w:ind w:left="326" w:hanging="283"/>
              <w:jc w:val="both"/>
              <w:rPr>
                <w:rFonts w:ascii="Times New Roman" w:hAnsi="Times New Roman"/>
                <w:sz w:val="24"/>
              </w:rPr>
            </w:pPr>
            <w:r w:rsidRPr="007C2398">
              <w:rPr>
                <w:rFonts w:ascii="Times New Roman" w:hAnsi="Times New Roman"/>
                <w:sz w:val="24"/>
              </w:rPr>
              <w:t>Daňový odpočet vynaložených nákladov na praktické vzdelávanie</w:t>
            </w:r>
          </w:p>
        </w:tc>
      </w:tr>
      <w:tr w:rsidR="00B00F01" w:rsidTr="00495672">
        <w:trPr>
          <w:trHeight w:val="600"/>
        </w:trPr>
        <w:tc>
          <w:tcPr>
            <w:tcW w:w="4155" w:type="dxa"/>
            <w:tcBorders>
              <w:top w:val="nil"/>
              <w:left w:val="single" w:sz="8" w:space="0" w:color="auto"/>
              <w:bottom w:val="single" w:sz="4" w:space="0" w:color="auto"/>
              <w:right w:val="single" w:sz="4" w:space="0" w:color="auto"/>
            </w:tcBorders>
            <w:noWrap/>
            <w:vAlign w:val="center"/>
          </w:tcPr>
          <w:p w:rsidR="00B00F01" w:rsidRDefault="00B00F01" w:rsidP="00C22BA5">
            <w:pPr>
              <w:jc w:val="both"/>
            </w:pPr>
            <w:r>
              <w:rPr>
                <w:b/>
              </w:rPr>
              <w:t>3.3</w:t>
            </w:r>
            <w:r>
              <w:t>. Aká je predpokladaná výška administratívnych nákladov, ktoré podniky vynaložia v súvislosti s implementáciou návrhu?</w:t>
            </w:r>
          </w:p>
        </w:tc>
        <w:tc>
          <w:tcPr>
            <w:tcW w:w="5040" w:type="dxa"/>
            <w:tcBorders>
              <w:top w:val="nil"/>
              <w:left w:val="nil"/>
              <w:bottom w:val="single" w:sz="4" w:space="0" w:color="auto"/>
              <w:right w:val="single" w:sz="8" w:space="0" w:color="auto"/>
            </w:tcBorders>
            <w:noWrap/>
            <w:vAlign w:val="center"/>
          </w:tcPr>
          <w:p w:rsidR="00B83DB5" w:rsidRPr="00C22BA5" w:rsidRDefault="00B83DB5" w:rsidP="001D4D85">
            <w:pPr>
              <w:jc w:val="both"/>
            </w:pPr>
            <w:r w:rsidRPr="00C22BA5">
              <w:t xml:space="preserve">Zamestnávateľom vzniknú jednorazové náklady </w:t>
            </w:r>
            <w:r w:rsidR="006461B0" w:rsidRPr="00C22BA5">
              <w:t>v </w:t>
            </w:r>
            <w:r w:rsidRPr="00C22BA5">
              <w:t>súvislosti so zavedením</w:t>
            </w:r>
            <w:r w:rsidR="00AE7295" w:rsidRPr="00C22BA5">
              <w:t xml:space="preserve"> procesu overovania spôsobilosti </w:t>
            </w:r>
            <w:r w:rsidRPr="00C22BA5">
              <w:t xml:space="preserve">zamestnávateľa na poskytovanie praktického vyučovania, ktorého výšku určí príslušná stavovská a profesijná organizácia, ktorá bude spôsobilosť overovať. </w:t>
            </w:r>
          </w:p>
          <w:p w:rsidR="00B83DB5" w:rsidRPr="00C22BA5" w:rsidRDefault="00B83DB5" w:rsidP="001D4D85">
            <w:pPr>
              <w:jc w:val="both"/>
            </w:pPr>
            <w:r w:rsidRPr="00C22BA5">
              <w:t>Zároveň sa zrušením povinného zaraďovania pracoviska praktického vyučovania do siete škôl a školských zariadení</w:t>
            </w:r>
            <w:r w:rsidR="00BE3241">
              <w:t xml:space="preserve"> v procese správneho konania</w:t>
            </w:r>
            <w:r w:rsidRPr="00C22BA5">
              <w:t xml:space="preserve"> a jeho na</w:t>
            </w:r>
            <w:r w:rsidR="00BE3241">
              <w:t>hradením</w:t>
            </w:r>
            <w:r w:rsidRPr="00C22BA5">
              <w:t xml:space="preserve"> zjednodušeným procesom registrácie pracovísk praktického vyučovania </w:t>
            </w:r>
            <w:r w:rsidR="001D4D85" w:rsidRPr="00C22BA5">
              <w:t xml:space="preserve">výrazne </w:t>
            </w:r>
            <w:r w:rsidRPr="00C22BA5">
              <w:t>zníži administratívna náročnosť</w:t>
            </w:r>
            <w:r w:rsidR="001D4D85" w:rsidRPr="00C22BA5">
              <w:t xml:space="preserve"> aj náklady spojené s procesom </w:t>
            </w:r>
            <w:r w:rsidR="001D4D85" w:rsidRPr="00C22BA5">
              <w:lastRenderedPageBreak/>
              <w:t>zaradenia do siete škôl a školských zariadení.</w:t>
            </w:r>
          </w:p>
          <w:p w:rsidR="00B83DB5" w:rsidRPr="00C22BA5" w:rsidRDefault="006461B0" w:rsidP="001D4D85">
            <w:pPr>
              <w:jc w:val="both"/>
            </w:pPr>
            <w:r w:rsidRPr="00C22BA5">
              <w:t>Súčasne sa zníži administratívna náročnosť v súvislosti s oslobodením odmien za produktívnu prácu z predmetu dane a následne od odvodov do zdravotných poisťovní.</w:t>
            </w:r>
          </w:p>
          <w:p w:rsidR="00C22BA5" w:rsidRPr="00C22BA5" w:rsidRDefault="00B00F01" w:rsidP="001D4D85">
            <w:pPr>
              <w:jc w:val="both"/>
            </w:pPr>
            <w:r w:rsidRPr="00C22BA5">
              <w:t xml:space="preserve">V tomto momente nie je možné kvantifikovať. Výška administratívnych nákladov závisí od typu podniku, od množstva </w:t>
            </w:r>
            <w:r w:rsidR="00A154DE" w:rsidRPr="00C22BA5">
              <w:t>žiakov</w:t>
            </w:r>
            <w:r w:rsidRPr="00C22BA5">
              <w:t xml:space="preserve"> </w:t>
            </w:r>
            <w:r w:rsidR="00B83DB5" w:rsidRPr="00C22BA5">
              <w:t xml:space="preserve">zapojených </w:t>
            </w:r>
            <w:r w:rsidRPr="00C22BA5">
              <w:t xml:space="preserve">do duálneho vzdelávania a od možností využiť existujúce administratívne kapacity </w:t>
            </w:r>
            <w:r w:rsidR="00B83DB5" w:rsidRPr="00C22BA5">
              <w:t xml:space="preserve">podniku </w:t>
            </w:r>
            <w:r w:rsidRPr="00C22BA5">
              <w:t>na zabezpečenie administrácie systému duálneho vzdelávania v rámci podniku.</w:t>
            </w:r>
          </w:p>
        </w:tc>
      </w:tr>
      <w:tr w:rsidR="00B00F01" w:rsidTr="00495672">
        <w:trPr>
          <w:trHeight w:val="600"/>
        </w:trPr>
        <w:tc>
          <w:tcPr>
            <w:tcW w:w="4155" w:type="dxa"/>
            <w:tcBorders>
              <w:top w:val="nil"/>
              <w:left w:val="single" w:sz="8" w:space="0" w:color="auto"/>
              <w:bottom w:val="single" w:sz="4" w:space="0" w:color="auto"/>
              <w:right w:val="single" w:sz="4" w:space="0" w:color="auto"/>
            </w:tcBorders>
            <w:vAlign w:val="center"/>
          </w:tcPr>
          <w:p w:rsidR="00B00F01" w:rsidRDefault="00B00F01" w:rsidP="00C22BA5">
            <w:pPr>
              <w:jc w:val="both"/>
            </w:pPr>
            <w:r>
              <w:rPr>
                <w:b/>
              </w:rPr>
              <w:lastRenderedPageBreak/>
              <w:t>3.4</w:t>
            </w:r>
            <w:r>
              <w:t>. Aké sú dôsledky pripravovaného návrhu pre fungovanie podnikateľských subjektov na slovenskom trhu (ako sa zmenia operácie na trhu?)</w:t>
            </w:r>
          </w:p>
        </w:tc>
        <w:tc>
          <w:tcPr>
            <w:tcW w:w="5040" w:type="dxa"/>
            <w:tcBorders>
              <w:top w:val="nil"/>
              <w:left w:val="nil"/>
              <w:bottom w:val="single" w:sz="4" w:space="0" w:color="auto"/>
              <w:right w:val="single" w:sz="8" w:space="0" w:color="auto"/>
            </w:tcBorders>
            <w:noWrap/>
            <w:vAlign w:val="center"/>
          </w:tcPr>
          <w:p w:rsidR="00B00F01" w:rsidRPr="00B00F01" w:rsidRDefault="00B00F01" w:rsidP="00495672">
            <w:r w:rsidRPr="00B00F01">
              <w:t>Žiadny vplyv</w:t>
            </w:r>
          </w:p>
        </w:tc>
      </w:tr>
      <w:tr w:rsidR="00B00F01" w:rsidTr="00495672">
        <w:trPr>
          <w:trHeight w:val="600"/>
        </w:trPr>
        <w:tc>
          <w:tcPr>
            <w:tcW w:w="4155" w:type="dxa"/>
            <w:tcBorders>
              <w:top w:val="nil"/>
              <w:left w:val="single" w:sz="8" w:space="0" w:color="auto"/>
              <w:bottom w:val="single" w:sz="4" w:space="0" w:color="auto"/>
              <w:right w:val="single" w:sz="4" w:space="0" w:color="auto"/>
            </w:tcBorders>
            <w:noWrap/>
            <w:vAlign w:val="center"/>
          </w:tcPr>
          <w:p w:rsidR="00B00F01" w:rsidRDefault="00B00F01" w:rsidP="00495672">
            <w:pPr>
              <w:jc w:val="both"/>
            </w:pPr>
            <w:r>
              <w:rPr>
                <w:b/>
              </w:rPr>
              <w:t>3.5</w:t>
            </w:r>
            <w:r>
              <w:t>. Aké sú predpokladané spoločensko</w:t>
            </w:r>
            <w:r w:rsidR="00BD747C">
              <w:t>-</w:t>
            </w:r>
            <w:r>
              <w:t>ekonomické dôsledky pripravovaných regulácií?</w:t>
            </w:r>
          </w:p>
        </w:tc>
        <w:tc>
          <w:tcPr>
            <w:tcW w:w="5040" w:type="dxa"/>
            <w:tcBorders>
              <w:top w:val="nil"/>
              <w:left w:val="nil"/>
              <w:bottom w:val="single" w:sz="4" w:space="0" w:color="auto"/>
              <w:right w:val="single" w:sz="8" w:space="0" w:color="auto"/>
            </w:tcBorders>
            <w:noWrap/>
            <w:vAlign w:val="center"/>
          </w:tcPr>
          <w:p w:rsidR="00C22BA5" w:rsidRPr="00B00F01" w:rsidRDefault="00DD0DA7" w:rsidP="001D4D85">
            <w:pPr>
              <w:jc w:val="both"/>
            </w:pPr>
            <w:r>
              <w:t>C</w:t>
            </w:r>
            <w:r w:rsidRPr="00B00F01">
              <w:t>elospoločenská angažovanosť zamestnávateľov na vzdelávaní</w:t>
            </w:r>
            <w:r>
              <w:t>,</w:t>
            </w:r>
            <w:r w:rsidRPr="00B00F01">
              <w:t xml:space="preserve"> zníženie nákladov zamestnávateľov na získanie pracovnej sily</w:t>
            </w:r>
            <w:r>
              <w:t>,</w:t>
            </w:r>
            <w:r w:rsidRPr="00B00F01">
              <w:t xml:space="preserve"> </w:t>
            </w:r>
            <w:r>
              <w:t>lepšia uplatniteľnosť absolventov stredných odborných škôl na trhu práce,</w:t>
            </w:r>
            <w:r w:rsidRPr="00B00F01">
              <w:t xml:space="preserve"> </w:t>
            </w:r>
            <w:r>
              <w:t xml:space="preserve">zabezpečenie dostatočného počtu kvalifikovaných pracovných síl pre potreby trhu práce a rast ekonomiky, </w:t>
            </w:r>
            <w:r w:rsidRPr="00B00F01">
              <w:t xml:space="preserve">zníženie odchodov </w:t>
            </w:r>
            <w:r>
              <w:t xml:space="preserve">mladých </w:t>
            </w:r>
            <w:r w:rsidRPr="00B00F01">
              <w:t>do zahraničia,</w:t>
            </w:r>
            <w:r>
              <w:t xml:space="preserve"> r</w:t>
            </w:r>
            <w:r w:rsidR="00B00F01" w:rsidRPr="00B00F01">
              <w:t xml:space="preserve">ast </w:t>
            </w:r>
            <w:r w:rsidR="00B00F01">
              <w:t>produktivity práce</w:t>
            </w:r>
            <w:r w:rsidR="00B00F01" w:rsidRPr="00B00F01">
              <w:t>, získanie nových</w:t>
            </w:r>
            <w:r w:rsidR="00B00F01">
              <w:t xml:space="preserve"> (udržanie existujúcich)</w:t>
            </w:r>
            <w:r w:rsidR="001A2CE7">
              <w:t xml:space="preserve"> priamych zahraničných investícií,</w:t>
            </w:r>
            <w:r w:rsidR="00B00F01" w:rsidRPr="00B00F01">
              <w:t xml:space="preserve"> rastúca konkurencieschopnosť ekonomiky</w:t>
            </w:r>
            <w:r>
              <w:t>.</w:t>
            </w:r>
          </w:p>
        </w:tc>
      </w:tr>
    </w:tbl>
    <w:p w:rsidR="00AB1BDA" w:rsidRDefault="00AB1BDA" w:rsidP="00AB1BDA">
      <w:pPr>
        <w:pStyle w:val="Normlnywebov"/>
        <w:tabs>
          <w:tab w:val="num" w:pos="1080"/>
        </w:tabs>
        <w:jc w:val="both"/>
        <w:rPr>
          <w:bCs/>
          <w:szCs w:val="20"/>
        </w:rPr>
      </w:pPr>
    </w:p>
    <w:p w:rsidR="00AB1BDA" w:rsidRDefault="00AB1BDA" w:rsidP="00DF6356">
      <w:pPr>
        <w:pStyle w:val="Normlnywebov"/>
        <w:spacing w:before="0" w:beforeAutospacing="0" w:after="0" w:afterAutospacing="0"/>
        <w:jc w:val="both"/>
        <w:sectPr w:rsidR="00AB1BDA" w:rsidSect="00DF6356">
          <w:headerReference w:type="default" r:id="rId16"/>
          <w:pgSz w:w="12240" w:h="15840"/>
          <w:pgMar w:top="1418" w:right="1418" w:bottom="1418" w:left="1418" w:header="709" w:footer="709" w:gutter="0"/>
          <w:cols w:space="708"/>
          <w:docGrid w:linePitch="326"/>
        </w:sectPr>
      </w:pPr>
    </w:p>
    <w:p w:rsidR="00AB1BDA" w:rsidRDefault="00AB1BDA" w:rsidP="00AB1BDA">
      <w:pPr>
        <w:rPr>
          <w:b/>
          <w:sz w:val="28"/>
          <w:szCs w:val="28"/>
        </w:rPr>
      </w:pPr>
      <w:r>
        <w:rPr>
          <w:b/>
          <w:sz w:val="28"/>
          <w:szCs w:val="28"/>
        </w:rPr>
        <w:lastRenderedPageBreak/>
        <w:t xml:space="preserve">Sociálne vplyvy -  vplyvy na hospodárenie obyvateľstva, sociálnu </w:t>
      </w:r>
      <w:proofErr w:type="spellStart"/>
      <w:r>
        <w:rPr>
          <w:b/>
          <w:sz w:val="28"/>
          <w:szCs w:val="28"/>
        </w:rPr>
        <w:t>exklúziu</w:t>
      </w:r>
      <w:proofErr w:type="spellEnd"/>
      <w:r>
        <w:rPr>
          <w:b/>
          <w:sz w:val="28"/>
          <w:szCs w:val="28"/>
        </w:rPr>
        <w:t>, rovnosť príležitostí a rodovú rovnosť  a na zamestnanosť</w:t>
      </w:r>
    </w:p>
    <w:p w:rsidR="00AB1BDA" w:rsidRDefault="00AB1BDA" w:rsidP="00AB1BDA">
      <w:pPr>
        <w:rPr>
          <w:b/>
          <w:bCs/>
        </w:rPr>
      </w:pPr>
    </w:p>
    <w:p w:rsidR="00AB1BDA" w:rsidRDefault="00AB1BDA" w:rsidP="00AB1BDA">
      <w:pPr>
        <w:rPr>
          <w:b/>
          <w:bCs/>
        </w:rPr>
      </w:pPr>
    </w:p>
    <w:tbl>
      <w:tblPr>
        <w:tblW w:w="9015" w:type="dxa"/>
        <w:jc w:val="center"/>
        <w:tblCellMar>
          <w:left w:w="70" w:type="dxa"/>
          <w:right w:w="70" w:type="dxa"/>
        </w:tblCellMar>
        <w:tblLook w:val="0000" w:firstRow="0" w:lastRow="0" w:firstColumn="0" w:lastColumn="0" w:noHBand="0" w:noVBand="0"/>
      </w:tblPr>
      <w:tblGrid>
        <w:gridCol w:w="3775"/>
        <w:gridCol w:w="5240"/>
      </w:tblGrid>
      <w:tr w:rsidR="00AB1BDA" w:rsidTr="00495672">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cPr>
          <w:p w:rsidR="00AB1BDA" w:rsidRDefault="00AB1BDA" w:rsidP="00495672">
            <w:pPr>
              <w:jc w:val="center"/>
              <w:rPr>
                <w:b/>
                <w:bCs/>
                <w:color w:val="FFFFFF"/>
              </w:rPr>
            </w:pPr>
            <w:r>
              <w:rPr>
                <w:b/>
                <w:bCs/>
                <w:color w:val="FFFFFF"/>
              </w:rPr>
              <w:t xml:space="preserve">Sociálne vplyvy predkladaného materiálu -  vplyvy na hospodárenie obyvateľstva, sociálnu </w:t>
            </w:r>
            <w:proofErr w:type="spellStart"/>
            <w:r>
              <w:rPr>
                <w:b/>
                <w:bCs/>
                <w:color w:val="FFFFFF"/>
              </w:rPr>
              <w:t>exklúziu</w:t>
            </w:r>
            <w:proofErr w:type="spellEnd"/>
            <w:r>
              <w:rPr>
                <w:b/>
                <w:bCs/>
                <w:color w:val="FFFFFF"/>
              </w:rPr>
              <w:t>, rovnosť príležitostí a rodovú rovnosť a vplyvy na zamestnanosť</w:t>
            </w:r>
          </w:p>
        </w:tc>
      </w:tr>
      <w:tr w:rsidR="00B323BD" w:rsidTr="000A42E7">
        <w:trPr>
          <w:trHeight w:val="1530"/>
          <w:jc w:val="center"/>
        </w:trPr>
        <w:tc>
          <w:tcPr>
            <w:tcW w:w="3775" w:type="dxa"/>
            <w:tcBorders>
              <w:top w:val="single" w:sz="4" w:space="0" w:color="auto"/>
              <w:left w:val="single" w:sz="4" w:space="0" w:color="auto"/>
              <w:bottom w:val="single" w:sz="4" w:space="0" w:color="auto"/>
              <w:right w:val="single" w:sz="4" w:space="0" w:color="auto"/>
            </w:tcBorders>
            <w:vAlign w:val="center"/>
          </w:tcPr>
          <w:p w:rsidR="00B323BD" w:rsidRDefault="00B323BD" w:rsidP="000A42E7">
            <w:pPr>
              <w:jc w:val="both"/>
            </w:pPr>
            <w:r>
              <w:rPr>
                <w:b/>
              </w:rPr>
              <w:t>4.1.</w:t>
            </w:r>
            <w:r>
              <w:t xml:space="preserve"> Identi</w:t>
            </w:r>
            <w:r w:rsidR="00DD0DA7">
              <w:t xml:space="preserve">fikujte vplyv na hospodárenie </w:t>
            </w:r>
            <w:r>
              <w:t>domácností a špecifikujte ovplyvnené skupiny domácností, ktoré budú p</w:t>
            </w:r>
            <w:r w:rsidR="00C441E9">
              <w:t>ozitívne/negatívne ovplyvnené.</w:t>
            </w:r>
          </w:p>
        </w:tc>
        <w:tc>
          <w:tcPr>
            <w:tcW w:w="5240" w:type="dxa"/>
            <w:tcBorders>
              <w:top w:val="single" w:sz="4" w:space="0" w:color="auto"/>
              <w:left w:val="nil"/>
              <w:bottom w:val="single" w:sz="4" w:space="0" w:color="auto"/>
              <w:right w:val="single" w:sz="4" w:space="0" w:color="auto"/>
            </w:tcBorders>
          </w:tcPr>
          <w:p w:rsidR="000A42E7" w:rsidRPr="002410BE" w:rsidRDefault="000A42E7" w:rsidP="000A42E7">
            <w:pPr>
              <w:jc w:val="both"/>
            </w:pPr>
            <w:r w:rsidRPr="002410BE">
              <w:t xml:space="preserve">Za najvýznamnejší prínos systému z pohľadu hospodárenia domácností sa považuje finančné a hmotné zabezpečenie žiakov vo forme odmeňovania žiaka zamestnávateľom a štátom vo forme finančných odmien a štipendií v závislosti na dosiahnutom prospechu a  kvalite práce a úhrad nákladov </w:t>
            </w:r>
            <w:r w:rsidRPr="002410BE">
              <w:rPr>
                <w:strike/>
              </w:rPr>
              <w:t>na</w:t>
            </w:r>
            <w:r w:rsidRPr="002410BE">
              <w:t xml:space="preserve"> žiakov na stravovanie, ubytovanie a cestovné. </w:t>
            </w:r>
          </w:p>
          <w:p w:rsidR="000A42E7" w:rsidRPr="002410BE" w:rsidRDefault="000A42E7" w:rsidP="000A42E7">
            <w:pPr>
              <w:jc w:val="both"/>
            </w:pPr>
            <w:r w:rsidRPr="002410BE">
              <w:t>V oblasti finančného zabezpečenia žiakov:</w:t>
            </w:r>
          </w:p>
          <w:p w:rsidR="000A42E7" w:rsidRPr="002410BE" w:rsidRDefault="000A42E7" w:rsidP="000A42E7">
            <w:pPr>
              <w:pStyle w:val="Odsekzoznamu"/>
              <w:numPr>
                <w:ilvl w:val="0"/>
                <w:numId w:val="17"/>
              </w:numPr>
              <w:spacing w:after="0"/>
              <w:ind w:left="249" w:hanging="249"/>
              <w:jc w:val="both"/>
              <w:rPr>
                <w:rFonts w:ascii="Times New Roman" w:hAnsi="Times New Roman"/>
                <w:sz w:val="24"/>
                <w:szCs w:val="24"/>
              </w:rPr>
            </w:pPr>
            <w:r w:rsidRPr="002410BE">
              <w:rPr>
                <w:rFonts w:ascii="Times New Roman" w:hAnsi="Times New Roman"/>
                <w:sz w:val="24"/>
                <w:szCs w:val="24"/>
              </w:rPr>
              <w:t>rovnako ako v súčasnej právnej úprave je zamestnávateľ povinný poskytnúť odmenu za produktívnu prácu každému žiakovi, ktorý túto prácu pre neho vykonáva v rámci praktického vyučovania.</w:t>
            </w:r>
          </w:p>
          <w:p w:rsidR="000A42E7" w:rsidRPr="002410BE" w:rsidRDefault="000A42E7" w:rsidP="000A42E7">
            <w:pPr>
              <w:pStyle w:val="Odsekzoznamu"/>
              <w:numPr>
                <w:ilvl w:val="0"/>
                <w:numId w:val="17"/>
              </w:numPr>
              <w:spacing w:after="0"/>
              <w:ind w:left="249" w:hanging="249"/>
              <w:jc w:val="both"/>
              <w:rPr>
                <w:rFonts w:ascii="Times New Roman" w:hAnsi="Times New Roman"/>
                <w:sz w:val="24"/>
                <w:szCs w:val="24"/>
              </w:rPr>
            </w:pPr>
            <w:r w:rsidRPr="002410BE">
              <w:rPr>
                <w:rFonts w:ascii="Times New Roman" w:hAnsi="Times New Roman"/>
                <w:sz w:val="24"/>
                <w:szCs w:val="24"/>
              </w:rPr>
              <w:t>zvyšuje sa maximálna výška štipendia, ktoré môže poskytnúť zamestnávateľ žiakovi, ktorý u neho vykonáva  praktické vyučovanie (tzv. podnikové štipendium – do štvornásobku životného minima na nezaopatrené alebo zaopatrené neplnoleté dieťa – predtým motivačné štipendium v max. výške 65 % sumy životného minima na nezaopatrené alebo zaopatrené neplnoleté dieťa),</w:t>
            </w:r>
          </w:p>
          <w:p w:rsidR="000A42E7" w:rsidRPr="002410BE" w:rsidRDefault="000A42E7" w:rsidP="000A42E7">
            <w:pPr>
              <w:pStyle w:val="Odsekzoznamu"/>
              <w:numPr>
                <w:ilvl w:val="0"/>
                <w:numId w:val="17"/>
              </w:numPr>
              <w:spacing w:after="0"/>
              <w:ind w:left="249" w:hanging="249"/>
              <w:jc w:val="both"/>
              <w:rPr>
                <w:rFonts w:ascii="Times New Roman" w:hAnsi="Times New Roman"/>
                <w:sz w:val="24"/>
                <w:szCs w:val="24"/>
              </w:rPr>
            </w:pPr>
            <w:r w:rsidRPr="002410BE">
              <w:rPr>
                <w:rFonts w:ascii="Times New Roman" w:hAnsi="Times New Roman"/>
                <w:sz w:val="24"/>
                <w:szCs w:val="24"/>
              </w:rPr>
              <w:t>zavádza sa poskytovanie motivačného štipendia z prostriedkov štátneho rozpočtu pre každého žiaka, ktorý sa pripravuje v študijnom odbore alebo v učebnom odbore, ktoré sú zaradené do Zoznamu študijných odborov a učebných odborov s nedostatočným počtom absolventov na trhu práce.</w:t>
            </w:r>
          </w:p>
          <w:p w:rsidR="000A42E7" w:rsidRPr="002410BE" w:rsidRDefault="000A42E7" w:rsidP="000A42E7">
            <w:pPr>
              <w:jc w:val="both"/>
            </w:pPr>
            <w:r w:rsidRPr="002410BE">
              <w:t>V oblasti hmotného zabezpečenia žiakov:</w:t>
            </w:r>
          </w:p>
          <w:p w:rsidR="000A42E7" w:rsidRPr="002410BE" w:rsidRDefault="000A42E7" w:rsidP="000A42E7">
            <w:pPr>
              <w:pStyle w:val="Odsekzoznamu"/>
              <w:numPr>
                <w:ilvl w:val="0"/>
                <w:numId w:val="17"/>
              </w:numPr>
              <w:ind w:left="248" w:hanging="248"/>
              <w:jc w:val="both"/>
              <w:rPr>
                <w:rFonts w:ascii="Times New Roman" w:hAnsi="Times New Roman"/>
                <w:sz w:val="24"/>
                <w:szCs w:val="24"/>
              </w:rPr>
            </w:pPr>
            <w:r w:rsidRPr="002410BE">
              <w:rPr>
                <w:rFonts w:ascii="Times New Roman" w:hAnsi="Times New Roman"/>
                <w:sz w:val="24"/>
                <w:szCs w:val="24"/>
              </w:rPr>
              <w:t>sa zachovávajú možnosť, podmienky aj maximálna výška úhrady výdavkov žiakov spojených s odborným vzdelávaním a prípravou na stravovanie, ubytovanie a cestovné pre žiakov, ktorí vykonávajú praktické vyučovanie na pracovisku zamestnávateľa</w:t>
            </w:r>
          </w:p>
          <w:p w:rsidR="000A42E7" w:rsidRPr="002410BE" w:rsidRDefault="000A42E7" w:rsidP="000A42E7">
            <w:pPr>
              <w:pStyle w:val="Odsekzoznamu"/>
              <w:numPr>
                <w:ilvl w:val="0"/>
                <w:numId w:val="17"/>
              </w:numPr>
              <w:spacing w:after="0"/>
              <w:ind w:left="249" w:hanging="249"/>
              <w:jc w:val="both"/>
              <w:rPr>
                <w:rFonts w:ascii="Times New Roman" w:hAnsi="Times New Roman"/>
                <w:sz w:val="24"/>
                <w:szCs w:val="24"/>
              </w:rPr>
            </w:pPr>
            <w:r w:rsidRPr="002410BE">
              <w:rPr>
                <w:rFonts w:ascii="Times New Roman" w:hAnsi="Times New Roman"/>
                <w:sz w:val="24"/>
                <w:szCs w:val="24"/>
              </w:rPr>
              <w:t xml:space="preserve">zamestnávateľovi, u ktorého žiaci  vykonávajú praktické vyučovanie v rámci duálneho systému vzdelávania sa po novom ustanovuje povinnosť </w:t>
            </w:r>
            <w:r w:rsidRPr="002410BE">
              <w:rPr>
                <w:rFonts w:ascii="Times New Roman" w:hAnsi="Times New Roman"/>
                <w:sz w:val="24"/>
                <w:szCs w:val="24"/>
              </w:rPr>
              <w:lastRenderedPageBreak/>
              <w:t>týmto žiakom uhradiť výdavky spojené s odborným vzdeláv</w:t>
            </w:r>
            <w:r w:rsidR="00391C91" w:rsidRPr="002410BE">
              <w:rPr>
                <w:rFonts w:ascii="Times New Roman" w:hAnsi="Times New Roman"/>
                <w:sz w:val="24"/>
                <w:szCs w:val="24"/>
              </w:rPr>
              <w:t>aním a prípravou na stravovanie</w:t>
            </w:r>
            <w:r w:rsidRPr="002410BE">
              <w:rPr>
                <w:rFonts w:ascii="Times New Roman" w:hAnsi="Times New Roman"/>
                <w:sz w:val="24"/>
                <w:szCs w:val="24"/>
              </w:rPr>
              <w:t>.</w:t>
            </w:r>
          </w:p>
          <w:p w:rsidR="00C90AB8" w:rsidRPr="002410BE" w:rsidRDefault="000A42E7" w:rsidP="000A42E7">
            <w:pPr>
              <w:jc w:val="both"/>
            </w:pPr>
            <w:r w:rsidRPr="002410BE">
              <w:t>Poskytnuté finančné a hmotné zabezpečenie žiakov pozitívne ovplyvní disponibilný príjem domácností všetkých žiakov, ktorí budú vykonávať praktické vyučovanie u zamestnávateľov, avšak v najväčšej miere sa to prejaví u žiakov, ktorí budú zapojení do systému duálneho vzdelávania.</w:t>
            </w:r>
          </w:p>
        </w:tc>
      </w:tr>
      <w:tr w:rsidR="00B323BD" w:rsidTr="000A42E7">
        <w:trPr>
          <w:cantSplit/>
          <w:trHeight w:val="5700"/>
          <w:jc w:val="center"/>
        </w:trPr>
        <w:tc>
          <w:tcPr>
            <w:tcW w:w="3775" w:type="dxa"/>
            <w:tcBorders>
              <w:top w:val="single" w:sz="4" w:space="0" w:color="auto"/>
              <w:left w:val="single" w:sz="4" w:space="0" w:color="auto"/>
              <w:right w:val="single" w:sz="4" w:space="0" w:color="auto"/>
            </w:tcBorders>
          </w:tcPr>
          <w:p w:rsidR="00C91195" w:rsidRPr="000A42E7" w:rsidRDefault="00B323BD" w:rsidP="000A42E7">
            <w:pPr>
              <w:ind w:firstLineChars="200" w:firstLine="480"/>
              <w:jc w:val="both"/>
            </w:pPr>
            <w:r w:rsidRPr="000A42E7">
              <w:lastRenderedPageBreak/>
              <w:t xml:space="preserve">Kvantifikujte: </w:t>
            </w:r>
          </w:p>
          <w:p w:rsidR="00C91195" w:rsidRPr="000A42E7" w:rsidRDefault="00C91195" w:rsidP="000A42E7">
            <w:pPr>
              <w:pStyle w:val="Odsekzoznamu"/>
              <w:numPr>
                <w:ilvl w:val="0"/>
                <w:numId w:val="18"/>
              </w:numPr>
              <w:ind w:left="303" w:hanging="283"/>
              <w:jc w:val="both"/>
              <w:rPr>
                <w:rFonts w:ascii="Times New Roman" w:hAnsi="Times New Roman"/>
                <w:sz w:val="24"/>
                <w:szCs w:val="24"/>
              </w:rPr>
            </w:pPr>
            <w:r w:rsidRPr="000A42E7">
              <w:rPr>
                <w:rFonts w:ascii="Times New Roman" w:hAnsi="Times New Roman"/>
                <w:sz w:val="24"/>
                <w:szCs w:val="24"/>
              </w:rPr>
              <w:t>Rast alebo pokles príjmov/výdavkov na priemerného obyvateľa</w:t>
            </w:r>
          </w:p>
          <w:p w:rsidR="00C91195" w:rsidRPr="000A42E7" w:rsidRDefault="00C91195" w:rsidP="000A42E7">
            <w:pPr>
              <w:pStyle w:val="Odsekzoznamu"/>
              <w:numPr>
                <w:ilvl w:val="0"/>
                <w:numId w:val="18"/>
              </w:numPr>
              <w:ind w:left="303" w:hanging="283"/>
              <w:jc w:val="both"/>
              <w:rPr>
                <w:rFonts w:ascii="Times New Roman" w:hAnsi="Times New Roman"/>
                <w:sz w:val="24"/>
                <w:szCs w:val="24"/>
              </w:rPr>
            </w:pPr>
            <w:r w:rsidRPr="000A42E7">
              <w:rPr>
                <w:rFonts w:ascii="Times New Roman" w:hAnsi="Times New Roman"/>
                <w:sz w:val="24"/>
                <w:szCs w:val="24"/>
              </w:rPr>
              <w:t>Rast alebo pokles príjmov/výd</w:t>
            </w:r>
            <w:r w:rsidR="000A42E7" w:rsidRPr="000A42E7">
              <w:rPr>
                <w:rFonts w:ascii="Times New Roman" w:hAnsi="Times New Roman"/>
                <w:sz w:val="24"/>
                <w:szCs w:val="24"/>
              </w:rPr>
              <w:t xml:space="preserve">avkov za jednotlivé ovplyvnené </w:t>
            </w:r>
            <w:r w:rsidRPr="000A42E7">
              <w:rPr>
                <w:rFonts w:ascii="Times New Roman" w:hAnsi="Times New Roman"/>
                <w:sz w:val="24"/>
                <w:szCs w:val="24"/>
              </w:rPr>
              <w:t>skupiny domácností</w:t>
            </w:r>
          </w:p>
          <w:p w:rsidR="00B323BD" w:rsidRDefault="00C91195" w:rsidP="000A42E7">
            <w:pPr>
              <w:pStyle w:val="Odsekzoznamu"/>
              <w:numPr>
                <w:ilvl w:val="0"/>
                <w:numId w:val="18"/>
              </w:numPr>
              <w:ind w:left="303" w:hanging="283"/>
              <w:jc w:val="both"/>
            </w:pPr>
            <w:r w:rsidRPr="000A42E7">
              <w:rPr>
                <w:rFonts w:ascii="Times New Roman" w:hAnsi="Times New Roman"/>
                <w:sz w:val="24"/>
                <w:szCs w:val="24"/>
              </w:rPr>
              <w:t>Celkový počet obyvateľstva/domácností ovplyvnených predkladaným materiálom</w:t>
            </w:r>
          </w:p>
        </w:tc>
        <w:tc>
          <w:tcPr>
            <w:tcW w:w="5240" w:type="dxa"/>
            <w:vMerge w:val="restart"/>
            <w:tcBorders>
              <w:top w:val="nil"/>
              <w:left w:val="nil"/>
              <w:bottom w:val="single" w:sz="4" w:space="0" w:color="auto"/>
              <w:right w:val="single" w:sz="4" w:space="0" w:color="auto"/>
            </w:tcBorders>
          </w:tcPr>
          <w:p w:rsidR="000A42E7" w:rsidRPr="002410BE" w:rsidRDefault="000A42E7" w:rsidP="000A42E7">
            <w:pPr>
              <w:jc w:val="both"/>
            </w:pPr>
            <w:r w:rsidRPr="002410BE">
              <w:t>V oblasti finančného zabezpečenia žiakov:</w:t>
            </w:r>
          </w:p>
          <w:p w:rsidR="000A42E7" w:rsidRPr="002410BE" w:rsidRDefault="000A42E7" w:rsidP="000A42E7">
            <w:pPr>
              <w:pStyle w:val="Odsekzoznamu"/>
              <w:numPr>
                <w:ilvl w:val="0"/>
                <w:numId w:val="17"/>
              </w:numPr>
              <w:spacing w:after="0"/>
              <w:ind w:left="249" w:hanging="249"/>
              <w:jc w:val="both"/>
              <w:rPr>
                <w:rFonts w:ascii="Times New Roman" w:hAnsi="Times New Roman"/>
                <w:sz w:val="24"/>
                <w:szCs w:val="24"/>
              </w:rPr>
            </w:pPr>
            <w:r w:rsidRPr="002410BE">
              <w:rPr>
                <w:rFonts w:ascii="Times New Roman" w:hAnsi="Times New Roman"/>
                <w:sz w:val="24"/>
                <w:szCs w:val="24"/>
              </w:rPr>
              <w:t>z dôvodu zvýšenia minimálnej hodinovej mzdy od 1. 1. 2015 na 2,184- Eur sa oproti súčasnému stavu zvýši maximálna mesačná výška odmeny za produktívnu prácu každého žiaka, ktorý ju vykonáva na pracovisku zamestnávateľa o 10,043- Eur zo 127,449- Eur na 137,592- Eur</w:t>
            </w:r>
            <w:r w:rsidR="006A20E2" w:rsidRPr="002410BE">
              <w:rPr>
                <w:rFonts w:ascii="Times New Roman" w:hAnsi="Times New Roman"/>
                <w:sz w:val="24"/>
                <w:szCs w:val="24"/>
              </w:rPr>
              <w:t>,</w:t>
            </w:r>
          </w:p>
          <w:p w:rsidR="000A42E7" w:rsidRPr="002410BE" w:rsidRDefault="000A42E7" w:rsidP="000A42E7">
            <w:pPr>
              <w:pStyle w:val="Odsekzoznamu"/>
              <w:numPr>
                <w:ilvl w:val="0"/>
                <w:numId w:val="17"/>
              </w:numPr>
              <w:spacing w:after="0"/>
              <w:ind w:left="249" w:hanging="249"/>
              <w:jc w:val="both"/>
              <w:rPr>
                <w:rFonts w:ascii="Times New Roman" w:hAnsi="Times New Roman"/>
                <w:sz w:val="24"/>
                <w:szCs w:val="24"/>
              </w:rPr>
            </w:pPr>
            <w:r w:rsidRPr="002410BE">
              <w:rPr>
                <w:rFonts w:ascii="Times New Roman" w:hAnsi="Times New Roman"/>
                <w:sz w:val="24"/>
                <w:szCs w:val="24"/>
              </w:rPr>
              <w:t>maximálna výška štipendia, ktoré bude môcť poskytnúť zamestnávateľ žiakovi, ktorý u neho vykonáva  praktické vyučovanie (tzv. podnikové štipendium) sa zvýši o 271,26- Eur, z pôvodných 90,42- Eur (pôvodne motivačné štipendium v max. výške 65% sumy životného minima na nezaopatrené alebo zaopatrené neplnoleté dieťa) na 361,68- Eur (štvornásobok životného minima na nezaopatrené alebo zaopatrené neplnoleté dieťa).</w:t>
            </w:r>
          </w:p>
          <w:p w:rsidR="000A42E7" w:rsidRPr="002410BE" w:rsidRDefault="000A42E7" w:rsidP="000A42E7">
            <w:pPr>
              <w:pStyle w:val="Odsekzoznamu"/>
              <w:numPr>
                <w:ilvl w:val="0"/>
                <w:numId w:val="17"/>
              </w:numPr>
              <w:spacing w:after="0"/>
              <w:ind w:left="249" w:hanging="249"/>
              <w:jc w:val="both"/>
              <w:rPr>
                <w:rFonts w:ascii="Times New Roman" w:hAnsi="Times New Roman"/>
                <w:sz w:val="24"/>
                <w:szCs w:val="24"/>
              </w:rPr>
            </w:pPr>
            <w:r w:rsidRPr="002410BE">
              <w:rPr>
                <w:rFonts w:ascii="Times New Roman" w:hAnsi="Times New Roman"/>
                <w:sz w:val="24"/>
                <w:szCs w:val="24"/>
              </w:rPr>
              <w:t xml:space="preserve">každému žiakovi, ktorý sa pripravuje v študijnom odbore alebo v učebnom odbore, ktoré sú zaradené do Zoznamu študijných odborov </w:t>
            </w:r>
            <w:r w:rsidRPr="002410BE">
              <w:rPr>
                <w:rFonts w:ascii="Times New Roman" w:hAnsi="Times New Roman"/>
                <w:sz w:val="24"/>
                <w:szCs w:val="24"/>
              </w:rPr>
              <w:lastRenderedPageBreak/>
              <w:t>a učebných odborov s nedostatočným počtom absolventov na trhu práce bude poskytnuté mesačne v období školského vyučovania motivačné štipendium podľa úrovne priemerného  prospechu nasledovne:</w:t>
            </w:r>
          </w:p>
          <w:p w:rsidR="000A42E7" w:rsidRPr="002410BE" w:rsidRDefault="006A20E2" w:rsidP="006A20E2">
            <w:pPr>
              <w:pStyle w:val="Odsekzoznamu"/>
              <w:numPr>
                <w:ilvl w:val="1"/>
                <w:numId w:val="19"/>
              </w:numPr>
              <w:spacing w:after="0"/>
              <w:ind w:left="781" w:hanging="425"/>
              <w:jc w:val="both"/>
              <w:rPr>
                <w:rFonts w:ascii="Times New Roman" w:hAnsi="Times New Roman"/>
                <w:sz w:val="24"/>
                <w:szCs w:val="24"/>
              </w:rPr>
            </w:pPr>
            <w:r w:rsidRPr="002410BE">
              <w:rPr>
                <w:rFonts w:ascii="Calibri" w:hAnsi="Calibri"/>
                <w:sz w:val="24"/>
                <w:szCs w:val="24"/>
              </w:rPr>
              <w:t>Ø</w:t>
            </w:r>
            <w:r w:rsidRPr="002410BE">
              <w:rPr>
                <w:rFonts w:ascii="Times New Roman" w:hAnsi="Times New Roman"/>
                <w:sz w:val="24"/>
                <w:szCs w:val="24"/>
              </w:rPr>
              <w:t xml:space="preserve"> </w:t>
            </w:r>
            <w:r w:rsidR="000A42E7" w:rsidRPr="002410BE">
              <w:rPr>
                <w:rFonts w:ascii="Times New Roman" w:hAnsi="Times New Roman"/>
                <w:sz w:val="24"/>
                <w:szCs w:val="24"/>
              </w:rPr>
              <w:t xml:space="preserve">od </w:t>
            </w:r>
            <w:r w:rsidRPr="002410BE">
              <w:rPr>
                <w:rFonts w:ascii="Times New Roman" w:hAnsi="Times New Roman"/>
                <w:sz w:val="24"/>
                <w:szCs w:val="24"/>
              </w:rPr>
              <w:t xml:space="preserve">   </w:t>
            </w:r>
            <w:r w:rsidR="000A42E7" w:rsidRPr="002410BE">
              <w:rPr>
                <w:rFonts w:ascii="Times New Roman" w:hAnsi="Times New Roman"/>
                <w:sz w:val="24"/>
                <w:szCs w:val="24"/>
              </w:rPr>
              <w:t>1 do 1,8 – 58,77- Eur</w:t>
            </w:r>
          </w:p>
          <w:p w:rsidR="000A42E7" w:rsidRPr="002410BE" w:rsidRDefault="006A20E2" w:rsidP="002410BE">
            <w:pPr>
              <w:pStyle w:val="Odsekzoznamu"/>
              <w:widowControl w:val="0"/>
              <w:numPr>
                <w:ilvl w:val="1"/>
                <w:numId w:val="19"/>
              </w:numPr>
              <w:spacing w:after="0"/>
              <w:ind w:left="781" w:hanging="425"/>
              <w:jc w:val="both"/>
              <w:rPr>
                <w:rFonts w:ascii="Times New Roman" w:hAnsi="Times New Roman"/>
                <w:sz w:val="24"/>
                <w:szCs w:val="24"/>
              </w:rPr>
            </w:pPr>
            <w:r w:rsidRPr="002410BE">
              <w:rPr>
                <w:rFonts w:ascii="Calibri" w:hAnsi="Calibri"/>
                <w:sz w:val="24"/>
                <w:szCs w:val="24"/>
              </w:rPr>
              <w:t>Ø</w:t>
            </w:r>
            <w:r w:rsidRPr="002410BE">
              <w:rPr>
                <w:rFonts w:ascii="Times New Roman" w:hAnsi="Times New Roman"/>
                <w:sz w:val="24"/>
                <w:szCs w:val="24"/>
              </w:rPr>
              <w:t xml:space="preserve"> </w:t>
            </w:r>
            <w:r w:rsidR="000A42E7" w:rsidRPr="002410BE">
              <w:rPr>
                <w:rFonts w:ascii="Times New Roman" w:hAnsi="Times New Roman"/>
                <w:sz w:val="24"/>
                <w:szCs w:val="24"/>
              </w:rPr>
              <w:t>od 1,8 do 2,4 – 40,69- Eur</w:t>
            </w:r>
          </w:p>
          <w:p w:rsidR="000A42E7" w:rsidRPr="002410BE" w:rsidRDefault="006A20E2" w:rsidP="002410BE">
            <w:pPr>
              <w:pStyle w:val="Odsekzoznamu"/>
              <w:widowControl w:val="0"/>
              <w:numPr>
                <w:ilvl w:val="1"/>
                <w:numId w:val="19"/>
              </w:numPr>
              <w:spacing w:after="0"/>
              <w:ind w:left="781" w:hanging="425"/>
              <w:jc w:val="both"/>
              <w:rPr>
                <w:rFonts w:ascii="Times New Roman" w:hAnsi="Times New Roman"/>
                <w:sz w:val="24"/>
                <w:szCs w:val="24"/>
              </w:rPr>
            </w:pPr>
            <w:r w:rsidRPr="002410BE">
              <w:rPr>
                <w:rFonts w:ascii="Calibri" w:hAnsi="Calibri"/>
                <w:sz w:val="24"/>
                <w:szCs w:val="24"/>
              </w:rPr>
              <w:t>Ø</w:t>
            </w:r>
            <w:r w:rsidRPr="002410BE">
              <w:rPr>
                <w:rFonts w:ascii="Times New Roman" w:hAnsi="Times New Roman"/>
                <w:sz w:val="24"/>
                <w:szCs w:val="24"/>
              </w:rPr>
              <w:t xml:space="preserve"> </w:t>
            </w:r>
            <w:r w:rsidR="000A42E7" w:rsidRPr="002410BE">
              <w:rPr>
                <w:rFonts w:ascii="Times New Roman" w:hAnsi="Times New Roman"/>
                <w:sz w:val="24"/>
                <w:szCs w:val="24"/>
              </w:rPr>
              <w:t>od 2,4 do 3,0 – 22,61- Eur</w:t>
            </w:r>
          </w:p>
          <w:p w:rsidR="000A42E7" w:rsidRPr="002410BE" w:rsidRDefault="000A42E7" w:rsidP="002410BE">
            <w:pPr>
              <w:widowControl w:val="0"/>
              <w:jc w:val="both"/>
            </w:pPr>
            <w:r w:rsidRPr="002410BE">
              <w:t>V oblasti hmotného zabezpečenia žiakov:</w:t>
            </w:r>
          </w:p>
          <w:p w:rsidR="000A42E7" w:rsidRPr="002410BE" w:rsidRDefault="000A42E7" w:rsidP="002410BE">
            <w:pPr>
              <w:pStyle w:val="Odsekzoznamu"/>
              <w:widowControl w:val="0"/>
              <w:numPr>
                <w:ilvl w:val="0"/>
                <w:numId w:val="17"/>
              </w:numPr>
              <w:spacing w:after="0"/>
              <w:ind w:left="249" w:hanging="249"/>
              <w:jc w:val="both"/>
              <w:rPr>
                <w:rFonts w:ascii="Times New Roman" w:hAnsi="Times New Roman"/>
                <w:sz w:val="24"/>
                <w:szCs w:val="24"/>
              </w:rPr>
            </w:pPr>
            <w:r w:rsidRPr="002410BE">
              <w:rPr>
                <w:rFonts w:ascii="Times New Roman" w:hAnsi="Times New Roman"/>
                <w:sz w:val="24"/>
                <w:szCs w:val="24"/>
              </w:rPr>
              <w:t>výdavky žiakov na stravovanie za jeden vyučovací deň je možné</w:t>
            </w:r>
            <w:r w:rsidR="006A20E2" w:rsidRPr="002410BE">
              <w:rPr>
                <w:rFonts w:ascii="Times New Roman" w:hAnsi="Times New Roman"/>
                <w:sz w:val="24"/>
                <w:szCs w:val="24"/>
              </w:rPr>
              <w:t xml:space="preserve"> uhradiť v</w:t>
            </w:r>
            <w:r w:rsidR="007F3C0E" w:rsidRPr="002410BE">
              <w:rPr>
                <w:rFonts w:ascii="Times New Roman" w:hAnsi="Times New Roman"/>
                <w:sz w:val="24"/>
                <w:szCs w:val="24"/>
              </w:rPr>
              <w:t>o</w:t>
            </w:r>
            <w:r w:rsidR="006A20E2" w:rsidRPr="002410BE">
              <w:rPr>
                <w:rFonts w:ascii="Times New Roman" w:hAnsi="Times New Roman"/>
                <w:sz w:val="24"/>
                <w:szCs w:val="24"/>
              </w:rPr>
              <w:t xml:space="preserve"> výške 2,31- Eur</w:t>
            </w:r>
            <w:r w:rsidRPr="002410BE">
              <w:rPr>
                <w:rFonts w:ascii="Times New Roman" w:hAnsi="Times New Roman"/>
                <w:sz w:val="24"/>
                <w:szCs w:val="24"/>
              </w:rPr>
              <w:t xml:space="preserve"> (55% stravného na pracovnej ceste v trvaní 5-12 hodín),</w:t>
            </w:r>
            <w:r w:rsidR="006A20E2" w:rsidRPr="002410BE">
              <w:rPr>
                <w:rFonts w:ascii="Times New Roman" w:hAnsi="Times New Roman"/>
                <w:sz w:val="24"/>
                <w:szCs w:val="24"/>
              </w:rPr>
              <w:t xml:space="preserve"> čo je pri priemernom počte 18 vyučovacích dní za mesiac v období školského vyučovania max. 41,58</w:t>
            </w:r>
            <w:r w:rsidRPr="002410BE">
              <w:rPr>
                <w:rFonts w:ascii="Times New Roman" w:hAnsi="Times New Roman"/>
                <w:sz w:val="24"/>
                <w:szCs w:val="24"/>
              </w:rPr>
              <w:t>- Eur,</w:t>
            </w:r>
          </w:p>
          <w:p w:rsidR="000A42E7" w:rsidRPr="002410BE" w:rsidRDefault="000A42E7" w:rsidP="002410BE">
            <w:pPr>
              <w:pStyle w:val="Odsekzoznamu"/>
              <w:widowControl w:val="0"/>
              <w:numPr>
                <w:ilvl w:val="0"/>
                <w:numId w:val="17"/>
              </w:numPr>
              <w:spacing w:after="0"/>
              <w:ind w:left="249" w:hanging="249"/>
              <w:jc w:val="both"/>
              <w:rPr>
                <w:rFonts w:ascii="Times New Roman" w:hAnsi="Times New Roman"/>
                <w:sz w:val="24"/>
                <w:szCs w:val="24"/>
              </w:rPr>
            </w:pPr>
            <w:r w:rsidRPr="002410BE">
              <w:rPr>
                <w:rFonts w:ascii="Times New Roman" w:hAnsi="Times New Roman"/>
                <w:sz w:val="24"/>
                <w:szCs w:val="24"/>
              </w:rPr>
              <w:t>výdavky žiakov na ubytovanie je možné uhradiť mesačne v období školského vyučovania do výšky 40,69- Eur (45% sumy životného minima na nezaopatrené alebo zaopatrené neplnoleté dieťa),</w:t>
            </w:r>
          </w:p>
          <w:p w:rsidR="000A42E7" w:rsidRPr="002410BE" w:rsidRDefault="000A42E7" w:rsidP="002410BE">
            <w:pPr>
              <w:pStyle w:val="Odsekzoznamu"/>
              <w:widowControl w:val="0"/>
              <w:numPr>
                <w:ilvl w:val="0"/>
                <w:numId w:val="17"/>
              </w:numPr>
              <w:spacing w:after="0"/>
              <w:ind w:left="249" w:hanging="249"/>
              <w:jc w:val="both"/>
              <w:rPr>
                <w:rFonts w:ascii="Times New Roman" w:hAnsi="Times New Roman"/>
                <w:sz w:val="24"/>
                <w:szCs w:val="24"/>
              </w:rPr>
            </w:pPr>
            <w:r w:rsidRPr="002410BE">
              <w:rPr>
                <w:rFonts w:ascii="Times New Roman" w:hAnsi="Times New Roman"/>
                <w:sz w:val="24"/>
                <w:szCs w:val="24"/>
              </w:rPr>
              <w:t xml:space="preserve">výdavky žiakov na cestovné </w:t>
            </w:r>
            <w:r w:rsidR="006A20E2" w:rsidRPr="002410BE">
              <w:rPr>
                <w:rFonts w:ascii="Times New Roman" w:hAnsi="Times New Roman"/>
                <w:sz w:val="24"/>
                <w:szCs w:val="24"/>
              </w:rPr>
              <w:t>za jeden vyučovací deň je možné uhradiť v</w:t>
            </w:r>
            <w:r w:rsidR="007F3C0E" w:rsidRPr="002410BE">
              <w:rPr>
                <w:rFonts w:ascii="Times New Roman" w:hAnsi="Times New Roman"/>
                <w:sz w:val="24"/>
                <w:szCs w:val="24"/>
              </w:rPr>
              <w:t>o</w:t>
            </w:r>
            <w:r w:rsidR="006A20E2" w:rsidRPr="002410BE">
              <w:rPr>
                <w:rFonts w:ascii="Times New Roman" w:hAnsi="Times New Roman"/>
                <w:sz w:val="24"/>
                <w:szCs w:val="24"/>
              </w:rPr>
              <w:t xml:space="preserve"> výške 4,20-Eur </w:t>
            </w:r>
            <w:r w:rsidRPr="002410BE">
              <w:rPr>
                <w:rFonts w:ascii="Times New Roman" w:hAnsi="Times New Roman"/>
                <w:sz w:val="24"/>
                <w:szCs w:val="24"/>
              </w:rPr>
              <w:t>(</w:t>
            </w:r>
            <w:r w:rsidR="006A20E2" w:rsidRPr="002410BE">
              <w:rPr>
                <w:rFonts w:ascii="Times New Roman" w:hAnsi="Times New Roman"/>
                <w:sz w:val="24"/>
                <w:szCs w:val="24"/>
              </w:rPr>
              <w:t>100</w:t>
            </w:r>
            <w:r w:rsidRPr="002410BE">
              <w:rPr>
                <w:rFonts w:ascii="Times New Roman" w:hAnsi="Times New Roman"/>
                <w:sz w:val="24"/>
                <w:szCs w:val="24"/>
              </w:rPr>
              <w:t xml:space="preserve">% </w:t>
            </w:r>
            <w:r w:rsidR="006A20E2" w:rsidRPr="002410BE">
              <w:rPr>
                <w:rFonts w:ascii="Times New Roman" w:hAnsi="Times New Roman"/>
                <w:sz w:val="24"/>
                <w:szCs w:val="24"/>
              </w:rPr>
              <w:t>stravného na pracovnej ceste v trvaní 5-12 hodín</w:t>
            </w:r>
            <w:r w:rsidRPr="002410BE">
              <w:rPr>
                <w:rFonts w:ascii="Times New Roman" w:hAnsi="Times New Roman"/>
                <w:sz w:val="24"/>
                <w:szCs w:val="24"/>
              </w:rPr>
              <w:t>),</w:t>
            </w:r>
            <w:r w:rsidR="006A20E2" w:rsidRPr="002410BE">
              <w:rPr>
                <w:rFonts w:ascii="Times New Roman" w:hAnsi="Times New Roman"/>
                <w:sz w:val="24"/>
                <w:szCs w:val="24"/>
              </w:rPr>
              <w:t xml:space="preserve"> čo je pri priemernom počte 18 vyučovacích dní za mesiac v období školského vyučovania max. 75,60- Eur,</w:t>
            </w:r>
          </w:p>
          <w:p w:rsidR="000A42E7" w:rsidRPr="002410BE" w:rsidRDefault="000A42E7" w:rsidP="002410BE">
            <w:pPr>
              <w:pStyle w:val="Odsekzoznamu"/>
              <w:widowControl w:val="0"/>
              <w:numPr>
                <w:ilvl w:val="0"/>
                <w:numId w:val="17"/>
              </w:numPr>
              <w:spacing w:after="0"/>
              <w:ind w:left="249" w:hanging="249"/>
              <w:jc w:val="both"/>
              <w:rPr>
                <w:rFonts w:ascii="Times New Roman" w:hAnsi="Times New Roman"/>
                <w:sz w:val="24"/>
                <w:szCs w:val="24"/>
              </w:rPr>
            </w:pPr>
            <w:r w:rsidRPr="002410BE">
              <w:rPr>
                <w:rFonts w:ascii="Times New Roman" w:hAnsi="Times New Roman"/>
                <w:sz w:val="24"/>
                <w:szCs w:val="24"/>
              </w:rPr>
              <w:t xml:space="preserve">dochádza len k minimálnemu zvýšeniu </w:t>
            </w:r>
            <w:r w:rsidR="007F3C0E" w:rsidRPr="002410BE">
              <w:rPr>
                <w:rFonts w:ascii="Times New Roman" w:hAnsi="Times New Roman"/>
                <w:sz w:val="24"/>
                <w:szCs w:val="24"/>
              </w:rPr>
              <w:t>možných úhrad</w:t>
            </w:r>
            <w:r w:rsidRPr="002410BE">
              <w:rPr>
                <w:rFonts w:ascii="Times New Roman" w:hAnsi="Times New Roman"/>
                <w:sz w:val="24"/>
                <w:szCs w:val="24"/>
              </w:rPr>
              <w:t xml:space="preserve"> z dôvodu zvýšenia úhrady stravného pri pracovnej ceste v trvaní 5-12 hodín zo 4,00- Eur na 4,20- Eur,</w:t>
            </w:r>
          </w:p>
          <w:p w:rsidR="007F3C0E" w:rsidRPr="002410BE" w:rsidRDefault="000A42E7" w:rsidP="002410BE">
            <w:pPr>
              <w:pStyle w:val="Odsekzoznamu"/>
              <w:widowControl w:val="0"/>
              <w:numPr>
                <w:ilvl w:val="0"/>
                <w:numId w:val="17"/>
              </w:numPr>
              <w:spacing w:after="0"/>
              <w:ind w:left="249" w:hanging="249"/>
              <w:jc w:val="both"/>
              <w:rPr>
                <w:rFonts w:ascii="Times New Roman" w:hAnsi="Times New Roman"/>
                <w:sz w:val="24"/>
                <w:szCs w:val="24"/>
              </w:rPr>
            </w:pPr>
            <w:r w:rsidRPr="002410BE">
              <w:rPr>
                <w:rFonts w:ascii="Times New Roman" w:hAnsi="Times New Roman"/>
                <w:sz w:val="24"/>
                <w:szCs w:val="24"/>
              </w:rPr>
              <w:t xml:space="preserve">v prípade žiaka pripravujúceho sa v duálnom systéme, je mu zamestnávateľ povinný uhradiť </w:t>
            </w:r>
            <w:r w:rsidR="007F3C0E" w:rsidRPr="002410BE">
              <w:t>náklady na stravovanie</w:t>
            </w:r>
            <w:r w:rsidRPr="002410BE">
              <w:rPr>
                <w:rFonts w:ascii="Times New Roman" w:hAnsi="Times New Roman"/>
                <w:sz w:val="24"/>
                <w:szCs w:val="24"/>
              </w:rPr>
              <w:t xml:space="preserve"> </w:t>
            </w:r>
            <w:r w:rsidR="007F3C0E" w:rsidRPr="002410BE">
              <w:rPr>
                <w:rFonts w:ascii="Times New Roman" w:hAnsi="Times New Roman"/>
                <w:sz w:val="24"/>
                <w:szCs w:val="24"/>
              </w:rPr>
              <w:t>v</w:t>
            </w:r>
            <w:r w:rsidR="007F3C0E" w:rsidRPr="002410BE">
              <w:t>o</w:t>
            </w:r>
            <w:r w:rsidR="007F3C0E" w:rsidRPr="002410BE">
              <w:rPr>
                <w:rFonts w:ascii="Times New Roman" w:hAnsi="Times New Roman"/>
                <w:sz w:val="24"/>
                <w:szCs w:val="24"/>
              </w:rPr>
              <w:t> výške 2,31- Eur (55% stravného na pracovnej ceste v trvaní 5-12 hodín).</w:t>
            </w:r>
          </w:p>
          <w:p w:rsidR="00C441E9" w:rsidRPr="002410BE" w:rsidRDefault="000A42E7" w:rsidP="000A42E7">
            <w:pPr>
              <w:jc w:val="both"/>
            </w:pPr>
            <w:r w:rsidRPr="002410BE">
              <w:t>Počet domácností ovplyvnených návrhom sa bude v čase vyvíjať v závislosti na počte žiakov zapojených do systému duálneho vzdelávania. Podľa predbežných predpokladov sa očakáva, že v prvom roku zavedenia systému duálneho vzdelávania sa zapojí približne 1500 žiakov stredných odborných škôl a ich počet bude postupne narastať.</w:t>
            </w:r>
          </w:p>
        </w:tc>
      </w:tr>
      <w:tr w:rsidR="004956AE" w:rsidTr="00C90AB8">
        <w:trPr>
          <w:cantSplit/>
          <w:trHeight w:val="549"/>
          <w:jc w:val="center"/>
        </w:trPr>
        <w:tc>
          <w:tcPr>
            <w:tcW w:w="3775" w:type="dxa"/>
            <w:tcBorders>
              <w:top w:val="single" w:sz="4" w:space="0" w:color="auto"/>
              <w:left w:val="single" w:sz="4" w:space="0" w:color="auto"/>
              <w:bottom w:val="single" w:sz="4" w:space="0" w:color="auto"/>
              <w:right w:val="single" w:sz="4" w:space="0" w:color="auto"/>
            </w:tcBorders>
            <w:vAlign w:val="center"/>
          </w:tcPr>
          <w:p w:rsidR="004956AE" w:rsidRDefault="004956AE" w:rsidP="004956AE"/>
        </w:tc>
        <w:tc>
          <w:tcPr>
            <w:tcW w:w="5240" w:type="dxa"/>
            <w:vMerge/>
            <w:tcBorders>
              <w:top w:val="nil"/>
              <w:left w:val="single" w:sz="4" w:space="0" w:color="auto"/>
              <w:bottom w:val="single" w:sz="4" w:space="0" w:color="auto"/>
              <w:right w:val="single" w:sz="4" w:space="0" w:color="auto"/>
            </w:tcBorders>
          </w:tcPr>
          <w:p w:rsidR="004956AE" w:rsidRDefault="004956AE" w:rsidP="00495672"/>
        </w:tc>
      </w:tr>
      <w:tr w:rsidR="004956AE" w:rsidTr="000A42E7">
        <w:trPr>
          <w:trHeight w:val="1608"/>
          <w:jc w:val="center"/>
        </w:trPr>
        <w:tc>
          <w:tcPr>
            <w:tcW w:w="3775" w:type="dxa"/>
            <w:tcBorders>
              <w:top w:val="single" w:sz="4" w:space="0" w:color="auto"/>
              <w:left w:val="single" w:sz="4" w:space="0" w:color="auto"/>
              <w:bottom w:val="single" w:sz="4" w:space="0" w:color="auto"/>
              <w:right w:val="single" w:sz="4" w:space="0" w:color="auto"/>
            </w:tcBorders>
            <w:vAlign w:val="center"/>
          </w:tcPr>
          <w:p w:rsidR="004956AE" w:rsidRDefault="004956AE" w:rsidP="00C90AB8">
            <w:r>
              <w:rPr>
                <w:b/>
              </w:rPr>
              <w:lastRenderedPageBreak/>
              <w:t>4.2.</w:t>
            </w:r>
            <w:r>
              <w:t> Zhodnoťte kvalitatívne (prípadne kvantitatívne) vplyvy na prístup k zdrojom, právam, tovarom a službám u jednotlivých ovplyvnených skupín obyvateľstva.</w:t>
            </w:r>
          </w:p>
        </w:tc>
        <w:tc>
          <w:tcPr>
            <w:tcW w:w="5240" w:type="dxa"/>
            <w:tcBorders>
              <w:top w:val="single" w:sz="4" w:space="0" w:color="auto"/>
              <w:left w:val="single" w:sz="4" w:space="0" w:color="auto"/>
              <w:bottom w:val="single" w:sz="4" w:space="0" w:color="auto"/>
              <w:right w:val="single" w:sz="4" w:space="0" w:color="auto"/>
            </w:tcBorders>
          </w:tcPr>
          <w:p w:rsidR="004956AE" w:rsidRPr="002410BE" w:rsidRDefault="004956AE" w:rsidP="00C35F12">
            <w:pPr>
              <w:jc w:val="both"/>
            </w:pPr>
            <w:r w:rsidRPr="002410BE">
              <w:t>Navrhovaný systém duálneho školstva sa týka najmä prístupu k zamestnanosti a to cez jednoduchšie uplatnenie na trhu práce a prístupu k vzdelaniu vďaka kvalitnejšej výučbe odrážajúcej aktuálne potreby trhu práce. Na základe skúseností a výsledkov zo zahraničnej praxe sa predpokladá, že žiak zapojený v systéme duálneho vzdelávania sa po štúdiu rýchlejšie uplatní na trhu práce a dosiahne v priemere vyšší nástupný plat.</w:t>
            </w:r>
          </w:p>
          <w:p w:rsidR="00C90AB8" w:rsidRPr="002410BE" w:rsidRDefault="00823A42" w:rsidP="00823A42">
            <w:pPr>
              <w:jc w:val="both"/>
            </w:pPr>
            <w:r w:rsidRPr="002410BE">
              <w:t xml:space="preserve">Pozitívny vplyv na skrátenie a zjednodušenie nadobudnutia novej alebo rozšírenia pôvodnej kvalifikácie, a tým aj prístupu k zamestnanosti bude mať </w:t>
            </w:r>
            <w:r w:rsidR="00C90AB8" w:rsidRPr="002410BE">
              <w:t>v súvislosti s č</w:t>
            </w:r>
            <w:r w:rsidR="00EC0EAC" w:rsidRPr="002410BE">
              <w:t>l. XIII (Návrh novely zákona č. </w:t>
            </w:r>
            <w:r w:rsidR="00C90AB8" w:rsidRPr="002410BE">
              <w:t xml:space="preserve">245/2008 Z. z. o výchove a vzdelávaní (školský zákon) a o zmene a doplnení niektorých zákonov v znení neskorších predpisov </w:t>
            </w:r>
            <w:r w:rsidR="0000473C" w:rsidRPr="002410BE">
              <w:t>navrhované</w:t>
            </w:r>
            <w:r w:rsidRPr="002410BE">
              <w:t>,</w:t>
            </w:r>
            <w:r w:rsidR="0000473C" w:rsidRPr="002410BE">
              <w:t xml:space="preserve"> tzv. </w:t>
            </w:r>
            <w:r w:rsidRPr="002410BE">
              <w:t>„</w:t>
            </w:r>
            <w:r w:rsidR="0000473C" w:rsidRPr="002410BE">
              <w:t>skrátené štúdium</w:t>
            </w:r>
            <w:r w:rsidRPr="002410BE">
              <w:t>“</w:t>
            </w:r>
            <w:r w:rsidR="0000473C" w:rsidRPr="002410BE">
              <w:t xml:space="preserve"> v učebných odboroch</w:t>
            </w:r>
            <w:r w:rsidRPr="002410BE">
              <w:t xml:space="preserve">.  Skrátené štúdium </w:t>
            </w:r>
            <w:r w:rsidR="0000473C" w:rsidRPr="002410BE">
              <w:t>umožní absolventom</w:t>
            </w:r>
            <w:r w:rsidRPr="002410BE">
              <w:t xml:space="preserve"> učebných odborov, ktorí</w:t>
            </w:r>
            <w:r w:rsidR="0000473C" w:rsidRPr="002410BE">
              <w:t xml:space="preserve"> </w:t>
            </w:r>
            <w:r w:rsidRPr="002410BE">
              <w:t xml:space="preserve">už </w:t>
            </w:r>
            <w:r w:rsidR="0000473C" w:rsidRPr="002410BE">
              <w:t>získali stredné odborné vzdelanie a </w:t>
            </w:r>
            <w:r w:rsidRPr="002410BE">
              <w:t>absolventom</w:t>
            </w:r>
            <w:r w:rsidR="0000473C" w:rsidRPr="002410BE">
              <w:t xml:space="preserve"> študijných odborov stredných odborných škôl rozšíriť alebo prehĺbiť si svoju kvalifikáciu bez potreby opätovného štúdia všeobecnovzdelávacích predmetov</w:t>
            </w:r>
            <w:r w:rsidRPr="002410BE">
              <w:t>.</w:t>
            </w:r>
          </w:p>
          <w:p w:rsidR="00EC0EAC" w:rsidRPr="002410BE" w:rsidRDefault="00EC0EAC" w:rsidP="00EC0EAC">
            <w:pPr>
              <w:jc w:val="both"/>
            </w:pPr>
            <w:r w:rsidRPr="002410BE">
              <w:t>Rovnaký účinok bude mať aj ustanovenie, ktorým sa umožní žiakom konzervatórií, ktorí pred prijatím na štúdium konzervatória získali úplné stredné všeobecné vzdelanie alebo úplné stredné odborné vzdelanie, absolvovať štúdium bez absolvovania všeobecnovzdelávacích predmetov a bez opakovaného vykonania maturitnej skúšky zo slovenského jazyka a literatúry a cudzieho jazyka.</w:t>
            </w:r>
          </w:p>
        </w:tc>
      </w:tr>
      <w:tr w:rsidR="004956AE" w:rsidTr="000A42E7">
        <w:trPr>
          <w:trHeight w:val="660"/>
          <w:jc w:val="center"/>
        </w:trPr>
        <w:tc>
          <w:tcPr>
            <w:tcW w:w="3775" w:type="dxa"/>
            <w:tcBorders>
              <w:top w:val="single" w:sz="4" w:space="0" w:color="auto"/>
              <w:left w:val="single" w:sz="4" w:space="0" w:color="auto"/>
              <w:bottom w:val="single" w:sz="4" w:space="0" w:color="auto"/>
              <w:right w:val="single" w:sz="4" w:space="0" w:color="auto"/>
            </w:tcBorders>
            <w:vAlign w:val="center"/>
          </w:tcPr>
          <w:p w:rsidR="004956AE" w:rsidRDefault="004956AE" w:rsidP="004956AE">
            <w:r>
              <w:rPr>
                <w:b/>
              </w:rPr>
              <w:t>4.3.</w:t>
            </w:r>
            <w:r>
              <w:rPr>
                <w:sz w:val="22"/>
                <w:szCs w:val="22"/>
              </w:rPr>
              <w:t xml:space="preserve"> </w:t>
            </w:r>
            <w:r>
              <w:t>Zhodnoťte vplyv na rovnosť príležitostí:</w:t>
            </w:r>
          </w:p>
          <w:p w:rsidR="004956AE" w:rsidRDefault="004956AE" w:rsidP="004956AE">
            <w:r>
              <w:t>Zhodnoťte vplyv na rodovú rovnosť</w:t>
            </w:r>
          </w:p>
        </w:tc>
        <w:tc>
          <w:tcPr>
            <w:tcW w:w="5240" w:type="dxa"/>
            <w:tcBorders>
              <w:top w:val="single" w:sz="4" w:space="0" w:color="auto"/>
              <w:left w:val="nil"/>
              <w:bottom w:val="single" w:sz="4" w:space="0" w:color="auto"/>
              <w:right w:val="single" w:sz="4" w:space="0" w:color="auto"/>
            </w:tcBorders>
            <w:vAlign w:val="center"/>
          </w:tcPr>
          <w:p w:rsidR="004956AE" w:rsidRPr="002410BE" w:rsidRDefault="004956AE" w:rsidP="00C22BA5">
            <w:pPr>
              <w:rPr>
                <w:iCs/>
              </w:rPr>
            </w:pPr>
            <w:r w:rsidRPr="002410BE">
              <w:rPr>
                <w:iCs/>
              </w:rPr>
              <w:t>Žiadny vplyv</w:t>
            </w:r>
          </w:p>
        </w:tc>
      </w:tr>
      <w:tr w:rsidR="004956AE" w:rsidTr="000A42E7">
        <w:trPr>
          <w:trHeight w:val="552"/>
          <w:jc w:val="center"/>
        </w:trPr>
        <w:tc>
          <w:tcPr>
            <w:tcW w:w="3775" w:type="dxa"/>
            <w:tcBorders>
              <w:top w:val="single" w:sz="4" w:space="0" w:color="auto"/>
              <w:left w:val="single" w:sz="4" w:space="0" w:color="auto"/>
              <w:bottom w:val="single" w:sz="4" w:space="0" w:color="auto"/>
              <w:right w:val="single" w:sz="4" w:space="0" w:color="auto"/>
            </w:tcBorders>
            <w:vAlign w:val="center"/>
          </w:tcPr>
          <w:p w:rsidR="004956AE" w:rsidRDefault="004956AE" w:rsidP="004956AE">
            <w:pPr>
              <w:jc w:val="both"/>
            </w:pPr>
            <w:r>
              <w:rPr>
                <w:b/>
              </w:rPr>
              <w:t xml:space="preserve">4.4. </w:t>
            </w:r>
            <w:r>
              <w:t>Zhodnoťte vplyvy na zamestnanosť.</w:t>
            </w:r>
          </w:p>
          <w:p w:rsidR="004956AE" w:rsidRDefault="004956AE" w:rsidP="004956AE">
            <w:pPr>
              <w:jc w:val="both"/>
              <w:rPr>
                <w:b/>
              </w:rPr>
            </w:pPr>
          </w:p>
          <w:p w:rsidR="004956AE" w:rsidRDefault="004956AE" w:rsidP="004956AE">
            <w:pPr>
              <w:jc w:val="both"/>
              <w:rPr>
                <w:bCs/>
              </w:rPr>
            </w:pPr>
            <w:r>
              <w:rPr>
                <w:bCs/>
              </w:rPr>
              <w:t>Aké sú  vplyvy na zamestnanosť?</w:t>
            </w:r>
          </w:p>
          <w:p w:rsidR="004956AE" w:rsidRDefault="004956AE" w:rsidP="004956AE">
            <w:pPr>
              <w:jc w:val="both"/>
            </w:pPr>
            <w:r>
              <w:rPr>
                <w:bCs/>
              </w:rPr>
              <w:t>Ktoré skupiny zamestnancov budú ohrozené schválením predkladaného materiálu?</w:t>
            </w:r>
          </w:p>
          <w:p w:rsidR="004956AE" w:rsidRDefault="004956AE" w:rsidP="004956AE">
            <w:pPr>
              <w:jc w:val="both"/>
              <w:rPr>
                <w:bCs/>
              </w:rPr>
            </w:pPr>
            <w:r>
              <w:rPr>
                <w:bCs/>
              </w:rPr>
              <w:t>Hrozí v prípade schválenia predkladaného materiálu hromadné prepúšťanie?</w:t>
            </w:r>
          </w:p>
        </w:tc>
        <w:tc>
          <w:tcPr>
            <w:tcW w:w="5240" w:type="dxa"/>
            <w:tcBorders>
              <w:top w:val="single" w:sz="4" w:space="0" w:color="auto"/>
              <w:left w:val="single" w:sz="4" w:space="0" w:color="auto"/>
              <w:bottom w:val="single" w:sz="4" w:space="0" w:color="auto"/>
              <w:right w:val="single" w:sz="4" w:space="0" w:color="auto"/>
            </w:tcBorders>
          </w:tcPr>
          <w:p w:rsidR="004956AE" w:rsidRPr="002410BE" w:rsidRDefault="004956AE" w:rsidP="006929EC">
            <w:pPr>
              <w:jc w:val="both"/>
            </w:pPr>
            <w:r w:rsidRPr="002410BE">
              <w:t xml:space="preserve">Zavedením predloženého systému duálneho vzdelávania sa predpokladá zlepšenie aktuálnej alarmujúcej situácie na trhu práce, kedy ročne odíde do dôchodku viac ako 33 000 kvalifikovaných pracovníkov, avšak títo nie sú v dostatočnej miere nahrádzaní absolventmi stredných odborných škôl, </w:t>
            </w:r>
          </w:p>
          <w:p w:rsidR="004956AE" w:rsidRPr="002410BE" w:rsidRDefault="004956AE" w:rsidP="006929EC">
            <w:pPr>
              <w:jc w:val="both"/>
            </w:pPr>
            <w:r w:rsidRPr="002410BE">
              <w:t xml:space="preserve">Navrhovaný systém by mal znížiť štrukturálnu nezamestnanosť, obzvlášť u mladých ľudí a to v celoštátnom rozsahu. V prípade schválenia predkladaného návrhu zákona nepredpokladáme hromadné prepúšťanie, nakoľko systém rieši náhradu výpadku kvalifikovaných pozícií, lepšie </w:t>
            </w:r>
            <w:r w:rsidRPr="002410BE">
              <w:lastRenderedPageBreak/>
              <w:t>prispôsobenie štruktúry absolventov potrebám trhu práce, a rýchlejšie uplatnenie absolventov na trhu práce a v odboroch vzdelávania, ktoré trh práce požaduje.</w:t>
            </w:r>
          </w:p>
        </w:tc>
      </w:tr>
    </w:tbl>
    <w:p w:rsidR="00AB1BDA" w:rsidRDefault="00AB1BDA" w:rsidP="00DF6356">
      <w:pPr>
        <w:pStyle w:val="Normlnywebov"/>
        <w:spacing w:before="0" w:beforeAutospacing="0" w:after="0" w:afterAutospacing="0"/>
        <w:jc w:val="both"/>
        <w:sectPr w:rsidR="00AB1BDA" w:rsidSect="00DF6356">
          <w:headerReference w:type="default" r:id="rId17"/>
          <w:pgSz w:w="12240" w:h="15840"/>
          <w:pgMar w:top="1418" w:right="1418" w:bottom="1418" w:left="1418" w:header="709" w:footer="709" w:gutter="0"/>
          <w:cols w:space="708"/>
          <w:docGrid w:linePitch="326"/>
        </w:sectPr>
      </w:pPr>
    </w:p>
    <w:p w:rsidR="00AB1BDA" w:rsidRPr="009F7853" w:rsidRDefault="00AB1BDA" w:rsidP="00AB1BDA">
      <w:pPr>
        <w:pStyle w:val="Normlnywebov"/>
        <w:jc w:val="center"/>
        <w:rPr>
          <w:bCs/>
          <w:sz w:val="28"/>
          <w:szCs w:val="28"/>
        </w:rPr>
      </w:pPr>
      <w:r w:rsidRPr="009F7853">
        <w:rPr>
          <w:bCs/>
          <w:sz w:val="28"/>
          <w:szCs w:val="28"/>
        </w:rPr>
        <w:lastRenderedPageBreak/>
        <w:t>Vplyvy na informatizáciu spoločnosti</w:t>
      </w:r>
    </w:p>
    <w:p w:rsidR="00AB1BDA" w:rsidRDefault="00AB1BDA" w:rsidP="00AB1BDA">
      <w:pPr>
        <w:pStyle w:val="Normlnywebov"/>
        <w:jc w:val="both"/>
        <w:rPr>
          <w:bCs/>
          <w:sz w:val="28"/>
          <w:szCs w:val="28"/>
        </w:rPr>
      </w:pPr>
    </w:p>
    <w:tbl>
      <w:tblPr>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5235"/>
        <w:gridCol w:w="3780"/>
      </w:tblGrid>
      <w:tr w:rsidR="00AB1BDA" w:rsidTr="00495672">
        <w:trPr>
          <w:trHeight w:val="20"/>
        </w:trPr>
        <w:tc>
          <w:tcPr>
            <w:tcW w:w="5235" w:type="dxa"/>
            <w:shd w:val="clear" w:color="auto" w:fill="000000"/>
          </w:tcPr>
          <w:p w:rsidR="00AB1BDA" w:rsidRPr="009F7853" w:rsidRDefault="00AB1BDA" w:rsidP="00495672">
            <w:pPr>
              <w:spacing w:line="20" w:lineRule="atLeast"/>
              <w:jc w:val="both"/>
              <w:rPr>
                <w:b/>
              </w:rPr>
            </w:pPr>
            <w:r w:rsidRPr="009F7853">
              <w:rPr>
                <w:b/>
              </w:rPr>
              <w:t>Budovanie základných pilierov informatizácie</w:t>
            </w:r>
          </w:p>
        </w:tc>
        <w:tc>
          <w:tcPr>
            <w:tcW w:w="3780" w:type="dxa"/>
            <w:shd w:val="clear" w:color="auto" w:fill="000000"/>
          </w:tcPr>
          <w:p w:rsidR="00AB1BDA" w:rsidRDefault="00AB1BDA" w:rsidP="00495672">
            <w:pPr>
              <w:rPr>
                <w:b/>
                <w:i/>
                <w:iCs/>
                <w:sz w:val="2"/>
                <w:szCs w:val="22"/>
              </w:rPr>
            </w:pPr>
          </w:p>
        </w:tc>
      </w:tr>
      <w:tr w:rsidR="00AB1BDA" w:rsidTr="00495672">
        <w:trPr>
          <w:trHeight w:val="20"/>
        </w:trPr>
        <w:tc>
          <w:tcPr>
            <w:tcW w:w="5235" w:type="dxa"/>
            <w:shd w:val="clear" w:color="auto" w:fill="C0C0C0"/>
          </w:tcPr>
          <w:p w:rsidR="00AB1BDA" w:rsidRPr="009F7853" w:rsidRDefault="00AB1BDA" w:rsidP="00495672">
            <w:pPr>
              <w:spacing w:line="20" w:lineRule="atLeast"/>
              <w:jc w:val="both"/>
              <w:rPr>
                <w:b/>
              </w:rPr>
            </w:pPr>
            <w:r w:rsidRPr="009F7853">
              <w:rPr>
                <w:b/>
              </w:rPr>
              <w:t>Obsah</w:t>
            </w:r>
          </w:p>
        </w:tc>
        <w:tc>
          <w:tcPr>
            <w:tcW w:w="3780" w:type="dxa"/>
            <w:shd w:val="clear" w:color="auto" w:fill="C0C0C0"/>
          </w:tcPr>
          <w:p w:rsidR="00AB1BDA" w:rsidRDefault="00AB1BDA" w:rsidP="00495672">
            <w:pPr>
              <w:rPr>
                <w:i/>
                <w:iCs/>
                <w:sz w:val="2"/>
                <w:szCs w:val="22"/>
              </w:rPr>
            </w:pPr>
          </w:p>
        </w:tc>
      </w:tr>
      <w:tr w:rsidR="00AE18BD" w:rsidTr="00771628">
        <w:trPr>
          <w:trHeight w:val="20"/>
        </w:trPr>
        <w:tc>
          <w:tcPr>
            <w:tcW w:w="5235" w:type="dxa"/>
          </w:tcPr>
          <w:p w:rsidR="00AE18BD" w:rsidRPr="009F7853" w:rsidRDefault="00AE18BD" w:rsidP="00495672">
            <w:pPr>
              <w:jc w:val="both"/>
            </w:pPr>
            <w:r w:rsidRPr="009F7853">
              <w:rPr>
                <w:b/>
              </w:rPr>
              <w:t>6.1.</w:t>
            </w:r>
            <w:r w:rsidRPr="009F7853">
              <w:t xml:space="preserve"> Rozširujú alebo inovujú  sa existujúce alebo vytvárajú sa či zavádzajú  sa nové elektronické služby?</w:t>
            </w:r>
          </w:p>
          <w:p w:rsidR="00AE18BD" w:rsidRPr="009F7853" w:rsidRDefault="00AE18BD" w:rsidP="00495672">
            <w:pPr>
              <w:spacing w:line="20" w:lineRule="atLeast"/>
              <w:jc w:val="both"/>
            </w:pPr>
            <w:r w:rsidRPr="009F7853">
              <w:rPr>
                <w:i/>
                <w:iCs/>
              </w:rPr>
              <w:t>(Popíšte ich funkciu a úroveň poskytovania.)</w:t>
            </w:r>
          </w:p>
        </w:tc>
        <w:tc>
          <w:tcPr>
            <w:tcW w:w="3780" w:type="dxa"/>
            <w:vAlign w:val="center"/>
          </w:tcPr>
          <w:p w:rsidR="00AE18BD" w:rsidRPr="00E10044" w:rsidRDefault="00AE18BD" w:rsidP="00495672">
            <w:pPr>
              <w:rPr>
                <w:iCs/>
              </w:rPr>
            </w:pPr>
            <w:r w:rsidRPr="00E10044">
              <w:rPr>
                <w:iCs/>
              </w:rPr>
              <w:t>Žiadny vplyv</w:t>
            </w:r>
          </w:p>
        </w:tc>
      </w:tr>
      <w:tr w:rsidR="00AE18BD" w:rsidTr="00771628">
        <w:trPr>
          <w:trHeight w:val="20"/>
        </w:trPr>
        <w:tc>
          <w:tcPr>
            <w:tcW w:w="5235" w:type="dxa"/>
          </w:tcPr>
          <w:p w:rsidR="00AE18BD" w:rsidRPr="009F7853" w:rsidRDefault="00AE18BD" w:rsidP="00495672">
            <w:pPr>
              <w:jc w:val="both"/>
            </w:pPr>
            <w:r w:rsidRPr="009F7853">
              <w:rPr>
                <w:b/>
              </w:rPr>
              <w:t>6.2.</w:t>
            </w:r>
            <w:r w:rsidRPr="009F7853">
              <w:t xml:space="preserve"> Vytvárajú sa podmienky pre sémantickú </w:t>
            </w:r>
            <w:proofErr w:type="spellStart"/>
            <w:r w:rsidRPr="009F7853">
              <w:t>interoperabilitu</w:t>
            </w:r>
            <w:proofErr w:type="spellEnd"/>
            <w:r w:rsidRPr="009F7853">
              <w:t>?</w:t>
            </w:r>
          </w:p>
          <w:p w:rsidR="00AE18BD" w:rsidRPr="009F7853" w:rsidRDefault="00AE18BD" w:rsidP="00495672">
            <w:pPr>
              <w:spacing w:line="20" w:lineRule="atLeast"/>
              <w:jc w:val="both"/>
            </w:pPr>
            <w:r w:rsidRPr="009F7853">
              <w:rPr>
                <w:i/>
                <w:iCs/>
              </w:rPr>
              <w:t>(Popíšte spôsob jej zabezpečenia.)</w:t>
            </w:r>
          </w:p>
        </w:tc>
        <w:tc>
          <w:tcPr>
            <w:tcW w:w="3780" w:type="dxa"/>
            <w:vAlign w:val="center"/>
          </w:tcPr>
          <w:p w:rsidR="00AE18BD" w:rsidRPr="00E10044" w:rsidRDefault="00AE18BD" w:rsidP="00495672">
            <w:pPr>
              <w:rPr>
                <w:iCs/>
              </w:rPr>
            </w:pPr>
            <w:r w:rsidRPr="00E10044">
              <w:rPr>
                <w:iCs/>
              </w:rPr>
              <w:t>Žiadny vplyv</w:t>
            </w:r>
          </w:p>
        </w:tc>
      </w:tr>
      <w:tr w:rsidR="00AE18BD" w:rsidTr="00495672">
        <w:trPr>
          <w:trHeight w:val="20"/>
        </w:trPr>
        <w:tc>
          <w:tcPr>
            <w:tcW w:w="5235" w:type="dxa"/>
            <w:shd w:val="clear" w:color="auto" w:fill="C0C0C0"/>
          </w:tcPr>
          <w:p w:rsidR="00AE18BD" w:rsidRPr="009F7853" w:rsidRDefault="00AE18BD" w:rsidP="00495672">
            <w:pPr>
              <w:spacing w:line="20" w:lineRule="atLeast"/>
              <w:jc w:val="both"/>
              <w:rPr>
                <w:b/>
                <w:color w:val="FFFFFF"/>
              </w:rPr>
            </w:pPr>
            <w:r w:rsidRPr="009F7853">
              <w:rPr>
                <w:b/>
              </w:rPr>
              <w:t>Ľudia</w:t>
            </w:r>
          </w:p>
        </w:tc>
        <w:tc>
          <w:tcPr>
            <w:tcW w:w="3780" w:type="dxa"/>
            <w:shd w:val="clear" w:color="auto" w:fill="C0C0C0"/>
            <w:vAlign w:val="center"/>
          </w:tcPr>
          <w:p w:rsidR="00AE18BD" w:rsidRDefault="00AE18BD" w:rsidP="00495672">
            <w:pPr>
              <w:rPr>
                <w:b/>
                <w:i/>
                <w:iCs/>
                <w:sz w:val="2"/>
                <w:szCs w:val="22"/>
              </w:rPr>
            </w:pPr>
          </w:p>
        </w:tc>
      </w:tr>
      <w:tr w:rsidR="00AE18BD" w:rsidTr="00495672">
        <w:trPr>
          <w:trHeight w:val="20"/>
        </w:trPr>
        <w:tc>
          <w:tcPr>
            <w:tcW w:w="5235" w:type="dxa"/>
          </w:tcPr>
          <w:p w:rsidR="00AE18BD" w:rsidRPr="009F7853" w:rsidRDefault="00AE18BD" w:rsidP="00495672">
            <w:pPr>
              <w:jc w:val="both"/>
            </w:pPr>
            <w:r w:rsidRPr="009F7853">
              <w:rPr>
                <w:b/>
              </w:rPr>
              <w:t>6.3.</w:t>
            </w:r>
            <w:r w:rsidRPr="009F7853">
              <w:t xml:space="preserve"> Zabezpečuje sa vzdelávanie v oblasti počítačovej gramotnosti a rozširovanie vedomostí o IKT?</w:t>
            </w:r>
          </w:p>
          <w:p w:rsidR="00AE18BD" w:rsidRPr="009F7853" w:rsidRDefault="00AE18BD" w:rsidP="00495672">
            <w:pPr>
              <w:spacing w:line="20" w:lineRule="atLeast"/>
              <w:jc w:val="both"/>
            </w:pPr>
            <w:r w:rsidRPr="009F7853">
              <w:rPr>
                <w:i/>
                <w:iCs/>
              </w:rPr>
              <w:t>(Uveďte spôsob, napr. projekty, školenia.)</w:t>
            </w:r>
          </w:p>
        </w:tc>
        <w:tc>
          <w:tcPr>
            <w:tcW w:w="3780" w:type="dxa"/>
            <w:vAlign w:val="center"/>
          </w:tcPr>
          <w:p w:rsidR="00AE18BD" w:rsidRPr="00E10044" w:rsidRDefault="00AE18BD" w:rsidP="006929EC">
            <w:pPr>
              <w:jc w:val="both"/>
              <w:rPr>
                <w:iCs/>
              </w:rPr>
            </w:pPr>
            <w:r w:rsidRPr="00E10044">
              <w:rPr>
                <w:iCs/>
              </w:rPr>
              <w:t>Zavedením systému</w:t>
            </w:r>
            <w:r>
              <w:rPr>
                <w:iCs/>
              </w:rPr>
              <w:t xml:space="preserve"> duálneho vzdelávania</w:t>
            </w:r>
            <w:r w:rsidRPr="00E10044">
              <w:rPr>
                <w:iCs/>
              </w:rPr>
              <w:t xml:space="preserve"> sa vo všeobecnosti predpokladá nárast kvality stredoškolského vzdelávania, čo implikuje aj zvýšenie počítačovej gramotnosti.</w:t>
            </w:r>
            <w:r>
              <w:rPr>
                <w:iCs/>
              </w:rPr>
              <w:t xml:space="preserve"> Tento vplyv je však nepriamy.</w:t>
            </w:r>
          </w:p>
        </w:tc>
      </w:tr>
      <w:tr w:rsidR="00AE18BD" w:rsidTr="00495672">
        <w:trPr>
          <w:trHeight w:val="20"/>
        </w:trPr>
        <w:tc>
          <w:tcPr>
            <w:tcW w:w="5235" w:type="dxa"/>
          </w:tcPr>
          <w:p w:rsidR="00AE18BD" w:rsidRPr="009F7853" w:rsidRDefault="00AE18BD" w:rsidP="00495672">
            <w:pPr>
              <w:jc w:val="both"/>
            </w:pPr>
            <w:r w:rsidRPr="009F7853">
              <w:rPr>
                <w:b/>
              </w:rPr>
              <w:t>6.4.</w:t>
            </w:r>
            <w:r w:rsidRPr="009F7853">
              <w:t xml:space="preserve"> Zabezpečuje sa rozvoj elektronického vzdelávania?</w:t>
            </w:r>
          </w:p>
          <w:p w:rsidR="00AE18BD" w:rsidRPr="009F7853" w:rsidRDefault="00AE18BD" w:rsidP="00495672">
            <w:pPr>
              <w:spacing w:line="20" w:lineRule="atLeast"/>
              <w:jc w:val="both"/>
              <w:rPr>
                <w:color w:val="FFFFFF"/>
              </w:rPr>
            </w:pPr>
            <w:r w:rsidRPr="009F7853">
              <w:rPr>
                <w:i/>
                <w:iCs/>
              </w:rPr>
              <w:t>(Uveďte typ a spôsob zabezpečenia vzdelávacích aktivít.)</w:t>
            </w:r>
          </w:p>
        </w:tc>
        <w:tc>
          <w:tcPr>
            <w:tcW w:w="3780" w:type="dxa"/>
          </w:tcPr>
          <w:p w:rsidR="00AE18BD" w:rsidRPr="00E10044" w:rsidRDefault="00AE18BD" w:rsidP="006929EC">
            <w:pPr>
              <w:jc w:val="both"/>
              <w:rPr>
                <w:iCs/>
              </w:rPr>
            </w:pPr>
            <w:r w:rsidRPr="00E10044">
              <w:rPr>
                <w:iCs/>
              </w:rPr>
              <w:t>Nepriamo vplýva aj na rozvoj elektronického vzdelávania a to cez vyššie zmienený nárast kvality stredoškolského vzdelávania.</w:t>
            </w:r>
          </w:p>
        </w:tc>
      </w:tr>
      <w:tr w:rsidR="00AE18BD" w:rsidTr="00771628">
        <w:trPr>
          <w:trHeight w:val="20"/>
        </w:trPr>
        <w:tc>
          <w:tcPr>
            <w:tcW w:w="5235" w:type="dxa"/>
          </w:tcPr>
          <w:p w:rsidR="00AE18BD" w:rsidRPr="009F7853" w:rsidRDefault="00AE18BD" w:rsidP="00495672">
            <w:pPr>
              <w:jc w:val="both"/>
            </w:pPr>
            <w:r w:rsidRPr="009F7853">
              <w:rPr>
                <w:b/>
              </w:rPr>
              <w:t>6.5.</w:t>
            </w:r>
            <w:r w:rsidRPr="009F7853">
              <w:t xml:space="preserve"> Zabezpečuje sa podporná a propagačná aktivita zameraná na zvyšovanie povedomia o informatizácii a IKT?</w:t>
            </w:r>
          </w:p>
          <w:p w:rsidR="00AE18BD" w:rsidRPr="009F7853" w:rsidRDefault="00AE18BD" w:rsidP="00495672">
            <w:pPr>
              <w:spacing w:line="20" w:lineRule="atLeast"/>
              <w:jc w:val="both"/>
              <w:rPr>
                <w:color w:val="FFFFFF"/>
              </w:rPr>
            </w:pPr>
            <w:r w:rsidRPr="009F7853">
              <w:rPr>
                <w:i/>
                <w:iCs/>
              </w:rPr>
              <w:t>(Uveďte typ a spôsob zabezpečenia propagačných aktivít.)</w:t>
            </w:r>
          </w:p>
        </w:tc>
        <w:tc>
          <w:tcPr>
            <w:tcW w:w="3780" w:type="dxa"/>
            <w:vAlign w:val="center"/>
          </w:tcPr>
          <w:p w:rsidR="00AE18BD" w:rsidRPr="00E10044" w:rsidRDefault="00AE18BD" w:rsidP="006929EC">
            <w:pPr>
              <w:jc w:val="both"/>
              <w:rPr>
                <w:iCs/>
              </w:rPr>
            </w:pPr>
            <w:r w:rsidRPr="00E10044">
              <w:rPr>
                <w:iCs/>
              </w:rPr>
              <w:t>Žiadny vplyv</w:t>
            </w:r>
          </w:p>
        </w:tc>
      </w:tr>
      <w:tr w:rsidR="00AE18BD" w:rsidTr="00495672">
        <w:trPr>
          <w:trHeight w:val="20"/>
        </w:trPr>
        <w:tc>
          <w:tcPr>
            <w:tcW w:w="5235" w:type="dxa"/>
          </w:tcPr>
          <w:p w:rsidR="00AE18BD" w:rsidRPr="009F7853" w:rsidRDefault="00AE18BD" w:rsidP="00495672">
            <w:pPr>
              <w:jc w:val="both"/>
            </w:pPr>
            <w:r w:rsidRPr="009F7853">
              <w:rPr>
                <w:b/>
              </w:rPr>
              <w:t>6.6.</w:t>
            </w:r>
            <w:r w:rsidRPr="009F7853">
              <w:t xml:space="preserve"> Zabezpečuje/zohľadňuje/zlepšuje sa prístup znevýhodnených osôb k službám informačnej spoločnosti?</w:t>
            </w:r>
          </w:p>
          <w:p w:rsidR="00AE18BD" w:rsidRPr="009F7853" w:rsidRDefault="00AE18BD" w:rsidP="00495672">
            <w:pPr>
              <w:spacing w:line="20" w:lineRule="atLeast"/>
              <w:jc w:val="both"/>
            </w:pPr>
            <w:r w:rsidRPr="009F7853">
              <w:rPr>
                <w:i/>
                <w:iCs/>
              </w:rPr>
              <w:t>(Uveďte spôsob sprístupnenia digitálneho prostredia.)</w:t>
            </w:r>
          </w:p>
        </w:tc>
        <w:tc>
          <w:tcPr>
            <w:tcW w:w="3780" w:type="dxa"/>
          </w:tcPr>
          <w:p w:rsidR="00AE18BD" w:rsidRPr="00AE18BD" w:rsidRDefault="00AE18BD" w:rsidP="006929EC">
            <w:pPr>
              <w:jc w:val="both"/>
              <w:rPr>
                <w:iCs/>
              </w:rPr>
            </w:pPr>
            <w:r>
              <w:rPr>
                <w:iCs/>
              </w:rPr>
              <w:t xml:space="preserve">Návrh môže mať nepriamy pozitívny vplyv na prístup k službám informačnej spoločnosti. </w:t>
            </w:r>
            <w:r w:rsidR="00BD747C" w:rsidRPr="006929EC">
              <w:rPr>
                <w:iCs/>
              </w:rPr>
              <w:t>Ž</w:t>
            </w:r>
            <w:r w:rsidR="00A154DE" w:rsidRPr="006929EC">
              <w:rPr>
                <w:iCs/>
              </w:rPr>
              <w:t xml:space="preserve">iaci </w:t>
            </w:r>
            <w:r w:rsidRPr="006929EC">
              <w:rPr>
                <w:iCs/>
              </w:rPr>
              <w:t>zapojení do systému duálneho vzdelávania u zamestnávateľov</w:t>
            </w:r>
            <w:r w:rsidRPr="00E10044">
              <w:rPr>
                <w:iCs/>
              </w:rPr>
              <w:t>, poskytujúcich kvalitnejší prístup k informačným technológiám, majú možnosť získať takouto formou lepší príst</w:t>
            </w:r>
            <w:r>
              <w:rPr>
                <w:iCs/>
              </w:rPr>
              <w:t>up k technológiám v porovnaní s</w:t>
            </w:r>
            <w:r w:rsidR="006929EC">
              <w:rPr>
                <w:iCs/>
              </w:rPr>
              <w:t> </w:t>
            </w:r>
            <w:r w:rsidRPr="00E10044">
              <w:rPr>
                <w:iCs/>
              </w:rPr>
              <w:t>prístupom, ktorý zabezpečuje bežná výučba na školách</w:t>
            </w:r>
            <w:r>
              <w:rPr>
                <w:iCs/>
              </w:rPr>
              <w:t>.</w:t>
            </w:r>
          </w:p>
        </w:tc>
      </w:tr>
      <w:tr w:rsidR="00AE18BD" w:rsidTr="00495672">
        <w:trPr>
          <w:trHeight w:val="20"/>
        </w:trPr>
        <w:tc>
          <w:tcPr>
            <w:tcW w:w="5235" w:type="dxa"/>
            <w:shd w:val="clear" w:color="auto" w:fill="C0C0C0"/>
          </w:tcPr>
          <w:p w:rsidR="00AE18BD" w:rsidRPr="009F7853" w:rsidRDefault="00AE18BD" w:rsidP="00495672">
            <w:pPr>
              <w:spacing w:line="20" w:lineRule="atLeast"/>
              <w:jc w:val="both"/>
              <w:rPr>
                <w:b/>
              </w:rPr>
            </w:pPr>
            <w:r w:rsidRPr="009F7853">
              <w:rPr>
                <w:b/>
              </w:rPr>
              <w:t>Infraštruktúra</w:t>
            </w:r>
          </w:p>
        </w:tc>
        <w:tc>
          <w:tcPr>
            <w:tcW w:w="3780" w:type="dxa"/>
            <w:shd w:val="clear" w:color="auto" w:fill="C0C0C0"/>
          </w:tcPr>
          <w:p w:rsidR="00AE18BD" w:rsidRPr="00354C00" w:rsidRDefault="00AE18BD" w:rsidP="00495672">
            <w:pPr>
              <w:rPr>
                <w:b/>
                <w:i/>
                <w:iCs/>
              </w:rPr>
            </w:pPr>
          </w:p>
        </w:tc>
      </w:tr>
      <w:tr w:rsidR="00AE18BD" w:rsidTr="00771628">
        <w:trPr>
          <w:trHeight w:val="20"/>
        </w:trPr>
        <w:tc>
          <w:tcPr>
            <w:tcW w:w="5235" w:type="dxa"/>
          </w:tcPr>
          <w:p w:rsidR="00AE18BD" w:rsidRPr="009F7853" w:rsidRDefault="00AE18BD" w:rsidP="00495672">
            <w:pPr>
              <w:jc w:val="both"/>
            </w:pPr>
            <w:r w:rsidRPr="009F7853">
              <w:rPr>
                <w:b/>
              </w:rPr>
              <w:t>6.7.</w:t>
            </w:r>
            <w:r w:rsidRPr="009F7853">
              <w:t xml:space="preserve"> Rozširuje, inovuje, vytvára alebo zavádza sa </w:t>
            </w:r>
            <w:r w:rsidRPr="009F7853">
              <w:lastRenderedPageBreak/>
              <w:t>nový informačný systém?</w:t>
            </w:r>
          </w:p>
          <w:p w:rsidR="00AE18BD" w:rsidRPr="009F7853" w:rsidRDefault="00AE18BD" w:rsidP="00495672">
            <w:pPr>
              <w:spacing w:line="20" w:lineRule="atLeast"/>
              <w:jc w:val="both"/>
            </w:pPr>
            <w:r w:rsidRPr="009F7853">
              <w:rPr>
                <w:i/>
                <w:iCs/>
              </w:rPr>
              <w:t>(Uveďte jeho funkciu.)</w:t>
            </w:r>
          </w:p>
        </w:tc>
        <w:tc>
          <w:tcPr>
            <w:tcW w:w="3780" w:type="dxa"/>
            <w:vAlign w:val="center"/>
          </w:tcPr>
          <w:p w:rsidR="00AE18BD" w:rsidRPr="00AE18BD" w:rsidRDefault="00AE18BD" w:rsidP="00495672">
            <w:pPr>
              <w:rPr>
                <w:iCs/>
              </w:rPr>
            </w:pPr>
            <w:r w:rsidRPr="00AE18BD">
              <w:rPr>
                <w:iCs/>
              </w:rPr>
              <w:lastRenderedPageBreak/>
              <w:t>Žiadny vplyv</w:t>
            </w:r>
          </w:p>
        </w:tc>
      </w:tr>
      <w:tr w:rsidR="00AE18BD" w:rsidTr="00771628">
        <w:trPr>
          <w:trHeight w:val="20"/>
        </w:trPr>
        <w:tc>
          <w:tcPr>
            <w:tcW w:w="5235" w:type="dxa"/>
          </w:tcPr>
          <w:p w:rsidR="00AE18BD" w:rsidRPr="009F7853" w:rsidRDefault="00AE18BD" w:rsidP="00495672">
            <w:pPr>
              <w:jc w:val="both"/>
            </w:pPr>
            <w:r w:rsidRPr="009F7853">
              <w:rPr>
                <w:b/>
              </w:rPr>
              <w:lastRenderedPageBreak/>
              <w:t>6.8.</w:t>
            </w:r>
            <w:r w:rsidRPr="009F7853">
              <w:t xml:space="preserve"> Rozširuje sa prístupnosť k internetu?</w:t>
            </w:r>
          </w:p>
          <w:p w:rsidR="00AE18BD" w:rsidRPr="009F7853" w:rsidRDefault="00AE18BD" w:rsidP="00495672">
            <w:pPr>
              <w:spacing w:line="20" w:lineRule="atLeast"/>
              <w:jc w:val="both"/>
            </w:pPr>
            <w:r w:rsidRPr="009F7853">
              <w:rPr>
                <w:i/>
                <w:iCs/>
              </w:rPr>
              <w:t>(Uveďte spôsob rozširovania prístupnosti.)</w:t>
            </w:r>
          </w:p>
        </w:tc>
        <w:tc>
          <w:tcPr>
            <w:tcW w:w="3780" w:type="dxa"/>
            <w:vAlign w:val="center"/>
          </w:tcPr>
          <w:p w:rsidR="00AE18BD" w:rsidRPr="00AE18BD" w:rsidRDefault="00AE18BD" w:rsidP="00495672">
            <w:pPr>
              <w:rPr>
                <w:iCs/>
              </w:rPr>
            </w:pPr>
            <w:r w:rsidRPr="00AE18BD">
              <w:rPr>
                <w:iCs/>
              </w:rPr>
              <w:t>Žiadny vplyv</w:t>
            </w:r>
          </w:p>
        </w:tc>
      </w:tr>
      <w:tr w:rsidR="00AE18BD" w:rsidTr="00771628">
        <w:trPr>
          <w:trHeight w:val="20"/>
        </w:trPr>
        <w:tc>
          <w:tcPr>
            <w:tcW w:w="5235" w:type="dxa"/>
          </w:tcPr>
          <w:p w:rsidR="00AE18BD" w:rsidRPr="009F7853" w:rsidRDefault="00AE18BD" w:rsidP="00495672">
            <w:r w:rsidRPr="009F7853">
              <w:rPr>
                <w:b/>
              </w:rPr>
              <w:t>6.9.</w:t>
            </w:r>
            <w:r w:rsidRPr="009F7853">
              <w:t xml:space="preserve"> Rozširuje sa prístupnosť k elektronickým službám?</w:t>
            </w:r>
          </w:p>
          <w:p w:rsidR="00AE18BD" w:rsidRPr="009F7853" w:rsidRDefault="00AE18BD" w:rsidP="00495672">
            <w:pPr>
              <w:spacing w:line="20" w:lineRule="atLeast"/>
            </w:pPr>
            <w:r w:rsidRPr="009F7853">
              <w:rPr>
                <w:i/>
                <w:iCs/>
              </w:rPr>
              <w:t>(Uveďte spôsob rozširovania prístupnosti.)</w:t>
            </w:r>
          </w:p>
        </w:tc>
        <w:tc>
          <w:tcPr>
            <w:tcW w:w="3780" w:type="dxa"/>
            <w:vAlign w:val="center"/>
          </w:tcPr>
          <w:p w:rsidR="00AE18BD" w:rsidRPr="00AE18BD" w:rsidRDefault="00AE18BD" w:rsidP="00495672">
            <w:pPr>
              <w:rPr>
                <w:iCs/>
              </w:rPr>
            </w:pPr>
            <w:r w:rsidRPr="00AE18BD">
              <w:rPr>
                <w:iCs/>
              </w:rPr>
              <w:t>Žiadny vplyv</w:t>
            </w:r>
          </w:p>
        </w:tc>
      </w:tr>
      <w:tr w:rsidR="00AE18BD" w:rsidTr="00771628">
        <w:trPr>
          <w:trHeight w:val="20"/>
        </w:trPr>
        <w:tc>
          <w:tcPr>
            <w:tcW w:w="5235" w:type="dxa"/>
          </w:tcPr>
          <w:p w:rsidR="00AE18BD" w:rsidRPr="009F7853" w:rsidRDefault="00AE18BD" w:rsidP="00495672">
            <w:pPr>
              <w:jc w:val="both"/>
            </w:pPr>
            <w:r w:rsidRPr="009F7853">
              <w:rPr>
                <w:b/>
              </w:rPr>
              <w:t>6.10.</w:t>
            </w:r>
            <w:r w:rsidRPr="009F7853">
              <w:t xml:space="preserve"> Zabezpečuje sa technická </w:t>
            </w:r>
            <w:proofErr w:type="spellStart"/>
            <w:r w:rsidRPr="009F7853">
              <w:t>interoperabilita</w:t>
            </w:r>
            <w:proofErr w:type="spellEnd"/>
            <w:r w:rsidRPr="009F7853">
              <w:t>?</w:t>
            </w:r>
          </w:p>
          <w:p w:rsidR="00AE18BD" w:rsidRPr="009F7853" w:rsidRDefault="00AE18BD" w:rsidP="00495672">
            <w:pPr>
              <w:spacing w:line="20" w:lineRule="atLeast"/>
              <w:jc w:val="both"/>
            </w:pPr>
            <w:r w:rsidRPr="009F7853">
              <w:rPr>
                <w:i/>
                <w:iCs/>
              </w:rPr>
              <w:t>(Uveďte spôsob jej zabezpečenia.)</w:t>
            </w:r>
          </w:p>
        </w:tc>
        <w:tc>
          <w:tcPr>
            <w:tcW w:w="3780" w:type="dxa"/>
            <w:vAlign w:val="center"/>
          </w:tcPr>
          <w:p w:rsidR="00AE18BD" w:rsidRPr="00AE18BD" w:rsidRDefault="00AE18BD" w:rsidP="00495672">
            <w:pPr>
              <w:rPr>
                <w:iCs/>
              </w:rPr>
            </w:pPr>
            <w:r w:rsidRPr="00AE18BD">
              <w:rPr>
                <w:iCs/>
              </w:rPr>
              <w:t>Žiadny vplyv</w:t>
            </w:r>
          </w:p>
        </w:tc>
      </w:tr>
      <w:tr w:rsidR="00AE18BD" w:rsidTr="00771628">
        <w:trPr>
          <w:trHeight w:val="20"/>
        </w:trPr>
        <w:tc>
          <w:tcPr>
            <w:tcW w:w="5235" w:type="dxa"/>
          </w:tcPr>
          <w:p w:rsidR="00AE18BD" w:rsidRPr="009F7853" w:rsidRDefault="00AE18BD" w:rsidP="00495672">
            <w:pPr>
              <w:jc w:val="both"/>
            </w:pPr>
            <w:r w:rsidRPr="009F7853">
              <w:rPr>
                <w:b/>
              </w:rPr>
              <w:t>6.11.</w:t>
            </w:r>
            <w:r w:rsidRPr="009F7853">
              <w:t xml:space="preserve"> Zvyšuje sa bezpečnosť IT?</w:t>
            </w:r>
          </w:p>
          <w:p w:rsidR="00AE18BD" w:rsidRPr="009F7853" w:rsidRDefault="00AE18BD" w:rsidP="00495672">
            <w:pPr>
              <w:spacing w:line="20" w:lineRule="atLeast"/>
              <w:jc w:val="both"/>
            </w:pPr>
            <w:r w:rsidRPr="009F7853">
              <w:t>(</w:t>
            </w:r>
            <w:r w:rsidRPr="009F7853">
              <w:rPr>
                <w:i/>
                <w:iCs/>
              </w:rPr>
              <w:t>Uveďte spôsob zvýšenia bezpečnosti a ochrany IT.)</w:t>
            </w:r>
          </w:p>
        </w:tc>
        <w:tc>
          <w:tcPr>
            <w:tcW w:w="3780" w:type="dxa"/>
            <w:vAlign w:val="center"/>
          </w:tcPr>
          <w:p w:rsidR="00AE18BD" w:rsidRPr="00AE18BD" w:rsidRDefault="00AE18BD" w:rsidP="00495672">
            <w:pPr>
              <w:rPr>
                <w:iCs/>
              </w:rPr>
            </w:pPr>
            <w:r w:rsidRPr="00AE18BD">
              <w:rPr>
                <w:iCs/>
              </w:rPr>
              <w:t>Žiadny vplyv</w:t>
            </w:r>
          </w:p>
        </w:tc>
      </w:tr>
      <w:tr w:rsidR="00AE18BD" w:rsidTr="00771628">
        <w:trPr>
          <w:trHeight w:val="20"/>
        </w:trPr>
        <w:tc>
          <w:tcPr>
            <w:tcW w:w="5235" w:type="dxa"/>
          </w:tcPr>
          <w:p w:rsidR="00AE18BD" w:rsidRPr="009F7853" w:rsidRDefault="00AE18BD" w:rsidP="00495672">
            <w:pPr>
              <w:jc w:val="both"/>
            </w:pPr>
            <w:r w:rsidRPr="009F7853">
              <w:rPr>
                <w:b/>
              </w:rPr>
              <w:t>6.12.</w:t>
            </w:r>
            <w:r w:rsidRPr="009F7853">
              <w:t xml:space="preserve"> Rozširuje sa technická infraštruktúra?</w:t>
            </w:r>
          </w:p>
          <w:p w:rsidR="00AE18BD" w:rsidRDefault="00AE18BD" w:rsidP="00495672">
            <w:pPr>
              <w:spacing w:line="20" w:lineRule="atLeast"/>
              <w:jc w:val="both"/>
              <w:rPr>
                <w:i/>
                <w:iCs/>
              </w:rPr>
            </w:pPr>
            <w:r w:rsidRPr="009F7853">
              <w:t>(</w:t>
            </w:r>
            <w:r w:rsidRPr="009F7853">
              <w:rPr>
                <w:i/>
                <w:iCs/>
              </w:rPr>
              <w:t>Uveďte stručný popis zavádzanej infraštruktúry.)</w:t>
            </w:r>
          </w:p>
          <w:p w:rsidR="00AE18BD" w:rsidRPr="009F7853" w:rsidRDefault="00AE18BD" w:rsidP="00495672">
            <w:pPr>
              <w:spacing w:line="20" w:lineRule="atLeast"/>
              <w:jc w:val="both"/>
            </w:pPr>
          </w:p>
        </w:tc>
        <w:tc>
          <w:tcPr>
            <w:tcW w:w="3780" w:type="dxa"/>
            <w:vAlign w:val="center"/>
          </w:tcPr>
          <w:p w:rsidR="00AE18BD" w:rsidRPr="00AE18BD" w:rsidRDefault="00AE18BD" w:rsidP="00495672">
            <w:pPr>
              <w:rPr>
                <w:iCs/>
              </w:rPr>
            </w:pPr>
            <w:r w:rsidRPr="00AE18BD">
              <w:rPr>
                <w:iCs/>
              </w:rPr>
              <w:t>Žiadny vplyv</w:t>
            </w:r>
          </w:p>
        </w:tc>
      </w:tr>
      <w:tr w:rsidR="00AE18BD" w:rsidTr="00495672">
        <w:trPr>
          <w:trHeight w:val="20"/>
        </w:trPr>
        <w:tc>
          <w:tcPr>
            <w:tcW w:w="5235" w:type="dxa"/>
            <w:shd w:val="clear" w:color="auto" w:fill="000000"/>
          </w:tcPr>
          <w:p w:rsidR="00AE18BD" w:rsidRPr="009F7853" w:rsidRDefault="00AE18BD" w:rsidP="00495672">
            <w:pPr>
              <w:spacing w:line="20" w:lineRule="atLeast"/>
              <w:rPr>
                <w:b/>
              </w:rPr>
            </w:pPr>
            <w:r w:rsidRPr="009F7853">
              <w:rPr>
                <w:b/>
              </w:rPr>
              <w:t>Riadenie procesu informatizácie</w:t>
            </w:r>
          </w:p>
        </w:tc>
        <w:tc>
          <w:tcPr>
            <w:tcW w:w="3780" w:type="dxa"/>
            <w:shd w:val="clear" w:color="auto" w:fill="000000"/>
          </w:tcPr>
          <w:p w:rsidR="00AE18BD" w:rsidRPr="00AE18BD" w:rsidRDefault="00AE18BD" w:rsidP="00495672">
            <w:pPr>
              <w:jc w:val="center"/>
              <w:rPr>
                <w:b/>
                <w:sz w:val="2"/>
                <w:szCs w:val="22"/>
              </w:rPr>
            </w:pPr>
          </w:p>
        </w:tc>
      </w:tr>
      <w:tr w:rsidR="00AE18BD" w:rsidTr="00771628">
        <w:trPr>
          <w:trHeight w:val="20"/>
        </w:trPr>
        <w:tc>
          <w:tcPr>
            <w:tcW w:w="5235" w:type="dxa"/>
          </w:tcPr>
          <w:p w:rsidR="00AE18BD" w:rsidRPr="009F7853" w:rsidRDefault="00AE18BD" w:rsidP="00495672">
            <w:pPr>
              <w:jc w:val="both"/>
            </w:pPr>
            <w:r w:rsidRPr="009F7853">
              <w:rPr>
                <w:b/>
              </w:rPr>
              <w:t>6.13.</w:t>
            </w:r>
            <w:r w:rsidRPr="009F7853">
              <w:t xml:space="preserve"> Predpokladajú sa zmeny v riadení procesu informatizácie?</w:t>
            </w:r>
          </w:p>
          <w:p w:rsidR="00AE18BD" w:rsidRPr="009F7853" w:rsidRDefault="00AE18BD" w:rsidP="00495672">
            <w:pPr>
              <w:spacing w:line="20" w:lineRule="atLeast"/>
              <w:jc w:val="both"/>
            </w:pPr>
            <w:r w:rsidRPr="009F7853">
              <w:rPr>
                <w:i/>
                <w:iCs/>
              </w:rPr>
              <w:t>(Uveďte popis zmien.)</w:t>
            </w:r>
          </w:p>
        </w:tc>
        <w:tc>
          <w:tcPr>
            <w:tcW w:w="3780" w:type="dxa"/>
            <w:vAlign w:val="center"/>
          </w:tcPr>
          <w:p w:rsidR="00AE18BD" w:rsidRPr="00AE18BD" w:rsidRDefault="00AE18BD" w:rsidP="00495672">
            <w:pPr>
              <w:rPr>
                <w:iCs/>
              </w:rPr>
            </w:pPr>
            <w:r w:rsidRPr="00AE18BD">
              <w:rPr>
                <w:iCs/>
              </w:rPr>
              <w:t>Žiadny vplyv</w:t>
            </w:r>
          </w:p>
        </w:tc>
      </w:tr>
      <w:tr w:rsidR="00AE18BD" w:rsidTr="00771628">
        <w:trPr>
          <w:trHeight w:val="20"/>
        </w:trPr>
        <w:tc>
          <w:tcPr>
            <w:tcW w:w="5235" w:type="dxa"/>
            <w:shd w:val="clear" w:color="auto" w:fill="000000"/>
          </w:tcPr>
          <w:p w:rsidR="00AE18BD" w:rsidRPr="009F7853" w:rsidRDefault="00AE18BD" w:rsidP="00495672">
            <w:pPr>
              <w:spacing w:line="20" w:lineRule="atLeast"/>
              <w:jc w:val="both"/>
              <w:rPr>
                <w:b/>
              </w:rPr>
            </w:pPr>
            <w:r w:rsidRPr="009F7853">
              <w:rPr>
                <w:b/>
              </w:rPr>
              <w:t>Financovanie procesu informatizácie</w:t>
            </w:r>
          </w:p>
        </w:tc>
        <w:tc>
          <w:tcPr>
            <w:tcW w:w="3780" w:type="dxa"/>
            <w:shd w:val="clear" w:color="auto" w:fill="000000"/>
            <w:vAlign w:val="center"/>
          </w:tcPr>
          <w:p w:rsidR="00AE18BD" w:rsidRPr="00AE18BD" w:rsidRDefault="00AE18BD" w:rsidP="00495672">
            <w:pPr>
              <w:rPr>
                <w:b/>
                <w:iCs/>
                <w:sz w:val="2"/>
                <w:szCs w:val="22"/>
              </w:rPr>
            </w:pPr>
          </w:p>
        </w:tc>
      </w:tr>
      <w:tr w:rsidR="00AE18BD" w:rsidTr="00771628">
        <w:trPr>
          <w:trHeight w:val="20"/>
        </w:trPr>
        <w:tc>
          <w:tcPr>
            <w:tcW w:w="5235" w:type="dxa"/>
          </w:tcPr>
          <w:p w:rsidR="00AE18BD" w:rsidRPr="009F7853" w:rsidRDefault="00AE18BD" w:rsidP="00495672">
            <w:r w:rsidRPr="009F7853">
              <w:rPr>
                <w:b/>
              </w:rPr>
              <w:t>6.14.</w:t>
            </w:r>
            <w:r w:rsidRPr="009F7853">
              <w:t xml:space="preserve"> Vyžaduje si proces informatizácie  finančné investície?</w:t>
            </w:r>
          </w:p>
          <w:p w:rsidR="00AE18BD" w:rsidRPr="009F7853" w:rsidRDefault="00AE18BD" w:rsidP="00495672">
            <w:pPr>
              <w:spacing w:line="20" w:lineRule="atLeast"/>
            </w:pPr>
            <w:r w:rsidRPr="009F7853">
              <w:rPr>
                <w:i/>
                <w:iCs/>
              </w:rPr>
              <w:t>(Popíšte príslušnú úroveň financovania.)</w:t>
            </w:r>
          </w:p>
        </w:tc>
        <w:tc>
          <w:tcPr>
            <w:tcW w:w="3780" w:type="dxa"/>
            <w:vAlign w:val="center"/>
          </w:tcPr>
          <w:p w:rsidR="00AE18BD" w:rsidRPr="00AE18BD" w:rsidRDefault="00AE18BD" w:rsidP="00495672">
            <w:pPr>
              <w:rPr>
                <w:iCs/>
              </w:rPr>
            </w:pPr>
            <w:r w:rsidRPr="00AE18BD">
              <w:rPr>
                <w:iCs/>
              </w:rPr>
              <w:t>Žiadny vplyv</w:t>
            </w:r>
          </w:p>
        </w:tc>
      </w:tr>
      <w:tr w:rsidR="00AE18BD" w:rsidTr="00771628">
        <w:trPr>
          <w:trHeight w:val="20"/>
        </w:trPr>
        <w:tc>
          <w:tcPr>
            <w:tcW w:w="5235" w:type="dxa"/>
            <w:shd w:val="clear" w:color="auto" w:fill="000000"/>
          </w:tcPr>
          <w:p w:rsidR="00AE18BD" w:rsidRPr="009F7853" w:rsidRDefault="00AE18BD" w:rsidP="00495672">
            <w:pPr>
              <w:spacing w:line="20" w:lineRule="atLeast"/>
              <w:jc w:val="both"/>
              <w:rPr>
                <w:b/>
              </w:rPr>
            </w:pPr>
            <w:r w:rsidRPr="009F7853">
              <w:rPr>
                <w:b/>
              </w:rPr>
              <w:t>Legislatívne prostredie procesu informatizácie</w:t>
            </w:r>
          </w:p>
        </w:tc>
        <w:tc>
          <w:tcPr>
            <w:tcW w:w="3780" w:type="dxa"/>
            <w:shd w:val="clear" w:color="auto" w:fill="000000"/>
            <w:vAlign w:val="center"/>
          </w:tcPr>
          <w:p w:rsidR="00AE18BD" w:rsidRPr="00AE18BD" w:rsidRDefault="00AE18BD" w:rsidP="00495672">
            <w:pPr>
              <w:rPr>
                <w:b/>
                <w:iCs/>
                <w:sz w:val="2"/>
                <w:szCs w:val="22"/>
              </w:rPr>
            </w:pPr>
          </w:p>
        </w:tc>
      </w:tr>
      <w:tr w:rsidR="00AE18BD" w:rsidTr="00771628">
        <w:trPr>
          <w:trHeight w:val="20"/>
        </w:trPr>
        <w:tc>
          <w:tcPr>
            <w:tcW w:w="5235" w:type="dxa"/>
          </w:tcPr>
          <w:p w:rsidR="00AE18BD" w:rsidRPr="009F7853" w:rsidRDefault="00AE18BD" w:rsidP="00495672">
            <w:r w:rsidRPr="009F7853">
              <w:rPr>
                <w:b/>
              </w:rPr>
              <w:t>6.15.</w:t>
            </w:r>
            <w:r w:rsidRPr="009F7853">
              <w:t xml:space="preserve"> Predpokladá nelegislatívny materiál potrebu úpravy legislatívneho prostredia  procesu informatizácie?</w:t>
            </w:r>
          </w:p>
          <w:p w:rsidR="00AE18BD" w:rsidRPr="009F7853" w:rsidRDefault="00AE18BD" w:rsidP="00495672">
            <w:pPr>
              <w:spacing w:line="20" w:lineRule="atLeast"/>
            </w:pPr>
            <w:r w:rsidRPr="009F7853">
              <w:rPr>
                <w:i/>
                <w:iCs/>
              </w:rPr>
              <w:t>(Stručne popíšte navrhované legislatívne zmeny.)</w:t>
            </w:r>
          </w:p>
        </w:tc>
        <w:tc>
          <w:tcPr>
            <w:tcW w:w="3780" w:type="dxa"/>
            <w:vAlign w:val="center"/>
          </w:tcPr>
          <w:p w:rsidR="00AE18BD" w:rsidRPr="00AE18BD" w:rsidRDefault="00AE18BD" w:rsidP="00495672">
            <w:pPr>
              <w:rPr>
                <w:iCs/>
              </w:rPr>
            </w:pPr>
            <w:r w:rsidRPr="00AE18BD">
              <w:rPr>
                <w:iCs/>
              </w:rPr>
              <w:t>Žiadny vplyv</w:t>
            </w:r>
          </w:p>
        </w:tc>
      </w:tr>
    </w:tbl>
    <w:p w:rsidR="00AB1BDA" w:rsidRDefault="00AB1BDA" w:rsidP="00AB1BDA">
      <w:pPr>
        <w:spacing w:line="240" w:lineRule="atLeast"/>
        <w:jc w:val="center"/>
        <w:rPr>
          <w:b/>
          <w:sz w:val="28"/>
          <w:szCs w:val="28"/>
        </w:rPr>
      </w:pPr>
    </w:p>
    <w:p w:rsidR="00AB1BDA" w:rsidRDefault="00AB1BDA" w:rsidP="00AB1BDA">
      <w:pPr>
        <w:spacing w:line="240" w:lineRule="atLeast"/>
        <w:jc w:val="center"/>
        <w:rPr>
          <w:b/>
          <w:sz w:val="28"/>
          <w:szCs w:val="28"/>
        </w:rPr>
      </w:pPr>
    </w:p>
    <w:p w:rsidR="00586278" w:rsidRDefault="00586278" w:rsidP="00586278">
      <w:pPr>
        <w:pStyle w:val="Normlnywebov"/>
        <w:spacing w:before="0" w:beforeAutospacing="0" w:after="0" w:afterAutospacing="0"/>
        <w:jc w:val="both"/>
      </w:pPr>
      <w:r>
        <w:rPr>
          <w:b/>
          <w:bCs/>
        </w:rPr>
        <w:t>A.3. Poznámky</w:t>
      </w:r>
    </w:p>
    <w:p w:rsidR="00586278" w:rsidRDefault="00586278" w:rsidP="00586278">
      <w:pPr>
        <w:pStyle w:val="Normlnywebov"/>
        <w:spacing w:before="0" w:beforeAutospacing="0" w:after="0" w:afterAutospacing="0"/>
        <w:jc w:val="both"/>
      </w:pPr>
      <w:r>
        <w:rPr>
          <w:b/>
          <w:bCs/>
        </w:rPr>
        <w:t> </w:t>
      </w:r>
    </w:p>
    <w:p w:rsidR="00586278" w:rsidRDefault="00586278" w:rsidP="00586278">
      <w:pPr>
        <w:pStyle w:val="Normlnywebov"/>
        <w:spacing w:before="0" w:beforeAutospacing="0" w:after="0" w:afterAutospacing="0"/>
        <w:jc w:val="both"/>
      </w:pPr>
      <w:r>
        <w:t>  </w:t>
      </w:r>
    </w:p>
    <w:p w:rsidR="00586278" w:rsidRDefault="00586278" w:rsidP="00586278">
      <w:pPr>
        <w:pStyle w:val="Normlnywebov"/>
        <w:spacing w:before="0" w:beforeAutospacing="0" w:after="0" w:afterAutospacing="0"/>
        <w:jc w:val="both"/>
      </w:pPr>
      <w:r>
        <w:rPr>
          <w:b/>
          <w:bCs/>
        </w:rPr>
        <w:t>A.4. Alternatívne riešenia</w:t>
      </w:r>
    </w:p>
    <w:p w:rsidR="00586278" w:rsidRDefault="00586278" w:rsidP="00586278">
      <w:pPr>
        <w:pStyle w:val="Normlnywebov"/>
        <w:spacing w:before="0" w:beforeAutospacing="0" w:after="0" w:afterAutospacing="0"/>
        <w:jc w:val="both"/>
      </w:pPr>
      <w:r>
        <w:rPr>
          <w:b/>
          <w:bCs/>
        </w:rPr>
        <w:t> </w:t>
      </w:r>
    </w:p>
    <w:p w:rsidR="00586278" w:rsidRDefault="00586278" w:rsidP="00586278">
      <w:pPr>
        <w:pStyle w:val="Normlnywebov"/>
        <w:spacing w:before="0" w:beforeAutospacing="0" w:after="0" w:afterAutospacing="0"/>
        <w:jc w:val="both"/>
      </w:pPr>
      <w:r>
        <w:rPr>
          <w:b/>
          <w:bCs/>
        </w:rPr>
        <w:t> </w:t>
      </w:r>
      <w:bookmarkStart w:id="2" w:name="_GoBack"/>
      <w:bookmarkEnd w:id="2"/>
    </w:p>
    <w:p w:rsidR="00586278" w:rsidRDefault="00586278" w:rsidP="00586278">
      <w:pPr>
        <w:pStyle w:val="Normlnywebov"/>
        <w:spacing w:before="0" w:beforeAutospacing="0" w:after="0" w:afterAutospacing="0"/>
        <w:jc w:val="both"/>
      </w:pPr>
      <w:r>
        <w:rPr>
          <w:b/>
          <w:bCs/>
        </w:rPr>
        <w:t xml:space="preserve">A.5. Stanovisko gestorov </w:t>
      </w:r>
    </w:p>
    <w:p w:rsidR="00DF6356" w:rsidRPr="00DF6356" w:rsidRDefault="00DF6356" w:rsidP="00DF6356">
      <w:pPr>
        <w:pStyle w:val="Normlnywebov"/>
        <w:spacing w:before="0" w:beforeAutospacing="0" w:after="0" w:afterAutospacing="0"/>
        <w:jc w:val="both"/>
      </w:pPr>
    </w:p>
    <w:sectPr w:rsidR="00DF6356" w:rsidRPr="00DF6356" w:rsidSect="00DF6356">
      <w:headerReference w:type="default" r:id="rId18"/>
      <w:pgSz w:w="12240" w:h="15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B2" w:rsidRDefault="00A77DB2">
      <w:r>
        <w:separator/>
      </w:r>
    </w:p>
  </w:endnote>
  <w:endnote w:type="continuationSeparator" w:id="0">
    <w:p w:rsidR="00A77DB2" w:rsidRDefault="00A7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B8" w:rsidRDefault="00C90AB8" w:rsidP="003B57E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90AB8" w:rsidRDefault="00C90AB8" w:rsidP="003B57E1">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B8" w:rsidRDefault="00C90AB8" w:rsidP="003B57E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410BE">
      <w:rPr>
        <w:rStyle w:val="slostrany"/>
        <w:noProof/>
      </w:rPr>
      <w:t>18</w:t>
    </w:r>
    <w:r>
      <w:rPr>
        <w:rStyle w:val="slostrany"/>
      </w:rPr>
      <w:fldChar w:fldCharType="end"/>
    </w:r>
  </w:p>
  <w:p w:rsidR="00C90AB8" w:rsidRDefault="00C90AB8" w:rsidP="003B57E1">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B2" w:rsidRDefault="00A77DB2">
      <w:r>
        <w:separator/>
      </w:r>
    </w:p>
  </w:footnote>
  <w:footnote w:type="continuationSeparator" w:id="0">
    <w:p w:rsidR="00A77DB2" w:rsidRDefault="00A77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B8" w:rsidRPr="00586278" w:rsidRDefault="00C90AB8" w:rsidP="0058627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B8" w:rsidRPr="002E1304" w:rsidRDefault="00C90AB8" w:rsidP="002E130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B8" w:rsidRPr="00586278" w:rsidRDefault="00C90AB8" w:rsidP="00586278">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B8" w:rsidRPr="00586278" w:rsidRDefault="00C90AB8" w:rsidP="00586278">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B8" w:rsidRPr="00586278" w:rsidRDefault="00C90AB8" w:rsidP="0058627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FF4"/>
    <w:multiLevelType w:val="hybridMultilevel"/>
    <w:tmpl w:val="BA142282"/>
    <w:lvl w:ilvl="0" w:tplc="5CF46FAE">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
    <w:nsid w:val="074B746D"/>
    <w:multiLevelType w:val="hybridMultilevel"/>
    <w:tmpl w:val="75829E6A"/>
    <w:lvl w:ilvl="0" w:tplc="BA1AE57A">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1862162E"/>
    <w:multiLevelType w:val="hybridMultilevel"/>
    <w:tmpl w:val="44F03E2C"/>
    <w:lvl w:ilvl="0" w:tplc="790061A2">
      <w:numFmt w:val="bullet"/>
      <w:lvlText w:val="-"/>
      <w:lvlJc w:val="left"/>
      <w:pPr>
        <w:ind w:left="502" w:hanging="360"/>
      </w:pPr>
      <w:rPr>
        <w:rFonts w:ascii="Times New Roman" w:eastAsia="Times New Roman" w:hAnsi="Times New Roman" w:cs="Times New Roman" w:hint="default"/>
      </w:rPr>
    </w:lvl>
    <w:lvl w:ilvl="1" w:tplc="5CF46FAE">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B7F039F"/>
    <w:multiLevelType w:val="hybridMultilevel"/>
    <w:tmpl w:val="446660B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2F4F1FCF"/>
    <w:multiLevelType w:val="hybridMultilevel"/>
    <w:tmpl w:val="3CE44426"/>
    <w:lvl w:ilvl="0" w:tplc="F7369A88">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nsid w:val="3E726B6E"/>
    <w:multiLevelType w:val="hybridMultilevel"/>
    <w:tmpl w:val="53FC69A8"/>
    <w:lvl w:ilvl="0" w:tplc="F47CD02C">
      <w:start w:val="1"/>
      <w:numFmt w:val="decimal"/>
      <w:lvlText w:val="%1."/>
      <w:lvlJc w:val="left"/>
      <w:pPr>
        <w:ind w:left="720" w:hanging="360"/>
      </w:pPr>
      <w:rPr>
        <w:rFonts w:cs="Times New Roman" w:hint="default"/>
        <w:b/>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A0C7ED4"/>
    <w:multiLevelType w:val="hybridMultilevel"/>
    <w:tmpl w:val="7F88049A"/>
    <w:lvl w:ilvl="0" w:tplc="528E8478">
      <w:start w:val="1"/>
      <w:numFmt w:val="bullet"/>
      <w:pStyle w:val="Action"/>
      <w:lvlText w:val=""/>
      <w:lvlJc w:val="left"/>
      <w:pPr>
        <w:tabs>
          <w:tab w:val="num" w:pos="1211"/>
        </w:tabs>
        <w:ind w:left="1211" w:hanging="360"/>
      </w:pPr>
      <w:rPr>
        <w:rFonts w:ascii="Symbol" w:hAnsi="Symbol"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start w:val="1"/>
      <w:numFmt w:val="bullet"/>
      <w:lvlText w:val=""/>
      <w:lvlJc w:val="left"/>
      <w:pPr>
        <w:tabs>
          <w:tab w:val="num" w:pos="2651"/>
        </w:tabs>
        <w:ind w:left="2651" w:hanging="360"/>
      </w:pPr>
      <w:rPr>
        <w:rFonts w:ascii="Wingdings" w:hAnsi="Wingdings" w:hint="default"/>
      </w:rPr>
    </w:lvl>
    <w:lvl w:ilvl="3" w:tplc="04090001">
      <w:start w:val="1"/>
      <w:numFmt w:val="bullet"/>
      <w:lvlText w:val=""/>
      <w:lvlJc w:val="left"/>
      <w:pPr>
        <w:tabs>
          <w:tab w:val="num" w:pos="3371"/>
        </w:tabs>
        <w:ind w:left="3371" w:hanging="360"/>
      </w:pPr>
      <w:rPr>
        <w:rFonts w:ascii="Symbol" w:hAnsi="Symbol" w:hint="default"/>
      </w:rPr>
    </w:lvl>
    <w:lvl w:ilvl="4" w:tplc="04090003">
      <w:start w:val="1"/>
      <w:numFmt w:val="bullet"/>
      <w:lvlText w:val="o"/>
      <w:lvlJc w:val="left"/>
      <w:pPr>
        <w:tabs>
          <w:tab w:val="num" w:pos="4091"/>
        </w:tabs>
        <w:ind w:left="4091" w:hanging="360"/>
      </w:pPr>
      <w:rPr>
        <w:rFonts w:ascii="Courier New" w:hAnsi="Courier New" w:hint="default"/>
      </w:rPr>
    </w:lvl>
    <w:lvl w:ilvl="5" w:tplc="04090005">
      <w:start w:val="1"/>
      <w:numFmt w:val="bullet"/>
      <w:lvlText w:val=""/>
      <w:lvlJc w:val="left"/>
      <w:pPr>
        <w:tabs>
          <w:tab w:val="num" w:pos="4811"/>
        </w:tabs>
        <w:ind w:left="4811" w:hanging="360"/>
      </w:pPr>
      <w:rPr>
        <w:rFonts w:ascii="Wingdings" w:hAnsi="Wingdings" w:hint="default"/>
      </w:rPr>
    </w:lvl>
    <w:lvl w:ilvl="6" w:tplc="04090001">
      <w:start w:val="1"/>
      <w:numFmt w:val="bullet"/>
      <w:lvlText w:val=""/>
      <w:lvlJc w:val="left"/>
      <w:pPr>
        <w:tabs>
          <w:tab w:val="num" w:pos="5531"/>
        </w:tabs>
        <w:ind w:left="5531" w:hanging="360"/>
      </w:pPr>
      <w:rPr>
        <w:rFonts w:ascii="Symbol" w:hAnsi="Symbol" w:hint="default"/>
      </w:rPr>
    </w:lvl>
    <w:lvl w:ilvl="7" w:tplc="04090003">
      <w:start w:val="1"/>
      <w:numFmt w:val="bullet"/>
      <w:lvlText w:val="o"/>
      <w:lvlJc w:val="left"/>
      <w:pPr>
        <w:tabs>
          <w:tab w:val="num" w:pos="6251"/>
        </w:tabs>
        <w:ind w:left="6251" w:hanging="360"/>
      </w:pPr>
      <w:rPr>
        <w:rFonts w:ascii="Courier New" w:hAnsi="Courier New" w:hint="default"/>
      </w:rPr>
    </w:lvl>
    <w:lvl w:ilvl="8" w:tplc="04090005">
      <w:start w:val="1"/>
      <w:numFmt w:val="bullet"/>
      <w:lvlText w:val=""/>
      <w:lvlJc w:val="left"/>
      <w:pPr>
        <w:tabs>
          <w:tab w:val="num" w:pos="6971"/>
        </w:tabs>
        <w:ind w:left="6971" w:hanging="360"/>
      </w:pPr>
      <w:rPr>
        <w:rFonts w:ascii="Wingdings" w:hAnsi="Wingdings" w:hint="default"/>
      </w:rPr>
    </w:lvl>
  </w:abstractNum>
  <w:abstractNum w:abstractNumId="10">
    <w:nsid w:val="57D716CE"/>
    <w:multiLevelType w:val="hybridMultilevel"/>
    <w:tmpl w:val="8ED4DA9C"/>
    <w:lvl w:ilvl="0" w:tplc="2FEAB306">
      <w:start w:val="1"/>
      <w:numFmt w:val="decimal"/>
      <w:lvlText w:val="%1."/>
      <w:lvlJc w:val="left"/>
      <w:pPr>
        <w:ind w:left="720" w:hanging="360"/>
      </w:pPr>
      <w:rPr>
        <w:rFonts w:cs="Times New Roman"/>
        <w:b/>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5AA07976"/>
    <w:multiLevelType w:val="hybridMultilevel"/>
    <w:tmpl w:val="7C28B238"/>
    <w:lvl w:ilvl="0" w:tplc="C5F4991E">
      <w:start w:val="20"/>
      <w:numFmt w:val="bullet"/>
      <w:lvlText w:val=""/>
      <w:lvlJc w:val="left"/>
      <w:pPr>
        <w:tabs>
          <w:tab w:val="num" w:pos="720"/>
        </w:tabs>
        <w:ind w:left="720" w:hanging="360"/>
      </w:pPr>
      <w:rPr>
        <w:rFonts w:ascii="Symbol" w:eastAsia="Times New Roman"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nsid w:val="5FB904A4"/>
    <w:multiLevelType w:val="hybridMultilevel"/>
    <w:tmpl w:val="1452F51E"/>
    <w:lvl w:ilvl="0" w:tplc="3510EF74">
      <w:start w:val="1"/>
      <w:numFmt w:val="decimal"/>
      <w:lvlText w:val="%1."/>
      <w:lvlJc w:val="left"/>
      <w:pPr>
        <w:ind w:left="1080" w:hanging="360"/>
      </w:pPr>
      <w:rPr>
        <w:rFonts w:cs="Times New Roman"/>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nsid w:val="74A52A11"/>
    <w:multiLevelType w:val="hybridMultilevel"/>
    <w:tmpl w:val="EE4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5365F"/>
    <w:multiLevelType w:val="hybridMultilevel"/>
    <w:tmpl w:val="4E1A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C6A71"/>
    <w:multiLevelType w:val="hybridMultilevel"/>
    <w:tmpl w:val="5FE89F08"/>
    <w:lvl w:ilvl="0" w:tplc="790061A2">
      <w:numFmt w:val="bullet"/>
      <w:lvlText w:val="-"/>
      <w:lvlJc w:val="left"/>
      <w:pPr>
        <w:ind w:left="1164" w:hanging="360"/>
      </w:pPr>
      <w:rPr>
        <w:rFonts w:ascii="Times New Roman" w:eastAsia="Times New Roman" w:hAnsi="Times New Roman" w:cs="Times New Roman"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16">
    <w:nsid w:val="7D5D3F59"/>
    <w:multiLevelType w:val="hybridMultilevel"/>
    <w:tmpl w:val="22A69B64"/>
    <w:lvl w:ilvl="0" w:tplc="790061A2">
      <w:numFmt w:val="bullet"/>
      <w:lvlText w:val="-"/>
      <w:lvlJc w:val="left"/>
      <w:pPr>
        <w:ind w:left="502"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2"/>
  </w:num>
  <w:num w:numId="5">
    <w:abstractNumId w:val="11"/>
  </w:num>
  <w:num w:numId="6">
    <w:abstractNumId w:val="2"/>
  </w:num>
  <w:num w:numId="7">
    <w:abstractNumId w:val="6"/>
  </w:num>
  <w:num w:numId="8">
    <w:abstractNumId w:val="10"/>
  </w:num>
  <w:num w:numId="9">
    <w:abstractNumId w:val="1"/>
  </w:num>
  <w:num w:numId="10">
    <w:abstractNumId w:val="4"/>
  </w:num>
  <w:num w:numId="11">
    <w:abstractNumId w:val="12"/>
  </w:num>
  <w:num w:numId="12">
    <w:abstractNumId w:val="13"/>
  </w:num>
  <w:num w:numId="13">
    <w:abstractNumId w:val="14"/>
  </w:num>
  <w:num w:numId="14">
    <w:abstractNumId w:val="0"/>
  </w:num>
  <w:num w:numId="15">
    <w:abstractNumId w:val="0"/>
  </w:num>
  <w:num w:numId="16">
    <w:abstractNumId w:val="8"/>
  </w:num>
  <w:num w:numId="17">
    <w:abstractNumId w:val="16"/>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1304"/>
    <w:rsid w:val="00001877"/>
    <w:rsid w:val="000021A1"/>
    <w:rsid w:val="0000473C"/>
    <w:rsid w:val="000065A9"/>
    <w:rsid w:val="00007944"/>
    <w:rsid w:val="00012287"/>
    <w:rsid w:val="00021596"/>
    <w:rsid w:val="00021860"/>
    <w:rsid w:val="00031343"/>
    <w:rsid w:val="00032327"/>
    <w:rsid w:val="00037C3F"/>
    <w:rsid w:val="00041DE9"/>
    <w:rsid w:val="00042608"/>
    <w:rsid w:val="00044049"/>
    <w:rsid w:val="000457DA"/>
    <w:rsid w:val="00047B45"/>
    <w:rsid w:val="00052109"/>
    <w:rsid w:val="0005425E"/>
    <w:rsid w:val="00055DF9"/>
    <w:rsid w:val="00062B7D"/>
    <w:rsid w:val="00065A30"/>
    <w:rsid w:val="00066481"/>
    <w:rsid w:val="000665C2"/>
    <w:rsid w:val="00071BF8"/>
    <w:rsid w:val="0007385D"/>
    <w:rsid w:val="00075CCE"/>
    <w:rsid w:val="0008045D"/>
    <w:rsid w:val="0008212B"/>
    <w:rsid w:val="000831A5"/>
    <w:rsid w:val="000853E4"/>
    <w:rsid w:val="000854F8"/>
    <w:rsid w:val="00087647"/>
    <w:rsid w:val="000901BA"/>
    <w:rsid w:val="00093BE2"/>
    <w:rsid w:val="0009419E"/>
    <w:rsid w:val="00094BB4"/>
    <w:rsid w:val="000958FA"/>
    <w:rsid w:val="00095D1A"/>
    <w:rsid w:val="00096456"/>
    <w:rsid w:val="00097170"/>
    <w:rsid w:val="000A3BD7"/>
    <w:rsid w:val="000A42E7"/>
    <w:rsid w:val="000B002D"/>
    <w:rsid w:val="000B0731"/>
    <w:rsid w:val="000B0953"/>
    <w:rsid w:val="000B1E01"/>
    <w:rsid w:val="000B33F3"/>
    <w:rsid w:val="000B5E23"/>
    <w:rsid w:val="000B675E"/>
    <w:rsid w:val="000B6C31"/>
    <w:rsid w:val="000B7095"/>
    <w:rsid w:val="000C12F5"/>
    <w:rsid w:val="000C6A00"/>
    <w:rsid w:val="000D0A24"/>
    <w:rsid w:val="000D0E54"/>
    <w:rsid w:val="000D160F"/>
    <w:rsid w:val="000D1714"/>
    <w:rsid w:val="000D70C9"/>
    <w:rsid w:val="000D7A6C"/>
    <w:rsid w:val="000E00FA"/>
    <w:rsid w:val="000E1384"/>
    <w:rsid w:val="000E4B19"/>
    <w:rsid w:val="000E56A7"/>
    <w:rsid w:val="000E6D63"/>
    <w:rsid w:val="000F2103"/>
    <w:rsid w:val="000F2DE6"/>
    <w:rsid w:val="000F304F"/>
    <w:rsid w:val="000F3A93"/>
    <w:rsid w:val="000F3AC3"/>
    <w:rsid w:val="000F3DE9"/>
    <w:rsid w:val="000F4836"/>
    <w:rsid w:val="000F5AC8"/>
    <w:rsid w:val="000F60AF"/>
    <w:rsid w:val="00102E44"/>
    <w:rsid w:val="00103117"/>
    <w:rsid w:val="00106142"/>
    <w:rsid w:val="001072B2"/>
    <w:rsid w:val="001113E9"/>
    <w:rsid w:val="001113FA"/>
    <w:rsid w:val="00111539"/>
    <w:rsid w:val="00111D86"/>
    <w:rsid w:val="0012053A"/>
    <w:rsid w:val="00122243"/>
    <w:rsid w:val="0012230A"/>
    <w:rsid w:val="00123EE7"/>
    <w:rsid w:val="0012401E"/>
    <w:rsid w:val="00137343"/>
    <w:rsid w:val="001443A8"/>
    <w:rsid w:val="001447DA"/>
    <w:rsid w:val="0015103A"/>
    <w:rsid w:val="001514A3"/>
    <w:rsid w:val="00152AA7"/>
    <w:rsid w:val="00153FF2"/>
    <w:rsid w:val="00154671"/>
    <w:rsid w:val="00157008"/>
    <w:rsid w:val="00161130"/>
    <w:rsid w:val="00162927"/>
    <w:rsid w:val="00163200"/>
    <w:rsid w:val="001649CD"/>
    <w:rsid w:val="00167EB4"/>
    <w:rsid w:val="0017249C"/>
    <w:rsid w:val="0017502B"/>
    <w:rsid w:val="00175442"/>
    <w:rsid w:val="00176D24"/>
    <w:rsid w:val="001773C6"/>
    <w:rsid w:val="0018252F"/>
    <w:rsid w:val="00183916"/>
    <w:rsid w:val="00186DEA"/>
    <w:rsid w:val="0019470D"/>
    <w:rsid w:val="001A1180"/>
    <w:rsid w:val="001A1BBF"/>
    <w:rsid w:val="001A284A"/>
    <w:rsid w:val="001A2CE7"/>
    <w:rsid w:val="001A2E20"/>
    <w:rsid w:val="001A7375"/>
    <w:rsid w:val="001B0F66"/>
    <w:rsid w:val="001B1812"/>
    <w:rsid w:val="001B57EC"/>
    <w:rsid w:val="001C4CD7"/>
    <w:rsid w:val="001C561A"/>
    <w:rsid w:val="001C6B35"/>
    <w:rsid w:val="001D0486"/>
    <w:rsid w:val="001D1DD8"/>
    <w:rsid w:val="001D2927"/>
    <w:rsid w:val="001D376D"/>
    <w:rsid w:val="001D4C67"/>
    <w:rsid w:val="001D4D85"/>
    <w:rsid w:val="001D6BD1"/>
    <w:rsid w:val="001E1E7F"/>
    <w:rsid w:val="001E2B22"/>
    <w:rsid w:val="001E4F40"/>
    <w:rsid w:val="001E4FA1"/>
    <w:rsid w:val="001E5D46"/>
    <w:rsid w:val="001E6C1A"/>
    <w:rsid w:val="001F0212"/>
    <w:rsid w:val="001F0C1D"/>
    <w:rsid w:val="001F1847"/>
    <w:rsid w:val="001F340C"/>
    <w:rsid w:val="001F4E5E"/>
    <w:rsid w:val="001F4EAD"/>
    <w:rsid w:val="001F59F6"/>
    <w:rsid w:val="001F5FD6"/>
    <w:rsid w:val="001F7064"/>
    <w:rsid w:val="002021FE"/>
    <w:rsid w:val="00203DD9"/>
    <w:rsid w:val="0020462E"/>
    <w:rsid w:val="00211B26"/>
    <w:rsid w:val="0021684F"/>
    <w:rsid w:val="00217E9E"/>
    <w:rsid w:val="0022225F"/>
    <w:rsid w:val="00222D3B"/>
    <w:rsid w:val="002255D1"/>
    <w:rsid w:val="00225D2C"/>
    <w:rsid w:val="00226F3B"/>
    <w:rsid w:val="0022739B"/>
    <w:rsid w:val="00227888"/>
    <w:rsid w:val="00231117"/>
    <w:rsid w:val="00233C4E"/>
    <w:rsid w:val="00234806"/>
    <w:rsid w:val="0023498F"/>
    <w:rsid w:val="002355DF"/>
    <w:rsid w:val="002375E6"/>
    <w:rsid w:val="00240AE8"/>
    <w:rsid w:val="00240F6D"/>
    <w:rsid w:val="002410BE"/>
    <w:rsid w:val="00241182"/>
    <w:rsid w:val="00241449"/>
    <w:rsid w:val="00242484"/>
    <w:rsid w:val="00245FA9"/>
    <w:rsid w:val="00246C1E"/>
    <w:rsid w:val="002532E5"/>
    <w:rsid w:val="002574A3"/>
    <w:rsid w:val="002607E8"/>
    <w:rsid w:val="00267D56"/>
    <w:rsid w:val="0027146B"/>
    <w:rsid w:val="00274667"/>
    <w:rsid w:val="00282E6B"/>
    <w:rsid w:val="00283D47"/>
    <w:rsid w:val="00284095"/>
    <w:rsid w:val="00284647"/>
    <w:rsid w:val="00284C1D"/>
    <w:rsid w:val="0029143A"/>
    <w:rsid w:val="00291528"/>
    <w:rsid w:val="002928E4"/>
    <w:rsid w:val="002961EA"/>
    <w:rsid w:val="002969E0"/>
    <w:rsid w:val="00296B7F"/>
    <w:rsid w:val="00297CF7"/>
    <w:rsid w:val="002A643E"/>
    <w:rsid w:val="002A67FB"/>
    <w:rsid w:val="002A6BA2"/>
    <w:rsid w:val="002A7CB2"/>
    <w:rsid w:val="002B0F6B"/>
    <w:rsid w:val="002C2145"/>
    <w:rsid w:val="002C2805"/>
    <w:rsid w:val="002C55F1"/>
    <w:rsid w:val="002C5F9E"/>
    <w:rsid w:val="002C6AC9"/>
    <w:rsid w:val="002D0473"/>
    <w:rsid w:val="002D30C2"/>
    <w:rsid w:val="002D646B"/>
    <w:rsid w:val="002D767B"/>
    <w:rsid w:val="002E1304"/>
    <w:rsid w:val="002E327D"/>
    <w:rsid w:val="002E40FB"/>
    <w:rsid w:val="002E4D4B"/>
    <w:rsid w:val="002E5846"/>
    <w:rsid w:val="002E6125"/>
    <w:rsid w:val="002E6729"/>
    <w:rsid w:val="002F434C"/>
    <w:rsid w:val="002F5EC0"/>
    <w:rsid w:val="002F6EA2"/>
    <w:rsid w:val="002F6FAF"/>
    <w:rsid w:val="002F78DF"/>
    <w:rsid w:val="003027A5"/>
    <w:rsid w:val="00304AF3"/>
    <w:rsid w:val="0030643D"/>
    <w:rsid w:val="003105A1"/>
    <w:rsid w:val="00311519"/>
    <w:rsid w:val="003126AA"/>
    <w:rsid w:val="00312C27"/>
    <w:rsid w:val="00313EE9"/>
    <w:rsid w:val="00314FA4"/>
    <w:rsid w:val="003150F6"/>
    <w:rsid w:val="003172AB"/>
    <w:rsid w:val="00317384"/>
    <w:rsid w:val="003203E5"/>
    <w:rsid w:val="00322386"/>
    <w:rsid w:val="00323C98"/>
    <w:rsid w:val="0033054E"/>
    <w:rsid w:val="00330EB4"/>
    <w:rsid w:val="003311B1"/>
    <w:rsid w:val="003332D5"/>
    <w:rsid w:val="003338D6"/>
    <w:rsid w:val="003345E4"/>
    <w:rsid w:val="003349E2"/>
    <w:rsid w:val="00334D93"/>
    <w:rsid w:val="00335F0E"/>
    <w:rsid w:val="003366CC"/>
    <w:rsid w:val="0033717A"/>
    <w:rsid w:val="003377BA"/>
    <w:rsid w:val="003409D2"/>
    <w:rsid w:val="00341294"/>
    <w:rsid w:val="00344849"/>
    <w:rsid w:val="00345F99"/>
    <w:rsid w:val="00347709"/>
    <w:rsid w:val="00347E22"/>
    <w:rsid w:val="00351D80"/>
    <w:rsid w:val="00354C00"/>
    <w:rsid w:val="003562FC"/>
    <w:rsid w:val="00357F38"/>
    <w:rsid w:val="003606E9"/>
    <w:rsid w:val="00362A9B"/>
    <w:rsid w:val="003636C0"/>
    <w:rsid w:val="0036409B"/>
    <w:rsid w:val="00366FF3"/>
    <w:rsid w:val="003707DC"/>
    <w:rsid w:val="00376C16"/>
    <w:rsid w:val="003847BD"/>
    <w:rsid w:val="0038500A"/>
    <w:rsid w:val="00385E91"/>
    <w:rsid w:val="003910C9"/>
    <w:rsid w:val="003915C2"/>
    <w:rsid w:val="00391C91"/>
    <w:rsid w:val="00392C94"/>
    <w:rsid w:val="00393BCF"/>
    <w:rsid w:val="00394A49"/>
    <w:rsid w:val="00395954"/>
    <w:rsid w:val="00396925"/>
    <w:rsid w:val="00396E19"/>
    <w:rsid w:val="00397131"/>
    <w:rsid w:val="003A0138"/>
    <w:rsid w:val="003A05AA"/>
    <w:rsid w:val="003A1F30"/>
    <w:rsid w:val="003A3438"/>
    <w:rsid w:val="003A34CF"/>
    <w:rsid w:val="003A4133"/>
    <w:rsid w:val="003B0098"/>
    <w:rsid w:val="003B0A28"/>
    <w:rsid w:val="003B0EC8"/>
    <w:rsid w:val="003B3D78"/>
    <w:rsid w:val="003B3E43"/>
    <w:rsid w:val="003B57E1"/>
    <w:rsid w:val="003B6772"/>
    <w:rsid w:val="003B7F8D"/>
    <w:rsid w:val="003C068A"/>
    <w:rsid w:val="003C5335"/>
    <w:rsid w:val="003C5D7C"/>
    <w:rsid w:val="003D1F39"/>
    <w:rsid w:val="003D4CB7"/>
    <w:rsid w:val="003D4FA2"/>
    <w:rsid w:val="003D5C22"/>
    <w:rsid w:val="003D605F"/>
    <w:rsid w:val="003D70CA"/>
    <w:rsid w:val="003E2667"/>
    <w:rsid w:val="003E3BC1"/>
    <w:rsid w:val="003E45C4"/>
    <w:rsid w:val="003E497C"/>
    <w:rsid w:val="003F1A28"/>
    <w:rsid w:val="003F1ADC"/>
    <w:rsid w:val="003F23E3"/>
    <w:rsid w:val="003F36F3"/>
    <w:rsid w:val="003F429C"/>
    <w:rsid w:val="0040002F"/>
    <w:rsid w:val="00400686"/>
    <w:rsid w:val="00402377"/>
    <w:rsid w:val="00402F4C"/>
    <w:rsid w:val="004076DF"/>
    <w:rsid w:val="00411217"/>
    <w:rsid w:val="00412989"/>
    <w:rsid w:val="00412C4F"/>
    <w:rsid w:val="00413805"/>
    <w:rsid w:val="00414253"/>
    <w:rsid w:val="004161A1"/>
    <w:rsid w:val="00422ED4"/>
    <w:rsid w:val="00430749"/>
    <w:rsid w:val="00432A7E"/>
    <w:rsid w:val="0043509F"/>
    <w:rsid w:val="00436035"/>
    <w:rsid w:val="00436802"/>
    <w:rsid w:val="00437EE9"/>
    <w:rsid w:val="004405A0"/>
    <w:rsid w:val="0044350D"/>
    <w:rsid w:val="00444FBF"/>
    <w:rsid w:val="00445D2F"/>
    <w:rsid w:val="004541DB"/>
    <w:rsid w:val="00455128"/>
    <w:rsid w:val="004554B0"/>
    <w:rsid w:val="004570D2"/>
    <w:rsid w:val="00457459"/>
    <w:rsid w:val="00457498"/>
    <w:rsid w:val="00457CFF"/>
    <w:rsid w:val="00465B09"/>
    <w:rsid w:val="00466AB0"/>
    <w:rsid w:val="00472137"/>
    <w:rsid w:val="004726B5"/>
    <w:rsid w:val="00473CB5"/>
    <w:rsid w:val="00473F71"/>
    <w:rsid w:val="00477D01"/>
    <w:rsid w:val="0048027D"/>
    <w:rsid w:val="004805B7"/>
    <w:rsid w:val="0048265B"/>
    <w:rsid w:val="00482D15"/>
    <w:rsid w:val="0048466E"/>
    <w:rsid w:val="0048589A"/>
    <w:rsid w:val="00485E1C"/>
    <w:rsid w:val="00487C12"/>
    <w:rsid w:val="00492135"/>
    <w:rsid w:val="00495572"/>
    <w:rsid w:val="00495672"/>
    <w:rsid w:val="004956AE"/>
    <w:rsid w:val="004A03E9"/>
    <w:rsid w:val="004A0BC1"/>
    <w:rsid w:val="004A24A5"/>
    <w:rsid w:val="004A3564"/>
    <w:rsid w:val="004A3CB2"/>
    <w:rsid w:val="004A4217"/>
    <w:rsid w:val="004A5E82"/>
    <w:rsid w:val="004A6DD3"/>
    <w:rsid w:val="004A74DB"/>
    <w:rsid w:val="004B0910"/>
    <w:rsid w:val="004B2AED"/>
    <w:rsid w:val="004B47CC"/>
    <w:rsid w:val="004B67D0"/>
    <w:rsid w:val="004B748E"/>
    <w:rsid w:val="004C0DDE"/>
    <w:rsid w:val="004C303D"/>
    <w:rsid w:val="004C453D"/>
    <w:rsid w:val="004C789B"/>
    <w:rsid w:val="004D1916"/>
    <w:rsid w:val="004D5A7E"/>
    <w:rsid w:val="004E05FA"/>
    <w:rsid w:val="004E2852"/>
    <w:rsid w:val="004F7808"/>
    <w:rsid w:val="005000B4"/>
    <w:rsid w:val="00500C00"/>
    <w:rsid w:val="00501139"/>
    <w:rsid w:val="00502F90"/>
    <w:rsid w:val="005061D4"/>
    <w:rsid w:val="0050640D"/>
    <w:rsid w:val="00506849"/>
    <w:rsid w:val="00511ED1"/>
    <w:rsid w:val="00512358"/>
    <w:rsid w:val="00513048"/>
    <w:rsid w:val="0051538F"/>
    <w:rsid w:val="00520E1B"/>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4D8A"/>
    <w:rsid w:val="00546163"/>
    <w:rsid w:val="00550D16"/>
    <w:rsid w:val="005524AA"/>
    <w:rsid w:val="005572DE"/>
    <w:rsid w:val="0055756C"/>
    <w:rsid w:val="0055799B"/>
    <w:rsid w:val="00560A9D"/>
    <w:rsid w:val="00561ABD"/>
    <w:rsid w:val="00564192"/>
    <w:rsid w:val="005652F5"/>
    <w:rsid w:val="00567695"/>
    <w:rsid w:val="005738CA"/>
    <w:rsid w:val="00574338"/>
    <w:rsid w:val="00575A83"/>
    <w:rsid w:val="00577551"/>
    <w:rsid w:val="00577A30"/>
    <w:rsid w:val="00581F1A"/>
    <w:rsid w:val="0058207A"/>
    <w:rsid w:val="00582999"/>
    <w:rsid w:val="00586278"/>
    <w:rsid w:val="005906C5"/>
    <w:rsid w:val="00590B43"/>
    <w:rsid w:val="00591017"/>
    <w:rsid w:val="005924B2"/>
    <w:rsid w:val="0059354D"/>
    <w:rsid w:val="00593640"/>
    <w:rsid w:val="00593E53"/>
    <w:rsid w:val="005A1507"/>
    <w:rsid w:val="005A1884"/>
    <w:rsid w:val="005A1D7A"/>
    <w:rsid w:val="005A4A17"/>
    <w:rsid w:val="005A4F8C"/>
    <w:rsid w:val="005A697D"/>
    <w:rsid w:val="005B2622"/>
    <w:rsid w:val="005B2876"/>
    <w:rsid w:val="005B35B5"/>
    <w:rsid w:val="005B4619"/>
    <w:rsid w:val="005C0018"/>
    <w:rsid w:val="005C06B2"/>
    <w:rsid w:val="005C5A15"/>
    <w:rsid w:val="005C6855"/>
    <w:rsid w:val="005C7DF9"/>
    <w:rsid w:val="005D0441"/>
    <w:rsid w:val="005D170A"/>
    <w:rsid w:val="005D1C81"/>
    <w:rsid w:val="005D1DD7"/>
    <w:rsid w:val="005D3593"/>
    <w:rsid w:val="005D3609"/>
    <w:rsid w:val="005D6F85"/>
    <w:rsid w:val="005E147E"/>
    <w:rsid w:val="005E20EA"/>
    <w:rsid w:val="005E3070"/>
    <w:rsid w:val="005E5741"/>
    <w:rsid w:val="005E6925"/>
    <w:rsid w:val="005E7189"/>
    <w:rsid w:val="005F1A92"/>
    <w:rsid w:val="005F3DF8"/>
    <w:rsid w:val="005F664A"/>
    <w:rsid w:val="006031C2"/>
    <w:rsid w:val="00605C59"/>
    <w:rsid w:val="00617C94"/>
    <w:rsid w:val="00620D4B"/>
    <w:rsid w:val="006220BB"/>
    <w:rsid w:val="006228E8"/>
    <w:rsid w:val="00623418"/>
    <w:rsid w:val="00625F21"/>
    <w:rsid w:val="00626827"/>
    <w:rsid w:val="00627834"/>
    <w:rsid w:val="00627B86"/>
    <w:rsid w:val="006314A5"/>
    <w:rsid w:val="006330CB"/>
    <w:rsid w:val="006346F5"/>
    <w:rsid w:val="006369B3"/>
    <w:rsid w:val="006411E7"/>
    <w:rsid w:val="00644B1D"/>
    <w:rsid w:val="006461B0"/>
    <w:rsid w:val="006512E3"/>
    <w:rsid w:val="006516F7"/>
    <w:rsid w:val="00656031"/>
    <w:rsid w:val="00664475"/>
    <w:rsid w:val="00664B75"/>
    <w:rsid w:val="00665BFA"/>
    <w:rsid w:val="006704BB"/>
    <w:rsid w:val="00672384"/>
    <w:rsid w:val="00672516"/>
    <w:rsid w:val="00675DAD"/>
    <w:rsid w:val="00680B4D"/>
    <w:rsid w:val="00685D81"/>
    <w:rsid w:val="00691AFB"/>
    <w:rsid w:val="00691E63"/>
    <w:rsid w:val="006929EC"/>
    <w:rsid w:val="00694610"/>
    <w:rsid w:val="006964CA"/>
    <w:rsid w:val="006A151B"/>
    <w:rsid w:val="006A1ECF"/>
    <w:rsid w:val="006A20E2"/>
    <w:rsid w:val="006A2626"/>
    <w:rsid w:val="006A5861"/>
    <w:rsid w:val="006B073B"/>
    <w:rsid w:val="006B63E0"/>
    <w:rsid w:val="006C121A"/>
    <w:rsid w:val="006C1FE1"/>
    <w:rsid w:val="006C20D2"/>
    <w:rsid w:val="006C37BB"/>
    <w:rsid w:val="006C401A"/>
    <w:rsid w:val="006C65B9"/>
    <w:rsid w:val="006C679E"/>
    <w:rsid w:val="006C76F3"/>
    <w:rsid w:val="006C7AE6"/>
    <w:rsid w:val="006D035A"/>
    <w:rsid w:val="006D17D0"/>
    <w:rsid w:val="006D37B6"/>
    <w:rsid w:val="006D3E1F"/>
    <w:rsid w:val="006D4351"/>
    <w:rsid w:val="006D4D50"/>
    <w:rsid w:val="006D4DBE"/>
    <w:rsid w:val="006D5E1B"/>
    <w:rsid w:val="006E1B9C"/>
    <w:rsid w:val="006E2437"/>
    <w:rsid w:val="006E3AFD"/>
    <w:rsid w:val="006F06E6"/>
    <w:rsid w:val="006F0CFB"/>
    <w:rsid w:val="006F177B"/>
    <w:rsid w:val="006F1BD0"/>
    <w:rsid w:val="006F42A3"/>
    <w:rsid w:val="006F46FE"/>
    <w:rsid w:val="00701402"/>
    <w:rsid w:val="007015E0"/>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30143"/>
    <w:rsid w:val="00732026"/>
    <w:rsid w:val="0074441D"/>
    <w:rsid w:val="0075242C"/>
    <w:rsid w:val="007542D5"/>
    <w:rsid w:val="0075515D"/>
    <w:rsid w:val="0075734D"/>
    <w:rsid w:val="0076023A"/>
    <w:rsid w:val="00760C82"/>
    <w:rsid w:val="007618DE"/>
    <w:rsid w:val="00762121"/>
    <w:rsid w:val="007626AC"/>
    <w:rsid w:val="00762DE1"/>
    <w:rsid w:val="00762EA7"/>
    <w:rsid w:val="0076767E"/>
    <w:rsid w:val="00771628"/>
    <w:rsid w:val="00771C8F"/>
    <w:rsid w:val="007722FA"/>
    <w:rsid w:val="00774741"/>
    <w:rsid w:val="00775F98"/>
    <w:rsid w:val="0077671B"/>
    <w:rsid w:val="00777742"/>
    <w:rsid w:val="0077799E"/>
    <w:rsid w:val="00783D49"/>
    <w:rsid w:val="007850A3"/>
    <w:rsid w:val="00785A52"/>
    <w:rsid w:val="0078679A"/>
    <w:rsid w:val="00791736"/>
    <w:rsid w:val="007929F6"/>
    <w:rsid w:val="007931FC"/>
    <w:rsid w:val="00793D54"/>
    <w:rsid w:val="007943B2"/>
    <w:rsid w:val="00795D18"/>
    <w:rsid w:val="00796E35"/>
    <w:rsid w:val="007A49F3"/>
    <w:rsid w:val="007A58AF"/>
    <w:rsid w:val="007A72E4"/>
    <w:rsid w:val="007B3B5F"/>
    <w:rsid w:val="007B4920"/>
    <w:rsid w:val="007B4A7D"/>
    <w:rsid w:val="007C0D71"/>
    <w:rsid w:val="007C17DA"/>
    <w:rsid w:val="007C1E6F"/>
    <w:rsid w:val="007C2398"/>
    <w:rsid w:val="007C4FB8"/>
    <w:rsid w:val="007C68C8"/>
    <w:rsid w:val="007C6F7E"/>
    <w:rsid w:val="007D1B49"/>
    <w:rsid w:val="007D32C0"/>
    <w:rsid w:val="007D3352"/>
    <w:rsid w:val="007D42BF"/>
    <w:rsid w:val="007D5D38"/>
    <w:rsid w:val="007D6878"/>
    <w:rsid w:val="007D693F"/>
    <w:rsid w:val="007D6D87"/>
    <w:rsid w:val="007E0FA6"/>
    <w:rsid w:val="007E37A8"/>
    <w:rsid w:val="007E5079"/>
    <w:rsid w:val="007E5C78"/>
    <w:rsid w:val="007F3C0E"/>
    <w:rsid w:val="007F5D4D"/>
    <w:rsid w:val="007F6BA3"/>
    <w:rsid w:val="007F6EBD"/>
    <w:rsid w:val="007F6FB5"/>
    <w:rsid w:val="008015A6"/>
    <w:rsid w:val="00804266"/>
    <w:rsid w:val="0080605E"/>
    <w:rsid w:val="0080656D"/>
    <w:rsid w:val="00806983"/>
    <w:rsid w:val="0081099A"/>
    <w:rsid w:val="00810C37"/>
    <w:rsid w:val="00813C00"/>
    <w:rsid w:val="00814827"/>
    <w:rsid w:val="00814E3E"/>
    <w:rsid w:val="008152AB"/>
    <w:rsid w:val="00820C2C"/>
    <w:rsid w:val="00821659"/>
    <w:rsid w:val="00822E28"/>
    <w:rsid w:val="00823142"/>
    <w:rsid w:val="00823A42"/>
    <w:rsid w:val="00825171"/>
    <w:rsid w:val="00825E73"/>
    <w:rsid w:val="00826341"/>
    <w:rsid w:val="00833793"/>
    <w:rsid w:val="00834969"/>
    <w:rsid w:val="00835852"/>
    <w:rsid w:val="008412DC"/>
    <w:rsid w:val="00844AEB"/>
    <w:rsid w:val="008459F9"/>
    <w:rsid w:val="0084740D"/>
    <w:rsid w:val="00847D8F"/>
    <w:rsid w:val="00850A55"/>
    <w:rsid w:val="00851B98"/>
    <w:rsid w:val="008557C5"/>
    <w:rsid w:val="0086170F"/>
    <w:rsid w:val="00864780"/>
    <w:rsid w:val="008706B1"/>
    <w:rsid w:val="00871F59"/>
    <w:rsid w:val="00872071"/>
    <w:rsid w:val="00872B40"/>
    <w:rsid w:val="00875AC7"/>
    <w:rsid w:val="00876747"/>
    <w:rsid w:val="00876DE0"/>
    <w:rsid w:val="00877812"/>
    <w:rsid w:val="008804B9"/>
    <w:rsid w:val="00880845"/>
    <w:rsid w:val="008827AC"/>
    <w:rsid w:val="008840C2"/>
    <w:rsid w:val="00886D54"/>
    <w:rsid w:val="00891BCD"/>
    <w:rsid w:val="00895D84"/>
    <w:rsid w:val="00896163"/>
    <w:rsid w:val="00897197"/>
    <w:rsid w:val="008975F1"/>
    <w:rsid w:val="008A1C3B"/>
    <w:rsid w:val="008A25EE"/>
    <w:rsid w:val="008A6049"/>
    <w:rsid w:val="008A604E"/>
    <w:rsid w:val="008B1C37"/>
    <w:rsid w:val="008B4638"/>
    <w:rsid w:val="008B4B8D"/>
    <w:rsid w:val="008B60A5"/>
    <w:rsid w:val="008C0D63"/>
    <w:rsid w:val="008C211C"/>
    <w:rsid w:val="008C3671"/>
    <w:rsid w:val="008C56B5"/>
    <w:rsid w:val="008C671F"/>
    <w:rsid w:val="008D3640"/>
    <w:rsid w:val="008D3DCB"/>
    <w:rsid w:val="008D4A92"/>
    <w:rsid w:val="008D4DEE"/>
    <w:rsid w:val="008D5A75"/>
    <w:rsid w:val="008D6B5B"/>
    <w:rsid w:val="008E0A7F"/>
    <w:rsid w:val="008E65BD"/>
    <w:rsid w:val="008F0893"/>
    <w:rsid w:val="008F2754"/>
    <w:rsid w:val="008F2B41"/>
    <w:rsid w:val="008F58DB"/>
    <w:rsid w:val="009021E9"/>
    <w:rsid w:val="00906A48"/>
    <w:rsid w:val="0090789B"/>
    <w:rsid w:val="00911258"/>
    <w:rsid w:val="00911624"/>
    <w:rsid w:val="009149BA"/>
    <w:rsid w:val="0091637A"/>
    <w:rsid w:val="00916CAE"/>
    <w:rsid w:val="0091758A"/>
    <w:rsid w:val="0092021B"/>
    <w:rsid w:val="00922120"/>
    <w:rsid w:val="0092262C"/>
    <w:rsid w:val="009243DF"/>
    <w:rsid w:val="00930EC3"/>
    <w:rsid w:val="00934205"/>
    <w:rsid w:val="00934C9D"/>
    <w:rsid w:val="00936F4F"/>
    <w:rsid w:val="00937C91"/>
    <w:rsid w:val="00940A59"/>
    <w:rsid w:val="00940D0C"/>
    <w:rsid w:val="009415AB"/>
    <w:rsid w:val="00941F65"/>
    <w:rsid w:val="00943CA7"/>
    <w:rsid w:val="00943EB2"/>
    <w:rsid w:val="00944C45"/>
    <w:rsid w:val="00946F53"/>
    <w:rsid w:val="00951630"/>
    <w:rsid w:val="00952ACD"/>
    <w:rsid w:val="00953321"/>
    <w:rsid w:val="0095361F"/>
    <w:rsid w:val="009567FC"/>
    <w:rsid w:val="00961731"/>
    <w:rsid w:val="0096184D"/>
    <w:rsid w:val="00962C1F"/>
    <w:rsid w:val="009654C6"/>
    <w:rsid w:val="00965970"/>
    <w:rsid w:val="00965CAA"/>
    <w:rsid w:val="0096653D"/>
    <w:rsid w:val="009668BE"/>
    <w:rsid w:val="00970054"/>
    <w:rsid w:val="00973374"/>
    <w:rsid w:val="00984DA0"/>
    <w:rsid w:val="0099012E"/>
    <w:rsid w:val="00990F4E"/>
    <w:rsid w:val="009915F8"/>
    <w:rsid w:val="0099179B"/>
    <w:rsid w:val="009918C5"/>
    <w:rsid w:val="00991A0E"/>
    <w:rsid w:val="009924F6"/>
    <w:rsid w:val="009940EE"/>
    <w:rsid w:val="00994EB9"/>
    <w:rsid w:val="00994EDA"/>
    <w:rsid w:val="00996751"/>
    <w:rsid w:val="00997DEF"/>
    <w:rsid w:val="009A1B17"/>
    <w:rsid w:val="009A55FA"/>
    <w:rsid w:val="009A5C66"/>
    <w:rsid w:val="009A73E4"/>
    <w:rsid w:val="009A7DBC"/>
    <w:rsid w:val="009A7FCA"/>
    <w:rsid w:val="009B45F2"/>
    <w:rsid w:val="009B5D38"/>
    <w:rsid w:val="009B5F5F"/>
    <w:rsid w:val="009B7C67"/>
    <w:rsid w:val="009C0655"/>
    <w:rsid w:val="009C28D4"/>
    <w:rsid w:val="009C591A"/>
    <w:rsid w:val="009D0434"/>
    <w:rsid w:val="009D0E1B"/>
    <w:rsid w:val="009D4670"/>
    <w:rsid w:val="009D53DB"/>
    <w:rsid w:val="009D6AE1"/>
    <w:rsid w:val="009E0FEB"/>
    <w:rsid w:val="009E4D91"/>
    <w:rsid w:val="009E5A06"/>
    <w:rsid w:val="009E5E68"/>
    <w:rsid w:val="009E71D7"/>
    <w:rsid w:val="009F1786"/>
    <w:rsid w:val="009F7853"/>
    <w:rsid w:val="00A0089D"/>
    <w:rsid w:val="00A01542"/>
    <w:rsid w:val="00A06413"/>
    <w:rsid w:val="00A06AE8"/>
    <w:rsid w:val="00A12688"/>
    <w:rsid w:val="00A127B2"/>
    <w:rsid w:val="00A14BBE"/>
    <w:rsid w:val="00A154DE"/>
    <w:rsid w:val="00A15E45"/>
    <w:rsid w:val="00A24E99"/>
    <w:rsid w:val="00A259AB"/>
    <w:rsid w:val="00A25E3A"/>
    <w:rsid w:val="00A26D36"/>
    <w:rsid w:val="00A300E9"/>
    <w:rsid w:val="00A32A59"/>
    <w:rsid w:val="00A3716F"/>
    <w:rsid w:val="00A40234"/>
    <w:rsid w:val="00A410B8"/>
    <w:rsid w:val="00A4397D"/>
    <w:rsid w:val="00A43B44"/>
    <w:rsid w:val="00A43C14"/>
    <w:rsid w:val="00A45298"/>
    <w:rsid w:val="00A4575A"/>
    <w:rsid w:val="00A47FC6"/>
    <w:rsid w:val="00A5149F"/>
    <w:rsid w:val="00A52335"/>
    <w:rsid w:val="00A53B3F"/>
    <w:rsid w:val="00A53EA2"/>
    <w:rsid w:val="00A650CA"/>
    <w:rsid w:val="00A656D1"/>
    <w:rsid w:val="00A6621B"/>
    <w:rsid w:val="00A666B3"/>
    <w:rsid w:val="00A70A5D"/>
    <w:rsid w:val="00A70D06"/>
    <w:rsid w:val="00A71048"/>
    <w:rsid w:val="00A71AD6"/>
    <w:rsid w:val="00A71B38"/>
    <w:rsid w:val="00A71FE6"/>
    <w:rsid w:val="00A72A8B"/>
    <w:rsid w:val="00A76DEF"/>
    <w:rsid w:val="00A77DB2"/>
    <w:rsid w:val="00A77DE1"/>
    <w:rsid w:val="00A77F39"/>
    <w:rsid w:val="00A77FD6"/>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1BDA"/>
    <w:rsid w:val="00AB2618"/>
    <w:rsid w:val="00AB2B4E"/>
    <w:rsid w:val="00AB3936"/>
    <w:rsid w:val="00AB63D0"/>
    <w:rsid w:val="00AC0B91"/>
    <w:rsid w:val="00AC1D35"/>
    <w:rsid w:val="00AC323E"/>
    <w:rsid w:val="00AC40E0"/>
    <w:rsid w:val="00AC5BE2"/>
    <w:rsid w:val="00AC5D0D"/>
    <w:rsid w:val="00AC705D"/>
    <w:rsid w:val="00AC7672"/>
    <w:rsid w:val="00AD1059"/>
    <w:rsid w:val="00AD2636"/>
    <w:rsid w:val="00AD2D31"/>
    <w:rsid w:val="00AD5977"/>
    <w:rsid w:val="00AD6A1C"/>
    <w:rsid w:val="00AD7255"/>
    <w:rsid w:val="00AE0EBD"/>
    <w:rsid w:val="00AE18BD"/>
    <w:rsid w:val="00AE276C"/>
    <w:rsid w:val="00AE7295"/>
    <w:rsid w:val="00AF11D8"/>
    <w:rsid w:val="00AF283B"/>
    <w:rsid w:val="00AF4E37"/>
    <w:rsid w:val="00AF5784"/>
    <w:rsid w:val="00AF7427"/>
    <w:rsid w:val="00AF7728"/>
    <w:rsid w:val="00B00F01"/>
    <w:rsid w:val="00B02E5A"/>
    <w:rsid w:val="00B03ACD"/>
    <w:rsid w:val="00B04B7F"/>
    <w:rsid w:val="00B077DE"/>
    <w:rsid w:val="00B101F0"/>
    <w:rsid w:val="00B1052E"/>
    <w:rsid w:val="00B1100D"/>
    <w:rsid w:val="00B12DFA"/>
    <w:rsid w:val="00B12FE1"/>
    <w:rsid w:val="00B1433E"/>
    <w:rsid w:val="00B144CE"/>
    <w:rsid w:val="00B144FB"/>
    <w:rsid w:val="00B14588"/>
    <w:rsid w:val="00B15780"/>
    <w:rsid w:val="00B1589E"/>
    <w:rsid w:val="00B16D98"/>
    <w:rsid w:val="00B17F7D"/>
    <w:rsid w:val="00B2022F"/>
    <w:rsid w:val="00B210BA"/>
    <w:rsid w:val="00B2216E"/>
    <w:rsid w:val="00B227BC"/>
    <w:rsid w:val="00B2427B"/>
    <w:rsid w:val="00B323BD"/>
    <w:rsid w:val="00B33194"/>
    <w:rsid w:val="00B344BF"/>
    <w:rsid w:val="00B34C8F"/>
    <w:rsid w:val="00B40AC5"/>
    <w:rsid w:val="00B46137"/>
    <w:rsid w:val="00B501B8"/>
    <w:rsid w:val="00B514FA"/>
    <w:rsid w:val="00B53972"/>
    <w:rsid w:val="00B55A3C"/>
    <w:rsid w:val="00B5610E"/>
    <w:rsid w:val="00B56678"/>
    <w:rsid w:val="00B60BB8"/>
    <w:rsid w:val="00B6374E"/>
    <w:rsid w:val="00B63E64"/>
    <w:rsid w:val="00B67293"/>
    <w:rsid w:val="00B67A6A"/>
    <w:rsid w:val="00B70E69"/>
    <w:rsid w:val="00B71812"/>
    <w:rsid w:val="00B73EF8"/>
    <w:rsid w:val="00B74991"/>
    <w:rsid w:val="00B75AA9"/>
    <w:rsid w:val="00B76CA7"/>
    <w:rsid w:val="00B8086F"/>
    <w:rsid w:val="00B8197E"/>
    <w:rsid w:val="00B82E6F"/>
    <w:rsid w:val="00B83568"/>
    <w:rsid w:val="00B83DB5"/>
    <w:rsid w:val="00B84DE0"/>
    <w:rsid w:val="00B946F4"/>
    <w:rsid w:val="00B97824"/>
    <w:rsid w:val="00BA3144"/>
    <w:rsid w:val="00BA333F"/>
    <w:rsid w:val="00BA3720"/>
    <w:rsid w:val="00BA380E"/>
    <w:rsid w:val="00BA3FE1"/>
    <w:rsid w:val="00BA4F44"/>
    <w:rsid w:val="00BA6491"/>
    <w:rsid w:val="00BB1663"/>
    <w:rsid w:val="00BB2E4A"/>
    <w:rsid w:val="00BB7494"/>
    <w:rsid w:val="00BB7E55"/>
    <w:rsid w:val="00BC073F"/>
    <w:rsid w:val="00BC681F"/>
    <w:rsid w:val="00BC6888"/>
    <w:rsid w:val="00BC6B75"/>
    <w:rsid w:val="00BD747C"/>
    <w:rsid w:val="00BD7A52"/>
    <w:rsid w:val="00BE0926"/>
    <w:rsid w:val="00BE20C1"/>
    <w:rsid w:val="00BE3241"/>
    <w:rsid w:val="00BF2483"/>
    <w:rsid w:val="00BF311D"/>
    <w:rsid w:val="00BF3ADC"/>
    <w:rsid w:val="00BF459F"/>
    <w:rsid w:val="00BF5440"/>
    <w:rsid w:val="00C004E3"/>
    <w:rsid w:val="00C01643"/>
    <w:rsid w:val="00C02377"/>
    <w:rsid w:val="00C03AE7"/>
    <w:rsid w:val="00C05E10"/>
    <w:rsid w:val="00C05EE0"/>
    <w:rsid w:val="00C071D0"/>
    <w:rsid w:val="00C1046D"/>
    <w:rsid w:val="00C10487"/>
    <w:rsid w:val="00C113C0"/>
    <w:rsid w:val="00C15928"/>
    <w:rsid w:val="00C16EE9"/>
    <w:rsid w:val="00C22BA5"/>
    <w:rsid w:val="00C252AB"/>
    <w:rsid w:val="00C27626"/>
    <w:rsid w:val="00C31859"/>
    <w:rsid w:val="00C32040"/>
    <w:rsid w:val="00C33ECC"/>
    <w:rsid w:val="00C34F5A"/>
    <w:rsid w:val="00C35095"/>
    <w:rsid w:val="00C35F12"/>
    <w:rsid w:val="00C36D06"/>
    <w:rsid w:val="00C40052"/>
    <w:rsid w:val="00C40190"/>
    <w:rsid w:val="00C41242"/>
    <w:rsid w:val="00C438BC"/>
    <w:rsid w:val="00C441E9"/>
    <w:rsid w:val="00C45ED6"/>
    <w:rsid w:val="00C47A49"/>
    <w:rsid w:val="00C47C59"/>
    <w:rsid w:val="00C50909"/>
    <w:rsid w:val="00C515E5"/>
    <w:rsid w:val="00C53060"/>
    <w:rsid w:val="00C557B3"/>
    <w:rsid w:val="00C55AC4"/>
    <w:rsid w:val="00C565A0"/>
    <w:rsid w:val="00C62E34"/>
    <w:rsid w:val="00C71476"/>
    <w:rsid w:val="00C71903"/>
    <w:rsid w:val="00C72B0B"/>
    <w:rsid w:val="00C73879"/>
    <w:rsid w:val="00C75C67"/>
    <w:rsid w:val="00C75DD0"/>
    <w:rsid w:val="00C83584"/>
    <w:rsid w:val="00C86FFC"/>
    <w:rsid w:val="00C90AB8"/>
    <w:rsid w:val="00C91195"/>
    <w:rsid w:val="00C97286"/>
    <w:rsid w:val="00C974D3"/>
    <w:rsid w:val="00C97AF8"/>
    <w:rsid w:val="00CA263B"/>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7F0"/>
    <w:rsid w:val="00D14F2A"/>
    <w:rsid w:val="00D17749"/>
    <w:rsid w:val="00D201B3"/>
    <w:rsid w:val="00D2151B"/>
    <w:rsid w:val="00D27C91"/>
    <w:rsid w:val="00D27F78"/>
    <w:rsid w:val="00D30292"/>
    <w:rsid w:val="00D33900"/>
    <w:rsid w:val="00D34824"/>
    <w:rsid w:val="00D40AE4"/>
    <w:rsid w:val="00D42915"/>
    <w:rsid w:val="00D42989"/>
    <w:rsid w:val="00D47339"/>
    <w:rsid w:val="00D526CC"/>
    <w:rsid w:val="00D540F7"/>
    <w:rsid w:val="00D54F98"/>
    <w:rsid w:val="00D56317"/>
    <w:rsid w:val="00D573C9"/>
    <w:rsid w:val="00D60927"/>
    <w:rsid w:val="00D619CF"/>
    <w:rsid w:val="00D7000E"/>
    <w:rsid w:val="00D723D3"/>
    <w:rsid w:val="00D72553"/>
    <w:rsid w:val="00D743B0"/>
    <w:rsid w:val="00D750E6"/>
    <w:rsid w:val="00D8181E"/>
    <w:rsid w:val="00D82A34"/>
    <w:rsid w:val="00D84191"/>
    <w:rsid w:val="00D86DEF"/>
    <w:rsid w:val="00D86EE1"/>
    <w:rsid w:val="00D874CB"/>
    <w:rsid w:val="00D929D1"/>
    <w:rsid w:val="00D938DD"/>
    <w:rsid w:val="00D93ADF"/>
    <w:rsid w:val="00D94693"/>
    <w:rsid w:val="00D95131"/>
    <w:rsid w:val="00D95A7A"/>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1C8F"/>
    <w:rsid w:val="00DC217D"/>
    <w:rsid w:val="00DC3DA0"/>
    <w:rsid w:val="00DC45DB"/>
    <w:rsid w:val="00DC472D"/>
    <w:rsid w:val="00DC5649"/>
    <w:rsid w:val="00DC71E9"/>
    <w:rsid w:val="00DD0998"/>
    <w:rsid w:val="00DD0D34"/>
    <w:rsid w:val="00DD0DA7"/>
    <w:rsid w:val="00DD245D"/>
    <w:rsid w:val="00DD2661"/>
    <w:rsid w:val="00DD268C"/>
    <w:rsid w:val="00DE4572"/>
    <w:rsid w:val="00DE4DF0"/>
    <w:rsid w:val="00DE559A"/>
    <w:rsid w:val="00DE74C4"/>
    <w:rsid w:val="00DF08A7"/>
    <w:rsid w:val="00DF176B"/>
    <w:rsid w:val="00DF393E"/>
    <w:rsid w:val="00DF3B08"/>
    <w:rsid w:val="00DF6356"/>
    <w:rsid w:val="00DF67F0"/>
    <w:rsid w:val="00DF6A2C"/>
    <w:rsid w:val="00E01584"/>
    <w:rsid w:val="00E01674"/>
    <w:rsid w:val="00E04068"/>
    <w:rsid w:val="00E0622F"/>
    <w:rsid w:val="00E10044"/>
    <w:rsid w:val="00E11560"/>
    <w:rsid w:val="00E12A39"/>
    <w:rsid w:val="00E13930"/>
    <w:rsid w:val="00E15121"/>
    <w:rsid w:val="00E15C10"/>
    <w:rsid w:val="00E16B52"/>
    <w:rsid w:val="00E240A1"/>
    <w:rsid w:val="00E2575A"/>
    <w:rsid w:val="00E26472"/>
    <w:rsid w:val="00E2704C"/>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95B"/>
    <w:rsid w:val="00E91C41"/>
    <w:rsid w:val="00E91CEE"/>
    <w:rsid w:val="00E9232C"/>
    <w:rsid w:val="00E9477B"/>
    <w:rsid w:val="00E95325"/>
    <w:rsid w:val="00E95E9C"/>
    <w:rsid w:val="00E96BDD"/>
    <w:rsid w:val="00E96D4E"/>
    <w:rsid w:val="00E970F5"/>
    <w:rsid w:val="00EA3DC1"/>
    <w:rsid w:val="00EA5D56"/>
    <w:rsid w:val="00EB089E"/>
    <w:rsid w:val="00EB37C6"/>
    <w:rsid w:val="00EB56AB"/>
    <w:rsid w:val="00EB5E55"/>
    <w:rsid w:val="00EB7541"/>
    <w:rsid w:val="00EC026F"/>
    <w:rsid w:val="00EC0EAC"/>
    <w:rsid w:val="00EC3A1D"/>
    <w:rsid w:val="00EC4518"/>
    <w:rsid w:val="00EC7638"/>
    <w:rsid w:val="00EC7FD4"/>
    <w:rsid w:val="00ED687A"/>
    <w:rsid w:val="00ED69CC"/>
    <w:rsid w:val="00EE62E7"/>
    <w:rsid w:val="00EE7B82"/>
    <w:rsid w:val="00EF0662"/>
    <w:rsid w:val="00EF11B7"/>
    <w:rsid w:val="00EF1C74"/>
    <w:rsid w:val="00EF21CF"/>
    <w:rsid w:val="00EF2876"/>
    <w:rsid w:val="00EF6D8C"/>
    <w:rsid w:val="00EF7342"/>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3E15"/>
    <w:rsid w:val="00F46C4E"/>
    <w:rsid w:val="00F507D7"/>
    <w:rsid w:val="00F5213E"/>
    <w:rsid w:val="00F52A5F"/>
    <w:rsid w:val="00F530E4"/>
    <w:rsid w:val="00F57467"/>
    <w:rsid w:val="00F6067C"/>
    <w:rsid w:val="00F62788"/>
    <w:rsid w:val="00F66819"/>
    <w:rsid w:val="00F704C6"/>
    <w:rsid w:val="00F75FF1"/>
    <w:rsid w:val="00F76A45"/>
    <w:rsid w:val="00F80786"/>
    <w:rsid w:val="00F81974"/>
    <w:rsid w:val="00F83322"/>
    <w:rsid w:val="00F8478F"/>
    <w:rsid w:val="00F84F68"/>
    <w:rsid w:val="00F86430"/>
    <w:rsid w:val="00F86AF9"/>
    <w:rsid w:val="00F94280"/>
    <w:rsid w:val="00F94B75"/>
    <w:rsid w:val="00F95AEC"/>
    <w:rsid w:val="00F96876"/>
    <w:rsid w:val="00F9755D"/>
    <w:rsid w:val="00FA0463"/>
    <w:rsid w:val="00FA1DD2"/>
    <w:rsid w:val="00FA43E4"/>
    <w:rsid w:val="00FA5A9F"/>
    <w:rsid w:val="00FA786E"/>
    <w:rsid w:val="00FB1660"/>
    <w:rsid w:val="00FB6359"/>
    <w:rsid w:val="00FB77B2"/>
    <w:rsid w:val="00FB7DC9"/>
    <w:rsid w:val="00FC0A10"/>
    <w:rsid w:val="00FC496D"/>
    <w:rsid w:val="00FD04BD"/>
    <w:rsid w:val="00FD2978"/>
    <w:rsid w:val="00FD36F3"/>
    <w:rsid w:val="00FD4451"/>
    <w:rsid w:val="00FD5AAF"/>
    <w:rsid w:val="00FE0D3F"/>
    <w:rsid w:val="00FE2869"/>
    <w:rsid w:val="00FE2D30"/>
    <w:rsid w:val="00FE4F26"/>
    <w:rsid w:val="00FE5728"/>
    <w:rsid w:val="00FE591D"/>
    <w:rsid w:val="00FE671D"/>
    <w:rsid w:val="00FF2C7E"/>
    <w:rsid w:val="00FF3820"/>
    <w:rsid w:val="00FF3F95"/>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1304"/>
    <w:rPr>
      <w:sz w:val="24"/>
      <w:szCs w:val="24"/>
    </w:rPr>
  </w:style>
  <w:style w:type="paragraph" w:styleId="Nadpis1">
    <w:name w:val="heading 1"/>
    <w:basedOn w:val="Normlny"/>
    <w:next w:val="Normlny"/>
    <w:link w:val="Nadpis1Char"/>
    <w:uiPriority w:val="9"/>
    <w:qFormat/>
    <w:rsid w:val="00DF6356"/>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semiHidden/>
    <w:unhideWhenUsed/>
    <w:qFormat/>
    <w:rsid w:val="00DF6356"/>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
    <w:semiHidden/>
    <w:unhideWhenUsed/>
    <w:qFormat/>
    <w:rsid w:val="00DF6356"/>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9"/>
    <w:qFormat/>
    <w:rsid w:val="002E1304"/>
    <w:pPr>
      <w:keepNext/>
      <w:spacing w:before="240" w:after="60"/>
      <w:outlineLvl w:val="3"/>
    </w:pPr>
    <w:rPr>
      <w:b/>
      <w:bCs/>
      <w:sz w:val="28"/>
      <w:szCs w:val="28"/>
      <w:lang w:val="en-US"/>
    </w:rPr>
  </w:style>
  <w:style w:type="paragraph" w:styleId="Nadpis5">
    <w:name w:val="heading 5"/>
    <w:basedOn w:val="Normlny"/>
    <w:next w:val="Normlny"/>
    <w:link w:val="Nadpis5Char"/>
    <w:uiPriority w:val="9"/>
    <w:semiHidden/>
    <w:unhideWhenUsed/>
    <w:qFormat/>
    <w:rsid w:val="00DF6356"/>
    <w:p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semiHidden/>
    <w:unhideWhenUsed/>
    <w:qFormat/>
    <w:rsid w:val="00DF6356"/>
    <w:pPr>
      <w:spacing w:before="240" w:after="60"/>
      <w:outlineLvl w:val="5"/>
    </w:pPr>
    <w:rPr>
      <w:rFonts w:ascii="Calibri" w:hAnsi="Calibri"/>
      <w:b/>
      <w:bCs/>
      <w:sz w:val="22"/>
      <w:szCs w:val="22"/>
    </w:rPr>
  </w:style>
  <w:style w:type="paragraph" w:styleId="Nadpis7">
    <w:name w:val="heading 7"/>
    <w:basedOn w:val="Normlny"/>
    <w:next w:val="Normlny"/>
    <w:link w:val="Nadpis7Char"/>
    <w:uiPriority w:val="9"/>
    <w:semiHidden/>
    <w:unhideWhenUsed/>
    <w:qFormat/>
    <w:rsid w:val="00DF6356"/>
    <w:pPr>
      <w:spacing w:before="240" w:after="60"/>
      <w:outlineLvl w:val="6"/>
    </w:pPr>
    <w:rPr>
      <w:rFonts w:ascii="Calibri" w:hAnsi="Calibri"/>
    </w:rPr>
  </w:style>
  <w:style w:type="paragraph" w:styleId="Nadpis8">
    <w:name w:val="heading 8"/>
    <w:basedOn w:val="Normlny"/>
    <w:next w:val="Normlny"/>
    <w:link w:val="Nadpis8Char"/>
    <w:uiPriority w:val="9"/>
    <w:semiHidden/>
    <w:unhideWhenUsed/>
    <w:qFormat/>
    <w:rsid w:val="00DF6356"/>
    <w:pPr>
      <w:spacing w:before="240" w:after="60"/>
      <w:outlineLvl w:val="7"/>
    </w:pPr>
    <w:rPr>
      <w:rFonts w:ascii="Calibri" w:hAnsi="Calibri"/>
      <w:i/>
      <w:iCs/>
    </w:rPr>
  </w:style>
  <w:style w:type="paragraph" w:styleId="Nadpis9">
    <w:name w:val="heading 9"/>
    <w:basedOn w:val="Normlny"/>
    <w:next w:val="Normlny"/>
    <w:link w:val="Nadpis9Char"/>
    <w:uiPriority w:val="9"/>
    <w:semiHidden/>
    <w:unhideWhenUsed/>
    <w:qFormat/>
    <w:rsid w:val="00DF6356"/>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sid w:val="00DF6356"/>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DF6356"/>
    <w:rPr>
      <w:rFonts w:ascii="Cambria" w:eastAsia="Times New Roman" w:hAnsi="Cambria" w:cs="Times New Roman"/>
      <w:b/>
      <w:bCs/>
      <w:sz w:val="26"/>
      <w:szCs w:val="26"/>
    </w:rPr>
  </w:style>
  <w:style w:type="character" w:customStyle="1" w:styleId="Nadpis4Char">
    <w:name w:val="Nadpis 4 Char"/>
    <w:link w:val="Nadpis4"/>
    <w:uiPriority w:val="9"/>
    <w:semiHidden/>
    <w:locked/>
    <w:rsid w:val="00C73879"/>
    <w:rPr>
      <w:rFonts w:ascii="Calibri" w:eastAsia="Times New Roman" w:hAnsi="Calibri" w:cs="Times New Roman"/>
      <w:b/>
      <w:bCs/>
      <w:sz w:val="28"/>
      <w:szCs w:val="28"/>
    </w:rPr>
  </w:style>
  <w:style w:type="character" w:customStyle="1" w:styleId="Nadpis5Char">
    <w:name w:val="Nadpis 5 Char"/>
    <w:link w:val="Nadpis5"/>
    <w:uiPriority w:val="9"/>
    <w:semiHidden/>
    <w:locked/>
    <w:rsid w:val="00DF6356"/>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DF6356"/>
    <w:rPr>
      <w:rFonts w:ascii="Calibri" w:eastAsia="Times New Roman" w:hAnsi="Calibri" w:cs="Times New Roman"/>
      <w:b/>
      <w:bCs/>
    </w:rPr>
  </w:style>
  <w:style w:type="character" w:customStyle="1" w:styleId="Nadpis7Char">
    <w:name w:val="Nadpis 7 Char"/>
    <w:link w:val="Nadpis7"/>
    <w:uiPriority w:val="9"/>
    <w:semiHidden/>
    <w:locked/>
    <w:rsid w:val="00DF6356"/>
    <w:rPr>
      <w:rFonts w:ascii="Calibri" w:eastAsia="Times New Roman" w:hAnsi="Calibri" w:cs="Times New Roman"/>
      <w:sz w:val="24"/>
      <w:szCs w:val="24"/>
    </w:rPr>
  </w:style>
  <w:style w:type="character" w:customStyle="1" w:styleId="Nadpis8Char">
    <w:name w:val="Nadpis 8 Char"/>
    <w:link w:val="Nadpis8"/>
    <w:uiPriority w:val="9"/>
    <w:semiHidden/>
    <w:locked/>
    <w:rsid w:val="00DF6356"/>
    <w:rPr>
      <w:rFonts w:ascii="Calibri" w:eastAsia="Times New Roman" w:hAnsi="Calibri" w:cs="Times New Roman"/>
      <w:i/>
      <w:iCs/>
      <w:sz w:val="24"/>
      <w:szCs w:val="24"/>
    </w:rPr>
  </w:style>
  <w:style w:type="character" w:customStyle="1" w:styleId="Nadpis9Char">
    <w:name w:val="Nadpis 9 Char"/>
    <w:link w:val="Nadpis9"/>
    <w:uiPriority w:val="9"/>
    <w:semiHidden/>
    <w:locked/>
    <w:rsid w:val="00DF6356"/>
    <w:rPr>
      <w:rFonts w:ascii="Cambria" w:eastAsia="Times New Roman" w:hAnsi="Cambria" w:cs="Times New Roman"/>
    </w:rPr>
  </w:style>
  <w:style w:type="paragraph" w:styleId="Pta">
    <w:name w:val="footer"/>
    <w:basedOn w:val="Normlny"/>
    <w:link w:val="PtaChar"/>
    <w:uiPriority w:val="99"/>
    <w:rsid w:val="002E1304"/>
    <w:pPr>
      <w:tabs>
        <w:tab w:val="center" w:pos="4536"/>
        <w:tab w:val="right" w:pos="9072"/>
      </w:tabs>
    </w:pPr>
  </w:style>
  <w:style w:type="character" w:customStyle="1" w:styleId="Nadpis1Char">
    <w:name w:val="Nadpis 1 Char"/>
    <w:link w:val="Nadpis1"/>
    <w:uiPriority w:val="9"/>
    <w:locked/>
    <w:rsid w:val="00DF6356"/>
    <w:rPr>
      <w:rFonts w:ascii="Cambria" w:eastAsia="Times New Roman" w:hAnsi="Cambria" w:cs="Times New Roman"/>
      <w:b/>
      <w:bCs/>
      <w:kern w:val="32"/>
      <w:sz w:val="32"/>
      <w:szCs w:val="32"/>
    </w:rPr>
  </w:style>
  <w:style w:type="character" w:styleId="slostrany">
    <w:name w:val="page number"/>
    <w:uiPriority w:val="99"/>
    <w:rsid w:val="002E1304"/>
    <w:rPr>
      <w:rFonts w:cs="Times New Roman"/>
    </w:rPr>
  </w:style>
  <w:style w:type="character" w:customStyle="1" w:styleId="PtaChar">
    <w:name w:val="Päta Char"/>
    <w:link w:val="Pta"/>
    <w:uiPriority w:val="99"/>
    <w:semiHidden/>
    <w:locked/>
    <w:rsid w:val="00C73879"/>
    <w:rPr>
      <w:rFonts w:cs="Times New Roman"/>
      <w:sz w:val="24"/>
      <w:szCs w:val="24"/>
    </w:rPr>
  </w:style>
  <w:style w:type="paragraph" w:styleId="Zarkazkladnhotextu">
    <w:name w:val="Body Text Indent"/>
    <w:basedOn w:val="Normlny"/>
    <w:link w:val="ZarkazkladnhotextuChar"/>
    <w:uiPriority w:val="99"/>
    <w:rsid w:val="002E1304"/>
    <w:pPr>
      <w:spacing w:after="120"/>
      <w:ind w:left="283"/>
    </w:pPr>
  </w:style>
  <w:style w:type="paragraph" w:styleId="Zkladntext">
    <w:name w:val="Body Text"/>
    <w:basedOn w:val="Normlny"/>
    <w:link w:val="ZkladntextChar"/>
    <w:uiPriority w:val="99"/>
    <w:rsid w:val="002E1304"/>
    <w:pPr>
      <w:spacing w:after="120"/>
    </w:pPr>
  </w:style>
  <w:style w:type="character" w:customStyle="1" w:styleId="ZarkazkladnhotextuChar">
    <w:name w:val="Zarážka základného textu Char"/>
    <w:link w:val="Zarkazkladnhotextu"/>
    <w:uiPriority w:val="99"/>
    <w:semiHidden/>
    <w:locked/>
    <w:rsid w:val="00C73879"/>
    <w:rPr>
      <w:rFonts w:cs="Times New Roman"/>
      <w:sz w:val="24"/>
      <w:szCs w:val="24"/>
    </w:rPr>
  </w:style>
  <w:style w:type="paragraph" w:styleId="Nzov">
    <w:name w:val="Title"/>
    <w:basedOn w:val="Normlny"/>
    <w:link w:val="NzovChar"/>
    <w:uiPriority w:val="99"/>
    <w:qFormat/>
    <w:rsid w:val="002E1304"/>
    <w:pPr>
      <w:jc w:val="center"/>
    </w:pPr>
    <w:rPr>
      <w:sz w:val="28"/>
      <w:szCs w:val="20"/>
    </w:rPr>
  </w:style>
  <w:style w:type="character" w:customStyle="1" w:styleId="ZkladntextChar">
    <w:name w:val="Základný text Char"/>
    <w:link w:val="Zkladntext"/>
    <w:uiPriority w:val="99"/>
    <w:semiHidden/>
    <w:locked/>
    <w:rsid w:val="00C73879"/>
    <w:rPr>
      <w:rFonts w:cs="Times New Roman"/>
      <w:sz w:val="24"/>
      <w:szCs w:val="24"/>
    </w:rPr>
  </w:style>
  <w:style w:type="paragraph" w:styleId="Zarkazkladnhotextu3">
    <w:name w:val="Body Text Indent 3"/>
    <w:basedOn w:val="Normlny"/>
    <w:link w:val="Zarkazkladnhotextu3Char"/>
    <w:uiPriority w:val="99"/>
    <w:rsid w:val="002E1304"/>
    <w:pPr>
      <w:spacing w:after="120"/>
      <w:ind w:left="283"/>
    </w:pPr>
    <w:rPr>
      <w:sz w:val="16"/>
      <w:szCs w:val="16"/>
    </w:rPr>
  </w:style>
  <w:style w:type="character" w:customStyle="1" w:styleId="NzovChar">
    <w:name w:val="Názov Char"/>
    <w:link w:val="Nzov"/>
    <w:uiPriority w:val="10"/>
    <w:locked/>
    <w:rsid w:val="00C73879"/>
    <w:rPr>
      <w:rFonts w:ascii="Cambria" w:eastAsia="Times New Roman" w:hAnsi="Cambria" w:cs="Times New Roman"/>
      <w:b/>
      <w:bCs/>
      <w:kern w:val="28"/>
      <w:sz w:val="32"/>
      <w:szCs w:val="32"/>
    </w:rPr>
  </w:style>
  <w:style w:type="paragraph" w:customStyle="1" w:styleId="Action">
    <w:name w:val="Action"/>
    <w:basedOn w:val="Zkladntext"/>
    <w:uiPriority w:val="99"/>
    <w:rsid w:val="002E1304"/>
    <w:pPr>
      <w:numPr>
        <w:numId w:val="1"/>
      </w:numPr>
      <w:spacing w:line="240" w:lineRule="atLeast"/>
      <w:ind w:left="1208" w:hanging="357"/>
      <w:jc w:val="both"/>
    </w:pPr>
    <w:rPr>
      <w:rFonts w:ascii="Verdana" w:hAnsi="Verdana" w:cs="Verdana"/>
      <w:i/>
      <w:iCs/>
      <w:sz w:val="22"/>
      <w:szCs w:val="22"/>
      <w:lang w:eastAsia="en-US"/>
    </w:rPr>
  </w:style>
  <w:style w:type="character" w:customStyle="1" w:styleId="Zarkazkladnhotextu3Char">
    <w:name w:val="Zarážka základného textu 3 Char"/>
    <w:link w:val="Zarkazkladnhotextu3"/>
    <w:uiPriority w:val="99"/>
    <w:semiHidden/>
    <w:locked/>
    <w:rsid w:val="00C73879"/>
    <w:rPr>
      <w:rFonts w:cs="Times New Roman"/>
      <w:sz w:val="16"/>
      <w:szCs w:val="16"/>
    </w:rPr>
  </w:style>
  <w:style w:type="character" w:customStyle="1" w:styleId="StyleHeading4UnderlineChar">
    <w:name w:val="Style Heading 4 + Underline Char"/>
    <w:uiPriority w:val="99"/>
    <w:rsid w:val="002E1304"/>
    <w:rPr>
      <w:rFonts w:ascii="Verdana" w:hAnsi="Verdana" w:cs="Verdana"/>
      <w:kern w:val="20"/>
      <w:sz w:val="22"/>
      <w:szCs w:val="22"/>
      <w:u w:val="single"/>
      <w:lang w:val="en-US" w:eastAsia="en-US"/>
    </w:rPr>
  </w:style>
  <w:style w:type="paragraph" w:styleId="Hlavika">
    <w:name w:val="header"/>
    <w:basedOn w:val="Normlny"/>
    <w:link w:val="HlavikaChar"/>
    <w:uiPriority w:val="99"/>
    <w:rsid w:val="002E1304"/>
    <w:pPr>
      <w:tabs>
        <w:tab w:val="center" w:pos="4536"/>
        <w:tab w:val="right" w:pos="9072"/>
      </w:tabs>
    </w:pPr>
  </w:style>
  <w:style w:type="character" w:styleId="Hypertextovprepojenie">
    <w:name w:val="Hyperlink"/>
    <w:uiPriority w:val="99"/>
    <w:rsid w:val="002E1304"/>
    <w:rPr>
      <w:rFonts w:cs="Times New Roman"/>
      <w:color w:val="0000FF"/>
      <w:u w:val="single"/>
    </w:rPr>
  </w:style>
  <w:style w:type="character" w:customStyle="1" w:styleId="HlavikaChar">
    <w:name w:val="Hlavička Char"/>
    <w:link w:val="Hlavika"/>
    <w:uiPriority w:val="99"/>
    <w:semiHidden/>
    <w:locked/>
    <w:rsid w:val="00C73879"/>
    <w:rPr>
      <w:rFonts w:cs="Times New Roman"/>
      <w:sz w:val="24"/>
      <w:szCs w:val="24"/>
    </w:rPr>
  </w:style>
  <w:style w:type="paragraph" w:styleId="Normlnywebov">
    <w:name w:val="Normal (Web)"/>
    <w:aliases w:val="webb"/>
    <w:basedOn w:val="Normlny"/>
    <w:uiPriority w:val="99"/>
    <w:rsid w:val="004161A1"/>
    <w:pPr>
      <w:spacing w:before="100" w:beforeAutospacing="1" w:after="100" w:afterAutospacing="1"/>
    </w:pPr>
  </w:style>
  <w:style w:type="paragraph" w:styleId="Textbubliny">
    <w:name w:val="Balloon Text"/>
    <w:basedOn w:val="Normlny"/>
    <w:link w:val="TextbublinyChar"/>
    <w:uiPriority w:val="99"/>
    <w:semiHidden/>
    <w:rsid w:val="00C71903"/>
    <w:rPr>
      <w:rFonts w:ascii="Tahoma" w:hAnsi="Tahoma" w:cs="Tahoma"/>
      <w:sz w:val="16"/>
      <w:szCs w:val="16"/>
    </w:rPr>
  </w:style>
  <w:style w:type="paragraph" w:styleId="Odsekzoznamu">
    <w:name w:val="List Paragraph"/>
    <w:basedOn w:val="Normlny"/>
    <w:uiPriority w:val="34"/>
    <w:unhideWhenUsed/>
    <w:qFormat/>
    <w:rsid w:val="00B00F01"/>
    <w:pPr>
      <w:spacing w:after="240" w:line="240" w:lineRule="atLeast"/>
      <w:ind w:left="720"/>
      <w:contextualSpacing/>
    </w:pPr>
    <w:rPr>
      <w:rFonts w:ascii="Georgia" w:hAnsi="Georgia"/>
      <w:sz w:val="20"/>
      <w:szCs w:val="20"/>
      <w:lang w:eastAsia="en-US"/>
    </w:rPr>
  </w:style>
  <w:style w:type="character" w:customStyle="1" w:styleId="TextbublinyChar">
    <w:name w:val="Text bubliny Char"/>
    <w:link w:val="Textbubliny"/>
    <w:uiPriority w:val="99"/>
    <w:semiHidden/>
    <w:locked/>
    <w:rsid w:val="00C73879"/>
    <w:rPr>
      <w:rFonts w:ascii="Tahoma" w:hAnsi="Tahoma" w:cs="Tahoma"/>
      <w:sz w:val="16"/>
      <w:szCs w:val="16"/>
    </w:rPr>
  </w:style>
  <w:style w:type="character" w:styleId="Textzstupnhosymbolu">
    <w:name w:val="Placeholder Text"/>
    <w:basedOn w:val="Predvolenpsmoodseku"/>
    <w:uiPriority w:val="99"/>
    <w:semiHidden/>
    <w:rsid w:val="0000473C"/>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68913">
      <w:bodyDiv w:val="1"/>
      <w:marLeft w:val="0"/>
      <w:marRight w:val="0"/>
      <w:marTop w:val="0"/>
      <w:marBottom w:val="0"/>
      <w:divBdr>
        <w:top w:val="none" w:sz="0" w:space="0" w:color="auto"/>
        <w:left w:val="none" w:sz="0" w:space="0" w:color="auto"/>
        <w:bottom w:val="none" w:sz="0" w:space="0" w:color="auto"/>
        <w:right w:val="none" w:sz="0" w:space="0" w:color="auto"/>
      </w:divBdr>
    </w:div>
    <w:div w:id="460617683">
      <w:bodyDiv w:val="1"/>
      <w:marLeft w:val="0"/>
      <w:marRight w:val="0"/>
      <w:marTop w:val="0"/>
      <w:marBottom w:val="0"/>
      <w:divBdr>
        <w:top w:val="none" w:sz="0" w:space="0" w:color="auto"/>
        <w:left w:val="none" w:sz="0" w:space="0" w:color="auto"/>
        <w:bottom w:val="none" w:sz="0" w:space="0" w:color="auto"/>
        <w:right w:val="none" w:sz="0" w:space="0" w:color="auto"/>
      </w:divBdr>
    </w:div>
    <w:div w:id="831603197">
      <w:bodyDiv w:val="1"/>
      <w:marLeft w:val="0"/>
      <w:marRight w:val="0"/>
      <w:marTop w:val="0"/>
      <w:marBottom w:val="0"/>
      <w:divBdr>
        <w:top w:val="none" w:sz="0" w:space="0" w:color="auto"/>
        <w:left w:val="none" w:sz="0" w:space="0" w:color="auto"/>
        <w:bottom w:val="none" w:sz="0" w:space="0" w:color="auto"/>
        <w:right w:val="none" w:sz="0" w:space="0" w:color="auto"/>
      </w:divBdr>
    </w:div>
    <w:div w:id="1179927897">
      <w:bodyDiv w:val="1"/>
      <w:marLeft w:val="0"/>
      <w:marRight w:val="0"/>
      <w:marTop w:val="0"/>
      <w:marBottom w:val="0"/>
      <w:divBdr>
        <w:top w:val="none" w:sz="0" w:space="0" w:color="auto"/>
        <w:left w:val="none" w:sz="0" w:space="0" w:color="auto"/>
        <w:bottom w:val="none" w:sz="0" w:space="0" w:color="auto"/>
        <w:right w:val="none" w:sz="0" w:space="0" w:color="auto"/>
      </w:divBdr>
    </w:div>
    <w:div w:id="1630428512">
      <w:marLeft w:val="0"/>
      <w:marRight w:val="0"/>
      <w:marTop w:val="0"/>
      <w:marBottom w:val="0"/>
      <w:divBdr>
        <w:top w:val="none" w:sz="0" w:space="0" w:color="auto"/>
        <w:left w:val="none" w:sz="0" w:space="0" w:color="auto"/>
        <w:bottom w:val="none" w:sz="0" w:space="0" w:color="auto"/>
        <w:right w:val="none" w:sz="0" w:space="0" w:color="auto"/>
      </w:divBdr>
    </w:div>
    <w:div w:id="1630428513">
      <w:marLeft w:val="0"/>
      <w:marRight w:val="0"/>
      <w:marTop w:val="0"/>
      <w:marBottom w:val="0"/>
      <w:divBdr>
        <w:top w:val="none" w:sz="0" w:space="0" w:color="auto"/>
        <w:left w:val="none" w:sz="0" w:space="0" w:color="auto"/>
        <w:bottom w:val="none" w:sz="0" w:space="0" w:color="auto"/>
        <w:right w:val="none" w:sz="0" w:space="0" w:color="auto"/>
      </w:divBdr>
    </w:div>
    <w:div w:id="1630428514">
      <w:marLeft w:val="0"/>
      <w:marRight w:val="0"/>
      <w:marTop w:val="0"/>
      <w:marBottom w:val="0"/>
      <w:divBdr>
        <w:top w:val="none" w:sz="0" w:space="0" w:color="auto"/>
        <w:left w:val="none" w:sz="0" w:space="0" w:color="auto"/>
        <w:bottom w:val="none" w:sz="0" w:space="0" w:color="auto"/>
        <w:right w:val="none" w:sz="0" w:space="0" w:color="auto"/>
      </w:divBdr>
    </w:div>
    <w:div w:id="1630428519">
      <w:marLeft w:val="0"/>
      <w:marRight w:val="0"/>
      <w:marTop w:val="0"/>
      <w:marBottom w:val="0"/>
      <w:divBdr>
        <w:top w:val="none" w:sz="0" w:space="0" w:color="auto"/>
        <w:left w:val="none" w:sz="0" w:space="0" w:color="auto"/>
        <w:bottom w:val="none" w:sz="0" w:space="0" w:color="auto"/>
        <w:right w:val="none" w:sz="0" w:space="0" w:color="auto"/>
      </w:divBdr>
      <w:divsChild>
        <w:div w:id="1630428532">
          <w:marLeft w:val="0"/>
          <w:marRight w:val="0"/>
          <w:marTop w:val="0"/>
          <w:marBottom w:val="0"/>
          <w:divBdr>
            <w:top w:val="none" w:sz="0" w:space="0" w:color="auto"/>
            <w:left w:val="none" w:sz="0" w:space="0" w:color="auto"/>
            <w:bottom w:val="none" w:sz="0" w:space="0" w:color="auto"/>
            <w:right w:val="none" w:sz="0" w:space="0" w:color="auto"/>
          </w:divBdr>
        </w:div>
        <w:div w:id="1630428533">
          <w:marLeft w:val="0"/>
          <w:marRight w:val="0"/>
          <w:marTop w:val="0"/>
          <w:marBottom w:val="0"/>
          <w:divBdr>
            <w:top w:val="none" w:sz="0" w:space="0" w:color="auto"/>
            <w:left w:val="none" w:sz="0" w:space="0" w:color="auto"/>
            <w:bottom w:val="none" w:sz="0" w:space="0" w:color="auto"/>
            <w:right w:val="none" w:sz="0" w:space="0" w:color="auto"/>
          </w:divBdr>
        </w:div>
        <w:div w:id="1630428538">
          <w:marLeft w:val="0"/>
          <w:marRight w:val="0"/>
          <w:marTop w:val="0"/>
          <w:marBottom w:val="0"/>
          <w:divBdr>
            <w:top w:val="none" w:sz="0" w:space="0" w:color="auto"/>
            <w:left w:val="none" w:sz="0" w:space="0" w:color="auto"/>
            <w:bottom w:val="none" w:sz="0" w:space="0" w:color="auto"/>
            <w:right w:val="none" w:sz="0" w:space="0" w:color="auto"/>
          </w:divBdr>
        </w:div>
      </w:divsChild>
    </w:div>
    <w:div w:id="1630428522">
      <w:marLeft w:val="0"/>
      <w:marRight w:val="0"/>
      <w:marTop w:val="0"/>
      <w:marBottom w:val="0"/>
      <w:divBdr>
        <w:top w:val="none" w:sz="0" w:space="0" w:color="auto"/>
        <w:left w:val="none" w:sz="0" w:space="0" w:color="auto"/>
        <w:bottom w:val="none" w:sz="0" w:space="0" w:color="auto"/>
        <w:right w:val="none" w:sz="0" w:space="0" w:color="auto"/>
      </w:divBdr>
      <w:divsChild>
        <w:div w:id="1630428524">
          <w:marLeft w:val="0"/>
          <w:marRight w:val="0"/>
          <w:marTop w:val="0"/>
          <w:marBottom w:val="0"/>
          <w:divBdr>
            <w:top w:val="none" w:sz="0" w:space="0" w:color="auto"/>
            <w:left w:val="none" w:sz="0" w:space="0" w:color="auto"/>
            <w:bottom w:val="none" w:sz="0" w:space="0" w:color="auto"/>
            <w:right w:val="none" w:sz="0" w:space="0" w:color="auto"/>
          </w:divBdr>
        </w:div>
      </w:divsChild>
    </w:div>
    <w:div w:id="1630428529">
      <w:marLeft w:val="0"/>
      <w:marRight w:val="0"/>
      <w:marTop w:val="0"/>
      <w:marBottom w:val="0"/>
      <w:divBdr>
        <w:top w:val="none" w:sz="0" w:space="0" w:color="auto"/>
        <w:left w:val="none" w:sz="0" w:space="0" w:color="auto"/>
        <w:bottom w:val="none" w:sz="0" w:space="0" w:color="auto"/>
        <w:right w:val="none" w:sz="0" w:space="0" w:color="auto"/>
      </w:divBdr>
      <w:divsChild>
        <w:div w:id="1630428518">
          <w:marLeft w:val="0"/>
          <w:marRight w:val="0"/>
          <w:marTop w:val="0"/>
          <w:marBottom w:val="0"/>
          <w:divBdr>
            <w:top w:val="none" w:sz="0" w:space="0" w:color="auto"/>
            <w:left w:val="none" w:sz="0" w:space="0" w:color="auto"/>
            <w:bottom w:val="none" w:sz="0" w:space="0" w:color="auto"/>
            <w:right w:val="none" w:sz="0" w:space="0" w:color="auto"/>
          </w:divBdr>
          <w:divsChild>
            <w:div w:id="1630428523">
              <w:marLeft w:val="0"/>
              <w:marRight w:val="0"/>
              <w:marTop w:val="0"/>
              <w:marBottom w:val="0"/>
              <w:divBdr>
                <w:top w:val="none" w:sz="0" w:space="0" w:color="auto"/>
                <w:left w:val="none" w:sz="0" w:space="0" w:color="auto"/>
                <w:bottom w:val="none" w:sz="0" w:space="0" w:color="auto"/>
                <w:right w:val="none" w:sz="0" w:space="0" w:color="auto"/>
              </w:divBdr>
              <w:divsChild>
                <w:div w:id="1630428535">
                  <w:marLeft w:val="0"/>
                  <w:marRight w:val="0"/>
                  <w:marTop w:val="0"/>
                  <w:marBottom w:val="0"/>
                  <w:divBdr>
                    <w:top w:val="none" w:sz="0" w:space="0" w:color="auto"/>
                    <w:left w:val="none" w:sz="0" w:space="0" w:color="auto"/>
                    <w:bottom w:val="none" w:sz="0" w:space="0" w:color="auto"/>
                    <w:right w:val="none" w:sz="0" w:space="0" w:color="auto"/>
                  </w:divBdr>
                  <w:divsChild>
                    <w:div w:id="16304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8527">
              <w:marLeft w:val="0"/>
              <w:marRight w:val="0"/>
              <w:marTop w:val="0"/>
              <w:marBottom w:val="0"/>
              <w:divBdr>
                <w:top w:val="none" w:sz="0" w:space="0" w:color="auto"/>
                <w:left w:val="none" w:sz="0" w:space="0" w:color="auto"/>
                <w:bottom w:val="none" w:sz="0" w:space="0" w:color="auto"/>
                <w:right w:val="none" w:sz="0" w:space="0" w:color="auto"/>
              </w:divBdr>
              <w:divsChild>
                <w:div w:id="1630428528">
                  <w:marLeft w:val="0"/>
                  <w:marRight w:val="0"/>
                  <w:marTop w:val="0"/>
                  <w:marBottom w:val="0"/>
                  <w:divBdr>
                    <w:top w:val="none" w:sz="0" w:space="0" w:color="auto"/>
                    <w:left w:val="none" w:sz="0" w:space="0" w:color="auto"/>
                    <w:bottom w:val="none" w:sz="0" w:space="0" w:color="auto"/>
                    <w:right w:val="none" w:sz="0" w:space="0" w:color="auto"/>
                  </w:divBdr>
                </w:div>
              </w:divsChild>
            </w:div>
            <w:div w:id="1630428536">
              <w:marLeft w:val="0"/>
              <w:marRight w:val="0"/>
              <w:marTop w:val="0"/>
              <w:marBottom w:val="0"/>
              <w:divBdr>
                <w:top w:val="none" w:sz="0" w:space="0" w:color="auto"/>
                <w:left w:val="none" w:sz="0" w:space="0" w:color="auto"/>
                <w:bottom w:val="none" w:sz="0" w:space="0" w:color="auto"/>
                <w:right w:val="none" w:sz="0" w:space="0" w:color="auto"/>
              </w:divBdr>
              <w:divsChild>
                <w:div w:id="1630428521">
                  <w:marLeft w:val="0"/>
                  <w:marRight w:val="0"/>
                  <w:marTop w:val="0"/>
                  <w:marBottom w:val="0"/>
                  <w:divBdr>
                    <w:top w:val="none" w:sz="0" w:space="0" w:color="auto"/>
                    <w:left w:val="none" w:sz="0" w:space="0" w:color="auto"/>
                    <w:bottom w:val="none" w:sz="0" w:space="0" w:color="auto"/>
                    <w:right w:val="none" w:sz="0" w:space="0" w:color="auto"/>
                  </w:divBdr>
                  <w:divsChild>
                    <w:div w:id="1630428515">
                      <w:marLeft w:val="0"/>
                      <w:marRight w:val="0"/>
                      <w:marTop w:val="0"/>
                      <w:marBottom w:val="0"/>
                      <w:divBdr>
                        <w:top w:val="none" w:sz="0" w:space="0" w:color="auto"/>
                        <w:left w:val="none" w:sz="0" w:space="0" w:color="auto"/>
                        <w:bottom w:val="none" w:sz="0" w:space="0" w:color="auto"/>
                        <w:right w:val="none" w:sz="0" w:space="0" w:color="auto"/>
                      </w:divBdr>
                    </w:div>
                    <w:div w:id="1630428520">
                      <w:marLeft w:val="0"/>
                      <w:marRight w:val="0"/>
                      <w:marTop w:val="0"/>
                      <w:marBottom w:val="0"/>
                      <w:divBdr>
                        <w:top w:val="none" w:sz="0" w:space="0" w:color="auto"/>
                        <w:left w:val="none" w:sz="0" w:space="0" w:color="auto"/>
                        <w:bottom w:val="none" w:sz="0" w:space="0" w:color="auto"/>
                        <w:right w:val="none" w:sz="0" w:space="0" w:color="auto"/>
                      </w:divBdr>
                    </w:div>
                    <w:div w:id="1630428525">
                      <w:marLeft w:val="0"/>
                      <w:marRight w:val="0"/>
                      <w:marTop w:val="0"/>
                      <w:marBottom w:val="0"/>
                      <w:divBdr>
                        <w:top w:val="none" w:sz="0" w:space="0" w:color="auto"/>
                        <w:left w:val="none" w:sz="0" w:space="0" w:color="auto"/>
                        <w:bottom w:val="none" w:sz="0" w:space="0" w:color="auto"/>
                        <w:right w:val="none" w:sz="0" w:space="0" w:color="auto"/>
                      </w:divBdr>
                    </w:div>
                    <w:div w:id="1630428530">
                      <w:marLeft w:val="0"/>
                      <w:marRight w:val="0"/>
                      <w:marTop w:val="0"/>
                      <w:marBottom w:val="0"/>
                      <w:divBdr>
                        <w:top w:val="none" w:sz="0" w:space="0" w:color="auto"/>
                        <w:left w:val="none" w:sz="0" w:space="0" w:color="auto"/>
                        <w:bottom w:val="none" w:sz="0" w:space="0" w:color="auto"/>
                        <w:right w:val="none" w:sz="0" w:space="0" w:color="auto"/>
                      </w:divBdr>
                    </w:div>
                    <w:div w:id="1630428537">
                      <w:marLeft w:val="0"/>
                      <w:marRight w:val="0"/>
                      <w:marTop w:val="0"/>
                      <w:marBottom w:val="0"/>
                      <w:divBdr>
                        <w:top w:val="none" w:sz="0" w:space="0" w:color="auto"/>
                        <w:left w:val="none" w:sz="0" w:space="0" w:color="auto"/>
                        <w:bottom w:val="none" w:sz="0" w:space="0" w:color="auto"/>
                        <w:right w:val="none" w:sz="0" w:space="0" w:color="auto"/>
                      </w:divBdr>
                    </w:div>
                  </w:divsChild>
                </w:div>
                <w:div w:id="16304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28531">
      <w:marLeft w:val="0"/>
      <w:marRight w:val="0"/>
      <w:marTop w:val="0"/>
      <w:marBottom w:val="0"/>
      <w:divBdr>
        <w:top w:val="none" w:sz="0" w:space="0" w:color="auto"/>
        <w:left w:val="none" w:sz="0" w:space="0" w:color="auto"/>
        <w:bottom w:val="none" w:sz="0" w:space="0" w:color="auto"/>
        <w:right w:val="none" w:sz="0" w:space="0" w:color="auto"/>
      </w:divBdr>
      <w:divsChild>
        <w:div w:id="1630428516">
          <w:marLeft w:val="0"/>
          <w:marRight w:val="0"/>
          <w:marTop w:val="0"/>
          <w:marBottom w:val="0"/>
          <w:divBdr>
            <w:top w:val="none" w:sz="0" w:space="0" w:color="auto"/>
            <w:left w:val="none" w:sz="0" w:space="0" w:color="auto"/>
            <w:bottom w:val="none" w:sz="0" w:space="0" w:color="auto"/>
            <w:right w:val="none" w:sz="0" w:space="0" w:color="auto"/>
          </w:divBdr>
        </w:div>
        <w:div w:id="1630428517">
          <w:marLeft w:val="0"/>
          <w:marRight w:val="0"/>
          <w:marTop w:val="0"/>
          <w:marBottom w:val="0"/>
          <w:divBdr>
            <w:top w:val="none" w:sz="0" w:space="0" w:color="auto"/>
            <w:left w:val="none" w:sz="0" w:space="0" w:color="auto"/>
            <w:bottom w:val="none" w:sz="0" w:space="0" w:color="auto"/>
            <w:right w:val="none" w:sz="0" w:space="0" w:color="auto"/>
          </w:divBdr>
        </w:div>
        <w:div w:id="1630428539">
          <w:marLeft w:val="0"/>
          <w:marRight w:val="0"/>
          <w:marTop w:val="0"/>
          <w:marBottom w:val="0"/>
          <w:divBdr>
            <w:top w:val="none" w:sz="0" w:space="0" w:color="auto"/>
            <w:left w:val="none" w:sz="0" w:space="0" w:color="auto"/>
            <w:bottom w:val="none" w:sz="0" w:space="0" w:color="auto"/>
            <w:right w:val="none" w:sz="0" w:space="0" w:color="auto"/>
          </w:divBdr>
        </w:div>
      </w:divsChild>
    </w:div>
    <w:div w:id="1630428540">
      <w:marLeft w:val="0"/>
      <w:marRight w:val="0"/>
      <w:marTop w:val="0"/>
      <w:marBottom w:val="0"/>
      <w:divBdr>
        <w:top w:val="none" w:sz="0" w:space="0" w:color="auto"/>
        <w:left w:val="none" w:sz="0" w:space="0" w:color="auto"/>
        <w:bottom w:val="none" w:sz="0" w:space="0" w:color="auto"/>
        <w:right w:val="none" w:sz="0" w:space="0" w:color="auto"/>
      </w:divBdr>
    </w:div>
    <w:div w:id="1630428541">
      <w:marLeft w:val="0"/>
      <w:marRight w:val="0"/>
      <w:marTop w:val="0"/>
      <w:marBottom w:val="0"/>
      <w:divBdr>
        <w:top w:val="none" w:sz="0" w:space="0" w:color="auto"/>
        <w:left w:val="none" w:sz="0" w:space="0" w:color="auto"/>
        <w:bottom w:val="none" w:sz="0" w:space="0" w:color="auto"/>
        <w:right w:val="none" w:sz="0" w:space="0" w:color="auto"/>
      </w:divBdr>
    </w:div>
    <w:div w:id="1630428542">
      <w:marLeft w:val="0"/>
      <w:marRight w:val="0"/>
      <w:marTop w:val="0"/>
      <w:marBottom w:val="0"/>
      <w:divBdr>
        <w:top w:val="none" w:sz="0" w:space="0" w:color="auto"/>
        <w:left w:val="none" w:sz="0" w:space="0" w:color="auto"/>
        <w:bottom w:val="none" w:sz="0" w:space="0" w:color="auto"/>
        <w:right w:val="none" w:sz="0" w:space="0" w:color="auto"/>
      </w:divBdr>
    </w:div>
    <w:div w:id="1901624554">
      <w:bodyDiv w:val="1"/>
      <w:marLeft w:val="0"/>
      <w:marRight w:val="0"/>
      <w:marTop w:val="0"/>
      <w:marBottom w:val="0"/>
      <w:divBdr>
        <w:top w:val="none" w:sz="0" w:space="0" w:color="auto"/>
        <w:left w:val="none" w:sz="0" w:space="0" w:color="auto"/>
        <w:bottom w:val="none" w:sz="0" w:space="0" w:color="auto"/>
        <w:right w:val="none" w:sz="0" w:space="0" w:color="auto"/>
      </w:divBdr>
    </w:div>
    <w:div w:id="20687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BCD7-88D8-4D6D-9A1A-56C20AA51626}">
  <ds:schemaRefs>
    <ds:schemaRef ds:uri="http://schemas.microsoft.com/sharepoint/v3/contenttype/forms"/>
  </ds:schemaRefs>
</ds:datastoreItem>
</file>

<file path=customXml/itemProps2.xml><?xml version="1.0" encoding="utf-8"?>
<ds:datastoreItem xmlns:ds="http://schemas.openxmlformats.org/officeDocument/2006/customXml" ds:itemID="{011EE944-A068-45B9-9B46-15534B5E6CF3}">
  <ds:schemaRefs>
    <ds:schemaRef ds:uri="http://schemas.microsoft.com/office/2006/metadata/properties"/>
  </ds:schemaRefs>
</ds:datastoreItem>
</file>

<file path=customXml/itemProps3.xml><?xml version="1.0" encoding="utf-8"?>
<ds:datastoreItem xmlns:ds="http://schemas.openxmlformats.org/officeDocument/2006/customXml" ds:itemID="{7F62582B-85ED-47B7-AF15-08F6FE410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DA8B2E-1AB3-41D0-8D05-5C55F656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4574</Words>
  <Characters>26078</Characters>
  <Application>Microsoft Office Word</Application>
  <DocSecurity>0</DocSecurity>
  <Lines>217</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Vplyvy na rozpočet verejnej správy,</vt:lpstr>
      <vt:lpstr>Vplyvy na rozpočet verejnej správy,</vt:lpstr>
    </vt:vector>
  </TitlesOfParts>
  <Company>UVSR</Company>
  <LinksUpToDate>false</LinksUpToDate>
  <CharactersWithSpaces>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Vplyvy na rozpočet verejnej správy,</dc:title>
  <dc:creator>frantisek.priesol@minedu.sk</dc:creator>
  <cp:lastModifiedBy>Galan Marian</cp:lastModifiedBy>
  <cp:revision>3</cp:revision>
  <cp:lastPrinted>2014-10-20T08:53:00Z</cp:lastPrinted>
  <dcterms:created xsi:type="dcterms:W3CDTF">2014-12-19T15:41:00Z</dcterms:created>
  <dcterms:modified xsi:type="dcterms:W3CDTF">2014-12-19T15:44:00Z</dcterms:modified>
</cp:coreProperties>
</file>