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32" w:rsidRPr="00C24A6D" w:rsidRDefault="00C24A6D" w:rsidP="00C24A6D">
      <w:pPr>
        <w:spacing w:line="260" w:lineRule="atLeast"/>
        <w:jc w:val="both"/>
        <w:rPr>
          <w:rFonts w:cs="Arial"/>
          <w:b/>
          <w:sz w:val="28"/>
          <w:szCs w:val="28"/>
          <w:lang w:val="sk-SK"/>
        </w:rPr>
      </w:pPr>
      <w:bookmarkStart w:id="0" w:name="_GoBack"/>
      <w:bookmarkEnd w:id="0"/>
      <w:r w:rsidRPr="00C24A6D">
        <w:rPr>
          <w:rFonts w:cs="Arial"/>
          <w:b/>
          <w:sz w:val="28"/>
          <w:szCs w:val="28"/>
          <w:lang w:val="sk-SK"/>
        </w:rPr>
        <w:t xml:space="preserve">Príloha 1: INTERACT III 2014 – 2020  - </w:t>
      </w:r>
      <w:proofErr w:type="spellStart"/>
      <w:r w:rsidRPr="00C24A6D">
        <w:rPr>
          <w:rFonts w:cs="Arial"/>
          <w:b/>
          <w:sz w:val="28"/>
          <w:szCs w:val="28"/>
          <w:lang w:val="sk-SK"/>
        </w:rPr>
        <w:t>ex-ante</w:t>
      </w:r>
      <w:proofErr w:type="spellEnd"/>
      <w:r w:rsidRPr="00C24A6D">
        <w:rPr>
          <w:rFonts w:cs="Arial"/>
          <w:b/>
          <w:sz w:val="28"/>
          <w:szCs w:val="28"/>
          <w:lang w:val="sk-SK"/>
        </w:rPr>
        <w:t xml:space="preserve"> hodnotenie</w:t>
      </w:r>
    </w:p>
    <w:p w:rsidR="00936332" w:rsidRPr="001B100A" w:rsidRDefault="00936332" w:rsidP="00191995">
      <w:pPr>
        <w:spacing w:line="260" w:lineRule="atLeast"/>
        <w:jc w:val="center"/>
        <w:rPr>
          <w:rFonts w:cs="Arial"/>
          <w:b/>
          <w:sz w:val="44"/>
          <w:szCs w:val="44"/>
          <w:lang w:val="sk-SK"/>
        </w:rPr>
      </w:pPr>
    </w:p>
    <w:p w:rsidR="00831583" w:rsidRPr="001B100A" w:rsidRDefault="00831583" w:rsidP="00831583">
      <w:pPr>
        <w:spacing w:line="260" w:lineRule="atLeast"/>
        <w:jc w:val="center"/>
        <w:rPr>
          <w:szCs w:val="24"/>
          <w:lang w:val="sk-SK"/>
        </w:rPr>
      </w:pPr>
      <w:proofErr w:type="spellStart"/>
      <w:r w:rsidRPr="001B100A">
        <w:rPr>
          <w:b/>
          <w:sz w:val="44"/>
          <w:szCs w:val="24"/>
          <w:lang w:val="sk-SK"/>
        </w:rPr>
        <w:t>Ex-ante</w:t>
      </w:r>
      <w:proofErr w:type="spellEnd"/>
      <w:r w:rsidRPr="001B100A">
        <w:rPr>
          <w:b/>
          <w:sz w:val="44"/>
          <w:szCs w:val="24"/>
          <w:lang w:val="sk-SK"/>
        </w:rPr>
        <w:t xml:space="preserve"> hodnotenie</w:t>
      </w:r>
      <w:r w:rsidRPr="001B100A">
        <w:rPr>
          <w:b/>
          <w:sz w:val="44"/>
          <w:szCs w:val="24"/>
          <w:lang w:val="sk-SK"/>
        </w:rPr>
        <w:br/>
      </w:r>
    </w:p>
    <w:p w:rsidR="00831583" w:rsidRPr="001B100A" w:rsidRDefault="00831583" w:rsidP="00831583">
      <w:pPr>
        <w:spacing w:line="260" w:lineRule="atLeast"/>
        <w:jc w:val="center"/>
        <w:rPr>
          <w:b/>
          <w:sz w:val="28"/>
          <w:szCs w:val="24"/>
          <w:lang w:val="sk-SK"/>
        </w:rPr>
      </w:pPr>
      <w:r w:rsidRPr="001B100A">
        <w:rPr>
          <w:b/>
          <w:sz w:val="28"/>
          <w:szCs w:val="24"/>
          <w:lang w:val="sk-SK"/>
        </w:rPr>
        <w:t xml:space="preserve">. </w:t>
      </w:r>
    </w:p>
    <w:p w:rsidR="00831583" w:rsidRPr="001B100A" w:rsidRDefault="00457E5E" w:rsidP="00831583">
      <w:pPr>
        <w:spacing w:line="260" w:lineRule="atLeast"/>
        <w:ind w:left="-284"/>
        <w:jc w:val="center"/>
        <w:rPr>
          <w:b/>
          <w:sz w:val="44"/>
          <w:szCs w:val="24"/>
          <w:lang w:val="sk-SK"/>
        </w:rPr>
      </w:pPr>
      <w:r>
        <w:rPr>
          <w:b/>
          <w:sz w:val="44"/>
          <w:szCs w:val="24"/>
          <w:lang w:val="sk-SK"/>
        </w:rPr>
        <w:t>P</w:t>
      </w:r>
      <w:r w:rsidR="00831583" w:rsidRPr="001B100A">
        <w:rPr>
          <w:b/>
          <w:sz w:val="44"/>
          <w:szCs w:val="24"/>
          <w:lang w:val="sk-SK"/>
        </w:rPr>
        <w:t>rogramu</w:t>
      </w:r>
      <w:r>
        <w:rPr>
          <w:b/>
          <w:sz w:val="44"/>
          <w:szCs w:val="24"/>
          <w:lang w:val="sk-SK"/>
        </w:rPr>
        <w:t xml:space="preserve"> spolupráce</w:t>
      </w:r>
    </w:p>
    <w:p w:rsidR="00831583" w:rsidRPr="001B100A" w:rsidRDefault="00831583" w:rsidP="00831583">
      <w:pPr>
        <w:spacing w:line="260" w:lineRule="atLeast"/>
        <w:ind w:left="-284"/>
        <w:jc w:val="center"/>
        <w:rPr>
          <w:b/>
          <w:sz w:val="44"/>
          <w:szCs w:val="24"/>
          <w:lang w:val="sk-SK"/>
        </w:rPr>
      </w:pPr>
      <w:r w:rsidRPr="001B100A">
        <w:rPr>
          <w:b/>
          <w:sz w:val="44"/>
          <w:szCs w:val="24"/>
          <w:lang w:val="sk-SK"/>
        </w:rPr>
        <w:t>INTERACT III 2014-2020</w:t>
      </w:r>
    </w:p>
    <w:p w:rsidR="00191995" w:rsidRPr="001B100A" w:rsidRDefault="00191995" w:rsidP="00191995">
      <w:pPr>
        <w:spacing w:line="260" w:lineRule="atLeast"/>
        <w:jc w:val="center"/>
        <w:rPr>
          <w:rFonts w:cs="Arial"/>
          <w:szCs w:val="22"/>
          <w:lang w:val="sk-SK"/>
        </w:rPr>
      </w:pPr>
    </w:p>
    <w:p w:rsidR="00191995" w:rsidRPr="001B100A" w:rsidRDefault="00191995" w:rsidP="00191995">
      <w:pPr>
        <w:spacing w:line="260" w:lineRule="atLeast"/>
        <w:jc w:val="center"/>
        <w:rPr>
          <w:rFonts w:cs="Arial"/>
          <w:szCs w:val="22"/>
          <w:lang w:val="sk-SK"/>
        </w:rPr>
      </w:pPr>
    </w:p>
    <w:p w:rsidR="00191995" w:rsidRPr="001B100A" w:rsidRDefault="00191995" w:rsidP="00191995">
      <w:pPr>
        <w:spacing w:line="260" w:lineRule="atLeast"/>
        <w:jc w:val="center"/>
        <w:rPr>
          <w:rFonts w:cs="Arial"/>
          <w:szCs w:val="22"/>
          <w:lang w:val="sk-SK"/>
        </w:rPr>
      </w:pPr>
    </w:p>
    <w:p w:rsidR="00831583" w:rsidRPr="001B100A" w:rsidRDefault="00831583" w:rsidP="00831583">
      <w:pPr>
        <w:spacing w:line="260" w:lineRule="atLeast"/>
        <w:jc w:val="center"/>
        <w:rPr>
          <w:b/>
          <w:sz w:val="48"/>
          <w:szCs w:val="24"/>
          <w:lang w:val="sk-SK"/>
        </w:rPr>
      </w:pPr>
      <w:proofErr w:type="spellStart"/>
      <w:r w:rsidRPr="001B100A">
        <w:rPr>
          <w:b/>
          <w:sz w:val="48"/>
          <w:szCs w:val="24"/>
          <w:lang w:val="sk-SK"/>
        </w:rPr>
        <w:t>Ex-ante</w:t>
      </w:r>
      <w:proofErr w:type="spellEnd"/>
      <w:r w:rsidRPr="001B100A">
        <w:rPr>
          <w:b/>
          <w:sz w:val="48"/>
          <w:szCs w:val="24"/>
          <w:lang w:val="sk-SK"/>
        </w:rPr>
        <w:t xml:space="preserve"> hodnotiaca správa</w:t>
      </w:r>
    </w:p>
    <w:p w:rsidR="00831583" w:rsidRPr="001B100A" w:rsidRDefault="00831583" w:rsidP="00831583">
      <w:pPr>
        <w:spacing w:line="260" w:lineRule="atLeast"/>
        <w:jc w:val="center"/>
        <w:rPr>
          <w:b/>
          <w:sz w:val="40"/>
          <w:szCs w:val="24"/>
          <w:lang w:val="sk-SK"/>
        </w:rPr>
      </w:pPr>
      <w:r w:rsidRPr="001B100A">
        <w:rPr>
          <w:b/>
          <w:sz w:val="40"/>
          <w:szCs w:val="24"/>
          <w:lang w:val="sk-SK"/>
        </w:rPr>
        <w:t>(k návrhu P</w:t>
      </w:r>
      <w:r w:rsidR="000263D3">
        <w:rPr>
          <w:b/>
          <w:sz w:val="40"/>
          <w:szCs w:val="24"/>
          <w:lang w:val="sk-SK"/>
        </w:rPr>
        <w:t>S</w:t>
      </w:r>
      <w:r w:rsidRPr="001B100A">
        <w:rPr>
          <w:b/>
          <w:sz w:val="40"/>
          <w:szCs w:val="24"/>
          <w:lang w:val="sk-SK"/>
        </w:rPr>
        <w:t xml:space="preserve"> verzi</w:t>
      </w:r>
      <w:r w:rsidR="004040CE">
        <w:rPr>
          <w:b/>
          <w:sz w:val="40"/>
          <w:szCs w:val="24"/>
          <w:lang w:val="sk-SK"/>
        </w:rPr>
        <w:t>e</w:t>
      </w:r>
      <w:r w:rsidRPr="001B100A">
        <w:rPr>
          <w:b/>
          <w:sz w:val="40"/>
          <w:szCs w:val="24"/>
          <w:lang w:val="sk-SK"/>
        </w:rPr>
        <w:t xml:space="preserve"> 2.3 z apríla 2014)</w:t>
      </w:r>
    </w:p>
    <w:p w:rsidR="00191995" w:rsidRPr="001B100A" w:rsidRDefault="00191995" w:rsidP="00191995">
      <w:pPr>
        <w:spacing w:line="260" w:lineRule="atLeast"/>
        <w:ind w:left="720"/>
        <w:jc w:val="center"/>
        <w:rPr>
          <w:rFonts w:cs="Arial"/>
          <w:b/>
          <w:sz w:val="28"/>
          <w:szCs w:val="22"/>
          <w:lang w:val="sk-SK"/>
        </w:rPr>
      </w:pPr>
    </w:p>
    <w:p w:rsidR="00191995" w:rsidRPr="001B100A" w:rsidRDefault="00191995" w:rsidP="00191995">
      <w:pPr>
        <w:spacing w:line="260" w:lineRule="atLeast"/>
        <w:jc w:val="center"/>
        <w:rPr>
          <w:rFonts w:cs="Arial"/>
          <w:szCs w:val="22"/>
          <w:lang w:val="sk-SK"/>
        </w:rPr>
      </w:pPr>
    </w:p>
    <w:p w:rsidR="00191995" w:rsidRPr="001B100A" w:rsidRDefault="00191995" w:rsidP="00191995">
      <w:pPr>
        <w:spacing w:line="260" w:lineRule="atLeast"/>
        <w:jc w:val="center"/>
        <w:rPr>
          <w:rFonts w:cs="Arial"/>
          <w:szCs w:val="22"/>
          <w:lang w:val="sk-SK"/>
        </w:rPr>
      </w:pPr>
    </w:p>
    <w:p w:rsidR="00191995" w:rsidRPr="001B100A" w:rsidRDefault="00191995" w:rsidP="00191995">
      <w:pPr>
        <w:spacing w:line="260" w:lineRule="atLeast"/>
        <w:jc w:val="center"/>
        <w:rPr>
          <w:rFonts w:cs="Arial"/>
          <w:szCs w:val="22"/>
          <w:lang w:val="sk-SK"/>
        </w:rPr>
      </w:pPr>
    </w:p>
    <w:p w:rsidR="00191995" w:rsidRPr="001B100A" w:rsidRDefault="00191995" w:rsidP="00191995">
      <w:pPr>
        <w:spacing w:line="260" w:lineRule="atLeast"/>
        <w:jc w:val="center"/>
        <w:rPr>
          <w:rFonts w:cs="Arial"/>
          <w:b/>
          <w:sz w:val="28"/>
          <w:szCs w:val="28"/>
          <w:lang w:val="sk-SK"/>
        </w:rPr>
      </w:pPr>
      <w:r w:rsidRPr="001B100A">
        <w:rPr>
          <w:rFonts w:cs="Arial"/>
          <w:b/>
          <w:sz w:val="28"/>
          <w:szCs w:val="28"/>
          <w:lang w:val="sk-SK"/>
        </w:rPr>
        <w:t>30.</w:t>
      </w:r>
      <w:r w:rsidR="004040CE">
        <w:rPr>
          <w:rFonts w:cs="Arial"/>
          <w:b/>
          <w:sz w:val="28"/>
          <w:szCs w:val="28"/>
          <w:lang w:val="sk-SK"/>
        </w:rPr>
        <w:t> </w:t>
      </w:r>
      <w:r w:rsidRPr="001B100A">
        <w:rPr>
          <w:rFonts w:cs="Arial"/>
          <w:b/>
          <w:sz w:val="28"/>
          <w:szCs w:val="28"/>
          <w:lang w:val="sk-SK"/>
        </w:rPr>
        <w:t>06.</w:t>
      </w:r>
      <w:r w:rsidR="004040CE">
        <w:rPr>
          <w:rFonts w:cs="Arial"/>
          <w:b/>
          <w:sz w:val="28"/>
          <w:szCs w:val="28"/>
          <w:lang w:val="sk-SK"/>
        </w:rPr>
        <w:t> </w:t>
      </w:r>
      <w:r w:rsidRPr="001B100A">
        <w:rPr>
          <w:rFonts w:cs="Arial"/>
          <w:b/>
          <w:sz w:val="28"/>
          <w:szCs w:val="28"/>
          <w:lang w:val="sk-SK"/>
        </w:rPr>
        <w:t>2014</w:t>
      </w:r>
    </w:p>
    <w:p w:rsidR="00191995" w:rsidRPr="001B100A" w:rsidRDefault="00191995" w:rsidP="00191995">
      <w:pPr>
        <w:spacing w:line="260" w:lineRule="atLeast"/>
        <w:jc w:val="center"/>
        <w:rPr>
          <w:rFonts w:cs="Arial"/>
          <w:sz w:val="28"/>
          <w:szCs w:val="28"/>
          <w:lang w:val="sk-SK"/>
        </w:rPr>
      </w:pPr>
    </w:p>
    <w:p w:rsidR="00191995" w:rsidRPr="001B100A" w:rsidRDefault="00191995" w:rsidP="00191995">
      <w:pPr>
        <w:spacing w:line="260" w:lineRule="atLeast"/>
        <w:jc w:val="center"/>
        <w:rPr>
          <w:rFonts w:cs="Arial"/>
          <w:sz w:val="28"/>
          <w:szCs w:val="28"/>
          <w:lang w:val="sk-SK"/>
        </w:rPr>
      </w:pPr>
    </w:p>
    <w:p w:rsidR="00831583" w:rsidRPr="001B100A" w:rsidRDefault="00831583" w:rsidP="00831583">
      <w:pPr>
        <w:spacing w:line="260" w:lineRule="atLeast"/>
        <w:jc w:val="center"/>
        <w:rPr>
          <w:b/>
          <w:sz w:val="28"/>
          <w:szCs w:val="24"/>
          <w:lang w:val="sk-SK"/>
        </w:rPr>
      </w:pPr>
      <w:r w:rsidRPr="001B100A">
        <w:rPr>
          <w:b/>
          <w:sz w:val="28"/>
          <w:szCs w:val="24"/>
          <w:lang w:val="sk-SK"/>
        </w:rPr>
        <w:t>STRUČNÉ ZHRNUTIE</w:t>
      </w:r>
    </w:p>
    <w:p w:rsidR="00191995" w:rsidRPr="001B100A" w:rsidRDefault="00191995" w:rsidP="00191995">
      <w:pPr>
        <w:pStyle w:val="Nadpis5"/>
        <w:numPr>
          <w:ilvl w:val="0"/>
          <w:numId w:val="0"/>
        </w:numPr>
        <w:spacing w:line="260" w:lineRule="atLeast"/>
        <w:rPr>
          <w:lang w:val="sk-SK"/>
        </w:rPr>
      </w:pP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64076B" w:rsidRPr="001B100A" w:rsidRDefault="0064076B" w:rsidP="00191995">
      <w:pPr>
        <w:rPr>
          <w:rStyle w:val="Siln"/>
          <w:bCs/>
          <w:lang w:val="sk-SK"/>
        </w:rPr>
      </w:pPr>
    </w:p>
    <w:p w:rsidR="0064076B" w:rsidRPr="001B100A" w:rsidRDefault="0064076B" w:rsidP="00191995">
      <w:pPr>
        <w:rPr>
          <w:rStyle w:val="Siln"/>
          <w:bCs/>
          <w:lang w:val="sk-SK"/>
        </w:rPr>
      </w:pPr>
    </w:p>
    <w:p w:rsidR="0064076B" w:rsidRPr="001B100A" w:rsidRDefault="0064076B" w:rsidP="00191995">
      <w:pPr>
        <w:rPr>
          <w:rStyle w:val="Siln"/>
          <w:bCs/>
          <w:lang w:val="sk-SK"/>
        </w:rPr>
      </w:pPr>
    </w:p>
    <w:p w:rsidR="0064076B" w:rsidRPr="001B100A" w:rsidRDefault="0064076B" w:rsidP="00191995">
      <w:pPr>
        <w:rPr>
          <w:rStyle w:val="Siln"/>
          <w:bCs/>
          <w:lang w:val="sk-SK"/>
        </w:rPr>
      </w:pPr>
    </w:p>
    <w:p w:rsidR="0064076B" w:rsidRPr="001B100A" w:rsidRDefault="0064076B" w:rsidP="00191995">
      <w:pPr>
        <w:rPr>
          <w:rStyle w:val="Siln"/>
          <w:bCs/>
          <w:lang w:val="sk-SK"/>
        </w:rPr>
      </w:pPr>
    </w:p>
    <w:p w:rsidR="0064076B" w:rsidRPr="001B100A" w:rsidRDefault="0064076B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pStyle w:val="Nadpis5"/>
        <w:numPr>
          <w:ilvl w:val="0"/>
          <w:numId w:val="0"/>
        </w:numPr>
        <w:spacing w:line="260" w:lineRule="atLeast"/>
        <w:rPr>
          <w:lang w:val="sk-SK"/>
        </w:rPr>
      </w:pPr>
    </w:p>
    <w:p w:rsidR="00191995" w:rsidRPr="001B100A" w:rsidRDefault="00191995" w:rsidP="00191995">
      <w:pPr>
        <w:rPr>
          <w:lang w:val="sk-SK"/>
        </w:rPr>
        <w:sectPr w:rsidR="00191995" w:rsidRPr="001B100A" w:rsidSect="006838D7">
          <w:headerReference w:type="default" r:id="rId9"/>
          <w:footerReference w:type="default" r:id="rId10"/>
          <w:footerReference w:type="first" r:id="rId11"/>
          <w:pgSz w:w="11906" w:h="16838" w:code="9"/>
          <w:pgMar w:top="1134" w:right="992" w:bottom="284" w:left="1701" w:header="709" w:footer="709" w:gutter="0"/>
          <w:cols w:space="708"/>
          <w:titlePg/>
          <w:docGrid w:linePitch="360"/>
        </w:sectPr>
      </w:pPr>
      <w:r w:rsidRPr="001B100A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9BA5285" wp14:editId="5BFC95FA">
            <wp:simplePos x="0" y="0"/>
            <wp:positionH relativeFrom="column">
              <wp:posOffset>-20955</wp:posOffset>
            </wp:positionH>
            <wp:positionV relativeFrom="paragraph">
              <wp:posOffset>217170</wp:posOffset>
            </wp:positionV>
            <wp:extent cx="582295" cy="281305"/>
            <wp:effectExtent l="0" t="0" r="8255" b="4445"/>
            <wp:wrapNone/>
            <wp:docPr id="2" name="Picture 2" descr="oear_logo_rgb_rot_klein_freigestellt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1" descr="oear_logo_rgb_rot_klein_freigestellt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lang w:val="sk-SK"/>
        </w:rPr>
        <w:tab/>
      </w:r>
      <w:r w:rsidRPr="001B100A">
        <w:rPr>
          <w:noProof/>
          <w:lang w:val="sk-SK" w:eastAsia="sk-SK"/>
        </w:rPr>
        <w:drawing>
          <wp:inline distT="0" distB="0" distL="0" distR="0" wp14:anchorId="0412739D" wp14:editId="52E9EEB4">
            <wp:extent cx="7905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831583" w:rsidRPr="001B100A" w:rsidRDefault="00831583" w:rsidP="00831583">
      <w:pPr>
        <w:jc w:val="center"/>
        <w:rPr>
          <w:rStyle w:val="Siln"/>
          <w:szCs w:val="24"/>
          <w:lang w:val="sk-SK"/>
        </w:rPr>
      </w:pPr>
      <w:r w:rsidRPr="001B100A">
        <w:rPr>
          <w:b/>
          <w:szCs w:val="24"/>
          <w:lang w:val="sk-SK"/>
        </w:rPr>
        <w:t>Obsah</w:t>
      </w:r>
    </w:p>
    <w:p w:rsidR="0078489F" w:rsidRPr="001B100A" w:rsidRDefault="0078489F" w:rsidP="0078489F">
      <w:pPr>
        <w:jc w:val="center"/>
        <w:rPr>
          <w:rStyle w:val="Siln"/>
          <w:bCs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6952"/>
        <w:gridCol w:w="952"/>
      </w:tblGrid>
      <w:tr w:rsidR="0078489F" w:rsidRPr="001B100A" w:rsidTr="0078489F">
        <w:tc>
          <w:tcPr>
            <w:tcW w:w="1384" w:type="dxa"/>
          </w:tcPr>
          <w:p w:rsidR="0078489F" w:rsidRPr="001B100A" w:rsidRDefault="0078489F" w:rsidP="00191995">
            <w:pPr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1.1</w:t>
            </w:r>
          </w:p>
        </w:tc>
        <w:tc>
          <w:tcPr>
            <w:tcW w:w="6952" w:type="dxa"/>
          </w:tcPr>
          <w:p w:rsidR="0078489F" w:rsidRPr="001B100A" w:rsidRDefault="00831583" w:rsidP="00831583">
            <w:pPr>
              <w:rPr>
                <w:rStyle w:val="Siln"/>
                <w:b w:val="0"/>
                <w:szCs w:val="24"/>
                <w:lang w:val="sk-SK"/>
              </w:rPr>
            </w:pPr>
            <w:r w:rsidRPr="001B100A">
              <w:rPr>
                <w:b/>
                <w:szCs w:val="24"/>
                <w:lang w:val="sk-SK"/>
              </w:rPr>
              <w:t>Úvod</w:t>
            </w:r>
          </w:p>
        </w:tc>
        <w:tc>
          <w:tcPr>
            <w:tcW w:w="952" w:type="dxa"/>
          </w:tcPr>
          <w:p w:rsidR="0078489F" w:rsidRPr="001B100A" w:rsidRDefault="0078489F" w:rsidP="00AC64FF">
            <w:pPr>
              <w:jc w:val="center"/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3</w:t>
            </w:r>
          </w:p>
        </w:tc>
      </w:tr>
      <w:tr w:rsidR="0078489F" w:rsidRPr="001B100A" w:rsidTr="0078489F">
        <w:tc>
          <w:tcPr>
            <w:tcW w:w="1384" w:type="dxa"/>
          </w:tcPr>
          <w:p w:rsidR="0078489F" w:rsidRPr="001B100A" w:rsidRDefault="0078489F" w:rsidP="00191995">
            <w:pPr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1.2</w:t>
            </w:r>
          </w:p>
        </w:tc>
        <w:tc>
          <w:tcPr>
            <w:tcW w:w="6952" w:type="dxa"/>
          </w:tcPr>
          <w:p w:rsidR="0078489F" w:rsidRPr="001B100A" w:rsidRDefault="00831583" w:rsidP="00831583">
            <w:pPr>
              <w:rPr>
                <w:rStyle w:val="Siln"/>
                <w:b w:val="0"/>
                <w:szCs w:val="24"/>
                <w:lang w:val="sk-SK"/>
              </w:rPr>
            </w:pPr>
            <w:r w:rsidRPr="001B100A">
              <w:rPr>
                <w:b/>
                <w:szCs w:val="24"/>
                <w:lang w:val="sk-SK"/>
              </w:rPr>
              <w:t xml:space="preserve">Časový harmonogram </w:t>
            </w:r>
            <w:proofErr w:type="spellStart"/>
            <w:r w:rsidRPr="001B100A">
              <w:rPr>
                <w:b/>
                <w:szCs w:val="24"/>
                <w:lang w:val="sk-SK"/>
              </w:rPr>
              <w:t>ex-ante</w:t>
            </w:r>
            <w:proofErr w:type="spellEnd"/>
            <w:r w:rsidRPr="001B100A">
              <w:rPr>
                <w:b/>
                <w:szCs w:val="24"/>
                <w:lang w:val="sk-SK"/>
              </w:rPr>
              <w:t xml:space="preserve"> hodnotenia</w:t>
            </w:r>
          </w:p>
        </w:tc>
        <w:tc>
          <w:tcPr>
            <w:tcW w:w="952" w:type="dxa"/>
          </w:tcPr>
          <w:p w:rsidR="0078489F" w:rsidRPr="001B100A" w:rsidRDefault="0078489F" w:rsidP="00AC64FF">
            <w:pPr>
              <w:jc w:val="center"/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3</w:t>
            </w:r>
          </w:p>
        </w:tc>
      </w:tr>
      <w:tr w:rsidR="0078489F" w:rsidRPr="001B100A" w:rsidTr="0078489F">
        <w:tc>
          <w:tcPr>
            <w:tcW w:w="1384" w:type="dxa"/>
          </w:tcPr>
          <w:p w:rsidR="0078489F" w:rsidRPr="001B100A" w:rsidRDefault="0078489F" w:rsidP="00191995">
            <w:pPr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1.3</w:t>
            </w:r>
          </w:p>
        </w:tc>
        <w:tc>
          <w:tcPr>
            <w:tcW w:w="6952" w:type="dxa"/>
          </w:tcPr>
          <w:p w:rsidR="0078489F" w:rsidRPr="001B100A" w:rsidRDefault="00831583" w:rsidP="004040CE">
            <w:pPr>
              <w:rPr>
                <w:rStyle w:val="Siln"/>
                <w:b w:val="0"/>
                <w:szCs w:val="24"/>
                <w:lang w:val="sk-SK"/>
              </w:rPr>
            </w:pPr>
            <w:r w:rsidRPr="001B100A">
              <w:rPr>
                <w:b/>
                <w:szCs w:val="24"/>
                <w:lang w:val="sk-SK"/>
              </w:rPr>
              <w:t>Všeobecn</w:t>
            </w:r>
            <w:r w:rsidR="004040CE">
              <w:rPr>
                <w:b/>
                <w:szCs w:val="24"/>
                <w:lang w:val="sk-SK"/>
              </w:rPr>
              <w:t>é stanovisko k</w:t>
            </w:r>
            <w:r w:rsidRPr="001B100A">
              <w:rPr>
                <w:b/>
                <w:szCs w:val="24"/>
                <w:lang w:val="sk-SK"/>
              </w:rPr>
              <w:t> P</w:t>
            </w:r>
            <w:r w:rsidR="0065455E">
              <w:rPr>
                <w:b/>
                <w:szCs w:val="24"/>
                <w:lang w:val="sk-SK"/>
              </w:rPr>
              <w:t>S</w:t>
            </w:r>
            <w:r w:rsidRPr="001B100A">
              <w:rPr>
                <w:b/>
                <w:szCs w:val="24"/>
                <w:lang w:val="sk-SK"/>
              </w:rPr>
              <w:t xml:space="preserve"> INTERACT III</w:t>
            </w:r>
          </w:p>
        </w:tc>
        <w:tc>
          <w:tcPr>
            <w:tcW w:w="952" w:type="dxa"/>
          </w:tcPr>
          <w:p w:rsidR="0078489F" w:rsidRPr="001B100A" w:rsidRDefault="0078489F" w:rsidP="00AC64FF">
            <w:pPr>
              <w:jc w:val="center"/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4</w:t>
            </w:r>
          </w:p>
        </w:tc>
      </w:tr>
      <w:tr w:rsidR="0078489F" w:rsidRPr="001B100A" w:rsidTr="0078489F">
        <w:tc>
          <w:tcPr>
            <w:tcW w:w="1384" w:type="dxa"/>
          </w:tcPr>
          <w:p w:rsidR="0078489F" w:rsidRPr="001B100A" w:rsidRDefault="0078489F" w:rsidP="00191995">
            <w:pPr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1.4</w:t>
            </w:r>
          </w:p>
        </w:tc>
        <w:tc>
          <w:tcPr>
            <w:tcW w:w="6952" w:type="dxa"/>
          </w:tcPr>
          <w:p w:rsidR="0078489F" w:rsidRPr="001B100A" w:rsidRDefault="00831583" w:rsidP="00831583">
            <w:pPr>
              <w:rPr>
                <w:rStyle w:val="Siln"/>
                <w:b w:val="0"/>
                <w:szCs w:val="24"/>
                <w:lang w:val="sk-SK"/>
              </w:rPr>
            </w:pPr>
            <w:r w:rsidRPr="001B100A">
              <w:rPr>
                <w:b/>
                <w:szCs w:val="24"/>
                <w:lang w:val="sk-SK"/>
              </w:rPr>
              <w:t>Najdôležitejšie zistenia a odporúčania</w:t>
            </w:r>
          </w:p>
        </w:tc>
        <w:tc>
          <w:tcPr>
            <w:tcW w:w="952" w:type="dxa"/>
          </w:tcPr>
          <w:p w:rsidR="0078489F" w:rsidRPr="001B100A" w:rsidRDefault="0078489F" w:rsidP="00AC64FF">
            <w:pPr>
              <w:jc w:val="center"/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4</w:t>
            </w:r>
          </w:p>
        </w:tc>
      </w:tr>
      <w:tr w:rsidR="0078489F" w:rsidRPr="001B100A" w:rsidTr="0078489F">
        <w:tc>
          <w:tcPr>
            <w:tcW w:w="1384" w:type="dxa"/>
          </w:tcPr>
          <w:p w:rsidR="0078489F" w:rsidRPr="001B100A" w:rsidRDefault="0078489F" w:rsidP="00191995">
            <w:pPr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1.4.1</w:t>
            </w:r>
          </w:p>
        </w:tc>
        <w:tc>
          <w:tcPr>
            <w:tcW w:w="6952" w:type="dxa"/>
          </w:tcPr>
          <w:p w:rsidR="0078489F" w:rsidRPr="001B100A" w:rsidRDefault="00831583" w:rsidP="00831963">
            <w:pPr>
              <w:rPr>
                <w:rStyle w:val="Siln"/>
                <w:b w:val="0"/>
                <w:szCs w:val="24"/>
                <w:lang w:val="sk-SK"/>
              </w:rPr>
            </w:pPr>
            <w:r w:rsidRPr="001B100A">
              <w:rPr>
                <w:b/>
                <w:szCs w:val="24"/>
                <w:lang w:val="sk-SK"/>
              </w:rPr>
              <w:t xml:space="preserve">Horizontálne </w:t>
            </w:r>
            <w:r w:rsidR="00831963">
              <w:rPr>
                <w:b/>
                <w:szCs w:val="24"/>
                <w:lang w:val="sk-SK"/>
              </w:rPr>
              <w:t>princípy</w:t>
            </w:r>
          </w:p>
        </w:tc>
        <w:tc>
          <w:tcPr>
            <w:tcW w:w="952" w:type="dxa"/>
          </w:tcPr>
          <w:p w:rsidR="0078489F" w:rsidRPr="001B100A" w:rsidRDefault="0078489F" w:rsidP="00AC64FF">
            <w:pPr>
              <w:jc w:val="center"/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4</w:t>
            </w:r>
          </w:p>
        </w:tc>
      </w:tr>
      <w:tr w:rsidR="0078489F" w:rsidRPr="001B100A" w:rsidTr="0078489F">
        <w:tc>
          <w:tcPr>
            <w:tcW w:w="1384" w:type="dxa"/>
          </w:tcPr>
          <w:p w:rsidR="0078489F" w:rsidRPr="001B100A" w:rsidRDefault="0078489F" w:rsidP="00191995">
            <w:pPr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1.4.2</w:t>
            </w:r>
          </w:p>
        </w:tc>
        <w:tc>
          <w:tcPr>
            <w:tcW w:w="6952" w:type="dxa"/>
          </w:tcPr>
          <w:p w:rsidR="0078489F" w:rsidRPr="001B100A" w:rsidRDefault="00831583" w:rsidP="00831583">
            <w:pPr>
              <w:rPr>
                <w:rStyle w:val="Siln"/>
                <w:b w:val="0"/>
                <w:szCs w:val="24"/>
                <w:lang w:val="sk-SK"/>
              </w:rPr>
            </w:pPr>
            <w:r w:rsidRPr="001B100A">
              <w:rPr>
                <w:b/>
                <w:szCs w:val="24"/>
                <w:lang w:val="sk-SK"/>
              </w:rPr>
              <w:t xml:space="preserve">Ukazovatele </w:t>
            </w:r>
          </w:p>
        </w:tc>
        <w:tc>
          <w:tcPr>
            <w:tcW w:w="952" w:type="dxa"/>
          </w:tcPr>
          <w:p w:rsidR="0078489F" w:rsidRPr="001B100A" w:rsidRDefault="0078489F" w:rsidP="00AC64FF">
            <w:pPr>
              <w:jc w:val="center"/>
              <w:rPr>
                <w:rStyle w:val="Siln"/>
                <w:bCs/>
                <w:lang w:val="sk-SK"/>
              </w:rPr>
            </w:pPr>
            <w:r w:rsidRPr="001B100A">
              <w:rPr>
                <w:rStyle w:val="Siln"/>
                <w:bCs/>
                <w:lang w:val="sk-SK"/>
              </w:rPr>
              <w:t>6</w:t>
            </w:r>
          </w:p>
        </w:tc>
      </w:tr>
    </w:tbl>
    <w:p w:rsidR="00191995" w:rsidRPr="001B100A" w:rsidRDefault="00191995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78489F" w:rsidRPr="001B100A" w:rsidRDefault="0078489F" w:rsidP="00191995">
      <w:pPr>
        <w:rPr>
          <w:rStyle w:val="Siln"/>
          <w:bCs/>
          <w:lang w:val="sk-SK"/>
        </w:rPr>
      </w:pPr>
    </w:p>
    <w:p w:rsidR="0078489F" w:rsidRPr="001B100A" w:rsidRDefault="0078489F" w:rsidP="00191995">
      <w:pPr>
        <w:rPr>
          <w:rStyle w:val="Siln"/>
          <w:bCs/>
          <w:lang w:val="sk-SK"/>
        </w:rPr>
      </w:pPr>
    </w:p>
    <w:p w:rsidR="0078489F" w:rsidRPr="001B100A" w:rsidRDefault="0078489F" w:rsidP="00191995">
      <w:pPr>
        <w:rPr>
          <w:rStyle w:val="Siln"/>
          <w:bCs/>
          <w:lang w:val="sk-SK"/>
        </w:rPr>
      </w:pPr>
    </w:p>
    <w:p w:rsidR="0078489F" w:rsidRPr="001B100A" w:rsidRDefault="0078489F" w:rsidP="00191995">
      <w:pPr>
        <w:rPr>
          <w:rStyle w:val="Siln"/>
          <w:bCs/>
          <w:lang w:val="sk-SK"/>
        </w:rPr>
      </w:pPr>
    </w:p>
    <w:p w:rsidR="0078489F" w:rsidRPr="001B100A" w:rsidRDefault="0078489F" w:rsidP="00191995">
      <w:pPr>
        <w:rPr>
          <w:rStyle w:val="Siln"/>
          <w:bCs/>
          <w:lang w:val="sk-SK"/>
        </w:rPr>
      </w:pPr>
    </w:p>
    <w:p w:rsidR="0078489F" w:rsidRPr="001B100A" w:rsidRDefault="0078489F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tbl>
      <w:tblPr>
        <w:tblW w:w="87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238"/>
      </w:tblGrid>
      <w:tr w:rsidR="00416F3B" w:rsidRPr="001B100A" w:rsidTr="006838D7">
        <w:tc>
          <w:tcPr>
            <w:tcW w:w="2552" w:type="dxa"/>
          </w:tcPr>
          <w:p w:rsidR="00416F3B" w:rsidRPr="001B100A" w:rsidRDefault="00831583" w:rsidP="00831583">
            <w:pPr>
              <w:pStyle w:val="Zkladntext"/>
              <w:spacing w:before="0" w:after="0"/>
              <w:ind w:right="158"/>
              <w:rPr>
                <w:szCs w:val="24"/>
                <w:lang w:val="sk-SK"/>
              </w:rPr>
            </w:pPr>
            <w:r w:rsidRPr="001B100A">
              <w:rPr>
                <w:b/>
                <w:sz w:val="20"/>
                <w:szCs w:val="24"/>
                <w:lang w:val="sk-SK"/>
              </w:rPr>
              <w:t>Zadávateľ:</w:t>
            </w:r>
          </w:p>
        </w:tc>
        <w:tc>
          <w:tcPr>
            <w:tcW w:w="6238" w:type="dxa"/>
          </w:tcPr>
          <w:p w:rsidR="00831583" w:rsidRPr="001B100A" w:rsidRDefault="00831583" w:rsidP="00831583">
            <w:pPr>
              <w:pStyle w:val="Zkladntext"/>
              <w:spacing w:before="0" w:after="0"/>
              <w:ind w:right="158"/>
              <w:jc w:val="both"/>
              <w:rPr>
                <w:szCs w:val="24"/>
                <w:lang w:val="sk-SK"/>
              </w:rPr>
            </w:pPr>
            <w:r w:rsidRPr="001B100A">
              <w:rPr>
                <w:b/>
                <w:sz w:val="20"/>
                <w:szCs w:val="24"/>
                <w:lang w:val="sk-SK"/>
              </w:rPr>
              <w:t xml:space="preserve">VVMZ s.r.o. </w:t>
            </w:r>
          </w:p>
          <w:p w:rsidR="00416F3B" w:rsidRPr="001B100A" w:rsidRDefault="00831583" w:rsidP="00831583">
            <w:pPr>
              <w:pStyle w:val="Zkladntext"/>
              <w:spacing w:before="0" w:after="0"/>
              <w:ind w:right="158"/>
              <w:jc w:val="both"/>
              <w:rPr>
                <w:szCs w:val="24"/>
                <w:lang w:val="sk-SK"/>
              </w:rPr>
            </w:pPr>
            <w:r w:rsidRPr="001B100A">
              <w:rPr>
                <w:b/>
                <w:sz w:val="20"/>
                <w:szCs w:val="24"/>
                <w:lang w:val="sk-SK"/>
              </w:rPr>
              <w:t xml:space="preserve">V konzorciu s ÖAR </w:t>
            </w:r>
            <w:proofErr w:type="spellStart"/>
            <w:r w:rsidRPr="001B100A">
              <w:rPr>
                <w:b/>
                <w:sz w:val="20"/>
                <w:szCs w:val="24"/>
                <w:lang w:val="sk-SK"/>
              </w:rPr>
              <w:t>Regionalberatung</w:t>
            </w:r>
            <w:proofErr w:type="spellEnd"/>
            <w:r w:rsidRPr="001B100A">
              <w:rPr>
                <w:b/>
                <w:sz w:val="20"/>
                <w:szCs w:val="24"/>
                <w:lang w:val="sk-SK"/>
              </w:rPr>
              <w:t xml:space="preserve"> </w:t>
            </w:r>
            <w:proofErr w:type="spellStart"/>
            <w:r w:rsidRPr="001B100A">
              <w:rPr>
                <w:b/>
                <w:sz w:val="20"/>
                <w:szCs w:val="24"/>
                <w:lang w:val="sk-SK"/>
              </w:rPr>
              <w:t>GmbH</w:t>
            </w:r>
            <w:proofErr w:type="spellEnd"/>
          </w:p>
        </w:tc>
      </w:tr>
      <w:tr w:rsidR="00416F3B" w:rsidRPr="001B100A" w:rsidTr="006838D7">
        <w:tc>
          <w:tcPr>
            <w:tcW w:w="2552" w:type="dxa"/>
          </w:tcPr>
          <w:p w:rsidR="00416F3B" w:rsidRPr="001B100A" w:rsidRDefault="00416F3B" w:rsidP="006838D7">
            <w:pPr>
              <w:pStyle w:val="Zkladntext"/>
              <w:spacing w:before="0" w:after="0"/>
              <w:ind w:right="158"/>
              <w:rPr>
                <w:rFonts w:cs="Arial"/>
                <w:sz w:val="20"/>
                <w:lang w:val="sk-SK" w:eastAsia="en-US"/>
              </w:rPr>
            </w:pPr>
          </w:p>
        </w:tc>
        <w:tc>
          <w:tcPr>
            <w:tcW w:w="6238" w:type="dxa"/>
          </w:tcPr>
          <w:p w:rsidR="00416F3B" w:rsidRPr="001B100A" w:rsidRDefault="00416F3B" w:rsidP="006838D7">
            <w:pPr>
              <w:spacing w:before="0"/>
              <w:ind w:right="158"/>
              <w:jc w:val="both"/>
              <w:rPr>
                <w:rFonts w:eastAsia="Batang" w:cs="Arial"/>
                <w:sz w:val="20"/>
                <w:lang w:val="sk-SK"/>
              </w:rPr>
            </w:pPr>
          </w:p>
        </w:tc>
      </w:tr>
      <w:tr w:rsidR="00416F3B" w:rsidRPr="001B100A" w:rsidTr="006838D7">
        <w:tc>
          <w:tcPr>
            <w:tcW w:w="2552" w:type="dxa"/>
          </w:tcPr>
          <w:p w:rsidR="00416F3B" w:rsidRPr="001B100A" w:rsidRDefault="00416F3B" w:rsidP="006838D7">
            <w:pPr>
              <w:pStyle w:val="Zkladntext"/>
              <w:spacing w:before="0" w:after="0"/>
              <w:ind w:right="158"/>
              <w:rPr>
                <w:rFonts w:cs="Arial"/>
                <w:b/>
                <w:sz w:val="20"/>
                <w:lang w:val="sk-SK" w:eastAsia="en-US"/>
              </w:rPr>
            </w:pPr>
          </w:p>
          <w:p w:rsidR="00416F3B" w:rsidRPr="001B100A" w:rsidRDefault="00831583" w:rsidP="00831583">
            <w:pPr>
              <w:pStyle w:val="Zkladntext"/>
              <w:spacing w:before="0" w:after="0"/>
              <w:ind w:right="158"/>
              <w:rPr>
                <w:szCs w:val="24"/>
                <w:lang w:val="sk-SK"/>
              </w:rPr>
            </w:pPr>
            <w:r w:rsidRPr="001B100A">
              <w:rPr>
                <w:b/>
                <w:sz w:val="20"/>
                <w:szCs w:val="24"/>
                <w:lang w:val="sk-SK"/>
              </w:rPr>
              <w:t>Kontaktná osoba:</w:t>
            </w:r>
          </w:p>
        </w:tc>
        <w:tc>
          <w:tcPr>
            <w:tcW w:w="6238" w:type="dxa"/>
          </w:tcPr>
          <w:p w:rsidR="00416F3B" w:rsidRPr="001B100A" w:rsidRDefault="00416F3B" w:rsidP="006838D7">
            <w:pPr>
              <w:pStyle w:val="Textbubliny"/>
              <w:ind w:right="158"/>
              <w:jc w:val="both"/>
              <w:rPr>
                <w:rFonts w:ascii="Arial" w:eastAsia="Batang" w:hAnsi="Arial" w:cs="Arial"/>
                <w:sz w:val="20"/>
                <w:szCs w:val="20"/>
                <w:lang w:val="sk-SK"/>
              </w:rPr>
            </w:pPr>
          </w:p>
          <w:p w:rsidR="00831583" w:rsidRPr="001B100A" w:rsidRDefault="00831583" w:rsidP="00831583">
            <w:pPr>
              <w:pStyle w:val="Textbubliny"/>
              <w:ind w:right="158"/>
              <w:jc w:val="both"/>
              <w:rPr>
                <w:rFonts w:ascii="Batang" w:eastAsia="Batang" w:hAnsiTheme="minorBidi" w:cstheme="minorBidi"/>
                <w:szCs w:val="24"/>
                <w:lang w:val="sk-SK"/>
              </w:rPr>
            </w:pPr>
            <w:proofErr w:type="spellStart"/>
            <w:r w:rsidRPr="001B100A">
              <w:rPr>
                <w:rFonts w:ascii="Arial" w:hAnsi="Arial" w:cstheme="minorBidi"/>
                <w:sz w:val="20"/>
                <w:szCs w:val="24"/>
                <w:lang w:val="sk-SK"/>
              </w:rPr>
              <w:t>Emile</w:t>
            </w:r>
            <w:proofErr w:type="spellEnd"/>
            <w:r w:rsidRPr="001B100A">
              <w:rPr>
                <w:rFonts w:ascii="Arial" w:hAnsi="Arial" w:cstheme="minorBidi"/>
                <w:sz w:val="20"/>
                <w:szCs w:val="24"/>
                <w:lang w:val="sk-SK"/>
              </w:rPr>
              <w:t xml:space="preserve"> </w:t>
            </w:r>
            <w:proofErr w:type="spellStart"/>
            <w:r w:rsidRPr="001B100A">
              <w:rPr>
                <w:rFonts w:ascii="Arial" w:hAnsi="Arial" w:cstheme="minorBidi"/>
                <w:sz w:val="20"/>
                <w:szCs w:val="24"/>
                <w:lang w:val="sk-SK"/>
              </w:rPr>
              <w:t>Roest</w:t>
            </w:r>
            <w:proofErr w:type="spellEnd"/>
            <w:r w:rsidRPr="001B100A">
              <w:rPr>
                <w:rFonts w:ascii="Arial" w:hAnsi="Arial" w:cstheme="minorBidi"/>
                <w:sz w:val="20"/>
                <w:szCs w:val="24"/>
                <w:lang w:val="sk-SK"/>
              </w:rPr>
              <w:t xml:space="preserve">, roest@vvmz.com </w:t>
            </w:r>
          </w:p>
          <w:p w:rsidR="00416F3B" w:rsidRPr="001B100A" w:rsidRDefault="00416F3B" w:rsidP="006838D7">
            <w:pPr>
              <w:pStyle w:val="Textbubliny"/>
              <w:ind w:right="158"/>
              <w:jc w:val="both"/>
              <w:rPr>
                <w:rFonts w:ascii="Arial" w:eastAsia="Batang" w:hAnsi="Arial" w:cs="Arial"/>
                <w:sz w:val="20"/>
                <w:szCs w:val="20"/>
                <w:lang w:val="sk-SK"/>
              </w:rPr>
            </w:pPr>
          </w:p>
        </w:tc>
      </w:tr>
      <w:tr w:rsidR="00416F3B" w:rsidRPr="001B100A" w:rsidTr="006838D7">
        <w:tc>
          <w:tcPr>
            <w:tcW w:w="2552" w:type="dxa"/>
          </w:tcPr>
          <w:p w:rsidR="00831583" w:rsidRPr="001B100A" w:rsidRDefault="00831583" w:rsidP="00831583">
            <w:pPr>
              <w:spacing w:before="0"/>
              <w:ind w:right="158"/>
              <w:rPr>
                <w:b/>
                <w:i/>
                <w:sz w:val="20"/>
                <w:szCs w:val="24"/>
                <w:lang w:val="sk-SK"/>
              </w:rPr>
            </w:pPr>
            <w:r w:rsidRPr="001B100A">
              <w:rPr>
                <w:b/>
                <w:sz w:val="20"/>
                <w:szCs w:val="24"/>
                <w:lang w:val="sk-SK"/>
              </w:rPr>
              <w:t>Zodpovední autori, projektový tím:</w:t>
            </w:r>
          </w:p>
          <w:p w:rsidR="00416F3B" w:rsidRPr="001B100A" w:rsidRDefault="00416F3B" w:rsidP="006838D7">
            <w:pPr>
              <w:pStyle w:val="Zkladntext"/>
              <w:spacing w:before="0" w:after="0"/>
              <w:ind w:right="158"/>
              <w:rPr>
                <w:rFonts w:cs="Arial"/>
                <w:sz w:val="20"/>
                <w:lang w:val="sk-SK" w:eastAsia="en-US"/>
              </w:rPr>
            </w:pPr>
          </w:p>
        </w:tc>
        <w:tc>
          <w:tcPr>
            <w:tcW w:w="6238" w:type="dxa"/>
          </w:tcPr>
          <w:p w:rsidR="00416F3B" w:rsidRPr="001B100A" w:rsidRDefault="00416F3B" w:rsidP="006838D7">
            <w:pPr>
              <w:pStyle w:val="Default"/>
              <w:tabs>
                <w:tab w:val="left" w:pos="3686"/>
              </w:tabs>
              <w:spacing w:before="60"/>
              <w:ind w:left="331" w:hanging="331"/>
              <w:rPr>
                <w:color w:val="auto"/>
                <w:sz w:val="20"/>
                <w:szCs w:val="20"/>
              </w:rPr>
            </w:pPr>
            <w:proofErr w:type="spellStart"/>
            <w:r w:rsidRPr="001B100A">
              <w:rPr>
                <w:color w:val="auto"/>
                <w:sz w:val="20"/>
                <w:szCs w:val="20"/>
              </w:rPr>
              <w:t>Emile</w:t>
            </w:r>
            <w:proofErr w:type="spellEnd"/>
            <w:r w:rsidRPr="001B10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100A">
              <w:rPr>
                <w:color w:val="auto"/>
                <w:sz w:val="20"/>
                <w:szCs w:val="20"/>
              </w:rPr>
              <w:t>Roest</w:t>
            </w:r>
            <w:proofErr w:type="spellEnd"/>
          </w:p>
          <w:p w:rsidR="00416F3B" w:rsidRPr="001B100A" w:rsidRDefault="00416F3B" w:rsidP="006838D7">
            <w:pPr>
              <w:pStyle w:val="Default"/>
              <w:tabs>
                <w:tab w:val="left" w:pos="3686"/>
              </w:tabs>
              <w:spacing w:before="60"/>
              <w:ind w:left="331" w:hanging="331"/>
              <w:rPr>
                <w:color w:val="auto"/>
                <w:sz w:val="20"/>
                <w:szCs w:val="20"/>
              </w:rPr>
            </w:pPr>
            <w:proofErr w:type="spellStart"/>
            <w:r w:rsidRPr="001B100A">
              <w:rPr>
                <w:color w:val="auto"/>
                <w:sz w:val="20"/>
                <w:szCs w:val="20"/>
              </w:rPr>
              <w:t>Manfred</w:t>
            </w:r>
            <w:proofErr w:type="spellEnd"/>
            <w:r w:rsidRPr="001B10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100A">
              <w:rPr>
                <w:color w:val="auto"/>
                <w:sz w:val="20"/>
                <w:szCs w:val="20"/>
              </w:rPr>
              <w:t>Kojan</w:t>
            </w:r>
            <w:proofErr w:type="spellEnd"/>
          </w:p>
          <w:p w:rsidR="00416F3B" w:rsidRPr="001B100A" w:rsidRDefault="00416F3B" w:rsidP="006838D7">
            <w:pPr>
              <w:pStyle w:val="Default"/>
              <w:tabs>
                <w:tab w:val="left" w:pos="3686"/>
              </w:tabs>
              <w:spacing w:before="60"/>
              <w:ind w:left="331" w:hanging="331"/>
              <w:rPr>
                <w:color w:val="auto"/>
                <w:sz w:val="20"/>
                <w:szCs w:val="20"/>
              </w:rPr>
            </w:pPr>
            <w:proofErr w:type="spellStart"/>
            <w:r w:rsidRPr="001B100A">
              <w:rPr>
                <w:color w:val="auto"/>
                <w:sz w:val="20"/>
                <w:szCs w:val="20"/>
              </w:rPr>
              <w:t>Herwig</w:t>
            </w:r>
            <w:proofErr w:type="spellEnd"/>
            <w:r w:rsidRPr="001B10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100A">
              <w:rPr>
                <w:color w:val="auto"/>
                <w:sz w:val="20"/>
                <w:szCs w:val="20"/>
              </w:rPr>
              <w:t>Langthaler</w:t>
            </w:r>
            <w:proofErr w:type="spellEnd"/>
          </w:p>
          <w:p w:rsidR="00416F3B" w:rsidRPr="001B100A" w:rsidRDefault="00416F3B" w:rsidP="006838D7">
            <w:pPr>
              <w:pStyle w:val="Default"/>
              <w:tabs>
                <w:tab w:val="left" w:pos="3686"/>
              </w:tabs>
              <w:spacing w:before="60"/>
              <w:ind w:left="331" w:hanging="331"/>
              <w:rPr>
                <w:color w:val="auto"/>
                <w:sz w:val="20"/>
                <w:szCs w:val="20"/>
              </w:rPr>
            </w:pPr>
            <w:r w:rsidRPr="001B100A">
              <w:rPr>
                <w:color w:val="auto"/>
                <w:sz w:val="20"/>
                <w:szCs w:val="20"/>
              </w:rPr>
              <w:t xml:space="preserve">Erik </w:t>
            </w:r>
            <w:proofErr w:type="spellStart"/>
            <w:r w:rsidRPr="001B100A">
              <w:rPr>
                <w:color w:val="auto"/>
                <w:sz w:val="20"/>
                <w:szCs w:val="20"/>
              </w:rPr>
              <w:t>Heidema</w:t>
            </w:r>
            <w:proofErr w:type="spellEnd"/>
          </w:p>
          <w:p w:rsidR="00416F3B" w:rsidRPr="001B100A" w:rsidRDefault="00416F3B" w:rsidP="006838D7">
            <w:pPr>
              <w:pStyle w:val="Default"/>
              <w:tabs>
                <w:tab w:val="left" w:pos="3686"/>
              </w:tabs>
              <w:spacing w:before="60"/>
              <w:ind w:left="331" w:hanging="331"/>
              <w:rPr>
                <w:rFonts w:eastAsia="Batang"/>
                <w:sz w:val="20"/>
                <w:szCs w:val="20"/>
              </w:rPr>
            </w:pPr>
            <w:r w:rsidRPr="001B100A">
              <w:rPr>
                <w:rFonts w:eastAsia="Batang"/>
                <w:sz w:val="20"/>
                <w:szCs w:val="20"/>
              </w:rPr>
              <w:t xml:space="preserve">Andrea </w:t>
            </w:r>
            <w:proofErr w:type="spellStart"/>
            <w:r w:rsidRPr="001B100A">
              <w:rPr>
                <w:rFonts w:eastAsia="Batang"/>
                <w:sz w:val="20"/>
                <w:szCs w:val="20"/>
              </w:rPr>
              <w:t>Panakova</w:t>
            </w:r>
            <w:proofErr w:type="spellEnd"/>
          </w:p>
          <w:p w:rsidR="00416F3B" w:rsidRPr="001B100A" w:rsidRDefault="00416F3B" w:rsidP="006838D7">
            <w:pPr>
              <w:pStyle w:val="Default"/>
              <w:tabs>
                <w:tab w:val="left" w:pos="3686"/>
              </w:tabs>
              <w:spacing w:before="60"/>
              <w:ind w:left="331" w:hanging="331"/>
              <w:rPr>
                <w:rFonts w:eastAsia="Batang"/>
                <w:sz w:val="20"/>
                <w:szCs w:val="20"/>
              </w:rPr>
            </w:pPr>
            <w:r w:rsidRPr="001B100A">
              <w:rPr>
                <w:rFonts w:eastAsia="Batang"/>
                <w:sz w:val="20"/>
                <w:szCs w:val="20"/>
              </w:rPr>
              <w:t xml:space="preserve">Alena </w:t>
            </w:r>
            <w:proofErr w:type="spellStart"/>
            <w:r w:rsidRPr="001B100A">
              <w:rPr>
                <w:rFonts w:eastAsia="Batang"/>
                <w:sz w:val="20"/>
                <w:szCs w:val="20"/>
              </w:rPr>
              <w:t>Dudekova</w:t>
            </w:r>
            <w:proofErr w:type="spellEnd"/>
          </w:p>
          <w:p w:rsidR="00416F3B" w:rsidRPr="001B100A" w:rsidRDefault="00416F3B" w:rsidP="006838D7">
            <w:pPr>
              <w:pStyle w:val="Default"/>
              <w:tabs>
                <w:tab w:val="left" w:pos="3686"/>
              </w:tabs>
              <w:spacing w:before="60"/>
              <w:ind w:left="331" w:hanging="331"/>
              <w:rPr>
                <w:rFonts w:eastAsia="Batang"/>
                <w:sz w:val="20"/>
                <w:szCs w:val="20"/>
              </w:rPr>
            </w:pPr>
          </w:p>
        </w:tc>
      </w:tr>
    </w:tbl>
    <w:p w:rsidR="00191995" w:rsidRPr="001B100A" w:rsidRDefault="00191995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191995" w:rsidRPr="001B100A" w:rsidRDefault="00191995" w:rsidP="00191995">
      <w:pPr>
        <w:rPr>
          <w:rStyle w:val="Siln"/>
          <w:bCs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 w:val="18"/>
          <w:szCs w:val="24"/>
          <w:lang w:val="sk-SK"/>
        </w:rPr>
        <w:t xml:space="preserve">Táto správa bola vypracovaná </w:t>
      </w:r>
      <w:proofErr w:type="spellStart"/>
      <w:r w:rsidRPr="001B100A">
        <w:rPr>
          <w:sz w:val="18"/>
          <w:szCs w:val="24"/>
          <w:lang w:val="sk-SK"/>
        </w:rPr>
        <w:t>ex-ante</w:t>
      </w:r>
      <w:proofErr w:type="spellEnd"/>
      <w:r w:rsidRPr="001B100A">
        <w:rPr>
          <w:sz w:val="18"/>
          <w:szCs w:val="24"/>
          <w:lang w:val="sk-SK"/>
        </w:rPr>
        <w:t xml:space="preserve"> hodnotiacim tímom. Zistenia, závery a interpretácie vyjadrené v tomto dokumente patria len autorom a nemali by byť v žiadnom prípade spájané s politikami alebo </w:t>
      </w:r>
      <w:r w:rsidR="004040CE">
        <w:rPr>
          <w:sz w:val="18"/>
          <w:szCs w:val="24"/>
          <w:lang w:val="sk-SK"/>
        </w:rPr>
        <w:t>stanoviskom</w:t>
      </w:r>
      <w:r w:rsidRPr="001B100A">
        <w:rPr>
          <w:sz w:val="18"/>
          <w:szCs w:val="24"/>
          <w:lang w:val="sk-SK"/>
        </w:rPr>
        <w:t xml:space="preserve"> Bratislavského samosprávneho kraja.</w:t>
      </w:r>
    </w:p>
    <w:p w:rsidR="00416F3B" w:rsidRPr="001B100A" w:rsidRDefault="00416F3B">
      <w:pPr>
        <w:spacing w:before="0" w:after="200" w:line="276" w:lineRule="auto"/>
        <w:rPr>
          <w:lang w:val="sk-SK"/>
        </w:rPr>
      </w:pPr>
      <w:r w:rsidRPr="001B100A">
        <w:rPr>
          <w:lang w:val="sk-SK"/>
        </w:rPr>
        <w:br w:type="page"/>
      </w:r>
    </w:p>
    <w:p w:rsidR="00191995" w:rsidRPr="001B100A" w:rsidRDefault="00191995">
      <w:pPr>
        <w:rPr>
          <w:lang w:val="sk-SK"/>
        </w:rPr>
      </w:pPr>
    </w:p>
    <w:p w:rsidR="00831583" w:rsidRPr="001B100A" w:rsidRDefault="00831583" w:rsidP="00831583">
      <w:pPr>
        <w:pStyle w:val="Nadpis2"/>
        <w:numPr>
          <w:ilvl w:val="1"/>
          <w:numId w:val="1"/>
        </w:numPr>
        <w:pBdr>
          <w:bottom w:val="single" w:sz="12" w:space="1" w:color="365F91"/>
        </w:pBdr>
        <w:spacing w:before="360" w:after="120"/>
        <w:jc w:val="both"/>
        <w:rPr>
          <w:bCs w:val="0"/>
          <w:szCs w:val="24"/>
          <w:lang w:val="sk-SK"/>
        </w:rPr>
      </w:pPr>
      <w:bookmarkStart w:id="1" w:name="_Toc390854823"/>
      <w:r w:rsidRPr="001B100A">
        <w:rPr>
          <w:bCs w:val="0"/>
          <w:szCs w:val="24"/>
          <w:lang w:val="sk-SK"/>
        </w:rPr>
        <w:t>Úvod</w:t>
      </w:r>
    </w:p>
    <w:bookmarkEnd w:id="1"/>
    <w:p w:rsidR="00416F3B" w:rsidRPr="001B100A" w:rsidRDefault="00416F3B" w:rsidP="00191995">
      <w:pPr>
        <w:jc w:val="both"/>
        <w:rPr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Podľa platných nariadení EÚ je 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hodnotenie povinné pre taký typ programov EÚ (ako je program INTERACT 2014-202</w:t>
      </w:r>
      <w:r w:rsidR="00996ECB">
        <w:rPr>
          <w:szCs w:val="24"/>
          <w:lang w:val="sk-SK"/>
        </w:rPr>
        <w:t>0</w:t>
      </w:r>
      <w:r w:rsidRPr="001B100A">
        <w:rPr>
          <w:szCs w:val="24"/>
          <w:lang w:val="sk-SK"/>
        </w:rPr>
        <w:t>).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Na základe dostupného návrhu P</w:t>
      </w:r>
      <w:r w:rsidR="00517FAA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prebieha priebežné 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hodnotenie podľa zmluvy. Hlavným cieľom tohto kroku 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hodnotenia je zlepšenie kvality a</w:t>
      </w:r>
      <w:r w:rsidR="004040CE">
        <w:rPr>
          <w:szCs w:val="24"/>
          <w:lang w:val="sk-SK"/>
        </w:rPr>
        <w:t> jednotného postupu</w:t>
      </w:r>
      <w:r w:rsidRPr="001B100A">
        <w:rPr>
          <w:szCs w:val="24"/>
          <w:lang w:val="sk-SK"/>
        </w:rPr>
        <w:t xml:space="preserve"> P</w:t>
      </w:r>
      <w:r w:rsidR="00517FAA">
        <w:rPr>
          <w:szCs w:val="24"/>
          <w:lang w:val="sk-SK"/>
        </w:rPr>
        <w:t>S</w:t>
      </w:r>
      <w:r w:rsidRPr="001B100A">
        <w:rPr>
          <w:szCs w:val="24"/>
          <w:lang w:val="sk-SK"/>
        </w:rPr>
        <w:t>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Táto správa nadväzuje na najnovší návrh P</w:t>
      </w:r>
      <w:r w:rsidR="005E611F">
        <w:rPr>
          <w:szCs w:val="24"/>
          <w:lang w:val="sk-SK"/>
        </w:rPr>
        <w:t>S</w:t>
      </w:r>
      <w:r w:rsidRPr="001B100A">
        <w:rPr>
          <w:szCs w:val="24"/>
          <w:lang w:val="sk-SK"/>
        </w:rPr>
        <w:t>, verzi</w:t>
      </w:r>
      <w:r w:rsidR="004040CE">
        <w:rPr>
          <w:szCs w:val="24"/>
          <w:lang w:val="sk-SK"/>
        </w:rPr>
        <w:t>e</w:t>
      </w:r>
      <w:r w:rsidRPr="001B100A">
        <w:rPr>
          <w:szCs w:val="24"/>
          <w:lang w:val="sk-SK"/>
        </w:rPr>
        <w:t xml:space="preserve"> 2.3 z apríla 2014.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Pred vypracovaním návrhu 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správy sa hodnotitelia zúčastnili rôznych stretnutí s riadiacim orgánom. Okrem toho sa uskutočnilo stretnutie s kontaktným bodom INTERACT IP Viedeň ohľadom ukazovateľov výstupov a prebehol konferenčný hovor s kontaktným bodom INTERACT IP </w:t>
      </w:r>
      <w:proofErr w:type="spellStart"/>
      <w:r w:rsidRPr="001B100A">
        <w:rPr>
          <w:szCs w:val="24"/>
          <w:lang w:val="sk-SK"/>
        </w:rPr>
        <w:t>Viborg</w:t>
      </w:r>
      <w:proofErr w:type="spellEnd"/>
      <w:r w:rsidRPr="001B100A">
        <w:rPr>
          <w:szCs w:val="24"/>
          <w:lang w:val="sk-SK"/>
        </w:rPr>
        <w:t xml:space="preserve"> ohľadom ukazovateľov výsledkov. Prebiehala intenzívna komunikácia s cieľom výmeny nápadov týkajúcich sa systému ukazovateľov. 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Toto hodnotenie sa uskutočňuje na základe súboru hodnotiacich otázok sformulovaných podľa zadávacích podmienok a metodického usmernenia Európskej komisie. </w:t>
      </w:r>
    </w:p>
    <w:p w:rsidR="00191995" w:rsidRPr="001B100A" w:rsidRDefault="00191995" w:rsidP="00191995">
      <w:pPr>
        <w:jc w:val="both"/>
        <w:rPr>
          <w:lang w:val="sk-SK"/>
        </w:rPr>
      </w:pPr>
    </w:p>
    <w:p w:rsidR="00831583" w:rsidRPr="001B100A" w:rsidRDefault="00831583" w:rsidP="00831583">
      <w:pPr>
        <w:pStyle w:val="Nadpis2"/>
        <w:numPr>
          <w:ilvl w:val="1"/>
          <w:numId w:val="1"/>
        </w:numPr>
        <w:pBdr>
          <w:bottom w:val="single" w:sz="12" w:space="1" w:color="365F91"/>
        </w:pBdr>
        <w:spacing w:before="360" w:after="120"/>
        <w:jc w:val="both"/>
        <w:rPr>
          <w:bCs w:val="0"/>
          <w:szCs w:val="24"/>
          <w:lang w:val="sk-SK"/>
        </w:rPr>
      </w:pPr>
      <w:bookmarkStart w:id="2" w:name="_Toc390854824"/>
      <w:r w:rsidRPr="001B100A">
        <w:rPr>
          <w:bCs w:val="0"/>
          <w:szCs w:val="24"/>
          <w:lang w:val="sk-SK"/>
        </w:rPr>
        <w:t xml:space="preserve">Časový harmonogram </w:t>
      </w:r>
      <w:proofErr w:type="spellStart"/>
      <w:r w:rsidRPr="001B100A">
        <w:rPr>
          <w:bCs w:val="0"/>
          <w:szCs w:val="24"/>
          <w:lang w:val="sk-SK"/>
        </w:rPr>
        <w:t>ex-ante</w:t>
      </w:r>
      <w:proofErr w:type="spellEnd"/>
      <w:r w:rsidRPr="001B100A">
        <w:rPr>
          <w:bCs w:val="0"/>
          <w:szCs w:val="24"/>
          <w:lang w:val="sk-SK"/>
        </w:rPr>
        <w:t xml:space="preserve"> hodnotenia</w:t>
      </w:r>
    </w:p>
    <w:bookmarkEnd w:id="2"/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Indikatívny časový harmonogram 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hodnotenia je možné jednoducho načrtnúť nasledovne:</w:t>
      </w:r>
    </w:p>
    <w:p w:rsidR="00191995" w:rsidRPr="001B100A" w:rsidRDefault="00191995" w:rsidP="00191995">
      <w:pPr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665"/>
        <w:gridCol w:w="2961"/>
      </w:tblGrid>
      <w:tr w:rsidR="00191995" w:rsidRPr="001B100A" w:rsidTr="006838D7">
        <w:tc>
          <w:tcPr>
            <w:tcW w:w="2660" w:type="dxa"/>
          </w:tcPr>
          <w:p w:rsidR="00191995" w:rsidRPr="001B100A" w:rsidRDefault="00831583" w:rsidP="00831583">
            <w:pPr>
              <w:jc w:val="center"/>
              <w:rPr>
                <w:szCs w:val="24"/>
                <w:lang w:val="sk-SK"/>
              </w:rPr>
            </w:pPr>
            <w:r w:rsidRPr="001B100A">
              <w:rPr>
                <w:i/>
                <w:szCs w:val="24"/>
                <w:lang w:val="sk-SK"/>
              </w:rPr>
              <w:t>Fáza</w:t>
            </w:r>
          </w:p>
        </w:tc>
        <w:tc>
          <w:tcPr>
            <w:tcW w:w="3665" w:type="dxa"/>
          </w:tcPr>
          <w:p w:rsidR="00191995" w:rsidRPr="001B100A" w:rsidRDefault="00831583" w:rsidP="00831583">
            <w:pPr>
              <w:jc w:val="center"/>
              <w:rPr>
                <w:szCs w:val="24"/>
                <w:lang w:val="sk-SK"/>
              </w:rPr>
            </w:pPr>
            <w:r w:rsidRPr="001B100A">
              <w:rPr>
                <w:i/>
                <w:szCs w:val="24"/>
                <w:lang w:val="sk-SK"/>
              </w:rPr>
              <w:t>Aktivity</w:t>
            </w:r>
          </w:p>
        </w:tc>
        <w:tc>
          <w:tcPr>
            <w:tcW w:w="2961" w:type="dxa"/>
          </w:tcPr>
          <w:p w:rsidR="00191995" w:rsidRPr="001B100A" w:rsidRDefault="00831583" w:rsidP="00831583">
            <w:pPr>
              <w:jc w:val="center"/>
              <w:rPr>
                <w:szCs w:val="24"/>
                <w:lang w:val="sk-SK"/>
              </w:rPr>
            </w:pPr>
            <w:r w:rsidRPr="001B100A">
              <w:rPr>
                <w:i/>
                <w:szCs w:val="24"/>
                <w:lang w:val="sk-SK"/>
              </w:rPr>
              <w:t>Termíny</w:t>
            </w:r>
          </w:p>
        </w:tc>
      </w:tr>
      <w:tr w:rsidR="00191995" w:rsidRPr="001B100A" w:rsidTr="006838D7">
        <w:tc>
          <w:tcPr>
            <w:tcW w:w="2660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 xml:space="preserve">Predzmluvná </w:t>
            </w:r>
          </w:p>
        </w:tc>
        <w:tc>
          <w:tcPr>
            <w:tcW w:w="3665" w:type="dxa"/>
          </w:tcPr>
          <w:p w:rsidR="00191995" w:rsidRPr="001B100A" w:rsidRDefault="00831583" w:rsidP="00D850D5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 xml:space="preserve">Stretnutie riadiaceho orgánu, </w:t>
            </w:r>
            <w:r w:rsidR="00D850D5">
              <w:rPr>
                <w:szCs w:val="24"/>
                <w:lang w:val="sk-SK"/>
              </w:rPr>
              <w:t>PC</w:t>
            </w:r>
            <w:r w:rsidRPr="001B100A">
              <w:rPr>
                <w:szCs w:val="24"/>
                <w:lang w:val="sk-SK"/>
              </w:rPr>
              <w:t xml:space="preserve"> (Vilnius), kontaktný bod INTERACT Viedeň, zber a analýza dokumentov</w:t>
            </w:r>
          </w:p>
        </w:tc>
        <w:tc>
          <w:tcPr>
            <w:tcW w:w="2961" w:type="dxa"/>
          </w:tcPr>
          <w:p w:rsidR="00191995" w:rsidRPr="001B100A" w:rsidRDefault="00191995" w:rsidP="00831583">
            <w:pPr>
              <w:jc w:val="both"/>
              <w:rPr>
                <w:lang w:val="sk-SK"/>
              </w:rPr>
            </w:pPr>
            <w:r w:rsidRPr="001B100A">
              <w:rPr>
                <w:lang w:val="sk-SK"/>
              </w:rPr>
              <w:t>17.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3.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 – 15.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5.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</w:t>
            </w:r>
          </w:p>
        </w:tc>
      </w:tr>
      <w:tr w:rsidR="00191995" w:rsidRPr="001B100A" w:rsidTr="006838D7">
        <w:tc>
          <w:tcPr>
            <w:tcW w:w="2660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Začiatočná</w:t>
            </w:r>
          </w:p>
        </w:tc>
        <w:tc>
          <w:tcPr>
            <w:tcW w:w="3665" w:type="dxa"/>
          </w:tcPr>
          <w:p w:rsidR="00191995" w:rsidRPr="001B100A" w:rsidRDefault="00831583" w:rsidP="005703BF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Stanovenie metodológie, komunikácia s riadiacim orgánom, kontaktnými bodmi Viedeň a </w:t>
            </w:r>
            <w:proofErr w:type="spellStart"/>
            <w:r w:rsidRPr="001B100A">
              <w:rPr>
                <w:szCs w:val="24"/>
                <w:lang w:val="sk-SK"/>
              </w:rPr>
              <w:t>Viborg</w:t>
            </w:r>
            <w:proofErr w:type="spellEnd"/>
            <w:r w:rsidRPr="001B100A">
              <w:rPr>
                <w:szCs w:val="24"/>
                <w:lang w:val="sk-SK"/>
              </w:rPr>
              <w:t>, zber a analýza dokumentov, návrh začiatočnej správy/1. časť správy</w:t>
            </w:r>
          </w:p>
        </w:tc>
        <w:tc>
          <w:tcPr>
            <w:tcW w:w="2961" w:type="dxa"/>
          </w:tcPr>
          <w:p w:rsidR="00191995" w:rsidRPr="001B100A" w:rsidRDefault="00191995" w:rsidP="00831583">
            <w:pPr>
              <w:jc w:val="both"/>
              <w:rPr>
                <w:lang w:val="sk-SK"/>
              </w:rPr>
            </w:pPr>
            <w:r w:rsidRPr="001B100A">
              <w:rPr>
                <w:lang w:val="sk-SK"/>
              </w:rPr>
              <w:t>15.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5.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 – 30.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5.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</w:t>
            </w:r>
          </w:p>
        </w:tc>
      </w:tr>
      <w:tr w:rsidR="00191995" w:rsidRPr="001B100A" w:rsidTr="006838D7">
        <w:tc>
          <w:tcPr>
            <w:tcW w:w="2660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Implementačná</w:t>
            </w:r>
          </w:p>
        </w:tc>
        <w:tc>
          <w:tcPr>
            <w:tcW w:w="3665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Návrh 2. časti správy</w:t>
            </w:r>
          </w:p>
        </w:tc>
        <w:tc>
          <w:tcPr>
            <w:tcW w:w="2961" w:type="dxa"/>
          </w:tcPr>
          <w:p w:rsidR="00191995" w:rsidRPr="001B100A" w:rsidRDefault="00191995" w:rsidP="00831583">
            <w:pPr>
              <w:jc w:val="both"/>
              <w:rPr>
                <w:lang w:val="sk-SK"/>
              </w:rPr>
            </w:pPr>
            <w:r w:rsidRPr="001B100A">
              <w:rPr>
                <w:lang w:val="sk-SK"/>
              </w:rPr>
              <w:t>1.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6.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 – 16.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6.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</w:t>
            </w:r>
          </w:p>
        </w:tc>
      </w:tr>
      <w:tr w:rsidR="00191995" w:rsidRPr="001B100A" w:rsidTr="006838D7">
        <w:tc>
          <w:tcPr>
            <w:tcW w:w="2660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Záverečná</w:t>
            </w:r>
          </w:p>
        </w:tc>
        <w:tc>
          <w:tcPr>
            <w:tcW w:w="3665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Návrh záverečnej správy</w:t>
            </w:r>
            <w:r w:rsidR="005703BF">
              <w:rPr>
                <w:szCs w:val="24"/>
                <w:lang w:val="sk-SK"/>
              </w:rPr>
              <w:t>,</w:t>
            </w:r>
            <w:r w:rsidRPr="001B100A">
              <w:rPr>
                <w:szCs w:val="24"/>
                <w:lang w:val="sk-SK"/>
              </w:rPr>
              <w:t xml:space="preserve"> vrátane SEA*</w:t>
            </w:r>
          </w:p>
        </w:tc>
        <w:tc>
          <w:tcPr>
            <w:tcW w:w="2961" w:type="dxa"/>
          </w:tcPr>
          <w:p w:rsidR="00191995" w:rsidRPr="001B100A" w:rsidRDefault="00191995" w:rsidP="00831583">
            <w:pPr>
              <w:jc w:val="both"/>
              <w:rPr>
                <w:lang w:val="sk-SK"/>
              </w:rPr>
            </w:pPr>
            <w:r w:rsidRPr="001B100A">
              <w:rPr>
                <w:lang w:val="sk-SK"/>
              </w:rPr>
              <w:t>17.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6.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 – 30.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6.</w:t>
            </w:r>
            <w:r w:rsidR="005703BF">
              <w:rPr>
                <w:lang w:val="sk-SK"/>
              </w:rPr>
              <w:t> </w:t>
            </w:r>
            <w:r w:rsidRPr="001B100A">
              <w:rPr>
                <w:lang w:val="sk-SK"/>
              </w:rPr>
              <w:t>2014</w:t>
            </w:r>
          </w:p>
        </w:tc>
      </w:tr>
      <w:tr w:rsidR="00191995" w:rsidRPr="001B100A" w:rsidTr="006838D7">
        <w:tc>
          <w:tcPr>
            <w:tcW w:w="2660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Konečná</w:t>
            </w:r>
          </w:p>
        </w:tc>
        <w:tc>
          <w:tcPr>
            <w:tcW w:w="3665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Úplná záverečná správa – vrátane pripomienok EK</w:t>
            </w:r>
          </w:p>
        </w:tc>
        <w:tc>
          <w:tcPr>
            <w:tcW w:w="2961" w:type="dxa"/>
          </w:tcPr>
          <w:p w:rsidR="00191995" w:rsidRPr="001B100A" w:rsidRDefault="00831583" w:rsidP="00831583">
            <w:pPr>
              <w:jc w:val="both"/>
              <w:rPr>
                <w:szCs w:val="24"/>
                <w:lang w:val="sk-SK"/>
              </w:rPr>
            </w:pPr>
            <w:r w:rsidRPr="001B100A">
              <w:rPr>
                <w:szCs w:val="24"/>
                <w:lang w:val="sk-SK"/>
              </w:rPr>
              <w:t>15 dní po prijatí pripomienok</w:t>
            </w:r>
          </w:p>
        </w:tc>
      </w:tr>
    </w:tbl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* Načasovanie SEA závis</w:t>
      </w:r>
      <w:r w:rsidR="005703BF">
        <w:rPr>
          <w:szCs w:val="24"/>
          <w:lang w:val="sk-SK"/>
        </w:rPr>
        <w:t>í</w:t>
      </w:r>
      <w:r w:rsidRPr="001B100A">
        <w:rPr>
          <w:szCs w:val="24"/>
          <w:lang w:val="sk-SK"/>
        </w:rPr>
        <w:t xml:space="preserve"> </w:t>
      </w:r>
      <w:r w:rsidR="005703BF">
        <w:rPr>
          <w:szCs w:val="24"/>
          <w:lang w:val="sk-SK"/>
        </w:rPr>
        <w:t>od</w:t>
      </w:r>
      <w:r w:rsidRPr="001B100A">
        <w:rPr>
          <w:szCs w:val="24"/>
          <w:lang w:val="sk-SK"/>
        </w:rPr>
        <w:t xml:space="preserve"> zisten</w:t>
      </w:r>
      <w:r w:rsidR="005703BF">
        <w:rPr>
          <w:szCs w:val="24"/>
          <w:lang w:val="sk-SK"/>
        </w:rPr>
        <w:t>í</w:t>
      </w:r>
      <w:r w:rsidRPr="001B100A">
        <w:rPr>
          <w:szCs w:val="24"/>
          <w:lang w:val="sk-SK"/>
        </w:rPr>
        <w:t xml:space="preserve"> a zdržan</w:t>
      </w:r>
      <w:r w:rsidR="005703BF">
        <w:rPr>
          <w:szCs w:val="24"/>
          <w:lang w:val="sk-SK"/>
        </w:rPr>
        <w:t>í</w:t>
      </w:r>
      <w:r w:rsidRPr="001B100A">
        <w:rPr>
          <w:szCs w:val="24"/>
          <w:lang w:val="sk-SK"/>
        </w:rPr>
        <w:t xml:space="preserve"> kompetentných inštitúcií, ako je Ministerstvo životného prostredia Slovenskej republiky.</w:t>
      </w:r>
    </w:p>
    <w:p w:rsidR="00191995" w:rsidRPr="001B100A" w:rsidRDefault="00191995" w:rsidP="00191995">
      <w:pPr>
        <w:jc w:val="both"/>
        <w:rPr>
          <w:lang w:val="sk-SK"/>
        </w:rPr>
      </w:pPr>
    </w:p>
    <w:p w:rsidR="00191995" w:rsidRPr="001B100A" w:rsidRDefault="00191995" w:rsidP="00191995">
      <w:pPr>
        <w:jc w:val="both"/>
        <w:rPr>
          <w:lang w:val="sk-SK"/>
        </w:rPr>
      </w:pPr>
    </w:p>
    <w:p w:rsidR="00191995" w:rsidRPr="001B100A" w:rsidRDefault="00191995" w:rsidP="00191995">
      <w:pPr>
        <w:jc w:val="both"/>
        <w:rPr>
          <w:lang w:val="sk-SK"/>
        </w:rPr>
      </w:pPr>
    </w:p>
    <w:p w:rsidR="0078489F" w:rsidRPr="001B100A" w:rsidRDefault="0078489F" w:rsidP="00191995">
      <w:pPr>
        <w:jc w:val="both"/>
        <w:rPr>
          <w:lang w:val="sk-SK"/>
        </w:rPr>
      </w:pPr>
    </w:p>
    <w:p w:rsidR="0078489F" w:rsidRPr="001B100A" w:rsidRDefault="0078489F" w:rsidP="00191995">
      <w:pPr>
        <w:jc w:val="both"/>
        <w:rPr>
          <w:lang w:val="sk-SK"/>
        </w:rPr>
      </w:pPr>
    </w:p>
    <w:p w:rsidR="0078489F" w:rsidRPr="001B100A" w:rsidRDefault="0078489F" w:rsidP="00191995">
      <w:pPr>
        <w:jc w:val="both"/>
        <w:rPr>
          <w:lang w:val="sk-SK"/>
        </w:rPr>
      </w:pPr>
    </w:p>
    <w:p w:rsidR="00831583" w:rsidRPr="001B100A" w:rsidRDefault="00831583" w:rsidP="00831583">
      <w:pPr>
        <w:pStyle w:val="Nadpis2"/>
        <w:numPr>
          <w:ilvl w:val="1"/>
          <w:numId w:val="1"/>
        </w:numPr>
        <w:pBdr>
          <w:bottom w:val="single" w:sz="12" w:space="1" w:color="365F91"/>
        </w:pBdr>
        <w:spacing w:before="360" w:after="120"/>
        <w:jc w:val="both"/>
        <w:rPr>
          <w:bCs w:val="0"/>
          <w:szCs w:val="24"/>
          <w:lang w:val="sk-SK"/>
        </w:rPr>
      </w:pPr>
      <w:bookmarkStart w:id="3" w:name="_Toc390854825"/>
      <w:r w:rsidRPr="001B100A">
        <w:rPr>
          <w:bCs w:val="0"/>
          <w:szCs w:val="24"/>
          <w:lang w:val="sk-SK"/>
        </w:rPr>
        <w:t>Všeobecn</w:t>
      </w:r>
      <w:r w:rsidR="005703BF">
        <w:rPr>
          <w:bCs w:val="0"/>
          <w:szCs w:val="24"/>
          <w:lang w:val="sk-SK"/>
        </w:rPr>
        <w:t>é stanovisko</w:t>
      </w:r>
      <w:r w:rsidRPr="001B100A">
        <w:rPr>
          <w:bCs w:val="0"/>
          <w:szCs w:val="24"/>
          <w:lang w:val="sk-SK"/>
        </w:rPr>
        <w:t xml:space="preserve"> </w:t>
      </w:r>
      <w:r w:rsidR="005703BF">
        <w:rPr>
          <w:bCs w:val="0"/>
          <w:szCs w:val="24"/>
          <w:lang w:val="sk-SK"/>
        </w:rPr>
        <w:t>k</w:t>
      </w:r>
      <w:r w:rsidRPr="001B100A">
        <w:rPr>
          <w:bCs w:val="0"/>
          <w:szCs w:val="24"/>
          <w:lang w:val="sk-SK"/>
        </w:rPr>
        <w:t xml:space="preserve"> OP INTERACT III </w:t>
      </w:r>
    </w:p>
    <w:bookmarkEnd w:id="3"/>
    <w:p w:rsidR="00191995" w:rsidRPr="001B100A" w:rsidRDefault="00191995">
      <w:pPr>
        <w:rPr>
          <w:lang w:val="sk-SK"/>
        </w:rPr>
      </w:pPr>
    </w:p>
    <w:p w:rsidR="00831583" w:rsidRPr="001B100A" w:rsidRDefault="00831583" w:rsidP="00CB54A9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P</w:t>
      </w:r>
      <w:r w:rsidR="00D850D5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INTERACT III </w:t>
      </w:r>
      <w:r w:rsidR="005703BF">
        <w:rPr>
          <w:szCs w:val="24"/>
          <w:lang w:val="sk-SK"/>
        </w:rPr>
        <w:t>bol postupne vytvorený</w:t>
      </w:r>
      <w:r w:rsidRPr="001B100A">
        <w:rPr>
          <w:szCs w:val="24"/>
          <w:lang w:val="sk-SK"/>
        </w:rPr>
        <w:t xml:space="preserve"> počas dostatočne dlhého časového obdobia, od roku 2012 do mája 2014. Vytvorila sa programová pracovná skupina „</w:t>
      </w:r>
      <w:proofErr w:type="spellStart"/>
      <w:r w:rsidRPr="001B100A">
        <w:rPr>
          <w:szCs w:val="24"/>
          <w:lang w:val="sk-SK"/>
        </w:rPr>
        <w:t>Task</w:t>
      </w:r>
      <w:proofErr w:type="spellEnd"/>
      <w:r w:rsidRPr="001B100A">
        <w:rPr>
          <w:szCs w:val="24"/>
          <w:lang w:val="sk-SK"/>
        </w:rPr>
        <w:t xml:space="preserve"> </w:t>
      </w:r>
      <w:proofErr w:type="spellStart"/>
      <w:r w:rsidRPr="001B100A">
        <w:rPr>
          <w:szCs w:val="24"/>
          <w:lang w:val="sk-SK"/>
        </w:rPr>
        <w:t>Force</w:t>
      </w:r>
      <w:proofErr w:type="spellEnd"/>
      <w:r w:rsidRPr="001B100A">
        <w:rPr>
          <w:szCs w:val="24"/>
          <w:lang w:val="sk-SK"/>
        </w:rPr>
        <w:t xml:space="preserve">“ pozostávajúca zo zástupcov </w:t>
      </w:r>
      <w:r w:rsidR="00D850D5">
        <w:rPr>
          <w:szCs w:val="24"/>
          <w:lang w:val="sk-SK"/>
        </w:rPr>
        <w:t xml:space="preserve">10 </w:t>
      </w:r>
      <w:r w:rsidRPr="001B100A">
        <w:rPr>
          <w:szCs w:val="24"/>
          <w:lang w:val="sk-SK"/>
        </w:rPr>
        <w:t>členských štátov</w:t>
      </w:r>
      <w:r w:rsidR="00D850D5">
        <w:rPr>
          <w:szCs w:val="24"/>
          <w:lang w:val="sk-SK"/>
        </w:rPr>
        <w:t xml:space="preserve"> a</w:t>
      </w:r>
      <w:r w:rsidRPr="001B100A">
        <w:rPr>
          <w:szCs w:val="24"/>
          <w:lang w:val="sk-SK"/>
        </w:rPr>
        <w:t xml:space="preserve"> riadiaceho orgánu a</w:t>
      </w:r>
      <w:r w:rsidR="00D850D5">
        <w:rPr>
          <w:szCs w:val="24"/>
          <w:lang w:val="sk-SK"/>
        </w:rPr>
        <w:t xml:space="preserve">ko aj  </w:t>
      </w:r>
      <w:r w:rsidR="000124E6">
        <w:rPr>
          <w:szCs w:val="24"/>
          <w:lang w:val="sk-SK"/>
        </w:rPr>
        <w:t>p</w:t>
      </w:r>
      <w:r w:rsidR="00D850D5">
        <w:rPr>
          <w:szCs w:val="24"/>
          <w:lang w:val="sk-SK"/>
        </w:rPr>
        <w:t>rogramovacieho výboru pozostávajúc</w:t>
      </w:r>
      <w:r w:rsidR="00F123AA">
        <w:rPr>
          <w:szCs w:val="24"/>
          <w:lang w:val="sk-SK"/>
        </w:rPr>
        <w:t>eho</w:t>
      </w:r>
      <w:r w:rsidR="00D850D5">
        <w:rPr>
          <w:szCs w:val="24"/>
          <w:lang w:val="sk-SK"/>
        </w:rPr>
        <w:t xml:space="preserve"> zo zástupcov </w:t>
      </w:r>
      <w:r w:rsidR="00E000AD">
        <w:rPr>
          <w:szCs w:val="24"/>
          <w:lang w:val="sk-SK"/>
        </w:rPr>
        <w:t xml:space="preserve">všetkých </w:t>
      </w:r>
      <w:r w:rsidR="00D850D5">
        <w:rPr>
          <w:szCs w:val="24"/>
          <w:lang w:val="sk-SK"/>
        </w:rPr>
        <w:t>členských štátov, Nórska a Švaj</w:t>
      </w:r>
      <w:r w:rsidR="0004652E">
        <w:rPr>
          <w:szCs w:val="24"/>
          <w:lang w:val="sk-SK"/>
        </w:rPr>
        <w:t>č</w:t>
      </w:r>
      <w:r w:rsidR="00D850D5">
        <w:rPr>
          <w:szCs w:val="24"/>
          <w:lang w:val="sk-SK"/>
        </w:rPr>
        <w:t>iarska</w:t>
      </w:r>
      <w:r w:rsidRPr="001B100A">
        <w:rPr>
          <w:szCs w:val="24"/>
          <w:lang w:val="sk-SK"/>
        </w:rPr>
        <w:t>. Návrh P</w:t>
      </w:r>
      <w:r w:rsidR="00E000AD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bol konzultovaný počas stretnutí </w:t>
      </w:r>
      <w:r w:rsidR="00E000AD">
        <w:rPr>
          <w:szCs w:val="24"/>
          <w:lang w:val="sk-SK"/>
        </w:rPr>
        <w:t>programovacieho</w:t>
      </w:r>
      <w:r w:rsidR="00E000AD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výboru a bol podrobne pripomienkovaný členmi </w:t>
      </w:r>
      <w:r w:rsidR="008E0A6C">
        <w:rPr>
          <w:szCs w:val="24"/>
          <w:lang w:val="sk-SK"/>
        </w:rPr>
        <w:t>programovacieho</w:t>
      </w:r>
      <w:r w:rsidR="008E0A6C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výboru.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P</w:t>
      </w:r>
      <w:r w:rsidR="008E0A6C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je založený na prieskume potrieb, ktorý stanovil výzvy a potreby programov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. Počas mnohých konzultácií bola vypracovaná nová riadiaca štruktúra a rozdelenie úloh. </w:t>
      </w:r>
      <w:r w:rsidR="005703BF">
        <w:rPr>
          <w:szCs w:val="24"/>
          <w:lang w:val="sk-SK"/>
        </w:rPr>
        <w:t>V</w:t>
      </w:r>
      <w:r w:rsidRPr="001B100A">
        <w:rPr>
          <w:szCs w:val="24"/>
          <w:lang w:val="sk-SK"/>
        </w:rPr>
        <w:t xml:space="preserve">opred </w:t>
      </w:r>
      <w:r w:rsidR="006C53D4">
        <w:rPr>
          <w:szCs w:val="24"/>
          <w:lang w:val="sk-SK"/>
        </w:rPr>
        <w:t xml:space="preserve">boli </w:t>
      </w:r>
      <w:r w:rsidR="005703BF">
        <w:rPr>
          <w:szCs w:val="24"/>
          <w:lang w:val="sk-SK"/>
        </w:rPr>
        <w:t>identifikované</w:t>
      </w:r>
      <w:r w:rsidRPr="001B100A">
        <w:rPr>
          <w:szCs w:val="24"/>
          <w:lang w:val="sk-SK"/>
        </w:rPr>
        <w:t xml:space="preserve"> </w:t>
      </w:r>
      <w:r w:rsidR="005703BF">
        <w:rPr>
          <w:szCs w:val="24"/>
          <w:lang w:val="sk-SK"/>
        </w:rPr>
        <w:t>potenciálne</w:t>
      </w:r>
      <w:r w:rsidR="005703BF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problémy s financovaním a</w:t>
      </w:r>
      <w:r w:rsidR="006C53D4">
        <w:rPr>
          <w:szCs w:val="24"/>
          <w:lang w:val="sk-SK"/>
        </w:rPr>
        <w:t xml:space="preserve"> boli </w:t>
      </w:r>
      <w:r w:rsidRPr="001B100A">
        <w:rPr>
          <w:szCs w:val="24"/>
          <w:lang w:val="sk-SK"/>
        </w:rPr>
        <w:t>riešené vyžiadaním si j</w:t>
      </w:r>
      <w:r w:rsidR="005703BF">
        <w:rPr>
          <w:szCs w:val="24"/>
          <w:lang w:val="sk-SK"/>
        </w:rPr>
        <w:t>ednoznačných</w:t>
      </w:r>
      <w:r w:rsidRPr="001B100A">
        <w:rPr>
          <w:szCs w:val="24"/>
          <w:lang w:val="sk-SK"/>
        </w:rPr>
        <w:t xml:space="preserve"> finančných záväzkov k </w:t>
      </w:r>
      <w:r w:rsidR="005703BF">
        <w:rPr>
          <w:szCs w:val="24"/>
          <w:lang w:val="sk-SK"/>
        </w:rPr>
        <w:t>samotným</w:t>
      </w:r>
      <w:r w:rsidR="005703BF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príspevkom členských štátov. P</w:t>
      </w:r>
      <w:r w:rsidR="006C53D4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je logický a konzistentný a prispieva k Stratégii 2020, k makro regionálnym stratégiám a využíva inovatívne prístupy.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hodnotenie nezistilo žiadne významné pripomienky proti P</w:t>
      </w:r>
      <w:r w:rsidR="009C4C7E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INTERACT III, ale navrhuje drobné úpravy ukazovateľov.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Čo sa týka Strategického environmentálneho hodnotenia (SEA) na základe formálneho oznámenia (správy), ktoré bolo podané, Ministerstvo životného prostredia Slovenskej republiky </w:t>
      </w:r>
      <w:r w:rsidR="00171327" w:rsidRPr="001B100A">
        <w:rPr>
          <w:szCs w:val="24"/>
          <w:lang w:val="sk-SK"/>
        </w:rPr>
        <w:t xml:space="preserve">informovalo </w:t>
      </w:r>
      <w:r w:rsidRPr="001B100A">
        <w:rPr>
          <w:szCs w:val="24"/>
          <w:lang w:val="sk-SK"/>
        </w:rPr>
        <w:t xml:space="preserve">riadiaci orgán o tom, že postup SEA nie je potrebný. Riadiaci orgán rozposlal písomné potvrdenie tohto názoru partnerom programu.  </w:t>
      </w:r>
    </w:p>
    <w:p w:rsidR="00D728CA" w:rsidRPr="001B100A" w:rsidRDefault="00D728CA" w:rsidP="00D728CA">
      <w:pPr>
        <w:jc w:val="both"/>
        <w:rPr>
          <w:lang w:val="sk-SK"/>
        </w:rPr>
      </w:pPr>
    </w:p>
    <w:p w:rsidR="00831583" w:rsidRPr="001B100A" w:rsidRDefault="00831583" w:rsidP="00831583">
      <w:pPr>
        <w:pStyle w:val="Nadpis2"/>
        <w:numPr>
          <w:ilvl w:val="1"/>
          <w:numId w:val="1"/>
        </w:numPr>
        <w:pBdr>
          <w:bottom w:val="single" w:sz="12" w:space="1" w:color="365F91"/>
        </w:pBdr>
        <w:spacing w:before="360" w:after="120"/>
        <w:jc w:val="both"/>
        <w:rPr>
          <w:bCs w:val="0"/>
          <w:szCs w:val="24"/>
          <w:lang w:val="sk-SK"/>
        </w:rPr>
      </w:pPr>
      <w:r w:rsidRPr="001B100A">
        <w:rPr>
          <w:bCs w:val="0"/>
          <w:szCs w:val="24"/>
          <w:lang w:val="sk-SK"/>
        </w:rPr>
        <w:t xml:space="preserve">Najdôležitejšie zistenia a odporúčania </w:t>
      </w:r>
    </w:p>
    <w:p w:rsidR="00D728CA" w:rsidRPr="001B100A" w:rsidRDefault="00D728CA">
      <w:pPr>
        <w:rPr>
          <w:lang w:val="sk-SK"/>
        </w:rPr>
      </w:pPr>
    </w:p>
    <w:p w:rsidR="00831583" w:rsidRPr="001B100A" w:rsidRDefault="00831583" w:rsidP="00831583">
      <w:pPr>
        <w:pStyle w:val="Nadpis3"/>
        <w:rPr>
          <w:bCs w:val="0"/>
          <w:szCs w:val="24"/>
          <w:lang w:val="sk-SK"/>
        </w:rPr>
      </w:pPr>
      <w:r w:rsidRPr="001B100A">
        <w:rPr>
          <w:bCs w:val="0"/>
          <w:szCs w:val="24"/>
          <w:lang w:val="sk-SK"/>
        </w:rPr>
        <w:t xml:space="preserve"> Horizontálne </w:t>
      </w:r>
      <w:r w:rsidR="008D7210">
        <w:rPr>
          <w:bCs w:val="0"/>
          <w:szCs w:val="24"/>
          <w:lang w:val="sk-SK"/>
        </w:rPr>
        <w:t>princípy</w:t>
      </w:r>
    </w:p>
    <w:p w:rsidR="00D728CA" w:rsidRPr="001B100A" w:rsidRDefault="00D728CA">
      <w:pPr>
        <w:rPr>
          <w:lang w:val="sk-SK"/>
        </w:rPr>
      </w:pPr>
    </w:p>
    <w:p w:rsidR="00831583" w:rsidRPr="00C12F32" w:rsidRDefault="00831583" w:rsidP="00831583">
      <w:pPr>
        <w:keepNext/>
        <w:keepLines/>
        <w:spacing w:before="300" w:after="120"/>
        <w:jc w:val="both"/>
        <w:outlineLvl w:val="2"/>
        <w:rPr>
          <w:szCs w:val="24"/>
          <w:u w:val="single"/>
          <w:lang w:val="sk-SK"/>
        </w:rPr>
      </w:pPr>
      <w:r w:rsidRPr="00C12F32">
        <w:rPr>
          <w:szCs w:val="24"/>
          <w:u w:val="single"/>
          <w:lang w:val="sk-SK"/>
        </w:rPr>
        <w:t>Zistenia</w:t>
      </w:r>
    </w:p>
    <w:p w:rsidR="00831583" w:rsidRPr="001B100A" w:rsidRDefault="00831583" w:rsidP="00831583">
      <w:pPr>
        <w:keepNext/>
        <w:keepLines/>
        <w:spacing w:before="300" w:after="120"/>
        <w:jc w:val="both"/>
        <w:outlineLvl w:val="2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V súlade s článkom 8, odsek 7 </w:t>
      </w:r>
      <w:r w:rsidR="002D2C6C">
        <w:rPr>
          <w:szCs w:val="24"/>
          <w:lang w:val="sk-SK"/>
        </w:rPr>
        <w:t>n</w:t>
      </w:r>
      <w:r w:rsidRPr="001B100A">
        <w:rPr>
          <w:szCs w:val="24"/>
          <w:lang w:val="sk-SK"/>
        </w:rPr>
        <w:t>ariadenia č. 1299/2013, na programy URBACT, INTERACT a ESPON sa nevzťahujú horizontálne zásady rovnosti, rovnakých príležitostí a nediskriminácie a trvalo udržateľného rozvoja.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Tieto zásady však odzrkadľujú hlavnú legislatívu a základné politiky EÚ a nemali by byť podľa názoru 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hodnotiteľov vynechané.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Z dôvodu tejto výnimky neboli horizontálne </w:t>
      </w:r>
      <w:r w:rsidR="00831963">
        <w:rPr>
          <w:szCs w:val="24"/>
          <w:lang w:val="sk-SK"/>
        </w:rPr>
        <w:t>princípy</w:t>
      </w:r>
      <w:r w:rsidR="00831963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zohľadnené pri</w:t>
      </w:r>
      <w:r w:rsidR="0050764F">
        <w:rPr>
          <w:szCs w:val="24"/>
          <w:lang w:val="sk-SK"/>
        </w:rPr>
        <w:t xml:space="preserve"> vytváraní</w:t>
      </w:r>
      <w:r w:rsidRPr="001B100A">
        <w:rPr>
          <w:szCs w:val="24"/>
          <w:lang w:val="sk-SK"/>
        </w:rPr>
        <w:t xml:space="preserve"> návrhu P</w:t>
      </w:r>
      <w:r w:rsidR="002D2C6C">
        <w:rPr>
          <w:szCs w:val="24"/>
          <w:lang w:val="sk-SK"/>
        </w:rPr>
        <w:t>S</w:t>
      </w:r>
      <w:r w:rsidRPr="001B100A">
        <w:rPr>
          <w:szCs w:val="24"/>
          <w:lang w:val="sk-SK"/>
        </w:rPr>
        <w:t>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hodnotenie podčiarkuje možnosti uplatnenia horizontálnych priorít v samotnom riadení programu, ako aj pri produktoch a službách, ktoré INTERACT III ponúka.</w:t>
      </w:r>
    </w:p>
    <w:p w:rsidR="00416F3B" w:rsidRPr="001B100A" w:rsidRDefault="00831583" w:rsidP="00CB54A9">
      <w:pPr>
        <w:jc w:val="both"/>
        <w:rPr>
          <w:bCs/>
          <w:lang w:val="sk-SK"/>
        </w:rPr>
      </w:pPr>
      <w:r w:rsidRPr="001B100A">
        <w:rPr>
          <w:szCs w:val="24"/>
          <w:lang w:val="sk-SK"/>
        </w:rPr>
        <w:t xml:space="preserve">Čo sa týka </w:t>
      </w:r>
      <w:proofErr w:type="spellStart"/>
      <w:r w:rsidRPr="001B100A">
        <w:rPr>
          <w:szCs w:val="24"/>
          <w:lang w:val="sk-SK"/>
        </w:rPr>
        <w:t>posledne</w:t>
      </w:r>
      <w:proofErr w:type="spellEnd"/>
      <w:r w:rsidRPr="001B100A">
        <w:rPr>
          <w:szCs w:val="24"/>
          <w:lang w:val="sk-SK"/>
        </w:rPr>
        <w:t xml:space="preserve"> menovaného, INTERACT v skutočnosti venuje istú pozornosť otázkam </w:t>
      </w:r>
      <w:r w:rsidRPr="00C12F32">
        <w:rPr>
          <w:b/>
          <w:szCs w:val="24"/>
          <w:lang w:val="sk-SK"/>
        </w:rPr>
        <w:t>rovnosti</w:t>
      </w:r>
      <w:r w:rsidRPr="001B100A">
        <w:rPr>
          <w:szCs w:val="24"/>
          <w:lang w:val="sk-SK"/>
        </w:rPr>
        <w:t xml:space="preserve"> v rámci svojich produktov.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Napríklad informačný list programu INTERACT z jari 2012 sa venoval projektu „Rodové informačné centrá zamerané na orientáciu a odbornú </w:t>
      </w:r>
      <w:r w:rsidRPr="001B100A">
        <w:rPr>
          <w:szCs w:val="24"/>
          <w:lang w:val="sk-SK"/>
        </w:rPr>
        <w:lastRenderedPageBreak/>
        <w:t xml:space="preserve">kvalifikovanosť žien v Albánsku a Čiernej </w:t>
      </w:r>
      <w:r w:rsidR="002B5CE8">
        <w:rPr>
          <w:szCs w:val="24"/>
          <w:lang w:val="sk-SK"/>
        </w:rPr>
        <w:t>H</w:t>
      </w:r>
      <w:r w:rsidR="002B5CE8" w:rsidRPr="001B100A">
        <w:rPr>
          <w:szCs w:val="24"/>
          <w:lang w:val="sk-SK"/>
        </w:rPr>
        <w:t>ore</w:t>
      </w:r>
      <w:r w:rsidRPr="001B100A">
        <w:rPr>
          <w:szCs w:val="24"/>
          <w:lang w:val="sk-SK"/>
        </w:rPr>
        <w:t xml:space="preserve">, ktoré čelia sociálnej </w:t>
      </w:r>
      <w:proofErr w:type="spellStart"/>
      <w:r w:rsidRPr="001B100A">
        <w:rPr>
          <w:szCs w:val="24"/>
          <w:lang w:val="sk-SK"/>
        </w:rPr>
        <w:t>exklúzii</w:t>
      </w:r>
      <w:proofErr w:type="spellEnd"/>
      <w:r w:rsidRPr="001B100A">
        <w:rPr>
          <w:szCs w:val="24"/>
          <w:lang w:val="sk-SK"/>
        </w:rPr>
        <w:t>“, ktorý bol financovaný programom jadranskej cezhraničnej spolupráce IPA.</w:t>
      </w:r>
    </w:p>
    <w:p w:rsidR="00831583" w:rsidRPr="001B100A" w:rsidRDefault="00831583" w:rsidP="00831583">
      <w:pPr>
        <w:keepNext/>
        <w:keepLines/>
        <w:spacing w:before="300" w:after="120"/>
        <w:jc w:val="both"/>
        <w:outlineLvl w:val="2"/>
        <w:rPr>
          <w:b/>
          <w:szCs w:val="24"/>
          <w:lang w:val="sk-SK"/>
        </w:rPr>
      </w:pPr>
      <w:r w:rsidRPr="001B100A">
        <w:rPr>
          <w:szCs w:val="24"/>
          <w:lang w:val="sk-SK"/>
        </w:rPr>
        <w:t>Existujú rôzne príklady aktívnych prístupov k rodovej rovnosti v programoch cezhraničnej spolupráce, ako aj v </w:t>
      </w:r>
      <w:proofErr w:type="spellStart"/>
      <w:r w:rsidRPr="001B100A">
        <w:rPr>
          <w:szCs w:val="24"/>
          <w:lang w:val="sk-SK"/>
        </w:rPr>
        <w:t>makroregionálnych</w:t>
      </w:r>
      <w:proofErr w:type="spellEnd"/>
      <w:r w:rsidRPr="001B100A">
        <w:rPr>
          <w:szCs w:val="24"/>
          <w:lang w:val="sk-SK"/>
        </w:rPr>
        <w:t xml:space="preserve"> programoch, akým </w:t>
      </w:r>
      <w:r w:rsidR="001B11F6">
        <w:rPr>
          <w:szCs w:val="24"/>
          <w:lang w:val="sk-SK"/>
        </w:rPr>
        <w:t xml:space="preserve">je </w:t>
      </w:r>
      <w:r w:rsidRPr="001B100A">
        <w:rPr>
          <w:szCs w:val="24"/>
          <w:lang w:val="sk-SK"/>
        </w:rPr>
        <w:t>Program regiónu Baltického mora pre roky 2007 – 2013.</w:t>
      </w:r>
    </w:p>
    <w:p w:rsidR="00831583" w:rsidRPr="001B100A" w:rsidRDefault="00831583" w:rsidP="00831583">
      <w:pPr>
        <w:keepNext/>
        <w:keepLines/>
        <w:spacing w:before="300" w:after="120"/>
        <w:jc w:val="both"/>
        <w:outlineLvl w:val="2"/>
        <w:rPr>
          <w:szCs w:val="24"/>
          <w:lang w:val="sk-SK"/>
        </w:rPr>
      </w:pPr>
      <w:r w:rsidRPr="001B100A">
        <w:rPr>
          <w:szCs w:val="24"/>
          <w:lang w:val="sk-SK"/>
        </w:rPr>
        <w:t>V niektorých krajinách EÚ žijú pomerne veľké komunity menšín v pohraničných regiónoch.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Prítomnosť znevýhodnených skupín v pohraničných regiónoch môže viesť k cezhraničnej trestnej činnosti a vyžaduje si špeciálne cezhraničné prístupy.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Okrem iných existujú z dôvodu týchto faktorov rôzne programy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>, ktoré využívajú aktívny prístup k</w:t>
      </w:r>
      <w:r w:rsidR="001B11F6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menšinám</w:t>
      </w:r>
      <w:r w:rsidR="001B11F6">
        <w:rPr>
          <w:szCs w:val="24"/>
          <w:lang w:val="sk-SK"/>
        </w:rPr>
        <w:t>,</w:t>
      </w:r>
      <w:r w:rsidRPr="001B100A">
        <w:rPr>
          <w:szCs w:val="24"/>
          <w:lang w:val="sk-SK"/>
        </w:rPr>
        <w:t xml:space="preserve"> a ktoré dokonca financujú konkrétne projekty venované tejto téme.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Hodnotitelia </w:t>
      </w:r>
      <w:r w:rsidR="00C20233" w:rsidRPr="00C12F32">
        <w:rPr>
          <w:b/>
          <w:szCs w:val="24"/>
          <w:lang w:val="sk-SK"/>
        </w:rPr>
        <w:t>ne</w:t>
      </w:r>
      <w:r w:rsidRPr="00C12F32">
        <w:rPr>
          <w:b/>
          <w:szCs w:val="24"/>
          <w:lang w:val="sk-SK"/>
        </w:rPr>
        <w:t>našli</w:t>
      </w:r>
      <w:r w:rsidRPr="001B100A">
        <w:rPr>
          <w:szCs w:val="24"/>
          <w:lang w:val="sk-SK"/>
        </w:rPr>
        <w:t xml:space="preserve"> dôkazy o tom, že INTERACT venuje zvláštnu pozornosť </w:t>
      </w:r>
      <w:r w:rsidRPr="00C12F32">
        <w:rPr>
          <w:b/>
          <w:szCs w:val="24"/>
          <w:lang w:val="sk-SK"/>
        </w:rPr>
        <w:t>nediskriminácii</w:t>
      </w:r>
      <w:r w:rsidRPr="001B100A">
        <w:rPr>
          <w:szCs w:val="24"/>
          <w:lang w:val="sk-SK"/>
        </w:rPr>
        <w:t>, napríklad výmenou najlepším postupov v tejto oblasti.</w:t>
      </w:r>
    </w:p>
    <w:p w:rsidR="00831583" w:rsidRPr="001B100A" w:rsidRDefault="00831583" w:rsidP="00831583">
      <w:pPr>
        <w:keepNext/>
        <w:keepLines/>
        <w:spacing w:before="300" w:after="120"/>
        <w:jc w:val="both"/>
        <w:outlineLvl w:val="2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Špeciálna pozornosť sa venuje horizontálnej </w:t>
      </w:r>
      <w:r w:rsidR="005A025A" w:rsidRPr="001B100A">
        <w:rPr>
          <w:szCs w:val="24"/>
          <w:lang w:val="sk-SK"/>
        </w:rPr>
        <w:t>priorit</w:t>
      </w:r>
      <w:r w:rsidR="005A025A">
        <w:rPr>
          <w:szCs w:val="24"/>
          <w:lang w:val="sk-SK"/>
        </w:rPr>
        <w:t>e</w:t>
      </w:r>
      <w:r w:rsidR="005A025A" w:rsidRPr="001B100A">
        <w:rPr>
          <w:szCs w:val="24"/>
          <w:lang w:val="sk-SK"/>
        </w:rPr>
        <w:t xml:space="preserve"> </w:t>
      </w:r>
      <w:r w:rsidRPr="00C12F32">
        <w:rPr>
          <w:b/>
          <w:szCs w:val="24"/>
          <w:lang w:val="sk-SK"/>
        </w:rPr>
        <w:t>trvalo udržateľného rozvoja</w:t>
      </w:r>
      <w:r w:rsidRPr="001B100A">
        <w:rPr>
          <w:szCs w:val="24"/>
          <w:lang w:val="sk-SK"/>
        </w:rPr>
        <w:t>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Napríklad program INTERACT a program Inteligentná energia </w:t>
      </w:r>
      <w:r w:rsidR="001B11F6">
        <w:rPr>
          <w:szCs w:val="24"/>
          <w:lang w:val="sk-SK"/>
        </w:rPr>
        <w:t>–</w:t>
      </w:r>
      <w:r w:rsidR="001B11F6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Európa (IEE) spoločne zorganizovali dvojdňový seminár „Zrýchlenie zmeny na lokálnej úrovni pre účinné riešenia trvalo udržateľnej energie“, ktorý sa konal v máji 2013 v Bruseli, a kontaktný bod IP Valencia spolupracuje so stredozemnou pracovnou skupinou </w:t>
      </w:r>
      <w:proofErr w:type="spellStart"/>
      <w:r w:rsidRPr="001B100A">
        <w:rPr>
          <w:szCs w:val="24"/>
          <w:lang w:val="sk-SK"/>
        </w:rPr>
        <w:t>L</w:t>
      </w:r>
      <w:r w:rsidR="001B11F6">
        <w:rPr>
          <w:szCs w:val="24"/>
          <w:lang w:val="sk-SK"/>
        </w:rPr>
        <w:t>ab</w:t>
      </w:r>
      <w:proofErr w:type="spellEnd"/>
      <w:r w:rsidRPr="001B100A">
        <w:rPr>
          <w:szCs w:val="24"/>
          <w:lang w:val="sk-SK"/>
        </w:rPr>
        <w:t xml:space="preserve"> pri otázkach energetickej efektivity.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Program INTERACT však vyslovene nemonitoruje ani nepodáva správu o tom, koľko produktov a služieb bolo v tejto oblasti poskytnutých.</w:t>
      </w:r>
    </w:p>
    <w:p w:rsidR="001B397C" w:rsidRPr="001B100A" w:rsidRDefault="001B397C">
      <w:pPr>
        <w:rPr>
          <w:lang w:val="sk-SK"/>
        </w:rPr>
      </w:pPr>
    </w:p>
    <w:p w:rsidR="00831583" w:rsidRPr="001B100A" w:rsidRDefault="00831583" w:rsidP="00831583">
      <w:pPr>
        <w:rPr>
          <w:szCs w:val="24"/>
          <w:u w:val="single"/>
          <w:lang w:val="sk-SK"/>
        </w:rPr>
      </w:pPr>
      <w:r w:rsidRPr="001B100A">
        <w:rPr>
          <w:szCs w:val="24"/>
          <w:u w:val="single"/>
          <w:lang w:val="sk-SK"/>
        </w:rPr>
        <w:t>Odporúčania</w:t>
      </w:r>
    </w:p>
    <w:p w:rsidR="001B397C" w:rsidRPr="001B100A" w:rsidRDefault="001B397C">
      <w:pPr>
        <w:rPr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Odporúča sa, aby bola venovaná špeciálna pozornosť potrebe podpory riešenia rodovej rovnosti v programoch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>, aby boli poskytované služby a nástroje týkajúce sa rodovej rovnosti, a aby sa monitorovali aktivity programu INTERACT v tomto smere.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Odporúča sa, aby bola venovaná špeciálna pozornosť potrebe služieb a produktov INTERACT týkajúcich sa otázok menšín, postihnutý</w:t>
      </w:r>
      <w:r w:rsidR="001B11F6">
        <w:rPr>
          <w:szCs w:val="24"/>
          <w:lang w:val="sk-SK"/>
        </w:rPr>
        <w:t>ch</w:t>
      </w:r>
      <w:r w:rsidRPr="001B100A">
        <w:rPr>
          <w:szCs w:val="24"/>
          <w:lang w:val="sk-SK"/>
        </w:rPr>
        <w:t xml:space="preserve"> skup</w:t>
      </w:r>
      <w:r w:rsidR="001B11F6">
        <w:rPr>
          <w:szCs w:val="24"/>
          <w:lang w:val="sk-SK"/>
        </w:rPr>
        <w:t>í</w:t>
      </w:r>
      <w:r w:rsidRPr="001B100A">
        <w:rPr>
          <w:szCs w:val="24"/>
          <w:lang w:val="sk-SK"/>
        </w:rPr>
        <w:t>n alebo os</w:t>
      </w:r>
      <w:r w:rsidR="001B11F6">
        <w:rPr>
          <w:szCs w:val="24"/>
          <w:lang w:val="sk-SK"/>
        </w:rPr>
        <w:t>ô</w:t>
      </w:r>
      <w:r w:rsidRPr="001B100A">
        <w:rPr>
          <w:szCs w:val="24"/>
          <w:lang w:val="sk-SK"/>
        </w:rPr>
        <w:t xml:space="preserve">b, diskriminácie v programe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>, aby boli poskytované služby a nástroje týkajúce sa týchto otázok</w:t>
      </w:r>
      <w:r w:rsidR="001B11F6">
        <w:rPr>
          <w:szCs w:val="24"/>
          <w:lang w:val="sk-SK"/>
        </w:rPr>
        <w:t xml:space="preserve"> v prípade požiadavky</w:t>
      </w:r>
      <w:r w:rsidRPr="001B100A">
        <w:rPr>
          <w:szCs w:val="24"/>
          <w:lang w:val="sk-SK"/>
        </w:rPr>
        <w:t>, a aby sa</w:t>
      </w:r>
      <w:r w:rsidR="001B11F6" w:rsidRPr="001B100A">
        <w:rPr>
          <w:szCs w:val="24"/>
          <w:lang w:val="sk-SK"/>
        </w:rPr>
        <w:t xml:space="preserve"> v tomto smere</w:t>
      </w:r>
      <w:r w:rsidRPr="001B100A">
        <w:rPr>
          <w:szCs w:val="24"/>
          <w:lang w:val="sk-SK"/>
        </w:rPr>
        <w:t xml:space="preserve"> monitorovali aktivity programu INTERACT.</w:t>
      </w:r>
    </w:p>
    <w:p w:rsidR="001B397C" w:rsidRPr="001B100A" w:rsidRDefault="001B397C" w:rsidP="001B397C">
      <w:pPr>
        <w:spacing w:before="0"/>
        <w:jc w:val="both"/>
        <w:rPr>
          <w:lang w:val="sk-SK"/>
        </w:rPr>
      </w:pPr>
    </w:p>
    <w:p w:rsidR="00831583" w:rsidRPr="001B100A" w:rsidRDefault="00831583" w:rsidP="00831583">
      <w:pPr>
        <w:spacing w:before="0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Odporúča sa, aby boli monitorované</w:t>
      </w:r>
      <w:r w:rsidR="001B11F6">
        <w:rPr>
          <w:szCs w:val="24"/>
          <w:lang w:val="sk-SK"/>
        </w:rPr>
        <w:t>,</w:t>
      </w:r>
      <w:r w:rsidRPr="001B100A">
        <w:rPr>
          <w:szCs w:val="24"/>
          <w:lang w:val="sk-SK"/>
        </w:rPr>
        <w:t xml:space="preserve"> a aby bola podávaná správa o produktoch a službách INTERACT, ktoré sa venujú týmto témam, ktoré spadajú pod horizontálnu prioritu trvalo udržateľného rozvoja a bezpečnej efektivite zdrojov, zmierňovaniu a úpravy klimatických zmien, odolnosti voči katastrofám a prevencii a riadenia rizika.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Týmto spôsobom P</w:t>
      </w:r>
      <w:r w:rsidR="004F7809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INTERACT umožňuje preukázanie jeho príspevku k tejto horizontálnej priorite.</w:t>
      </w:r>
    </w:p>
    <w:p w:rsidR="00831583" w:rsidRPr="001B100A" w:rsidRDefault="00831583" w:rsidP="00831583">
      <w:pPr>
        <w:jc w:val="both"/>
        <w:rPr>
          <w:i/>
          <w:szCs w:val="24"/>
          <w:lang w:val="sk-SK"/>
        </w:rPr>
      </w:pPr>
      <w:proofErr w:type="spellStart"/>
      <w:r w:rsidRPr="001B100A">
        <w:rPr>
          <w:i/>
          <w:szCs w:val="24"/>
          <w:lang w:val="sk-SK"/>
        </w:rPr>
        <w:t>Ex-ante</w:t>
      </w:r>
      <w:proofErr w:type="spellEnd"/>
      <w:r w:rsidRPr="001B100A">
        <w:rPr>
          <w:i/>
          <w:szCs w:val="24"/>
          <w:lang w:val="sk-SK"/>
        </w:rPr>
        <w:t xml:space="preserve"> hodnotenie – úplná správa tiež zahŕňa odporúčania pre využitie horizontálnych priorít v samotnom riadení programu INTERACT.</w:t>
      </w:r>
    </w:p>
    <w:p w:rsidR="0099429B" w:rsidRPr="001B100A" w:rsidRDefault="0099429B">
      <w:pPr>
        <w:spacing w:before="0" w:after="200" w:line="276" w:lineRule="auto"/>
        <w:rPr>
          <w:lang w:val="sk-SK"/>
        </w:rPr>
      </w:pPr>
    </w:p>
    <w:p w:rsidR="00831583" w:rsidRPr="001B100A" w:rsidRDefault="00831583" w:rsidP="00831583">
      <w:pPr>
        <w:jc w:val="both"/>
        <w:rPr>
          <w:i/>
          <w:szCs w:val="24"/>
          <w:u w:val="single"/>
          <w:lang w:val="sk-SK"/>
        </w:rPr>
      </w:pPr>
      <w:r w:rsidRPr="001B100A">
        <w:rPr>
          <w:i/>
          <w:szCs w:val="24"/>
          <w:u w:val="single"/>
          <w:lang w:val="sk-SK"/>
        </w:rPr>
        <w:t>Odpoveď riadiaceho orgánu:</w:t>
      </w:r>
    </w:p>
    <w:p w:rsidR="00831583" w:rsidRPr="001B100A" w:rsidRDefault="00831583" w:rsidP="00831583">
      <w:pPr>
        <w:jc w:val="both"/>
        <w:rPr>
          <w:i/>
          <w:szCs w:val="24"/>
          <w:lang w:val="sk-SK"/>
        </w:rPr>
      </w:pPr>
      <w:r w:rsidRPr="001B100A">
        <w:rPr>
          <w:i/>
          <w:szCs w:val="24"/>
          <w:lang w:val="sk-SK"/>
        </w:rPr>
        <w:t>Odporúčania budú zvážené jednotlivo počas prípravy programových dokumentov.</w:t>
      </w:r>
    </w:p>
    <w:p w:rsidR="009805D7" w:rsidRPr="001B100A" w:rsidRDefault="009805D7" w:rsidP="00CB54A9">
      <w:pPr>
        <w:tabs>
          <w:tab w:val="left" w:pos="3720"/>
        </w:tabs>
        <w:spacing w:before="0" w:after="200" w:line="276" w:lineRule="auto"/>
        <w:rPr>
          <w:lang w:val="sk-SK"/>
        </w:rPr>
      </w:pPr>
      <w:r w:rsidRPr="001B100A">
        <w:rPr>
          <w:lang w:val="sk-SK"/>
        </w:rPr>
        <w:br w:type="page"/>
      </w:r>
    </w:p>
    <w:p w:rsidR="00831583" w:rsidRPr="001B100A" w:rsidRDefault="00831583" w:rsidP="00831583">
      <w:pPr>
        <w:pStyle w:val="Nadpis3"/>
        <w:rPr>
          <w:bCs w:val="0"/>
          <w:szCs w:val="24"/>
          <w:lang w:val="sk-SK"/>
        </w:rPr>
      </w:pPr>
      <w:r w:rsidRPr="001B100A">
        <w:rPr>
          <w:bCs w:val="0"/>
          <w:szCs w:val="24"/>
          <w:lang w:val="sk-SK"/>
        </w:rPr>
        <w:lastRenderedPageBreak/>
        <w:t xml:space="preserve">Ukazovatele </w:t>
      </w:r>
    </w:p>
    <w:p w:rsidR="009805D7" w:rsidRPr="001B100A" w:rsidRDefault="009805D7">
      <w:pPr>
        <w:rPr>
          <w:lang w:val="sk-SK"/>
        </w:rPr>
      </w:pPr>
    </w:p>
    <w:p w:rsidR="00831583" w:rsidRPr="001B100A" w:rsidRDefault="00831583" w:rsidP="00831583">
      <w:pPr>
        <w:rPr>
          <w:szCs w:val="24"/>
          <w:u w:val="single"/>
          <w:lang w:val="sk-SK"/>
        </w:rPr>
      </w:pPr>
      <w:r w:rsidRPr="001B100A">
        <w:rPr>
          <w:szCs w:val="24"/>
          <w:u w:val="single"/>
          <w:lang w:val="sk-SK"/>
        </w:rPr>
        <w:t>Zistenia</w:t>
      </w:r>
    </w:p>
    <w:p w:rsidR="009805D7" w:rsidRPr="001B100A" w:rsidRDefault="009805D7">
      <w:pPr>
        <w:rPr>
          <w:szCs w:val="22"/>
          <w:lang w:val="sk-SK"/>
        </w:rPr>
      </w:pPr>
    </w:p>
    <w:p w:rsidR="00831583" w:rsidRPr="001B100A" w:rsidRDefault="00831583" w:rsidP="00831583">
      <w:pPr>
        <w:rPr>
          <w:szCs w:val="24"/>
          <w:lang w:val="sk-SK"/>
        </w:rPr>
      </w:pPr>
      <w:r w:rsidRPr="001B100A">
        <w:rPr>
          <w:szCs w:val="24"/>
          <w:lang w:val="sk-SK"/>
        </w:rPr>
        <w:t>Návrh P</w:t>
      </w:r>
      <w:r w:rsidR="002E4BD0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zahŕňa nasledovné ukazovatele:</w:t>
      </w:r>
    </w:p>
    <w:p w:rsidR="009805D7" w:rsidRPr="001B100A" w:rsidRDefault="009805D7" w:rsidP="009805D7">
      <w:pPr>
        <w:pStyle w:val="Default"/>
        <w:rPr>
          <w:sz w:val="22"/>
          <w:szCs w:val="22"/>
        </w:rPr>
      </w:pPr>
    </w:p>
    <w:p w:rsidR="00831583" w:rsidRPr="001B100A" w:rsidRDefault="00831583" w:rsidP="00831583">
      <w:pPr>
        <w:pStyle w:val="Default"/>
        <w:rPr>
          <w:rFonts w:cstheme="minorBidi"/>
        </w:rPr>
      </w:pPr>
      <w:r w:rsidRPr="001B100A">
        <w:rPr>
          <w:rFonts w:cstheme="minorBidi"/>
          <w:i/>
          <w:sz w:val="22"/>
        </w:rPr>
        <w:t xml:space="preserve">Dva ukazovatele výstupu: </w:t>
      </w:r>
    </w:p>
    <w:p w:rsidR="009805D7" w:rsidRPr="001B100A" w:rsidRDefault="009805D7" w:rsidP="009805D7">
      <w:pPr>
        <w:pStyle w:val="Default"/>
        <w:rPr>
          <w:sz w:val="22"/>
          <w:szCs w:val="22"/>
        </w:rPr>
      </w:pPr>
    </w:p>
    <w:p w:rsidR="00831583" w:rsidRPr="001B100A" w:rsidRDefault="00831583" w:rsidP="00831583">
      <w:pPr>
        <w:pStyle w:val="Default"/>
        <w:numPr>
          <w:ilvl w:val="0"/>
          <w:numId w:val="3"/>
        </w:numPr>
        <w:rPr>
          <w:rFonts w:cstheme="minorBidi"/>
        </w:rPr>
      </w:pPr>
      <w:r w:rsidRPr="001B100A">
        <w:rPr>
          <w:rFonts w:cstheme="minorBidi"/>
          <w:sz w:val="22"/>
        </w:rPr>
        <w:t xml:space="preserve">Počet podujatí </w:t>
      </w:r>
    </w:p>
    <w:p w:rsidR="00831583" w:rsidRPr="001B100A" w:rsidRDefault="00831583" w:rsidP="00831583">
      <w:pPr>
        <w:pStyle w:val="Default"/>
        <w:numPr>
          <w:ilvl w:val="0"/>
          <w:numId w:val="3"/>
        </w:numPr>
        <w:rPr>
          <w:rFonts w:cstheme="minorBidi"/>
        </w:rPr>
      </w:pPr>
      <w:r w:rsidRPr="001B100A">
        <w:rPr>
          <w:rFonts w:cstheme="minorBidi"/>
          <w:sz w:val="22"/>
        </w:rPr>
        <w:t xml:space="preserve">Počet nástrojov </w:t>
      </w:r>
    </w:p>
    <w:p w:rsidR="009805D7" w:rsidRPr="001B100A" w:rsidRDefault="009805D7" w:rsidP="009805D7">
      <w:pPr>
        <w:pStyle w:val="Default"/>
        <w:rPr>
          <w:sz w:val="22"/>
          <w:szCs w:val="22"/>
        </w:rPr>
      </w:pPr>
    </w:p>
    <w:p w:rsidR="000B4043" w:rsidRPr="001B100A" w:rsidRDefault="000B4043" w:rsidP="009805D7">
      <w:pPr>
        <w:pStyle w:val="Default"/>
        <w:rPr>
          <w:i/>
          <w:iCs/>
          <w:sz w:val="22"/>
          <w:szCs w:val="22"/>
        </w:rPr>
      </w:pPr>
    </w:p>
    <w:p w:rsidR="00831583" w:rsidRPr="001B100A" w:rsidRDefault="00831583" w:rsidP="00831583">
      <w:pPr>
        <w:pStyle w:val="Default"/>
        <w:rPr>
          <w:rFonts w:cstheme="minorBidi"/>
        </w:rPr>
      </w:pPr>
      <w:r w:rsidRPr="001B100A">
        <w:rPr>
          <w:rFonts w:cstheme="minorBidi"/>
          <w:i/>
          <w:sz w:val="22"/>
        </w:rPr>
        <w:t xml:space="preserve">Šesť ukazovateľov výsledkov: </w:t>
      </w:r>
    </w:p>
    <w:p w:rsidR="009805D7" w:rsidRPr="001B100A" w:rsidRDefault="009805D7" w:rsidP="009805D7">
      <w:pPr>
        <w:pStyle w:val="Default"/>
        <w:rPr>
          <w:sz w:val="22"/>
          <w:szCs w:val="22"/>
        </w:rPr>
      </w:pPr>
    </w:p>
    <w:p w:rsidR="00831583" w:rsidRPr="001B100A" w:rsidRDefault="00831583" w:rsidP="00831583">
      <w:pPr>
        <w:pStyle w:val="Odsekzoznamu"/>
        <w:numPr>
          <w:ilvl w:val="0"/>
          <w:numId w:val="5"/>
        </w:num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Úroveň spokojnosti pri programoch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 s produktmi a službami INTERACT zameranými na zlepšenie </w:t>
      </w:r>
      <w:r w:rsidR="00C54B41">
        <w:rPr>
          <w:szCs w:val="24"/>
          <w:lang w:val="sk-SK"/>
        </w:rPr>
        <w:t> riadiacich a kontrolných kapacít</w:t>
      </w:r>
      <w:r w:rsidRPr="001B100A">
        <w:rPr>
          <w:szCs w:val="24"/>
          <w:lang w:val="sk-SK"/>
        </w:rPr>
        <w:t xml:space="preserve"> program</w:t>
      </w:r>
      <w:r w:rsidR="00C54B41">
        <w:rPr>
          <w:szCs w:val="24"/>
          <w:lang w:val="sk-SK"/>
        </w:rPr>
        <w:t>ov</w:t>
      </w:r>
      <w:r w:rsidRPr="001B100A">
        <w:rPr>
          <w:szCs w:val="24"/>
          <w:lang w:val="sk-SK"/>
        </w:rPr>
        <w:t xml:space="preserve">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>.</w:t>
      </w:r>
    </w:p>
    <w:p w:rsidR="00831583" w:rsidRPr="001B100A" w:rsidRDefault="00831583" w:rsidP="00831583">
      <w:pPr>
        <w:pStyle w:val="Odsekzoznamu"/>
        <w:numPr>
          <w:ilvl w:val="0"/>
          <w:numId w:val="5"/>
        </w:num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% programov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 využívajúcich produkty a služby INTERACT zamerané na zlepšenie </w:t>
      </w:r>
      <w:r w:rsidR="00C54B41">
        <w:rPr>
          <w:szCs w:val="24"/>
          <w:lang w:val="sk-SK"/>
        </w:rPr>
        <w:t xml:space="preserve"> riadiacich a kontrolných kapacít </w:t>
      </w:r>
      <w:r w:rsidRPr="001B100A">
        <w:rPr>
          <w:szCs w:val="24"/>
          <w:lang w:val="sk-SK"/>
        </w:rPr>
        <w:t>program</w:t>
      </w:r>
      <w:r w:rsidR="00C54B41">
        <w:rPr>
          <w:szCs w:val="24"/>
          <w:lang w:val="sk-SK"/>
        </w:rPr>
        <w:t>ov</w:t>
      </w:r>
      <w:r w:rsidRPr="001B100A">
        <w:rPr>
          <w:szCs w:val="24"/>
          <w:lang w:val="sk-SK"/>
        </w:rPr>
        <w:t xml:space="preserve">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>.</w:t>
      </w:r>
    </w:p>
    <w:p w:rsidR="00831583" w:rsidRPr="001B100A" w:rsidRDefault="00831583" w:rsidP="00831583">
      <w:pPr>
        <w:pStyle w:val="Odsekzoznamu"/>
        <w:numPr>
          <w:ilvl w:val="0"/>
          <w:numId w:val="5"/>
        </w:num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Úroveň spokojnosti pri programoch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 s produktmi a službami INTERACT zameranými na zlepšenie </w:t>
      </w:r>
      <w:r w:rsidR="00C54B41">
        <w:rPr>
          <w:szCs w:val="24"/>
          <w:lang w:val="sk-SK"/>
        </w:rPr>
        <w:t>kapacity</w:t>
      </w:r>
      <w:r w:rsidR="00C54B41" w:rsidRPr="001B100A">
        <w:rPr>
          <w:szCs w:val="24"/>
          <w:lang w:val="sk-SK"/>
        </w:rPr>
        <w:t xml:space="preserve">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 </w:t>
      </w:r>
      <w:r w:rsidR="00C54B41">
        <w:rPr>
          <w:szCs w:val="24"/>
          <w:lang w:val="sk-SK"/>
        </w:rPr>
        <w:t xml:space="preserve">pri </w:t>
      </w:r>
      <w:r w:rsidRPr="001B100A">
        <w:rPr>
          <w:szCs w:val="24"/>
          <w:lang w:val="sk-SK"/>
        </w:rPr>
        <w:t>zachytáva</w:t>
      </w:r>
      <w:r w:rsidR="00C54B41">
        <w:rPr>
          <w:szCs w:val="24"/>
          <w:lang w:val="sk-SK"/>
        </w:rPr>
        <w:t>ní</w:t>
      </w:r>
      <w:r w:rsidRPr="001B100A">
        <w:rPr>
          <w:szCs w:val="24"/>
          <w:lang w:val="sk-SK"/>
        </w:rPr>
        <w:t xml:space="preserve"> a </w:t>
      </w:r>
      <w:r w:rsidR="00C54B41">
        <w:rPr>
          <w:szCs w:val="24"/>
          <w:lang w:val="sk-SK"/>
        </w:rPr>
        <w:t>propagácií</w:t>
      </w:r>
      <w:r w:rsidRPr="001B100A">
        <w:rPr>
          <w:szCs w:val="24"/>
          <w:lang w:val="sk-SK"/>
        </w:rPr>
        <w:t xml:space="preserve"> </w:t>
      </w:r>
      <w:r w:rsidR="00C54B41">
        <w:rPr>
          <w:szCs w:val="24"/>
          <w:lang w:val="sk-SK"/>
        </w:rPr>
        <w:t>programových výsledkov</w:t>
      </w:r>
      <w:r w:rsidRPr="001B100A">
        <w:rPr>
          <w:szCs w:val="24"/>
          <w:lang w:val="sk-SK"/>
        </w:rPr>
        <w:t>.</w:t>
      </w:r>
    </w:p>
    <w:p w:rsidR="00831583" w:rsidRPr="001B100A" w:rsidRDefault="00831583" w:rsidP="00831583">
      <w:pPr>
        <w:pStyle w:val="Odsekzoznamu"/>
        <w:numPr>
          <w:ilvl w:val="0"/>
          <w:numId w:val="5"/>
        </w:num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% programov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 využívajúcich produkty a služby INTERACT zamerané na zlepšenie </w:t>
      </w:r>
      <w:r w:rsidR="00A77423">
        <w:rPr>
          <w:szCs w:val="24"/>
          <w:lang w:val="sk-SK"/>
        </w:rPr>
        <w:t>kapacity</w:t>
      </w:r>
      <w:r w:rsidR="00A77423" w:rsidRPr="001B100A">
        <w:rPr>
          <w:szCs w:val="24"/>
          <w:lang w:val="sk-SK"/>
        </w:rPr>
        <w:t xml:space="preserve">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 </w:t>
      </w:r>
      <w:r w:rsidR="00A77423">
        <w:rPr>
          <w:szCs w:val="24"/>
          <w:lang w:val="sk-SK"/>
        </w:rPr>
        <w:t xml:space="preserve">pri </w:t>
      </w:r>
      <w:r w:rsidRPr="001B100A">
        <w:rPr>
          <w:szCs w:val="24"/>
          <w:lang w:val="sk-SK"/>
        </w:rPr>
        <w:t>zachytáva</w:t>
      </w:r>
      <w:r w:rsidR="00A77423">
        <w:rPr>
          <w:szCs w:val="24"/>
          <w:lang w:val="sk-SK"/>
        </w:rPr>
        <w:t>ní</w:t>
      </w:r>
      <w:r w:rsidRPr="001B100A">
        <w:rPr>
          <w:szCs w:val="24"/>
          <w:lang w:val="sk-SK"/>
        </w:rPr>
        <w:t xml:space="preserve"> a </w:t>
      </w:r>
      <w:r w:rsidR="00A77423">
        <w:rPr>
          <w:szCs w:val="24"/>
          <w:lang w:val="sk-SK"/>
        </w:rPr>
        <w:t>propagácií</w:t>
      </w:r>
      <w:r w:rsidRPr="001B100A">
        <w:rPr>
          <w:szCs w:val="24"/>
          <w:lang w:val="sk-SK"/>
        </w:rPr>
        <w:t xml:space="preserve"> </w:t>
      </w:r>
      <w:r w:rsidR="00A77423">
        <w:rPr>
          <w:szCs w:val="24"/>
          <w:lang w:val="sk-SK"/>
        </w:rPr>
        <w:t xml:space="preserve">programových </w:t>
      </w:r>
      <w:r w:rsidRPr="001B100A">
        <w:rPr>
          <w:szCs w:val="24"/>
          <w:lang w:val="sk-SK"/>
        </w:rPr>
        <w:t>výsledk</w:t>
      </w:r>
      <w:r w:rsidR="00A77423">
        <w:rPr>
          <w:szCs w:val="24"/>
          <w:lang w:val="sk-SK"/>
        </w:rPr>
        <w:t>ov</w:t>
      </w:r>
      <w:r w:rsidRPr="001B100A">
        <w:rPr>
          <w:szCs w:val="24"/>
          <w:lang w:val="sk-SK"/>
        </w:rPr>
        <w:t>.</w:t>
      </w:r>
    </w:p>
    <w:p w:rsidR="00831583" w:rsidRPr="001B100A" w:rsidRDefault="00831583" w:rsidP="00831583">
      <w:pPr>
        <w:pStyle w:val="Odsekzoznamu"/>
        <w:numPr>
          <w:ilvl w:val="0"/>
          <w:numId w:val="5"/>
        </w:num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Úroveň spokojnosti programov s produktmi a službami INTERACT zameranými na zlepšenie </w:t>
      </w:r>
      <w:r w:rsidR="00A77423">
        <w:rPr>
          <w:szCs w:val="24"/>
          <w:lang w:val="sk-SK"/>
        </w:rPr>
        <w:t>kapacity</w:t>
      </w:r>
      <w:r w:rsidR="00A77423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riadenia spolupráce </w:t>
      </w:r>
      <w:r w:rsidR="00A77423">
        <w:rPr>
          <w:szCs w:val="24"/>
          <w:lang w:val="sk-SK"/>
        </w:rPr>
        <w:t xml:space="preserve">v oblasti  implementácie </w:t>
      </w:r>
      <w:r w:rsidRPr="001B100A">
        <w:rPr>
          <w:szCs w:val="24"/>
          <w:lang w:val="sk-SK"/>
        </w:rPr>
        <w:t xml:space="preserve">inovatívnych prístupov. </w:t>
      </w:r>
    </w:p>
    <w:p w:rsidR="00831583" w:rsidRPr="001B100A" w:rsidRDefault="00831583" w:rsidP="00831583">
      <w:pPr>
        <w:pStyle w:val="Odsekzoznamu"/>
        <w:numPr>
          <w:ilvl w:val="0"/>
          <w:numId w:val="5"/>
        </w:num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% programov využívajúcich produkty a služby INTERACT zamerané na zlepšenie </w:t>
      </w:r>
      <w:r w:rsidR="00A77423">
        <w:rPr>
          <w:szCs w:val="24"/>
          <w:lang w:val="sk-SK"/>
        </w:rPr>
        <w:t xml:space="preserve">kapacity </w:t>
      </w:r>
      <w:r w:rsidRPr="001B100A">
        <w:rPr>
          <w:szCs w:val="24"/>
          <w:lang w:val="sk-SK"/>
        </w:rPr>
        <w:t xml:space="preserve">riadenia spolupráce </w:t>
      </w:r>
      <w:r w:rsidR="00A77423">
        <w:rPr>
          <w:szCs w:val="24"/>
          <w:lang w:val="sk-SK"/>
        </w:rPr>
        <w:t>v oblasti implementácie</w:t>
      </w:r>
      <w:r w:rsidRPr="001B100A">
        <w:rPr>
          <w:szCs w:val="24"/>
          <w:lang w:val="sk-SK"/>
        </w:rPr>
        <w:t xml:space="preserve"> inovatívnych prístupov.</w:t>
      </w:r>
    </w:p>
    <w:p w:rsidR="000B4043" w:rsidRPr="001B100A" w:rsidRDefault="000B4043" w:rsidP="006B5C11">
      <w:pPr>
        <w:keepNext/>
        <w:keepLines/>
        <w:spacing w:before="300" w:after="120"/>
        <w:jc w:val="both"/>
        <w:outlineLvl w:val="2"/>
        <w:rPr>
          <w:bCs/>
          <w:szCs w:val="22"/>
          <w:lang w:val="sk-SK"/>
        </w:rPr>
      </w:pPr>
    </w:p>
    <w:p w:rsidR="00831583" w:rsidRPr="001B100A" w:rsidRDefault="00831583" w:rsidP="00831583">
      <w:pPr>
        <w:keepNext/>
        <w:keepLines/>
        <w:spacing w:before="300" w:after="120"/>
        <w:jc w:val="both"/>
        <w:outlineLvl w:val="2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Čo sa týka jasnosti ukazovateľov výstupu, počet podujatí a počet nástrojov, ktoré majú byť predmetom správy, v skutočnosti </w:t>
      </w:r>
      <w:r w:rsidRPr="001B100A">
        <w:rPr>
          <w:szCs w:val="24"/>
          <w:u w:val="single"/>
          <w:lang w:val="sk-SK"/>
        </w:rPr>
        <w:t>nepredstavujú skutočný počet, ale pomernú hodnotu</w:t>
      </w:r>
      <w:r w:rsidRPr="001B100A">
        <w:rPr>
          <w:szCs w:val="24"/>
          <w:lang w:val="sk-SK"/>
        </w:rPr>
        <w:t>, vypočítanú na základe pomeru určeného pre každý typ výstupu.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Napríklad podľa metódy uplatnenej v programe INTERACT II, ak je INTERACT hlavným organizátorom podujatia, podujatiu sa priradí hodnota 1, ale ak </w:t>
      </w:r>
      <w:r w:rsidR="00092B7E">
        <w:rPr>
          <w:szCs w:val="24"/>
          <w:lang w:val="sk-SK"/>
        </w:rPr>
        <w:t xml:space="preserve">je </w:t>
      </w:r>
      <w:r w:rsidRPr="001B100A">
        <w:rPr>
          <w:szCs w:val="24"/>
          <w:lang w:val="sk-SK"/>
        </w:rPr>
        <w:t>INTERACT len spoluorganizátorom, priradí sa podujatiu hodnota 0,5.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Podobne aj v prípade nástrojov sa novinka, ktorá si vyžaduje obmedzené zdroje, počíta ako 0,3, pričom iné </w:t>
      </w:r>
      <w:r w:rsidR="00A21B33">
        <w:rPr>
          <w:szCs w:val="24"/>
          <w:lang w:val="sk-SK"/>
        </w:rPr>
        <w:t>bežné</w:t>
      </w:r>
      <w:r w:rsidRPr="001B100A">
        <w:rPr>
          <w:szCs w:val="24"/>
          <w:lang w:val="sk-SK"/>
        </w:rPr>
        <w:t xml:space="preserve"> nástroje sa počítajú ako 1. Táto metóda je jednoduchá a účinná, ale v prípade využívania pomerne veľkých vstupov pri určitom výstupe (čas alebo peniaze), bolo by odôvodniteľné priradiť podujatiu alebo nástroju väčšiu hodnotu.</w:t>
      </w:r>
    </w:p>
    <w:p w:rsidR="00831583" w:rsidRPr="001B100A" w:rsidRDefault="00831583" w:rsidP="00831583">
      <w:pPr>
        <w:keepNext/>
        <w:keepLines/>
        <w:spacing w:before="300" w:after="120"/>
        <w:jc w:val="both"/>
        <w:outlineLvl w:val="2"/>
        <w:rPr>
          <w:szCs w:val="24"/>
          <w:lang w:val="sk-SK"/>
        </w:rPr>
      </w:pPr>
      <w:r w:rsidRPr="001B100A">
        <w:rPr>
          <w:szCs w:val="24"/>
          <w:lang w:val="sk-SK"/>
        </w:rPr>
        <w:t>Čo sa týka využitia spoločných ukazovateľov (výstupu) podľa Prílohy I </w:t>
      </w:r>
      <w:r w:rsidR="006A1EA6">
        <w:rPr>
          <w:szCs w:val="24"/>
          <w:lang w:val="sk-SK"/>
        </w:rPr>
        <w:t>n</w:t>
      </w:r>
      <w:r w:rsidRPr="001B100A">
        <w:rPr>
          <w:szCs w:val="24"/>
          <w:lang w:val="sk-SK"/>
        </w:rPr>
        <w:t>ariadenia č. 1299/2013, tieto sa priamo nevzťahujú na investičnú prioritu a konkrétny cieľ P</w:t>
      </w:r>
      <w:r w:rsidR="006A1EA6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INTERACT III.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Je však možné vidieť silnú paralelu s prioritou </w:t>
      </w:r>
      <w:r w:rsidRPr="001B100A">
        <w:rPr>
          <w:i/>
          <w:szCs w:val="24"/>
          <w:lang w:val="sk-SK"/>
        </w:rPr>
        <w:t>Pracovný trh a odborná príprava</w:t>
      </w:r>
      <w:r w:rsidRPr="001B100A">
        <w:rPr>
          <w:szCs w:val="24"/>
          <w:lang w:val="sk-SK"/>
        </w:rPr>
        <w:t>, v prípade ktorej je spoločným ukazovateľom počet účastníkov aktivít.</w:t>
      </w:r>
      <w:r w:rsidRPr="001B100A">
        <w:rPr>
          <w:b/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Toto je tiež bežným ukazovateľom pri ESF, ktorý sa konkrétne zameriava na rozvoj ľudských zdrojov.</w:t>
      </w:r>
    </w:p>
    <w:p w:rsidR="006B5C11" w:rsidRPr="001B100A" w:rsidRDefault="006B5C11">
      <w:pPr>
        <w:rPr>
          <w:lang w:val="sk-SK"/>
        </w:rPr>
      </w:pPr>
    </w:p>
    <w:p w:rsidR="00831583" w:rsidRPr="001B100A" w:rsidRDefault="00831583" w:rsidP="00CB54A9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Čo sa týka interpretácie ukazovateľov výsledkov 2, 4 a 6, ak </w:t>
      </w:r>
      <w:r w:rsidR="007C3FF6">
        <w:rPr>
          <w:szCs w:val="24"/>
          <w:lang w:val="sk-SK"/>
        </w:rPr>
        <w:t xml:space="preserve">sa </w:t>
      </w:r>
      <w:r w:rsidRPr="001B100A">
        <w:rPr>
          <w:szCs w:val="24"/>
          <w:lang w:val="sk-SK"/>
        </w:rPr>
        <w:t xml:space="preserve">pojem </w:t>
      </w:r>
      <w:r w:rsidRPr="001B100A">
        <w:rPr>
          <w:i/>
          <w:szCs w:val="24"/>
          <w:lang w:val="sk-SK"/>
        </w:rPr>
        <w:t>využitie</w:t>
      </w:r>
      <w:r w:rsidRPr="001B100A">
        <w:rPr>
          <w:szCs w:val="24"/>
          <w:lang w:val="sk-SK"/>
        </w:rPr>
        <w:t xml:space="preserve"> chápe ako akékoľvek využitie produktov a služieb INTERACT, úroveň % je v prípade INTERACT II 100</w:t>
      </w:r>
      <w:r w:rsidR="00A21B33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%.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lastRenderedPageBreak/>
        <w:t xml:space="preserve">Čo sa týka využitia šiestich ukazovateľov výsledkov, </w:t>
      </w:r>
      <w:r w:rsidR="00A21B33">
        <w:rPr>
          <w:szCs w:val="24"/>
          <w:lang w:val="sk-SK"/>
        </w:rPr>
        <w:t>zdá sa to byť</w:t>
      </w:r>
      <w:r w:rsidRPr="001B100A">
        <w:rPr>
          <w:szCs w:val="24"/>
          <w:lang w:val="sk-SK"/>
        </w:rPr>
        <w:t xml:space="preserve"> pomerne komplikované z hľadiska merania všeobecného pokroku dosiahnutého na jednej osi priority. Ak sa ukazovatele rozdelia na konkrétne ciele, ukazovatele konkrétnych cieľov, v rámci ktorých sa uskutočňuje nízky počet podujatí, sú pomerne citlivé na extrémne hodnoty, napríklad </w:t>
      </w:r>
      <w:r w:rsidR="00E967B8">
        <w:rPr>
          <w:szCs w:val="24"/>
          <w:lang w:val="sk-SK"/>
        </w:rPr>
        <w:t xml:space="preserve">pre </w:t>
      </w:r>
      <w:r w:rsidRPr="001B100A">
        <w:rPr>
          <w:szCs w:val="24"/>
          <w:lang w:val="sk-SK"/>
        </w:rPr>
        <w:t>konkrétny cieľ 1.3. Generálne riaditeľstvo DG REGIO odporúča obmedziť počet ukazovateľov výsledkov (napr. len na jeden ukazovateľ výsledku pre konkrétny program a pre každú investičnú prioritu a jej konkrétny cieľ). Nezdá sa, že by šesť navrhovaných ukazovateľov výsledkov poskytoval</w:t>
      </w:r>
      <w:r w:rsidR="00C24739">
        <w:rPr>
          <w:szCs w:val="24"/>
          <w:lang w:val="sk-SK"/>
        </w:rPr>
        <w:t>o</w:t>
      </w:r>
      <w:r w:rsidRPr="001B100A">
        <w:rPr>
          <w:szCs w:val="24"/>
          <w:lang w:val="sk-SK"/>
        </w:rPr>
        <w:t xml:space="preserve"> presnejší pohľad na výsledok/dopad programu než napríklad dva ukazovatele, ktoré pokrývajú rovnakú zamýšľanú zmenu – bez pokrytia konkrétnych cieľov. Konkrétnejšie informácie je možné získať v rámci systému riadenia kvality.</w:t>
      </w:r>
    </w:p>
    <w:p w:rsidR="000B4043" w:rsidRPr="001B100A" w:rsidRDefault="000B4043">
      <w:pPr>
        <w:rPr>
          <w:lang w:val="sk-SK"/>
        </w:rPr>
      </w:pPr>
    </w:p>
    <w:p w:rsidR="00831583" w:rsidRPr="001B100A" w:rsidRDefault="00831583" w:rsidP="00831583">
      <w:pPr>
        <w:rPr>
          <w:szCs w:val="24"/>
          <w:u w:val="single"/>
          <w:lang w:val="sk-SK"/>
        </w:rPr>
      </w:pPr>
      <w:r w:rsidRPr="001B100A">
        <w:rPr>
          <w:szCs w:val="24"/>
          <w:u w:val="single"/>
          <w:lang w:val="sk-SK"/>
        </w:rPr>
        <w:t>Odporúčania</w:t>
      </w:r>
    </w:p>
    <w:p w:rsidR="00ED7A59" w:rsidRPr="001B100A" w:rsidRDefault="00ED7A59">
      <w:pPr>
        <w:rPr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Odporúča sa premenovať </w:t>
      </w:r>
      <w:r w:rsidR="00F3436A" w:rsidRPr="001B100A">
        <w:rPr>
          <w:szCs w:val="24"/>
          <w:lang w:val="sk-SK"/>
        </w:rPr>
        <w:t>ukazovate</w:t>
      </w:r>
      <w:r w:rsidR="00F3436A">
        <w:rPr>
          <w:szCs w:val="24"/>
          <w:lang w:val="sk-SK"/>
        </w:rPr>
        <w:t>le</w:t>
      </w:r>
      <w:r w:rsidR="00F3436A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výstupu na „Vážená hodnota podujatí“ a</w:t>
      </w:r>
      <w:r w:rsidR="001643E5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„Vážená hodnota nástrojov“.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Odporúča sa</w:t>
      </w:r>
      <w:r w:rsidR="001643E5">
        <w:rPr>
          <w:szCs w:val="24"/>
          <w:lang w:val="sk-SK"/>
        </w:rPr>
        <w:t xml:space="preserve"> umožniť</w:t>
      </w:r>
      <w:r w:rsidRPr="001B100A">
        <w:rPr>
          <w:szCs w:val="24"/>
          <w:lang w:val="sk-SK"/>
        </w:rPr>
        <w:t xml:space="preserve"> riadiacemu orgánu/</w:t>
      </w:r>
      <w:r w:rsidR="001643E5">
        <w:rPr>
          <w:szCs w:val="24"/>
          <w:lang w:val="sk-SK"/>
        </w:rPr>
        <w:t xml:space="preserve">kontaktným </w:t>
      </w:r>
      <w:r w:rsidRPr="001B100A">
        <w:rPr>
          <w:szCs w:val="24"/>
          <w:lang w:val="sk-SK"/>
        </w:rPr>
        <w:t>bod</w:t>
      </w:r>
      <w:r w:rsidR="001643E5">
        <w:rPr>
          <w:szCs w:val="24"/>
          <w:lang w:val="sk-SK"/>
        </w:rPr>
        <w:t>om</w:t>
      </w:r>
      <w:r w:rsidRPr="001B100A">
        <w:rPr>
          <w:szCs w:val="24"/>
          <w:lang w:val="sk-SK"/>
        </w:rPr>
        <w:t xml:space="preserve"> priradiť vyššie </w:t>
      </w:r>
      <w:r w:rsidR="00EE5CA1" w:rsidRPr="001B100A">
        <w:rPr>
          <w:szCs w:val="24"/>
          <w:lang w:val="sk-SK"/>
        </w:rPr>
        <w:t>hodnot</w:t>
      </w:r>
      <w:r w:rsidR="00EE5CA1">
        <w:rPr>
          <w:szCs w:val="24"/>
          <w:lang w:val="sk-SK"/>
        </w:rPr>
        <w:t>y</w:t>
      </w:r>
      <w:r w:rsidR="00EE5CA1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ukazovateľom výstupu pri počte podujatí a počte nástrojov, ak sa na dané podujatie alebo nástroj venuje pomerne veľký vstup. Z dôvodu konkrétnej povahy každého podujatia a nástroja je veľmi zložité a neefektívne vopred definovať metodológiu pre tento účel. Preto sa odporúča, aby </w:t>
      </w:r>
      <w:r w:rsidR="001643E5">
        <w:rPr>
          <w:szCs w:val="24"/>
          <w:lang w:val="sk-SK"/>
        </w:rPr>
        <w:t xml:space="preserve">mohol </w:t>
      </w:r>
      <w:r w:rsidRPr="001B100A">
        <w:rPr>
          <w:szCs w:val="24"/>
          <w:lang w:val="sk-SK"/>
        </w:rPr>
        <w:t>riadiaci orgán/</w:t>
      </w:r>
      <w:r w:rsidR="001643E5">
        <w:rPr>
          <w:szCs w:val="24"/>
          <w:lang w:val="sk-SK"/>
        </w:rPr>
        <w:t>kontaktné body</w:t>
      </w:r>
      <w:r w:rsidRPr="001B100A">
        <w:rPr>
          <w:szCs w:val="24"/>
          <w:lang w:val="sk-SK"/>
        </w:rPr>
        <w:t xml:space="preserve"> urči</w:t>
      </w:r>
      <w:r w:rsidR="001643E5">
        <w:rPr>
          <w:szCs w:val="24"/>
          <w:lang w:val="sk-SK"/>
        </w:rPr>
        <w:t>ť</w:t>
      </w:r>
      <w:r w:rsidRPr="001B100A">
        <w:rPr>
          <w:szCs w:val="24"/>
          <w:lang w:val="sk-SK"/>
        </w:rPr>
        <w:t xml:space="preserve"> takéto prípady individuálne a priradiť hodnotu na základe spoločnej úvahy. Tento postup by mal byť transparentný a podliehať monitorovaniu zo strany monitorovacieho výboru a hodnoteniam, ktoré by poskytli dostatočné garancie jeho náležitého využitia.</w:t>
      </w:r>
    </w:p>
    <w:p w:rsidR="00A34E01" w:rsidRPr="001B100A" w:rsidRDefault="00A34E01" w:rsidP="00291F17">
      <w:pPr>
        <w:jc w:val="both"/>
        <w:rPr>
          <w:szCs w:val="22"/>
          <w:lang w:val="sk-SK"/>
        </w:rPr>
      </w:pPr>
    </w:p>
    <w:p w:rsidR="00831583" w:rsidRPr="001B100A" w:rsidRDefault="00831583" w:rsidP="00831583">
      <w:pPr>
        <w:jc w:val="both"/>
        <w:rPr>
          <w:i/>
          <w:szCs w:val="24"/>
          <w:u w:val="single"/>
          <w:lang w:val="sk-SK"/>
        </w:rPr>
      </w:pPr>
      <w:r w:rsidRPr="001B100A">
        <w:rPr>
          <w:i/>
          <w:szCs w:val="24"/>
          <w:u w:val="single"/>
          <w:lang w:val="sk-SK"/>
        </w:rPr>
        <w:t>Odpoveď riadiaceho orgánu:</w:t>
      </w:r>
    </w:p>
    <w:p w:rsidR="00831583" w:rsidRPr="001B100A" w:rsidRDefault="00831583" w:rsidP="00831583">
      <w:pPr>
        <w:jc w:val="both"/>
        <w:rPr>
          <w:i/>
          <w:szCs w:val="24"/>
          <w:lang w:val="sk-SK"/>
        </w:rPr>
      </w:pPr>
      <w:r w:rsidRPr="001B100A">
        <w:rPr>
          <w:i/>
          <w:szCs w:val="24"/>
          <w:lang w:val="sk-SK"/>
        </w:rPr>
        <w:t>Odporúčanie bude zvážené počas prípravy programových dokumentov.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Odporúča sa, aby bol pridaný ukazovateľ výstupu „Počet účastníkov podujatia“. Ukazovateľ by odzrkadľoval počet účastníkov podujatia organizovaného programom INTERACT v úlohe hlavného organizátora (v inom prípade program INTERACT neregistruje účastníkov a nevie tento údaj vygenerovať). S ohľadom na cieľ poskytnúť služby vysokej kvality by cieľom malo byť dosiahnuť rovnaký počet účastníkov ako v prípade INTERACT II (bez zvýšenia). Základ pre stanovenie cieľa tohto ukazovateľa výstupu by mal byť dostatočne pevný, napr. priamo odvodený zo zavedeného systému počítania využívaného v poslednom roku (rokoch) implementácie. Za týmto účelom vyvinuli 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hodnotitelia metódu stanovenia </w:t>
      </w:r>
      <w:r w:rsidR="006544B4">
        <w:rPr>
          <w:szCs w:val="24"/>
          <w:lang w:val="sk-SK"/>
        </w:rPr>
        <w:t>východiska</w:t>
      </w:r>
      <w:r w:rsidRPr="001B100A">
        <w:rPr>
          <w:szCs w:val="24"/>
          <w:lang w:val="sk-SK"/>
        </w:rPr>
        <w:t xml:space="preserve"> pre počet účastníkov v úzkej spolupráci s riadiacim orgánom. Riadiaci orgán získal údaje z databázy a pripravil výpočet. Metóda a výpočet sú uvedené v Prílohe č. 1 tohto zhrnutia.</w:t>
      </w:r>
    </w:p>
    <w:p w:rsidR="00831583" w:rsidRPr="001B100A" w:rsidRDefault="00831583" w:rsidP="00831583">
      <w:pPr>
        <w:jc w:val="both"/>
        <w:rPr>
          <w:i/>
          <w:szCs w:val="24"/>
          <w:u w:val="single"/>
          <w:lang w:val="sk-SK"/>
        </w:rPr>
      </w:pPr>
      <w:r w:rsidRPr="001B100A">
        <w:rPr>
          <w:i/>
          <w:szCs w:val="24"/>
          <w:u w:val="single"/>
          <w:lang w:val="sk-SK"/>
        </w:rPr>
        <w:t>Odpoveď riadiaceho orgánu:</w:t>
      </w:r>
    </w:p>
    <w:p w:rsidR="00831583" w:rsidRPr="001B100A" w:rsidRDefault="00831583" w:rsidP="00831583">
      <w:pPr>
        <w:jc w:val="both"/>
        <w:rPr>
          <w:i/>
          <w:szCs w:val="24"/>
          <w:lang w:val="sk-SK"/>
        </w:rPr>
      </w:pPr>
      <w:r w:rsidRPr="001B100A">
        <w:rPr>
          <w:i/>
          <w:szCs w:val="24"/>
          <w:lang w:val="sk-SK"/>
        </w:rPr>
        <w:t>Odporúčanie sa prijíma.</w:t>
      </w:r>
    </w:p>
    <w:p w:rsidR="00D81A1A" w:rsidRPr="001B100A" w:rsidRDefault="00D81A1A" w:rsidP="00291F17">
      <w:pPr>
        <w:jc w:val="both"/>
        <w:rPr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Odporúča sa využívať len 2 ukazovatele výsledkov, rovnaké ako </w:t>
      </w:r>
      <w:r w:rsidR="006544B4">
        <w:rPr>
          <w:szCs w:val="24"/>
          <w:lang w:val="sk-SK"/>
        </w:rPr>
        <w:t>sa využívajú</w:t>
      </w:r>
      <w:r w:rsidRPr="001B100A">
        <w:rPr>
          <w:szCs w:val="24"/>
          <w:lang w:val="sk-SK"/>
        </w:rPr>
        <w:t xml:space="preserve"> v súčasnosti, </w:t>
      </w:r>
      <w:r w:rsidR="006544B4">
        <w:rPr>
          <w:szCs w:val="24"/>
          <w:lang w:val="sk-SK"/>
        </w:rPr>
        <w:t xml:space="preserve">ale </w:t>
      </w:r>
      <w:r w:rsidRPr="001B100A">
        <w:rPr>
          <w:szCs w:val="24"/>
          <w:lang w:val="sk-SK"/>
        </w:rPr>
        <w:t>bez rozdelenia na konkrétne ciele:</w:t>
      </w:r>
    </w:p>
    <w:p w:rsidR="00291F17" w:rsidRPr="001B100A" w:rsidRDefault="00291F17" w:rsidP="00291F17">
      <w:pPr>
        <w:jc w:val="both"/>
        <w:rPr>
          <w:szCs w:val="22"/>
          <w:lang w:val="sk-SK"/>
        </w:rPr>
      </w:pPr>
    </w:p>
    <w:p w:rsidR="00831583" w:rsidRPr="001B100A" w:rsidRDefault="00831583" w:rsidP="00831583">
      <w:pPr>
        <w:pStyle w:val="Default"/>
        <w:numPr>
          <w:ilvl w:val="0"/>
          <w:numId w:val="4"/>
        </w:numPr>
        <w:jc w:val="both"/>
        <w:rPr>
          <w:rFonts w:cstheme="minorBidi"/>
        </w:rPr>
      </w:pPr>
      <w:r w:rsidRPr="001B100A">
        <w:rPr>
          <w:rFonts w:cstheme="minorBidi"/>
          <w:sz w:val="22"/>
        </w:rPr>
        <w:t xml:space="preserve">Úroveň spokojnosti programu </w:t>
      </w:r>
      <w:r w:rsidR="00C132B0">
        <w:rPr>
          <w:rFonts w:cstheme="minorBidi"/>
          <w:sz w:val="22"/>
        </w:rPr>
        <w:t>EÚS</w:t>
      </w:r>
      <w:r w:rsidRPr="001B100A">
        <w:rPr>
          <w:rFonts w:cstheme="minorBidi"/>
          <w:sz w:val="22"/>
        </w:rPr>
        <w:t xml:space="preserve"> s produktmi a službami INTERACT – cieľom je zvýšiť hodnotu 4,19. </w:t>
      </w:r>
    </w:p>
    <w:p w:rsidR="0064076B" w:rsidRPr="001B100A" w:rsidRDefault="0064076B" w:rsidP="0064076B">
      <w:pPr>
        <w:pStyle w:val="Default"/>
        <w:ind w:left="360"/>
        <w:jc w:val="both"/>
        <w:rPr>
          <w:sz w:val="22"/>
          <w:szCs w:val="22"/>
        </w:rPr>
      </w:pPr>
    </w:p>
    <w:p w:rsidR="00831583" w:rsidRPr="001B100A" w:rsidRDefault="00831583" w:rsidP="00831583">
      <w:pPr>
        <w:pStyle w:val="Default"/>
        <w:numPr>
          <w:ilvl w:val="0"/>
          <w:numId w:val="4"/>
        </w:numPr>
        <w:jc w:val="both"/>
        <w:rPr>
          <w:rFonts w:cstheme="minorBidi"/>
          <w:sz w:val="22"/>
        </w:rPr>
      </w:pPr>
      <w:r w:rsidRPr="001B100A">
        <w:rPr>
          <w:rFonts w:cstheme="minorBidi"/>
          <w:sz w:val="22"/>
        </w:rPr>
        <w:t xml:space="preserve">Úroveň % programov využívajúcich produkty a služby INTERACT (kombinácia </w:t>
      </w:r>
      <w:r w:rsidR="006544B4">
        <w:rPr>
          <w:rFonts w:cstheme="minorBidi"/>
          <w:sz w:val="22"/>
        </w:rPr>
        <w:t>uplatnenia</w:t>
      </w:r>
      <w:r w:rsidRPr="001B100A">
        <w:rPr>
          <w:rFonts w:cstheme="minorBidi"/>
          <w:sz w:val="22"/>
        </w:rPr>
        <w:t>, užitočnosti a dopadu).</w:t>
      </w:r>
    </w:p>
    <w:p w:rsidR="000B4043" w:rsidRPr="001B100A" w:rsidRDefault="000B4043" w:rsidP="00291F17">
      <w:pPr>
        <w:jc w:val="both"/>
        <w:rPr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Odporúča sa, aby druhý ukazovateľ výsledkov mal rovnak</w:t>
      </w:r>
      <w:r w:rsidR="006544B4">
        <w:rPr>
          <w:szCs w:val="24"/>
          <w:lang w:val="sk-SK"/>
        </w:rPr>
        <w:t>ý názov</w:t>
      </w:r>
      <w:r w:rsidRPr="001B100A">
        <w:rPr>
          <w:szCs w:val="24"/>
          <w:lang w:val="sk-SK"/>
        </w:rPr>
        <w:t xml:space="preserve">, ale aby slovo „využitie“ bolo interpretované v zmysle skutočného </w:t>
      </w:r>
      <w:r w:rsidR="006544B4">
        <w:rPr>
          <w:szCs w:val="24"/>
          <w:lang w:val="sk-SK"/>
        </w:rPr>
        <w:t>uplatnenia</w:t>
      </w:r>
      <w:r w:rsidR="006544B4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 xml:space="preserve">a dopadu produktov a služieb INTERACT (nadobudnuté </w:t>
      </w:r>
      <w:proofErr w:type="spellStart"/>
      <w:r w:rsidRPr="001B100A">
        <w:rPr>
          <w:szCs w:val="24"/>
          <w:lang w:val="sk-SK"/>
        </w:rPr>
        <w:t>know-how</w:t>
      </w:r>
      <w:proofErr w:type="spellEnd"/>
      <w:r w:rsidRPr="001B100A">
        <w:rPr>
          <w:szCs w:val="24"/>
          <w:lang w:val="sk-SK"/>
        </w:rPr>
        <w:t>...) v praxi riadenia program</w:t>
      </w:r>
      <w:r w:rsidR="006544B4">
        <w:rPr>
          <w:szCs w:val="24"/>
          <w:lang w:val="sk-SK"/>
        </w:rPr>
        <w:t>ov</w:t>
      </w:r>
      <w:r w:rsidRPr="001B100A">
        <w:rPr>
          <w:szCs w:val="24"/>
          <w:lang w:val="sk-SK"/>
        </w:rPr>
        <w:t xml:space="preserve"> </w:t>
      </w:r>
      <w:r w:rsidR="00C132B0">
        <w:rPr>
          <w:szCs w:val="24"/>
          <w:lang w:val="sk-SK"/>
        </w:rPr>
        <w:t>EÚS</w:t>
      </w:r>
      <w:r w:rsidRPr="001B100A">
        <w:rPr>
          <w:szCs w:val="24"/>
          <w:lang w:val="sk-SK"/>
        </w:rPr>
        <w:t xml:space="preserve">, meraného nie priamo v závere podujatí (ako ukazovateľ výsledku 1), ale </w:t>
      </w:r>
      <w:r w:rsidR="006544B4">
        <w:rPr>
          <w:szCs w:val="24"/>
          <w:lang w:val="sk-SK"/>
        </w:rPr>
        <w:t>až neskôr</w:t>
      </w:r>
      <w:r w:rsidRPr="001B100A">
        <w:rPr>
          <w:szCs w:val="24"/>
          <w:lang w:val="sk-SK"/>
        </w:rPr>
        <w:t xml:space="preserve">, napríklad po pol roku. Inými slovami, ukazovateľ by mal odzrkadľovať </w:t>
      </w:r>
      <w:r w:rsidRPr="001B100A">
        <w:rPr>
          <w:b/>
          <w:szCs w:val="24"/>
          <w:lang w:val="sk-SK"/>
        </w:rPr>
        <w:t>užitočnosť</w:t>
      </w:r>
      <w:r w:rsidRPr="001B100A">
        <w:rPr>
          <w:szCs w:val="24"/>
          <w:lang w:val="sk-SK"/>
        </w:rPr>
        <w:t xml:space="preserve"> produktov a služieb INTERACT.</w:t>
      </w:r>
    </w:p>
    <w:p w:rsidR="0099429B" w:rsidRPr="001B100A" w:rsidRDefault="0099429B" w:rsidP="00291F17">
      <w:pPr>
        <w:jc w:val="both"/>
        <w:rPr>
          <w:szCs w:val="22"/>
          <w:lang w:val="sk-SK"/>
        </w:rPr>
      </w:pPr>
    </w:p>
    <w:p w:rsidR="00831583" w:rsidRPr="001B100A" w:rsidRDefault="00831583" w:rsidP="00831583">
      <w:pPr>
        <w:jc w:val="both"/>
        <w:rPr>
          <w:i/>
          <w:szCs w:val="24"/>
          <w:u w:val="single"/>
          <w:lang w:val="sk-SK"/>
        </w:rPr>
      </w:pPr>
      <w:r w:rsidRPr="001B100A">
        <w:rPr>
          <w:i/>
          <w:szCs w:val="24"/>
          <w:u w:val="single"/>
          <w:lang w:val="sk-SK"/>
        </w:rPr>
        <w:t>Odpoveď riadiaceho orgánu:</w:t>
      </w: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i/>
          <w:szCs w:val="24"/>
          <w:lang w:val="sk-SK"/>
        </w:rPr>
        <w:t>Odporúčanie sa neprijíma. Logika intervencií a následne konkrétne ciele a ukazovatele výsledkov boli predmetom rozsiahlej diskusie s rôznymi orgánmi v rámci programu aj mimo neho a sú považované navrhovateľmi programu za uspokojivé.</w:t>
      </w:r>
    </w:p>
    <w:p w:rsidR="00BB3C75" w:rsidRPr="001B100A" w:rsidRDefault="00BB3C75" w:rsidP="004035DE">
      <w:pPr>
        <w:jc w:val="both"/>
        <w:rPr>
          <w:szCs w:val="22"/>
          <w:lang w:val="sk-SK"/>
        </w:rPr>
      </w:pPr>
    </w:p>
    <w:p w:rsidR="00831583" w:rsidRPr="001B100A" w:rsidRDefault="00831583" w:rsidP="00831583">
      <w:pPr>
        <w:pStyle w:val="Default"/>
        <w:jc w:val="both"/>
        <w:rPr>
          <w:rFonts w:cstheme="minorBidi"/>
        </w:rPr>
      </w:pPr>
      <w:r w:rsidRPr="001B100A">
        <w:rPr>
          <w:rFonts w:cstheme="minorBidi"/>
          <w:sz w:val="22"/>
        </w:rPr>
        <w:t xml:space="preserve">Odporúča sa zhodnotiť užitočnosť produktov a služieb INTERACT prostredníctvom prieskumu programov </w:t>
      </w:r>
      <w:r w:rsidR="00C132B0">
        <w:rPr>
          <w:rFonts w:cstheme="minorBidi"/>
          <w:sz w:val="22"/>
        </w:rPr>
        <w:t>EÚS</w:t>
      </w:r>
      <w:r w:rsidRPr="001B100A">
        <w:rPr>
          <w:rFonts w:cstheme="minorBidi"/>
          <w:sz w:val="22"/>
        </w:rPr>
        <w:t>. Budú požiadané o hodnotenia nasledovných otázok na základe hodnotiacej stupnice od 1 po 5:</w:t>
      </w:r>
    </w:p>
    <w:p w:rsidR="0064076B" w:rsidRPr="001B100A" w:rsidRDefault="0064076B" w:rsidP="00291F17">
      <w:pPr>
        <w:pStyle w:val="Default"/>
        <w:jc w:val="both"/>
        <w:rPr>
          <w:sz w:val="22"/>
          <w:szCs w:val="22"/>
        </w:rPr>
      </w:pPr>
    </w:p>
    <w:p w:rsidR="00831583" w:rsidRPr="001B100A" w:rsidRDefault="00831583" w:rsidP="00831583">
      <w:pPr>
        <w:pStyle w:val="Default"/>
        <w:numPr>
          <w:ilvl w:val="0"/>
          <w:numId w:val="7"/>
        </w:numPr>
        <w:jc w:val="both"/>
        <w:rPr>
          <w:rFonts w:cstheme="minorBidi"/>
          <w:sz w:val="22"/>
        </w:rPr>
      </w:pPr>
      <w:r w:rsidRPr="001B100A">
        <w:rPr>
          <w:rFonts w:cstheme="minorBidi"/>
          <w:sz w:val="22"/>
        </w:rPr>
        <w:t xml:space="preserve">Vedeli ste využiť </w:t>
      </w:r>
      <w:proofErr w:type="spellStart"/>
      <w:r w:rsidRPr="001B100A">
        <w:rPr>
          <w:rFonts w:cstheme="minorBidi"/>
          <w:b/>
          <w:sz w:val="22"/>
        </w:rPr>
        <w:t>know-how</w:t>
      </w:r>
      <w:proofErr w:type="spellEnd"/>
      <w:r w:rsidRPr="001B100A">
        <w:rPr>
          <w:rFonts w:cstheme="minorBidi"/>
          <w:sz w:val="22"/>
        </w:rPr>
        <w:t>, ktoré ste nadobudli počas podujatí INTERACT vo vašej práci?</w:t>
      </w:r>
    </w:p>
    <w:p w:rsidR="00123EBA" w:rsidRPr="001B100A" w:rsidRDefault="00123EBA" w:rsidP="00123EBA">
      <w:pPr>
        <w:pStyle w:val="Default"/>
        <w:ind w:left="360"/>
        <w:jc w:val="both"/>
        <w:rPr>
          <w:sz w:val="22"/>
          <w:szCs w:val="22"/>
        </w:rPr>
      </w:pPr>
    </w:p>
    <w:p w:rsidR="00831583" w:rsidRPr="001B100A" w:rsidRDefault="00831583" w:rsidP="00831583">
      <w:pPr>
        <w:pStyle w:val="Default"/>
        <w:numPr>
          <w:ilvl w:val="0"/>
          <w:numId w:val="7"/>
        </w:numPr>
        <w:jc w:val="both"/>
        <w:rPr>
          <w:rFonts w:cstheme="minorBidi"/>
          <w:sz w:val="22"/>
        </w:rPr>
      </w:pPr>
      <w:r w:rsidRPr="001B100A">
        <w:rPr>
          <w:rFonts w:cstheme="minorBidi"/>
          <w:sz w:val="22"/>
        </w:rPr>
        <w:t xml:space="preserve">Pomohlo vám to zlepšiť i. schopnosť riadiť a/alebo kontrolovať váš program, alebo </w:t>
      </w:r>
      <w:proofErr w:type="spellStart"/>
      <w:r w:rsidRPr="001B100A">
        <w:rPr>
          <w:rFonts w:cstheme="minorBidi"/>
          <w:sz w:val="22"/>
        </w:rPr>
        <w:t>ii</w:t>
      </w:r>
      <w:proofErr w:type="spellEnd"/>
      <w:r w:rsidRPr="001B100A">
        <w:rPr>
          <w:rFonts w:cstheme="minorBidi"/>
          <w:sz w:val="22"/>
        </w:rPr>
        <w:t xml:space="preserve">. </w:t>
      </w:r>
      <w:r w:rsidR="007E0902">
        <w:rPr>
          <w:rFonts w:cstheme="minorBidi"/>
          <w:sz w:val="22"/>
        </w:rPr>
        <w:t>s</w:t>
      </w:r>
      <w:r w:rsidR="007E0902" w:rsidRPr="001B100A">
        <w:rPr>
          <w:rFonts w:cstheme="minorBidi"/>
          <w:sz w:val="22"/>
        </w:rPr>
        <w:t xml:space="preserve">chopnosť </w:t>
      </w:r>
      <w:r w:rsidRPr="001B100A">
        <w:rPr>
          <w:rFonts w:cstheme="minorBidi"/>
          <w:sz w:val="22"/>
        </w:rPr>
        <w:t xml:space="preserve">zachytiť a komunikovať výsledky programov, alebo </w:t>
      </w:r>
      <w:proofErr w:type="spellStart"/>
      <w:r w:rsidRPr="001B100A">
        <w:rPr>
          <w:rFonts w:cstheme="minorBidi"/>
          <w:sz w:val="22"/>
        </w:rPr>
        <w:t>iii</w:t>
      </w:r>
      <w:proofErr w:type="spellEnd"/>
      <w:r w:rsidRPr="001B100A">
        <w:rPr>
          <w:rFonts w:cstheme="minorBidi"/>
          <w:sz w:val="22"/>
        </w:rPr>
        <w:t>. implementáciu inovatívnych prístupov?</w:t>
      </w:r>
    </w:p>
    <w:p w:rsidR="00123EBA" w:rsidRPr="001B100A" w:rsidRDefault="00123EBA" w:rsidP="00123EBA">
      <w:pPr>
        <w:pStyle w:val="Default"/>
        <w:jc w:val="both"/>
        <w:rPr>
          <w:sz w:val="22"/>
          <w:szCs w:val="22"/>
        </w:rPr>
      </w:pPr>
    </w:p>
    <w:p w:rsidR="00831583" w:rsidRPr="001B100A" w:rsidRDefault="00831583" w:rsidP="00831583">
      <w:pPr>
        <w:pStyle w:val="Default"/>
        <w:numPr>
          <w:ilvl w:val="0"/>
          <w:numId w:val="7"/>
        </w:numPr>
        <w:jc w:val="both"/>
        <w:rPr>
          <w:rFonts w:cstheme="minorBidi"/>
          <w:sz w:val="22"/>
        </w:rPr>
      </w:pPr>
      <w:r w:rsidRPr="001B100A">
        <w:rPr>
          <w:rFonts w:cstheme="minorBidi"/>
          <w:sz w:val="22"/>
        </w:rPr>
        <w:t xml:space="preserve">Vedeli ste využívať </w:t>
      </w:r>
      <w:r w:rsidRPr="001B100A">
        <w:rPr>
          <w:rFonts w:cstheme="minorBidi"/>
          <w:b/>
          <w:sz w:val="22"/>
        </w:rPr>
        <w:t>nástroje</w:t>
      </w:r>
      <w:r w:rsidRPr="001B100A">
        <w:rPr>
          <w:rFonts w:cstheme="minorBidi"/>
          <w:sz w:val="22"/>
        </w:rPr>
        <w:t>, ktoré ste nadobudli prostredníctvom programu INTERACT vo vašej práci?</w:t>
      </w:r>
    </w:p>
    <w:p w:rsidR="00123EBA" w:rsidRPr="001B100A" w:rsidRDefault="00123EBA" w:rsidP="00123EBA">
      <w:pPr>
        <w:pStyle w:val="Default"/>
        <w:jc w:val="both"/>
        <w:rPr>
          <w:sz w:val="22"/>
          <w:szCs w:val="22"/>
        </w:rPr>
      </w:pPr>
    </w:p>
    <w:p w:rsidR="00831583" w:rsidRPr="00C12F32" w:rsidRDefault="00831583" w:rsidP="00831583">
      <w:pPr>
        <w:pStyle w:val="Odsekzoznamu"/>
        <w:numPr>
          <w:ilvl w:val="0"/>
          <w:numId w:val="7"/>
        </w:numPr>
        <w:spacing w:before="0"/>
        <w:jc w:val="both"/>
        <w:rPr>
          <w:rFonts w:eastAsiaTheme="minorHAnsi" w:cstheme="minorBidi"/>
          <w:color w:val="000000"/>
          <w:szCs w:val="24"/>
          <w:lang w:val="sk-SK" w:eastAsia="en-US"/>
        </w:rPr>
      </w:pPr>
      <w:r w:rsidRPr="00C12F32">
        <w:rPr>
          <w:rFonts w:eastAsiaTheme="minorHAnsi" w:cstheme="minorBidi"/>
          <w:color w:val="000000"/>
          <w:szCs w:val="24"/>
          <w:lang w:val="sk-SK" w:eastAsia="en-US"/>
        </w:rPr>
        <w:t xml:space="preserve">Pomohlo vám to zlepšiť i. schopnosť riadiť a/alebo kontrolovať váš program, alebo </w:t>
      </w:r>
      <w:proofErr w:type="spellStart"/>
      <w:r w:rsidRPr="00C12F32">
        <w:rPr>
          <w:rFonts w:eastAsiaTheme="minorHAnsi" w:cstheme="minorBidi"/>
          <w:color w:val="000000"/>
          <w:szCs w:val="24"/>
          <w:lang w:val="sk-SK" w:eastAsia="en-US"/>
        </w:rPr>
        <w:t>ii</w:t>
      </w:r>
      <w:proofErr w:type="spellEnd"/>
      <w:r w:rsidRPr="00C12F32">
        <w:rPr>
          <w:rFonts w:eastAsiaTheme="minorHAnsi" w:cstheme="minorBidi"/>
          <w:color w:val="000000"/>
          <w:szCs w:val="24"/>
          <w:lang w:val="sk-SK" w:eastAsia="en-US"/>
        </w:rPr>
        <w:t xml:space="preserve">. </w:t>
      </w:r>
      <w:r w:rsidR="006544B4">
        <w:rPr>
          <w:rFonts w:eastAsiaTheme="minorHAnsi" w:cstheme="minorBidi"/>
          <w:color w:val="000000"/>
          <w:szCs w:val="24"/>
          <w:lang w:val="sk-SK" w:eastAsia="en-US"/>
        </w:rPr>
        <w:t>s</w:t>
      </w:r>
      <w:r w:rsidRPr="00C12F32">
        <w:rPr>
          <w:rFonts w:eastAsiaTheme="minorHAnsi" w:cstheme="minorBidi"/>
          <w:color w:val="000000"/>
          <w:szCs w:val="24"/>
          <w:lang w:val="sk-SK" w:eastAsia="en-US"/>
        </w:rPr>
        <w:t xml:space="preserve">chopnosť zachytiť a komunikovať výsledky programov, alebo </w:t>
      </w:r>
      <w:proofErr w:type="spellStart"/>
      <w:r w:rsidRPr="00C12F32">
        <w:rPr>
          <w:rFonts w:eastAsiaTheme="minorHAnsi" w:cstheme="minorBidi"/>
          <w:color w:val="000000"/>
          <w:szCs w:val="24"/>
          <w:lang w:val="sk-SK" w:eastAsia="en-US"/>
        </w:rPr>
        <w:t>iii</w:t>
      </w:r>
      <w:proofErr w:type="spellEnd"/>
      <w:r w:rsidRPr="00C12F32">
        <w:rPr>
          <w:rFonts w:eastAsiaTheme="minorHAnsi" w:cstheme="minorBidi"/>
          <w:color w:val="000000"/>
          <w:szCs w:val="24"/>
          <w:lang w:val="sk-SK" w:eastAsia="en-US"/>
        </w:rPr>
        <w:t>. implementáciu inovatívnych prístupov?</w:t>
      </w:r>
    </w:p>
    <w:p w:rsidR="00123EBA" w:rsidRPr="00D35FDA" w:rsidRDefault="00123EBA" w:rsidP="00123EBA">
      <w:pPr>
        <w:spacing w:before="0"/>
        <w:jc w:val="both"/>
        <w:rPr>
          <w:rFonts w:eastAsiaTheme="minorHAnsi" w:cstheme="minorBidi"/>
          <w:color w:val="000000"/>
          <w:szCs w:val="24"/>
          <w:lang w:val="sk-SK" w:eastAsia="en-US"/>
        </w:rPr>
      </w:pPr>
    </w:p>
    <w:p w:rsidR="00831583" w:rsidRPr="00C12F32" w:rsidRDefault="00831583" w:rsidP="00831583">
      <w:pPr>
        <w:pStyle w:val="Odsekzoznamu"/>
        <w:numPr>
          <w:ilvl w:val="0"/>
          <w:numId w:val="7"/>
        </w:numPr>
        <w:spacing w:before="0"/>
        <w:jc w:val="both"/>
        <w:rPr>
          <w:rFonts w:eastAsiaTheme="minorHAnsi" w:cstheme="minorBidi"/>
          <w:color w:val="000000"/>
          <w:szCs w:val="24"/>
          <w:lang w:val="sk-SK" w:eastAsia="en-US"/>
        </w:rPr>
      </w:pPr>
      <w:r w:rsidRPr="00C12F32">
        <w:rPr>
          <w:rFonts w:eastAsiaTheme="minorHAnsi" w:cstheme="minorBidi"/>
          <w:color w:val="000000"/>
          <w:szCs w:val="24"/>
          <w:lang w:val="sk-SK" w:eastAsia="en-US"/>
        </w:rPr>
        <w:t xml:space="preserve">Ak ste doteraz nevedeli využiť konkrétne </w:t>
      </w:r>
      <w:proofErr w:type="spellStart"/>
      <w:r w:rsidRPr="00C12F32">
        <w:rPr>
          <w:rFonts w:eastAsiaTheme="minorHAnsi" w:cstheme="minorBidi"/>
          <w:color w:val="000000"/>
          <w:szCs w:val="24"/>
          <w:lang w:val="sk-SK" w:eastAsia="en-US"/>
        </w:rPr>
        <w:t>know-how</w:t>
      </w:r>
      <w:proofErr w:type="spellEnd"/>
      <w:r w:rsidRPr="00C12F32">
        <w:rPr>
          <w:rFonts w:eastAsiaTheme="minorHAnsi" w:cstheme="minorBidi"/>
          <w:color w:val="000000"/>
          <w:szCs w:val="24"/>
          <w:lang w:val="sk-SK" w:eastAsia="en-US"/>
        </w:rPr>
        <w:t xml:space="preserve"> alebo nástroje, bolo to z dôvodu nedostatku kvality alebo praktickosti </w:t>
      </w:r>
      <w:proofErr w:type="spellStart"/>
      <w:r w:rsidRPr="00C12F32">
        <w:rPr>
          <w:rFonts w:eastAsiaTheme="minorHAnsi" w:cstheme="minorBidi"/>
          <w:color w:val="000000"/>
          <w:szCs w:val="24"/>
          <w:lang w:val="sk-SK" w:eastAsia="en-US"/>
        </w:rPr>
        <w:t>know-how</w:t>
      </w:r>
      <w:proofErr w:type="spellEnd"/>
      <w:r w:rsidRPr="00C12F32">
        <w:rPr>
          <w:rFonts w:eastAsiaTheme="minorHAnsi" w:cstheme="minorBidi"/>
          <w:color w:val="000000"/>
          <w:szCs w:val="24"/>
          <w:lang w:val="sk-SK" w:eastAsia="en-US"/>
        </w:rPr>
        <w:t>/nástroja (hodnotenie = 1) alebo z dôvodu iných faktorov (hodnotenie = 5)?</w:t>
      </w:r>
    </w:p>
    <w:p w:rsidR="0064076B" w:rsidRPr="001B100A" w:rsidRDefault="0064076B" w:rsidP="0064076B">
      <w:pPr>
        <w:pStyle w:val="Default"/>
        <w:jc w:val="both"/>
        <w:rPr>
          <w:sz w:val="22"/>
          <w:szCs w:val="22"/>
        </w:rPr>
      </w:pPr>
    </w:p>
    <w:p w:rsidR="00831583" w:rsidRPr="001B100A" w:rsidRDefault="00831583" w:rsidP="00831583">
      <w:pPr>
        <w:pStyle w:val="Default"/>
        <w:jc w:val="both"/>
        <w:rPr>
          <w:rFonts w:cstheme="minorBidi"/>
        </w:rPr>
      </w:pPr>
      <w:r w:rsidRPr="001B100A">
        <w:rPr>
          <w:rFonts w:cstheme="minorBidi"/>
          <w:i/>
          <w:sz w:val="22"/>
        </w:rPr>
        <w:t xml:space="preserve">Poznámka: Ak sa program rozhodne zachovať 2 ukazovatele ku konkrétnemu cieľu, teda spolu šesť, vyššie uvedené otázky je možné </w:t>
      </w:r>
      <w:r w:rsidR="006544B4">
        <w:rPr>
          <w:rFonts w:cstheme="minorBidi"/>
          <w:i/>
          <w:sz w:val="22"/>
        </w:rPr>
        <w:t xml:space="preserve">adekvátne </w:t>
      </w:r>
      <w:r w:rsidRPr="001B100A">
        <w:rPr>
          <w:rFonts w:cstheme="minorBidi"/>
          <w:i/>
          <w:sz w:val="22"/>
        </w:rPr>
        <w:t>upraviť (rozdeliť).</w:t>
      </w:r>
    </w:p>
    <w:p w:rsidR="0099429B" w:rsidRPr="001B100A" w:rsidRDefault="0099429B" w:rsidP="0064076B">
      <w:pPr>
        <w:pStyle w:val="Default"/>
        <w:jc w:val="both"/>
        <w:rPr>
          <w:i/>
          <w:sz w:val="22"/>
          <w:szCs w:val="22"/>
        </w:rPr>
      </w:pPr>
    </w:p>
    <w:p w:rsidR="00831583" w:rsidRPr="001B100A" w:rsidRDefault="00831583" w:rsidP="00831583">
      <w:pPr>
        <w:jc w:val="both"/>
        <w:rPr>
          <w:i/>
          <w:szCs w:val="24"/>
          <w:u w:val="single"/>
          <w:lang w:val="sk-SK"/>
        </w:rPr>
      </w:pPr>
      <w:r w:rsidRPr="001B100A">
        <w:rPr>
          <w:i/>
          <w:szCs w:val="24"/>
          <w:u w:val="single"/>
          <w:lang w:val="sk-SK"/>
        </w:rPr>
        <w:t>Odpoveď riadiaceho orgánu:</w:t>
      </w:r>
    </w:p>
    <w:p w:rsidR="00831583" w:rsidRPr="001B100A" w:rsidRDefault="00831583" w:rsidP="00831583">
      <w:pPr>
        <w:jc w:val="both"/>
        <w:rPr>
          <w:i/>
          <w:szCs w:val="24"/>
          <w:lang w:val="sk-SK"/>
        </w:rPr>
      </w:pPr>
      <w:r w:rsidRPr="001B100A">
        <w:rPr>
          <w:i/>
          <w:szCs w:val="24"/>
          <w:lang w:val="sk-SK"/>
        </w:rPr>
        <w:t xml:space="preserve">Odporúčanie bude zvážené počas prípravy programových dokumentov a aktualizácie hodnotiacich </w:t>
      </w:r>
      <w:r w:rsidR="00B50FD5">
        <w:rPr>
          <w:i/>
          <w:szCs w:val="24"/>
          <w:lang w:val="sk-SK"/>
        </w:rPr>
        <w:t>šablón</w:t>
      </w:r>
      <w:r w:rsidRPr="001B100A">
        <w:rPr>
          <w:i/>
          <w:szCs w:val="24"/>
          <w:lang w:val="sk-SK"/>
        </w:rPr>
        <w:t>.</w:t>
      </w:r>
    </w:p>
    <w:p w:rsidR="0099429B" w:rsidRPr="001B100A" w:rsidRDefault="0099429B" w:rsidP="0064076B">
      <w:pPr>
        <w:pStyle w:val="Default"/>
        <w:jc w:val="both"/>
        <w:rPr>
          <w:i/>
          <w:sz w:val="22"/>
          <w:szCs w:val="22"/>
        </w:rPr>
      </w:pPr>
    </w:p>
    <w:p w:rsidR="00BB3C75" w:rsidRPr="001B100A" w:rsidRDefault="00BB3C75" w:rsidP="00291F17">
      <w:pPr>
        <w:pStyle w:val="Default"/>
        <w:jc w:val="both"/>
        <w:rPr>
          <w:i/>
          <w:iCs/>
          <w:sz w:val="22"/>
          <w:szCs w:val="22"/>
        </w:rPr>
      </w:pPr>
    </w:p>
    <w:p w:rsidR="00831583" w:rsidRPr="001B100A" w:rsidRDefault="00831583" w:rsidP="00831583">
      <w:pPr>
        <w:pStyle w:val="Default"/>
        <w:jc w:val="both"/>
        <w:rPr>
          <w:rFonts w:cstheme="minorBidi"/>
          <w:i/>
        </w:rPr>
      </w:pPr>
      <w:r w:rsidRPr="001B100A">
        <w:rPr>
          <w:rFonts w:cstheme="minorBidi"/>
          <w:sz w:val="22"/>
        </w:rPr>
        <w:t xml:space="preserve">Odporúča sa, aby programy </w:t>
      </w:r>
      <w:r w:rsidR="00C132B0">
        <w:rPr>
          <w:rFonts w:cstheme="minorBidi"/>
          <w:sz w:val="22"/>
        </w:rPr>
        <w:t>EÚS</w:t>
      </w:r>
      <w:r w:rsidRPr="001B100A">
        <w:rPr>
          <w:rFonts w:cstheme="minorBidi"/>
          <w:sz w:val="22"/>
        </w:rPr>
        <w:t xml:space="preserve"> využívali len produkty a</w:t>
      </w:r>
      <w:r w:rsidR="00225273">
        <w:rPr>
          <w:rFonts w:cstheme="minorBidi"/>
          <w:sz w:val="22"/>
        </w:rPr>
        <w:t>lebo</w:t>
      </w:r>
      <w:r w:rsidRPr="001B100A">
        <w:rPr>
          <w:rFonts w:cstheme="minorBidi"/>
          <w:sz w:val="22"/>
        </w:rPr>
        <w:t xml:space="preserve"> služby INTERACT, ak tzv. úroveň užitočnosti je vyššia než 4. Táto hodnota je založená na hodnote vyplývajúcej z prieskumu spokojnosti, ktorý program už </w:t>
      </w:r>
      <w:r w:rsidR="003D4891">
        <w:rPr>
          <w:rFonts w:cstheme="minorBidi"/>
          <w:sz w:val="22"/>
        </w:rPr>
        <w:t>uskutočňuje</w:t>
      </w:r>
      <w:r w:rsidR="003D4891" w:rsidRPr="001B100A">
        <w:rPr>
          <w:rFonts w:cstheme="minorBidi"/>
          <w:sz w:val="22"/>
        </w:rPr>
        <w:t xml:space="preserve"> </w:t>
      </w:r>
      <w:r w:rsidRPr="001B100A">
        <w:rPr>
          <w:rFonts w:cstheme="minorBidi"/>
          <w:sz w:val="22"/>
        </w:rPr>
        <w:t xml:space="preserve">v závere každého podujatia. Hodnota 4 odzrkadľuje výstup </w:t>
      </w:r>
      <w:r w:rsidR="00225273">
        <w:rPr>
          <w:rFonts w:cstheme="minorBidi"/>
          <w:sz w:val="22"/>
        </w:rPr>
        <w:t xml:space="preserve">4 pre </w:t>
      </w:r>
      <w:r w:rsidRPr="001B100A">
        <w:rPr>
          <w:rFonts w:cstheme="minorBidi"/>
          <w:sz w:val="22"/>
        </w:rPr>
        <w:t>otázky prieskumu spokojnosti (</w:t>
      </w:r>
      <w:r w:rsidRPr="001B100A">
        <w:rPr>
          <w:rFonts w:cstheme="minorBidi"/>
          <w:i/>
          <w:sz w:val="22"/>
        </w:rPr>
        <w:t xml:space="preserve">Budem vedieť využiť tento poznatok </w:t>
      </w:r>
      <w:r w:rsidR="00225273">
        <w:rPr>
          <w:rFonts w:cstheme="minorBidi"/>
          <w:i/>
          <w:sz w:val="22"/>
        </w:rPr>
        <w:t>v</w:t>
      </w:r>
      <w:r w:rsidRPr="001B100A">
        <w:rPr>
          <w:rFonts w:cstheme="minorBidi"/>
          <w:i/>
          <w:sz w:val="22"/>
        </w:rPr>
        <w:t xml:space="preserve"> mojej práci) </w:t>
      </w:r>
      <w:r w:rsidRPr="00C12F32">
        <w:rPr>
          <w:rFonts w:cstheme="minorBidi"/>
          <w:sz w:val="22"/>
        </w:rPr>
        <w:t>a</w:t>
      </w:r>
      <w:r w:rsidRPr="001B4542">
        <w:rPr>
          <w:rFonts w:cstheme="minorBidi"/>
          <w:sz w:val="22"/>
        </w:rPr>
        <w:t> </w:t>
      </w:r>
      <w:r w:rsidRPr="001B100A">
        <w:rPr>
          <w:rFonts w:cstheme="minorBidi"/>
          <w:sz w:val="22"/>
        </w:rPr>
        <w:t>7 (</w:t>
      </w:r>
      <w:r w:rsidRPr="001B100A">
        <w:rPr>
          <w:rFonts w:cstheme="minorBidi"/>
          <w:i/>
          <w:sz w:val="22"/>
        </w:rPr>
        <w:t>Poskytnuté materiály sú jasné a užitočné</w:t>
      </w:r>
      <w:r w:rsidRPr="00C12F32">
        <w:rPr>
          <w:rFonts w:cstheme="minorBidi"/>
          <w:sz w:val="22"/>
        </w:rPr>
        <w:t xml:space="preserve">), resp. 4,24 a 4,09 </w:t>
      </w:r>
      <w:r w:rsidR="00225273">
        <w:rPr>
          <w:rFonts w:cstheme="minorBidi"/>
          <w:sz w:val="22"/>
        </w:rPr>
        <w:t xml:space="preserve">po </w:t>
      </w:r>
      <w:r w:rsidRPr="00C12F32">
        <w:rPr>
          <w:rFonts w:cstheme="minorBidi"/>
          <w:sz w:val="22"/>
        </w:rPr>
        <w:t>zaokrúhlen</w:t>
      </w:r>
      <w:r w:rsidR="00225273">
        <w:rPr>
          <w:rFonts w:cstheme="minorBidi"/>
          <w:sz w:val="22"/>
        </w:rPr>
        <w:t>í</w:t>
      </w:r>
      <w:r w:rsidRPr="00C12F32">
        <w:rPr>
          <w:rFonts w:cstheme="minorBidi"/>
          <w:sz w:val="22"/>
        </w:rPr>
        <w:t xml:space="preserve"> smerom nadol.</w:t>
      </w:r>
      <w:r w:rsidRPr="001B100A">
        <w:rPr>
          <w:rFonts w:cstheme="minorBidi"/>
          <w:sz w:val="22"/>
        </w:rPr>
        <w:t xml:space="preserve"> Zaokrúhlenie </w:t>
      </w:r>
      <w:r w:rsidR="00225273">
        <w:rPr>
          <w:rFonts w:cstheme="minorBidi"/>
          <w:sz w:val="22"/>
        </w:rPr>
        <w:t>vychádza z</w:t>
      </w:r>
      <w:r w:rsidRPr="001B100A">
        <w:rPr>
          <w:rFonts w:cstheme="minorBidi"/>
          <w:sz w:val="22"/>
        </w:rPr>
        <w:t xml:space="preserve"> predpoklad</w:t>
      </w:r>
      <w:r w:rsidR="00225273">
        <w:rPr>
          <w:rFonts w:cstheme="minorBidi"/>
          <w:sz w:val="22"/>
        </w:rPr>
        <w:t>u</w:t>
      </w:r>
      <w:r w:rsidRPr="001B100A">
        <w:rPr>
          <w:rFonts w:cstheme="minorBidi"/>
          <w:sz w:val="22"/>
        </w:rPr>
        <w:t xml:space="preserve">, že po 6 mesiacoch nebude použitý </w:t>
      </w:r>
      <w:r w:rsidR="00225273">
        <w:rPr>
          <w:rFonts w:cstheme="minorBidi"/>
          <w:sz w:val="22"/>
        </w:rPr>
        <w:t>celý</w:t>
      </w:r>
      <w:r w:rsidR="00225273" w:rsidRPr="001B100A">
        <w:rPr>
          <w:rFonts w:cstheme="minorBidi"/>
          <w:sz w:val="22"/>
        </w:rPr>
        <w:t xml:space="preserve"> </w:t>
      </w:r>
      <w:proofErr w:type="spellStart"/>
      <w:r w:rsidRPr="001B100A">
        <w:rPr>
          <w:rFonts w:cstheme="minorBidi"/>
          <w:sz w:val="22"/>
        </w:rPr>
        <w:t>know-how</w:t>
      </w:r>
      <w:proofErr w:type="spellEnd"/>
      <w:r w:rsidRPr="001B100A">
        <w:rPr>
          <w:rFonts w:cstheme="minorBidi"/>
          <w:sz w:val="22"/>
        </w:rPr>
        <w:t>/</w:t>
      </w:r>
      <w:r w:rsidR="00225273">
        <w:rPr>
          <w:rFonts w:cstheme="minorBidi"/>
          <w:sz w:val="22"/>
        </w:rPr>
        <w:t xml:space="preserve">všetky </w:t>
      </w:r>
      <w:r w:rsidRPr="001B100A">
        <w:rPr>
          <w:rFonts w:cstheme="minorBidi"/>
          <w:sz w:val="22"/>
        </w:rPr>
        <w:t>nástroje a </w:t>
      </w:r>
      <w:r w:rsidR="00225273">
        <w:rPr>
          <w:rFonts w:cstheme="minorBidi"/>
          <w:sz w:val="22"/>
        </w:rPr>
        <w:t>z</w:t>
      </w:r>
      <w:r w:rsidRPr="001B100A">
        <w:rPr>
          <w:rFonts w:cstheme="minorBidi"/>
          <w:sz w:val="22"/>
        </w:rPr>
        <w:t xml:space="preserve"> normatívn</w:t>
      </w:r>
      <w:r w:rsidR="00225273">
        <w:rPr>
          <w:rFonts w:cstheme="minorBidi"/>
          <w:sz w:val="22"/>
        </w:rPr>
        <w:t>eho stanoviska</w:t>
      </w:r>
      <w:r w:rsidRPr="001B100A">
        <w:rPr>
          <w:rFonts w:cstheme="minorBidi"/>
          <w:sz w:val="22"/>
        </w:rPr>
        <w:t xml:space="preserve">, že na stupnici od 1 do 5 by malo byť minimálne hodnotenie dobré (4). Minimálna úroveň užitočnosti by preto mala byť 4.   </w:t>
      </w:r>
    </w:p>
    <w:p w:rsidR="00BB3C75" w:rsidRPr="001B100A" w:rsidRDefault="00BB3C75">
      <w:pPr>
        <w:rPr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Odporúča sa stanoviť </w:t>
      </w:r>
      <w:r w:rsidR="00225273">
        <w:rPr>
          <w:szCs w:val="24"/>
          <w:lang w:val="sk-SK"/>
        </w:rPr>
        <w:t>východiskovú</w:t>
      </w:r>
      <w:r w:rsidR="00225273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a cieľovú hodnotu pre tento ukazovateľ prakticky a účinne. Ako vyplýva z </w:t>
      </w:r>
      <w:proofErr w:type="spellStart"/>
      <w:r w:rsidRPr="001B100A">
        <w:rPr>
          <w:szCs w:val="24"/>
          <w:lang w:val="sk-SK"/>
        </w:rPr>
        <w:t>ex-ante</w:t>
      </w:r>
      <w:proofErr w:type="spellEnd"/>
      <w:r w:rsidRPr="001B100A">
        <w:rPr>
          <w:szCs w:val="24"/>
          <w:lang w:val="sk-SK"/>
        </w:rPr>
        <w:t xml:space="preserve"> hodnotenia, </w:t>
      </w:r>
      <w:r w:rsidR="00225273">
        <w:rPr>
          <w:szCs w:val="24"/>
          <w:lang w:val="sk-SK"/>
        </w:rPr>
        <w:t>východisko</w:t>
      </w:r>
      <w:r w:rsidRPr="001B100A">
        <w:rPr>
          <w:szCs w:val="24"/>
          <w:lang w:val="sk-SK"/>
        </w:rPr>
        <w:t xml:space="preserve"> pre využitie služieb a produktov INTERACT je 100 %. Cieľom by malo byť tiež 100 %, ale malo by to zahŕňať aj navrhovaný faktor užitočnosti, dodatočné kritérium kvality, ktoré odzrkadľuje ambíciu programu poskytovať služby vysokej kvality. </w:t>
      </w:r>
    </w:p>
    <w:p w:rsidR="0099429B" w:rsidRPr="001B100A" w:rsidRDefault="0099429B" w:rsidP="00DE206E">
      <w:pPr>
        <w:jc w:val="both"/>
        <w:rPr>
          <w:szCs w:val="22"/>
          <w:lang w:val="sk-SK"/>
        </w:rPr>
      </w:pPr>
    </w:p>
    <w:p w:rsidR="00831583" w:rsidRPr="001B100A" w:rsidRDefault="00831583" w:rsidP="00831583">
      <w:pPr>
        <w:jc w:val="both"/>
        <w:rPr>
          <w:i/>
          <w:szCs w:val="24"/>
          <w:u w:val="single"/>
          <w:lang w:val="sk-SK"/>
        </w:rPr>
      </w:pPr>
      <w:r w:rsidRPr="001B100A">
        <w:rPr>
          <w:i/>
          <w:szCs w:val="24"/>
          <w:u w:val="single"/>
          <w:lang w:val="sk-SK"/>
        </w:rPr>
        <w:t>Odpoveď riadiaceho orgánu:</w:t>
      </w:r>
    </w:p>
    <w:p w:rsidR="00831583" w:rsidRPr="001B100A" w:rsidRDefault="00831583" w:rsidP="00831583">
      <w:pPr>
        <w:rPr>
          <w:b/>
          <w:i/>
          <w:szCs w:val="24"/>
          <w:lang w:val="sk-SK"/>
        </w:rPr>
      </w:pPr>
      <w:r w:rsidRPr="001B100A">
        <w:rPr>
          <w:i/>
          <w:szCs w:val="24"/>
          <w:lang w:val="sk-SK"/>
        </w:rPr>
        <w:t>Odporúčanie sa prijíma.</w:t>
      </w:r>
    </w:p>
    <w:p w:rsidR="00831583" w:rsidRPr="001B100A" w:rsidRDefault="00831583" w:rsidP="00831583">
      <w:pPr>
        <w:pageBreakBefore/>
        <w:rPr>
          <w:szCs w:val="24"/>
          <w:lang w:val="sk-SK"/>
        </w:rPr>
      </w:pPr>
      <w:r w:rsidRPr="001B100A">
        <w:rPr>
          <w:b/>
          <w:szCs w:val="24"/>
          <w:lang w:val="sk-SK"/>
        </w:rPr>
        <w:lastRenderedPageBreak/>
        <w:t>PRÍLOHA Č. 1</w:t>
      </w:r>
      <w:r w:rsidRPr="001B100A">
        <w:rPr>
          <w:b/>
          <w:szCs w:val="24"/>
          <w:lang w:val="sk-SK"/>
        </w:rPr>
        <w:tab/>
        <w:t>Základňa pre počet účastníkov podujatí INTERACT</w:t>
      </w:r>
    </w:p>
    <w:p w:rsidR="00603CFE" w:rsidRPr="001B100A" w:rsidRDefault="00603CFE" w:rsidP="004035DE">
      <w:pPr>
        <w:jc w:val="both"/>
        <w:rPr>
          <w:rFonts w:cs="Arial"/>
          <w:b/>
          <w:color w:val="133176"/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S cieľom </w:t>
      </w:r>
      <w:r w:rsidR="00225273">
        <w:rPr>
          <w:szCs w:val="24"/>
          <w:lang w:val="sk-SK"/>
        </w:rPr>
        <w:t>definovať východisko</w:t>
      </w:r>
      <w:r w:rsidRPr="001B100A">
        <w:rPr>
          <w:szCs w:val="24"/>
          <w:lang w:val="sk-SK"/>
        </w:rPr>
        <w:t xml:space="preserve"> pre P</w:t>
      </w:r>
      <w:r w:rsidR="00540898">
        <w:rPr>
          <w:szCs w:val="24"/>
          <w:lang w:val="sk-SK"/>
        </w:rPr>
        <w:t>S</w:t>
      </w:r>
      <w:r w:rsidRPr="001B100A">
        <w:rPr>
          <w:szCs w:val="24"/>
          <w:lang w:val="sk-SK"/>
        </w:rPr>
        <w:t xml:space="preserve"> 2014 – 2020 bola použitá nasledovná metodológia:</w:t>
      </w:r>
    </w:p>
    <w:p w:rsidR="00603CFE" w:rsidRPr="001B100A" w:rsidRDefault="00603CFE" w:rsidP="004035DE">
      <w:pPr>
        <w:jc w:val="both"/>
        <w:rPr>
          <w:rFonts w:cs="Arial"/>
          <w:szCs w:val="22"/>
          <w:lang w:val="sk-SK"/>
        </w:rPr>
      </w:pPr>
    </w:p>
    <w:p w:rsidR="00831583" w:rsidRPr="001B100A" w:rsidRDefault="00831583" w:rsidP="00831583">
      <w:pPr>
        <w:pStyle w:val="Odsekzoznamu"/>
        <w:numPr>
          <w:ilvl w:val="0"/>
          <w:numId w:val="8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Využívať rok 2013 ako vzorový rok pre skutočný výpočet účastníkov. S cieľom </w:t>
      </w:r>
      <w:r w:rsidR="00225273">
        <w:rPr>
          <w:szCs w:val="24"/>
          <w:lang w:val="sk-SK"/>
        </w:rPr>
        <w:t>definovať</w:t>
      </w:r>
      <w:r w:rsidRPr="001B100A">
        <w:rPr>
          <w:szCs w:val="24"/>
          <w:lang w:val="sk-SK"/>
        </w:rPr>
        <w:t xml:space="preserve"> podujatia, ktoré budú zohľadnené, bolo dohodnuté, že sa budú používať podujatia v roku 2013 v nástroji registrácie podujatí bez tých, ktoré boli označené ako „Podpora pre externé podujatia“ vo Výročnej implementačnej správe</w:t>
      </w:r>
      <w:r w:rsidR="00BE4B6C">
        <w:rPr>
          <w:szCs w:val="24"/>
          <w:lang w:val="sk-SK"/>
        </w:rPr>
        <w:t>;</w:t>
      </w:r>
    </w:p>
    <w:p w:rsidR="00831583" w:rsidRPr="001B100A" w:rsidRDefault="00831583" w:rsidP="00831583">
      <w:pPr>
        <w:pStyle w:val="Odsekzoznamu"/>
        <w:numPr>
          <w:ilvl w:val="0"/>
          <w:numId w:val="8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Výpočet podujatí v roku 2013 bol zredukovaný o 6 podujatí (3 s najväčším počtom účastníkov a 3 s najmenším počtom účastníkov), aby sa </w:t>
      </w:r>
      <w:r w:rsidR="006B6EA4" w:rsidRPr="001B100A">
        <w:rPr>
          <w:szCs w:val="24"/>
          <w:lang w:val="sk-SK"/>
        </w:rPr>
        <w:t>odstrán</w:t>
      </w:r>
      <w:r w:rsidR="006B6EA4">
        <w:rPr>
          <w:szCs w:val="24"/>
          <w:lang w:val="sk-SK"/>
        </w:rPr>
        <w:t>ili</w:t>
      </w:r>
      <w:r w:rsidR="006B6EA4" w:rsidRPr="001B100A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extrémy.</w:t>
      </w:r>
    </w:p>
    <w:p w:rsidR="00603CFE" w:rsidRPr="001B100A" w:rsidRDefault="00603CFE" w:rsidP="005E571A">
      <w:pPr>
        <w:jc w:val="both"/>
        <w:rPr>
          <w:rFonts w:cs="Arial"/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 xml:space="preserve">Na základe </w:t>
      </w:r>
      <w:r w:rsidR="00C10FFB">
        <w:rPr>
          <w:szCs w:val="24"/>
          <w:lang w:val="sk-SK"/>
        </w:rPr>
        <w:t>p</w:t>
      </w:r>
      <w:r w:rsidRPr="001B100A">
        <w:rPr>
          <w:szCs w:val="24"/>
          <w:lang w:val="sk-SK"/>
        </w:rPr>
        <w:t>opísanej metodológie bol záverečný výpočet nasledovný:</w:t>
      </w:r>
    </w:p>
    <w:p w:rsidR="00831583" w:rsidRPr="001B100A" w:rsidRDefault="00831583" w:rsidP="00831583">
      <w:pPr>
        <w:pStyle w:val="Odsekzoznamu"/>
        <w:numPr>
          <w:ilvl w:val="0"/>
          <w:numId w:val="9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49 podujatí</w:t>
      </w:r>
    </w:p>
    <w:p w:rsidR="00831583" w:rsidRPr="001B100A" w:rsidRDefault="00831583" w:rsidP="00831583">
      <w:pPr>
        <w:pStyle w:val="Odsekzoznamu"/>
        <w:numPr>
          <w:ilvl w:val="0"/>
          <w:numId w:val="9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2</w:t>
      </w:r>
      <w:r w:rsidR="00C10FFB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101 účastníkov</w:t>
      </w:r>
    </w:p>
    <w:p w:rsidR="00603CFE" w:rsidRPr="001B100A" w:rsidRDefault="00603CFE" w:rsidP="005E571A">
      <w:pPr>
        <w:jc w:val="both"/>
        <w:rPr>
          <w:rFonts w:cs="Arial"/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Po znížení</w:t>
      </w:r>
      <w:r w:rsidR="00C10FFB">
        <w:rPr>
          <w:szCs w:val="24"/>
          <w:lang w:val="sk-SK"/>
        </w:rPr>
        <w:t>:</w:t>
      </w:r>
    </w:p>
    <w:p w:rsidR="00831583" w:rsidRPr="001B100A" w:rsidRDefault="00831583" w:rsidP="00831583">
      <w:pPr>
        <w:pStyle w:val="Odsekzoznamu"/>
        <w:numPr>
          <w:ilvl w:val="0"/>
          <w:numId w:val="10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43 podujatí</w:t>
      </w:r>
    </w:p>
    <w:p w:rsidR="00831583" w:rsidRPr="001B100A" w:rsidRDefault="00831583" w:rsidP="00831583">
      <w:pPr>
        <w:pStyle w:val="Odsekzoznamu"/>
        <w:numPr>
          <w:ilvl w:val="0"/>
          <w:numId w:val="10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1</w:t>
      </w:r>
      <w:r w:rsidR="00C10FFB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724 účastníkov</w:t>
      </w:r>
    </w:p>
    <w:p w:rsidR="00603CFE" w:rsidRPr="001B100A" w:rsidRDefault="00603CFE" w:rsidP="005E571A">
      <w:pPr>
        <w:jc w:val="both"/>
        <w:rPr>
          <w:rFonts w:cs="Arial"/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S cieľom získať odhad účastníkov za predchádzajúce roky, v ktorých sa uskutočňovali aktivity programu INTERACT</w:t>
      </w:r>
      <w:r w:rsidR="00C10FFB">
        <w:rPr>
          <w:szCs w:val="24"/>
          <w:lang w:val="sk-SK"/>
        </w:rPr>
        <w:t xml:space="preserve"> II</w:t>
      </w:r>
      <w:r w:rsidR="008F54B1">
        <w:rPr>
          <w:szCs w:val="24"/>
          <w:lang w:val="sk-SK"/>
        </w:rPr>
        <w:t xml:space="preserve"> </w:t>
      </w:r>
      <w:r w:rsidRPr="001B100A">
        <w:rPr>
          <w:szCs w:val="24"/>
          <w:lang w:val="sk-SK"/>
        </w:rPr>
        <w:t>(2008 – 2012), zohľadnili sme počet podujatí počas týchto rokov a pre každý rok sme použili koeficient vypočítaný z pomeru podujatí uskutočnených každý rok a podujatí v roku 2013.</w:t>
      </w:r>
    </w:p>
    <w:p w:rsidR="00603CFE" w:rsidRPr="001B100A" w:rsidRDefault="00603CFE" w:rsidP="004035DE">
      <w:pPr>
        <w:jc w:val="both"/>
        <w:rPr>
          <w:rFonts w:cs="Arial"/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Stanovené boli nasledovné počty:</w:t>
      </w:r>
    </w:p>
    <w:p w:rsidR="00831583" w:rsidRPr="001B100A" w:rsidRDefault="00831583" w:rsidP="00831583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2008: 23 podujatí, 53,49</w:t>
      </w:r>
      <w:r w:rsidR="00C10FFB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% podujatí v roku 2013.</w:t>
      </w:r>
    </w:p>
    <w:p w:rsidR="00831583" w:rsidRPr="001B100A" w:rsidRDefault="00831583" w:rsidP="00831583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2009: 41 podujatí, 95,35</w:t>
      </w:r>
      <w:r w:rsidR="00C10FFB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% podujatí v roku 2013.</w:t>
      </w:r>
    </w:p>
    <w:p w:rsidR="00831583" w:rsidRPr="001B100A" w:rsidRDefault="00831583" w:rsidP="00831583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2010: 50 podujatí, 116,28</w:t>
      </w:r>
      <w:r w:rsidR="00C10FFB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% podujatí v roku 2013.</w:t>
      </w:r>
    </w:p>
    <w:p w:rsidR="00831583" w:rsidRPr="001B100A" w:rsidRDefault="00831583" w:rsidP="00831583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2011: 47 podujatí, 109,3</w:t>
      </w:r>
      <w:r w:rsidR="00C10FFB">
        <w:rPr>
          <w:szCs w:val="24"/>
          <w:lang w:val="sk-SK"/>
        </w:rPr>
        <w:t> </w:t>
      </w:r>
      <w:r w:rsidRPr="001B100A">
        <w:rPr>
          <w:szCs w:val="24"/>
          <w:lang w:val="sk-SK"/>
        </w:rPr>
        <w:t>% podujatí v roku 2013.</w:t>
      </w:r>
    </w:p>
    <w:p w:rsidR="00831583" w:rsidRPr="001B100A" w:rsidRDefault="00831583" w:rsidP="00831583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2012: 36 podujatí, 83,72 % podujatí v roku 2013.</w:t>
      </w:r>
    </w:p>
    <w:p w:rsidR="00603CFE" w:rsidRPr="001B100A" w:rsidRDefault="00603CFE" w:rsidP="005E571A">
      <w:pPr>
        <w:jc w:val="both"/>
        <w:rPr>
          <w:rFonts w:cs="Arial"/>
          <w:szCs w:val="22"/>
          <w:lang w:val="sk-SK"/>
        </w:rPr>
      </w:pPr>
    </w:p>
    <w:p w:rsidR="00831583" w:rsidRPr="001B100A" w:rsidRDefault="00831583" w:rsidP="00831583">
      <w:pPr>
        <w:jc w:val="both"/>
        <w:rPr>
          <w:szCs w:val="24"/>
          <w:lang w:val="sk-SK"/>
        </w:rPr>
      </w:pPr>
      <w:r w:rsidRPr="001B100A">
        <w:rPr>
          <w:szCs w:val="24"/>
          <w:lang w:val="sk-SK"/>
        </w:rPr>
        <w:t>S využitím koeficientu sú odhadované počty účastníkov za predchádzajúce roky nasledovné (a prihliadnuc na rok 2007 priemerný počet účastníkov v ostatných rokoch):</w:t>
      </w:r>
    </w:p>
    <w:p w:rsidR="00603CFE" w:rsidRPr="001B100A" w:rsidRDefault="00603CFE" w:rsidP="004035DE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rFonts w:cs="Arial"/>
          <w:szCs w:val="22"/>
          <w:lang w:val="sk-SK"/>
        </w:rPr>
      </w:pPr>
      <w:r w:rsidRPr="001B100A">
        <w:rPr>
          <w:rFonts w:cs="Arial"/>
          <w:szCs w:val="22"/>
          <w:lang w:val="sk-SK"/>
        </w:rPr>
        <w:t>2007: 1</w:t>
      </w:r>
      <w:r w:rsidR="00C10FFB">
        <w:rPr>
          <w:rFonts w:cs="Arial"/>
          <w:szCs w:val="22"/>
          <w:lang w:val="sk-SK"/>
        </w:rPr>
        <w:t> </w:t>
      </w:r>
      <w:r w:rsidRPr="001B100A">
        <w:rPr>
          <w:rFonts w:cs="Arial"/>
          <w:szCs w:val="22"/>
          <w:lang w:val="sk-SK"/>
        </w:rPr>
        <w:t>891;</w:t>
      </w:r>
    </w:p>
    <w:p w:rsidR="00603CFE" w:rsidRPr="001B100A" w:rsidRDefault="00603CFE" w:rsidP="004035DE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rFonts w:cs="Arial"/>
          <w:szCs w:val="22"/>
          <w:lang w:val="sk-SK"/>
        </w:rPr>
      </w:pPr>
      <w:r w:rsidRPr="001B100A">
        <w:rPr>
          <w:rFonts w:cs="Arial"/>
          <w:szCs w:val="22"/>
          <w:lang w:val="sk-SK"/>
        </w:rPr>
        <w:t>2008: 1</w:t>
      </w:r>
      <w:r w:rsidR="00C10FFB">
        <w:rPr>
          <w:rFonts w:cs="Arial"/>
          <w:szCs w:val="22"/>
          <w:lang w:val="sk-SK"/>
        </w:rPr>
        <w:t> </w:t>
      </w:r>
      <w:r w:rsidRPr="001B100A">
        <w:rPr>
          <w:rFonts w:cs="Arial"/>
          <w:szCs w:val="22"/>
          <w:lang w:val="sk-SK"/>
        </w:rPr>
        <w:t>124;</w:t>
      </w:r>
    </w:p>
    <w:p w:rsidR="00603CFE" w:rsidRPr="001B100A" w:rsidRDefault="00603CFE" w:rsidP="004035DE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rFonts w:cs="Arial"/>
          <w:szCs w:val="22"/>
          <w:lang w:val="sk-SK"/>
        </w:rPr>
      </w:pPr>
      <w:r w:rsidRPr="001B100A">
        <w:rPr>
          <w:rFonts w:cs="Arial"/>
          <w:szCs w:val="22"/>
          <w:lang w:val="sk-SK"/>
        </w:rPr>
        <w:t>2009: 2</w:t>
      </w:r>
      <w:r w:rsidR="00C10FFB">
        <w:rPr>
          <w:rFonts w:cs="Arial"/>
          <w:szCs w:val="22"/>
          <w:lang w:val="sk-SK"/>
        </w:rPr>
        <w:t> </w:t>
      </w:r>
      <w:r w:rsidRPr="001B100A">
        <w:rPr>
          <w:rFonts w:cs="Arial"/>
          <w:szCs w:val="22"/>
          <w:lang w:val="sk-SK"/>
        </w:rPr>
        <w:t>003;</w:t>
      </w:r>
    </w:p>
    <w:p w:rsidR="00603CFE" w:rsidRPr="001B100A" w:rsidRDefault="00603CFE" w:rsidP="004035DE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rFonts w:cs="Arial"/>
          <w:szCs w:val="22"/>
          <w:lang w:val="sk-SK"/>
        </w:rPr>
      </w:pPr>
      <w:r w:rsidRPr="001B100A">
        <w:rPr>
          <w:rFonts w:cs="Arial"/>
          <w:szCs w:val="22"/>
          <w:lang w:val="sk-SK"/>
        </w:rPr>
        <w:t>2010: 2</w:t>
      </w:r>
      <w:r w:rsidR="00C10FFB">
        <w:rPr>
          <w:rFonts w:cs="Arial"/>
          <w:szCs w:val="22"/>
          <w:lang w:val="sk-SK"/>
        </w:rPr>
        <w:t> </w:t>
      </w:r>
      <w:r w:rsidRPr="001B100A">
        <w:rPr>
          <w:rFonts w:cs="Arial"/>
          <w:szCs w:val="22"/>
          <w:lang w:val="sk-SK"/>
        </w:rPr>
        <w:t>443;</w:t>
      </w:r>
    </w:p>
    <w:p w:rsidR="00603CFE" w:rsidRPr="001B100A" w:rsidRDefault="00603CFE" w:rsidP="004035DE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rFonts w:cs="Arial"/>
          <w:szCs w:val="22"/>
          <w:lang w:val="sk-SK"/>
        </w:rPr>
      </w:pPr>
      <w:r w:rsidRPr="001B100A">
        <w:rPr>
          <w:rFonts w:cs="Arial"/>
          <w:szCs w:val="22"/>
          <w:lang w:val="sk-SK"/>
        </w:rPr>
        <w:t>2011: 2</w:t>
      </w:r>
      <w:r w:rsidR="00C10FFB">
        <w:rPr>
          <w:rFonts w:cs="Arial"/>
          <w:szCs w:val="22"/>
          <w:lang w:val="sk-SK"/>
        </w:rPr>
        <w:t> </w:t>
      </w:r>
      <w:r w:rsidRPr="001B100A">
        <w:rPr>
          <w:rFonts w:cs="Arial"/>
          <w:szCs w:val="22"/>
          <w:lang w:val="sk-SK"/>
        </w:rPr>
        <w:t>296;</w:t>
      </w:r>
    </w:p>
    <w:p w:rsidR="00603CFE" w:rsidRPr="001B100A" w:rsidRDefault="00603CFE" w:rsidP="004035DE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rFonts w:cs="Arial"/>
          <w:szCs w:val="22"/>
          <w:lang w:val="sk-SK"/>
        </w:rPr>
      </w:pPr>
      <w:r w:rsidRPr="001B100A">
        <w:rPr>
          <w:rFonts w:cs="Arial"/>
          <w:szCs w:val="22"/>
          <w:lang w:val="sk-SK"/>
        </w:rPr>
        <w:t>2012: 1</w:t>
      </w:r>
      <w:r w:rsidR="00C10FFB">
        <w:rPr>
          <w:rFonts w:cs="Arial"/>
          <w:szCs w:val="22"/>
          <w:lang w:val="sk-SK"/>
        </w:rPr>
        <w:t> </w:t>
      </w:r>
      <w:r w:rsidRPr="001B100A">
        <w:rPr>
          <w:rFonts w:cs="Arial"/>
          <w:szCs w:val="22"/>
          <w:lang w:val="sk-SK"/>
        </w:rPr>
        <w:t>759;</w:t>
      </w:r>
    </w:p>
    <w:p w:rsidR="00603CFE" w:rsidRPr="001B100A" w:rsidRDefault="00603CFE" w:rsidP="004035DE">
      <w:pPr>
        <w:pStyle w:val="Odsekzoznamu"/>
        <w:numPr>
          <w:ilvl w:val="0"/>
          <w:numId w:val="11"/>
        </w:numPr>
        <w:spacing w:before="0"/>
        <w:ind w:left="357" w:hanging="357"/>
        <w:jc w:val="both"/>
        <w:rPr>
          <w:rFonts w:cs="Arial"/>
          <w:szCs w:val="22"/>
          <w:lang w:val="sk-SK"/>
        </w:rPr>
      </w:pPr>
      <w:r w:rsidRPr="001B100A">
        <w:rPr>
          <w:rFonts w:cs="Arial"/>
          <w:szCs w:val="22"/>
          <w:lang w:val="sk-SK"/>
        </w:rPr>
        <w:t>2013: 1</w:t>
      </w:r>
      <w:r w:rsidR="00C10FFB">
        <w:rPr>
          <w:rFonts w:cs="Arial"/>
          <w:szCs w:val="22"/>
          <w:lang w:val="sk-SK"/>
        </w:rPr>
        <w:t> </w:t>
      </w:r>
      <w:r w:rsidRPr="001B100A">
        <w:rPr>
          <w:rFonts w:cs="Arial"/>
          <w:szCs w:val="22"/>
          <w:lang w:val="sk-SK"/>
        </w:rPr>
        <w:t>724.</w:t>
      </w:r>
    </w:p>
    <w:p w:rsidR="00603CFE" w:rsidRPr="001B100A" w:rsidRDefault="00603CFE" w:rsidP="005E571A">
      <w:pPr>
        <w:jc w:val="both"/>
        <w:rPr>
          <w:rFonts w:cs="Arial"/>
          <w:szCs w:val="22"/>
          <w:lang w:val="sk-SK"/>
        </w:rPr>
      </w:pPr>
    </w:p>
    <w:p w:rsidR="0099429B" w:rsidRPr="001B100A" w:rsidRDefault="00831583" w:rsidP="00831583">
      <w:pPr>
        <w:jc w:val="both"/>
        <w:rPr>
          <w:szCs w:val="22"/>
          <w:lang w:val="sk-SK"/>
        </w:rPr>
      </w:pPr>
      <w:r w:rsidRPr="001B100A">
        <w:rPr>
          <w:szCs w:val="24"/>
          <w:lang w:val="sk-SK"/>
        </w:rPr>
        <w:t>Celkový odhadovaný počet účastníkov podujatí INTERACT za roky 2008</w:t>
      </w:r>
      <w:r w:rsidR="00C10FFB">
        <w:rPr>
          <w:szCs w:val="24"/>
          <w:lang w:val="sk-SK"/>
        </w:rPr>
        <w:t xml:space="preserve"> – </w:t>
      </w:r>
      <w:r w:rsidRPr="001B100A">
        <w:rPr>
          <w:szCs w:val="24"/>
          <w:lang w:val="sk-SK"/>
        </w:rPr>
        <w:t xml:space="preserve">2013 a </w:t>
      </w:r>
      <w:r w:rsidR="00C10FFB">
        <w:rPr>
          <w:szCs w:val="24"/>
          <w:lang w:val="sk-SK"/>
        </w:rPr>
        <w:t xml:space="preserve">východisko </w:t>
      </w:r>
      <w:r w:rsidRPr="001B100A">
        <w:rPr>
          <w:szCs w:val="24"/>
          <w:lang w:val="sk-SK"/>
        </w:rPr>
        <w:t xml:space="preserve">pre nasledovné programové obdobie je </w:t>
      </w:r>
      <w:r w:rsidRPr="001B100A">
        <w:rPr>
          <w:b/>
          <w:szCs w:val="24"/>
          <w:u w:val="single"/>
          <w:lang w:val="sk-SK"/>
        </w:rPr>
        <w:t>13</w:t>
      </w:r>
      <w:r w:rsidR="00C10FFB">
        <w:rPr>
          <w:b/>
          <w:szCs w:val="24"/>
          <w:u w:val="single"/>
          <w:lang w:val="sk-SK"/>
        </w:rPr>
        <w:t> </w:t>
      </w:r>
      <w:r w:rsidRPr="001B100A">
        <w:rPr>
          <w:b/>
          <w:szCs w:val="24"/>
          <w:u w:val="single"/>
          <w:lang w:val="sk-SK"/>
        </w:rPr>
        <w:t>240</w:t>
      </w:r>
      <w:r w:rsidRPr="001B100A">
        <w:rPr>
          <w:szCs w:val="24"/>
          <w:lang w:val="sk-SK"/>
        </w:rPr>
        <w:t>.</w:t>
      </w:r>
    </w:p>
    <w:sectPr w:rsidR="0099429B" w:rsidRPr="001B100A" w:rsidSect="0093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A" w:rsidRDefault="0051076A">
      <w:pPr>
        <w:spacing w:before="0"/>
      </w:pPr>
      <w:r>
        <w:separator/>
      </w:r>
    </w:p>
  </w:endnote>
  <w:endnote w:type="continuationSeparator" w:id="0">
    <w:p w:rsidR="0051076A" w:rsidRDefault="005107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3" w:rsidRPr="00FD6AA2" w:rsidRDefault="00225273" w:rsidP="00AC64FF">
    <w:pPr>
      <w:pStyle w:val="Pta"/>
      <w:pBdr>
        <w:top w:val="single" w:sz="4" w:space="1" w:color="auto"/>
      </w:pBdr>
      <w:rPr>
        <w:lang w:val="de-LI"/>
      </w:rPr>
    </w:pPr>
    <w:r w:rsidRPr="00AC64FF">
      <w:rPr>
        <w:rFonts w:ascii="Arial" w:hAnsi="Arial" w:cs="Arial"/>
        <w:i/>
        <w:smallCaps/>
        <w:noProof/>
        <w:color w:val="1F497D"/>
        <w:szCs w:val="20"/>
        <w:lang w:val="en-US"/>
      </w:rPr>
      <w:t>©</w:t>
    </w:r>
    <w:r w:rsidRPr="00AC64FF">
      <w:rPr>
        <w:rFonts w:ascii="Arial" w:hAnsi="Arial"/>
        <w:i/>
        <w:smallCaps/>
        <w:noProof/>
        <w:color w:val="1F497D"/>
        <w:szCs w:val="20"/>
        <w:lang w:val="en-US"/>
      </w:rPr>
      <w:t xml:space="preserve"> vvmz s.r.o and </w:t>
    </w:r>
    <w:r w:rsidRPr="00AC64FF">
      <w:rPr>
        <w:rFonts w:ascii="Arial" w:hAnsi="Arial"/>
        <w:i/>
        <w:smallCaps/>
        <w:noProof/>
        <w:color w:val="1F497D"/>
        <w:szCs w:val="20"/>
        <w:lang w:val="de-LI"/>
      </w:rPr>
      <w:t>öar regionalberatung gmbh</w:t>
    </w:r>
    <w:r w:rsidRPr="00FD6AA2">
      <w:tab/>
    </w:r>
    <w:r w:rsidRPr="00FD6AA2">
      <w:tab/>
    </w:r>
    <w:r>
      <w:fldChar w:fldCharType="begin"/>
    </w:r>
    <w:r>
      <w:instrText>PAGE   \* MERGEFORMAT</w:instrText>
    </w:r>
    <w:r>
      <w:fldChar w:fldCharType="separate"/>
    </w:r>
    <w:r w:rsidR="008B2557" w:rsidRPr="008B2557">
      <w:rPr>
        <w:noProof/>
        <w:lang w:val="de-DE"/>
      </w:rPr>
      <w:t>2</w:t>
    </w:r>
    <w:r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3" w:rsidRDefault="00225273" w:rsidP="006838D7">
    <w:pPr>
      <w:tabs>
        <w:tab w:val="left" w:pos="1276"/>
        <w:tab w:val="right" w:pos="5245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A" w:rsidRDefault="0051076A">
      <w:pPr>
        <w:spacing w:before="0"/>
      </w:pPr>
      <w:r>
        <w:separator/>
      </w:r>
    </w:p>
  </w:footnote>
  <w:footnote w:type="continuationSeparator" w:id="0">
    <w:p w:rsidR="0051076A" w:rsidRDefault="005107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3" w:rsidRPr="00CB54A9" w:rsidRDefault="00225273" w:rsidP="006838D7">
    <w:pPr>
      <w:pStyle w:val="Hlavika"/>
      <w:pBdr>
        <w:bottom w:val="single" w:sz="6" w:space="1" w:color="1F497D"/>
      </w:pBdr>
      <w:tabs>
        <w:tab w:val="clear" w:pos="9072"/>
        <w:tab w:val="right" w:pos="8931"/>
      </w:tabs>
      <w:rPr>
        <w:b/>
        <w:color w:val="1F497D"/>
        <w:sz w:val="16"/>
        <w:szCs w:val="16"/>
        <w:lang w:val="fr-FR"/>
      </w:rPr>
    </w:pPr>
    <w:r w:rsidRPr="00CB54A9">
      <w:rPr>
        <w:b/>
        <w:color w:val="1F497D"/>
        <w:sz w:val="16"/>
        <w:szCs w:val="16"/>
        <w:lang w:val="fr-FR"/>
      </w:rPr>
      <w:t>Hodnotiaca správa EaE</w:t>
    </w:r>
    <w:r w:rsidRPr="00CB54A9">
      <w:rPr>
        <w:b/>
        <w:color w:val="1F497D"/>
        <w:sz w:val="16"/>
        <w:szCs w:val="16"/>
        <w:lang w:val="fr-FR"/>
      </w:rPr>
      <w:tab/>
    </w:r>
    <w:r w:rsidRPr="00CB54A9">
      <w:rPr>
        <w:b/>
        <w:color w:val="1F497D"/>
        <w:sz w:val="16"/>
        <w:szCs w:val="16"/>
        <w:lang w:val="fr-FR"/>
      </w:rPr>
      <w:tab/>
      <w:t>Ex-ante hodnotenie</w:t>
    </w:r>
    <w:r w:rsidRPr="00CB54A9">
      <w:rPr>
        <w:b/>
        <w:color w:val="1F497D"/>
        <w:sz w:val="16"/>
        <w:szCs w:val="16"/>
        <w:lang w:val="fr-FR"/>
      </w:rPr>
      <w:br/>
      <w:t>k návrhu P</w:t>
    </w:r>
    <w:r w:rsidR="006518A3" w:rsidRPr="00CB54A9">
      <w:rPr>
        <w:b/>
        <w:color w:val="1F497D"/>
        <w:sz w:val="16"/>
        <w:szCs w:val="16"/>
        <w:lang w:val="fr-FR"/>
      </w:rPr>
      <w:t>S</w:t>
    </w:r>
    <w:r w:rsidRPr="00CB54A9">
      <w:rPr>
        <w:b/>
        <w:color w:val="1F497D"/>
        <w:sz w:val="16"/>
        <w:szCs w:val="16"/>
        <w:lang w:val="fr-FR"/>
      </w:rPr>
      <w:t xml:space="preserve"> verzie 2.3 (Apríl 2014)</w:t>
    </w:r>
    <w:r w:rsidRPr="00CB54A9">
      <w:rPr>
        <w:b/>
        <w:color w:val="1F497D"/>
        <w:sz w:val="16"/>
        <w:szCs w:val="16"/>
        <w:lang w:val="fr-FR"/>
      </w:rPr>
      <w:tab/>
    </w:r>
    <w:r w:rsidRPr="00CB54A9">
      <w:rPr>
        <w:b/>
        <w:color w:val="1F497D"/>
        <w:sz w:val="16"/>
        <w:szCs w:val="16"/>
        <w:lang w:val="fr-FR"/>
      </w:rPr>
      <w:tab/>
      <w:t>P</w:t>
    </w:r>
    <w:r w:rsidR="006518A3" w:rsidRPr="00CB54A9">
      <w:rPr>
        <w:b/>
        <w:color w:val="1F497D"/>
        <w:sz w:val="16"/>
        <w:szCs w:val="16"/>
        <w:lang w:val="fr-FR"/>
      </w:rPr>
      <w:t>S</w:t>
    </w:r>
    <w:r w:rsidRPr="00CB54A9">
      <w:rPr>
        <w:b/>
        <w:color w:val="1F497D"/>
        <w:sz w:val="16"/>
        <w:szCs w:val="16"/>
        <w:lang w:val="fr-FR"/>
      </w:rPr>
      <w:t xml:space="preserve"> INTERACT III 2014-2020</w:t>
    </w:r>
  </w:p>
  <w:p w:rsidR="00225273" w:rsidRPr="00CB54A9" w:rsidRDefault="00225273" w:rsidP="006838D7">
    <w:pPr>
      <w:pStyle w:val="Hlavika"/>
      <w:tabs>
        <w:tab w:val="clear" w:pos="9072"/>
        <w:tab w:val="right" w:pos="8931"/>
      </w:tabs>
      <w:rPr>
        <w:b/>
        <w:color w:val="1F497D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F86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D02E03"/>
    <w:multiLevelType w:val="hybridMultilevel"/>
    <w:tmpl w:val="A476CA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C26AF"/>
    <w:multiLevelType w:val="hybridMultilevel"/>
    <w:tmpl w:val="86B2D4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E13EC"/>
    <w:multiLevelType w:val="hybridMultilevel"/>
    <w:tmpl w:val="FA6CA5D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BAA20DB"/>
    <w:multiLevelType w:val="hybridMultilevel"/>
    <w:tmpl w:val="36B2B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3496"/>
    <w:multiLevelType w:val="multilevel"/>
    <w:tmpl w:val="E4C4CB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14C2804"/>
    <w:multiLevelType w:val="hybridMultilevel"/>
    <w:tmpl w:val="C82CF114"/>
    <w:lvl w:ilvl="0" w:tplc="D57A4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234B6"/>
    <w:multiLevelType w:val="hybridMultilevel"/>
    <w:tmpl w:val="B6B24C08"/>
    <w:lvl w:ilvl="0" w:tplc="0409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B977DCB"/>
    <w:multiLevelType w:val="hybridMultilevel"/>
    <w:tmpl w:val="6C36CF6A"/>
    <w:lvl w:ilvl="0" w:tplc="0409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4291EF5"/>
    <w:multiLevelType w:val="hybridMultilevel"/>
    <w:tmpl w:val="993ABB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141816"/>
    <w:multiLevelType w:val="hybridMultilevel"/>
    <w:tmpl w:val="549437F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5"/>
    <w:rsid w:val="000124E6"/>
    <w:rsid w:val="000263D3"/>
    <w:rsid w:val="00031A8E"/>
    <w:rsid w:val="0004652E"/>
    <w:rsid w:val="00070727"/>
    <w:rsid w:val="00073CC1"/>
    <w:rsid w:val="00092B7E"/>
    <w:rsid w:val="00093A97"/>
    <w:rsid w:val="000B4043"/>
    <w:rsid w:val="000C59FC"/>
    <w:rsid w:val="000C5C27"/>
    <w:rsid w:val="000F253E"/>
    <w:rsid w:val="00123EBA"/>
    <w:rsid w:val="00131B83"/>
    <w:rsid w:val="00142B2F"/>
    <w:rsid w:val="001643E5"/>
    <w:rsid w:val="00171327"/>
    <w:rsid w:val="00191995"/>
    <w:rsid w:val="001A7FAF"/>
    <w:rsid w:val="001B100A"/>
    <w:rsid w:val="001B11F6"/>
    <w:rsid w:val="001B397C"/>
    <w:rsid w:val="001B4542"/>
    <w:rsid w:val="00225273"/>
    <w:rsid w:val="00262632"/>
    <w:rsid w:val="00291F17"/>
    <w:rsid w:val="002B5CE8"/>
    <w:rsid w:val="002D2C6C"/>
    <w:rsid w:val="002E3DEE"/>
    <w:rsid w:val="002E4BD0"/>
    <w:rsid w:val="00312F41"/>
    <w:rsid w:val="00327CC1"/>
    <w:rsid w:val="00345459"/>
    <w:rsid w:val="00374816"/>
    <w:rsid w:val="00380724"/>
    <w:rsid w:val="003964E4"/>
    <w:rsid w:val="003B2708"/>
    <w:rsid w:val="003B2FEE"/>
    <w:rsid w:val="003C37BC"/>
    <w:rsid w:val="003D4891"/>
    <w:rsid w:val="004035DE"/>
    <w:rsid w:val="004040CE"/>
    <w:rsid w:val="00416F3B"/>
    <w:rsid w:val="00420F3F"/>
    <w:rsid w:val="004506DE"/>
    <w:rsid w:val="00457E5E"/>
    <w:rsid w:val="00475F17"/>
    <w:rsid w:val="004F13D4"/>
    <w:rsid w:val="004F33F5"/>
    <w:rsid w:val="004F7809"/>
    <w:rsid w:val="0050764F"/>
    <w:rsid w:val="0051076A"/>
    <w:rsid w:val="00517FAA"/>
    <w:rsid w:val="00540898"/>
    <w:rsid w:val="0054239D"/>
    <w:rsid w:val="00560D56"/>
    <w:rsid w:val="005676C1"/>
    <w:rsid w:val="005703BF"/>
    <w:rsid w:val="00586257"/>
    <w:rsid w:val="005873E7"/>
    <w:rsid w:val="005A025A"/>
    <w:rsid w:val="005C52D4"/>
    <w:rsid w:val="005E571A"/>
    <w:rsid w:val="005E611F"/>
    <w:rsid w:val="00603CFE"/>
    <w:rsid w:val="00627512"/>
    <w:rsid w:val="0064076B"/>
    <w:rsid w:val="006518A3"/>
    <w:rsid w:val="006544B4"/>
    <w:rsid w:val="0065455E"/>
    <w:rsid w:val="00680A21"/>
    <w:rsid w:val="006838D7"/>
    <w:rsid w:val="0069088E"/>
    <w:rsid w:val="006A1EA6"/>
    <w:rsid w:val="006A3D1F"/>
    <w:rsid w:val="006A54F1"/>
    <w:rsid w:val="006B5C11"/>
    <w:rsid w:val="006B6EA4"/>
    <w:rsid w:val="006C53D4"/>
    <w:rsid w:val="006E1504"/>
    <w:rsid w:val="0078489F"/>
    <w:rsid w:val="00794E78"/>
    <w:rsid w:val="0079593A"/>
    <w:rsid w:val="007C3FF6"/>
    <w:rsid w:val="007D22AB"/>
    <w:rsid w:val="007E0902"/>
    <w:rsid w:val="007F7E33"/>
    <w:rsid w:val="00826544"/>
    <w:rsid w:val="00831583"/>
    <w:rsid w:val="00831963"/>
    <w:rsid w:val="008930B7"/>
    <w:rsid w:val="008B1529"/>
    <w:rsid w:val="008B2557"/>
    <w:rsid w:val="008B5FBE"/>
    <w:rsid w:val="008B7B5D"/>
    <w:rsid w:val="008D7210"/>
    <w:rsid w:val="008E0A6C"/>
    <w:rsid w:val="008F54B1"/>
    <w:rsid w:val="00902EA8"/>
    <w:rsid w:val="00911176"/>
    <w:rsid w:val="00912A8A"/>
    <w:rsid w:val="00934316"/>
    <w:rsid w:val="00936332"/>
    <w:rsid w:val="00940A94"/>
    <w:rsid w:val="009568CD"/>
    <w:rsid w:val="00972C96"/>
    <w:rsid w:val="009805D7"/>
    <w:rsid w:val="0099429B"/>
    <w:rsid w:val="009949E7"/>
    <w:rsid w:val="00996ECB"/>
    <w:rsid w:val="009A2500"/>
    <w:rsid w:val="009B4517"/>
    <w:rsid w:val="009B6188"/>
    <w:rsid w:val="009C4C7E"/>
    <w:rsid w:val="00A1089C"/>
    <w:rsid w:val="00A2043E"/>
    <w:rsid w:val="00A21B33"/>
    <w:rsid w:val="00A23B0E"/>
    <w:rsid w:val="00A34E01"/>
    <w:rsid w:val="00A47463"/>
    <w:rsid w:val="00A70668"/>
    <w:rsid w:val="00A77423"/>
    <w:rsid w:val="00A82FD9"/>
    <w:rsid w:val="00A85604"/>
    <w:rsid w:val="00AC64FF"/>
    <w:rsid w:val="00AD2484"/>
    <w:rsid w:val="00AD7E9A"/>
    <w:rsid w:val="00AF2331"/>
    <w:rsid w:val="00B41308"/>
    <w:rsid w:val="00B50FD5"/>
    <w:rsid w:val="00B64543"/>
    <w:rsid w:val="00B7225C"/>
    <w:rsid w:val="00B9391F"/>
    <w:rsid w:val="00BB3C75"/>
    <w:rsid w:val="00BC5E8C"/>
    <w:rsid w:val="00BE252B"/>
    <w:rsid w:val="00BE4B6C"/>
    <w:rsid w:val="00BF3D57"/>
    <w:rsid w:val="00C02849"/>
    <w:rsid w:val="00C10FFB"/>
    <w:rsid w:val="00C12F32"/>
    <w:rsid w:val="00C132B0"/>
    <w:rsid w:val="00C15107"/>
    <w:rsid w:val="00C20233"/>
    <w:rsid w:val="00C24739"/>
    <w:rsid w:val="00C24A6D"/>
    <w:rsid w:val="00C54B41"/>
    <w:rsid w:val="00C86BF2"/>
    <w:rsid w:val="00CB54A9"/>
    <w:rsid w:val="00CC67C1"/>
    <w:rsid w:val="00CE0A4E"/>
    <w:rsid w:val="00CE1F6D"/>
    <w:rsid w:val="00D22D68"/>
    <w:rsid w:val="00D23025"/>
    <w:rsid w:val="00D328CB"/>
    <w:rsid w:val="00D35FDA"/>
    <w:rsid w:val="00D43BC3"/>
    <w:rsid w:val="00D44F35"/>
    <w:rsid w:val="00D4523A"/>
    <w:rsid w:val="00D71F6B"/>
    <w:rsid w:val="00D728CA"/>
    <w:rsid w:val="00D81A1A"/>
    <w:rsid w:val="00D850D5"/>
    <w:rsid w:val="00D85616"/>
    <w:rsid w:val="00D9411E"/>
    <w:rsid w:val="00D951A6"/>
    <w:rsid w:val="00DB62C3"/>
    <w:rsid w:val="00DC6B7D"/>
    <w:rsid w:val="00DD7EC8"/>
    <w:rsid w:val="00DE206E"/>
    <w:rsid w:val="00E000AD"/>
    <w:rsid w:val="00E332DC"/>
    <w:rsid w:val="00E71BF2"/>
    <w:rsid w:val="00E75BD6"/>
    <w:rsid w:val="00E967B8"/>
    <w:rsid w:val="00EA0168"/>
    <w:rsid w:val="00EA2205"/>
    <w:rsid w:val="00ED6D1B"/>
    <w:rsid w:val="00ED7A59"/>
    <w:rsid w:val="00EE5CA1"/>
    <w:rsid w:val="00EF6297"/>
    <w:rsid w:val="00F0028F"/>
    <w:rsid w:val="00F123AA"/>
    <w:rsid w:val="00F17486"/>
    <w:rsid w:val="00F3436A"/>
    <w:rsid w:val="00F52CCF"/>
    <w:rsid w:val="00F77281"/>
    <w:rsid w:val="00FC0294"/>
    <w:rsid w:val="00FC5A27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995"/>
    <w:pPr>
      <w:spacing w:before="120" w:after="0" w:line="240" w:lineRule="auto"/>
    </w:pPr>
    <w:rPr>
      <w:rFonts w:ascii="Arial" w:eastAsia="Times New Roman" w:hAnsi="Arial" w:cs="Times New Roman"/>
      <w:szCs w:val="20"/>
      <w:lang w:val="de-AT" w:eastAsia="de-AT"/>
    </w:rPr>
  </w:style>
  <w:style w:type="paragraph" w:styleId="Nadpis1">
    <w:name w:val="heading 1"/>
    <w:aliases w:val="Chapter Heading"/>
    <w:basedOn w:val="Normlny"/>
    <w:next w:val="Normlny"/>
    <w:link w:val="Nadpis1Char"/>
    <w:autoRedefine/>
    <w:uiPriority w:val="99"/>
    <w:qFormat/>
    <w:rsid w:val="00191995"/>
    <w:pPr>
      <w:keepNext/>
      <w:numPr>
        <w:numId w:val="1"/>
      </w:numPr>
      <w:shd w:val="clear" w:color="auto" w:fill="B6DDE8"/>
      <w:spacing w:before="240" w:after="60"/>
      <w:jc w:val="both"/>
      <w:outlineLvl w:val="0"/>
    </w:pPr>
    <w:rPr>
      <w:b/>
      <w:bCs/>
      <w:color w:val="17365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1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Sub-heading,L3 Char"/>
    <w:basedOn w:val="Normlny"/>
    <w:next w:val="Normlny"/>
    <w:link w:val="Nadpis3Char"/>
    <w:autoRedefine/>
    <w:uiPriority w:val="99"/>
    <w:qFormat/>
    <w:rsid w:val="00191995"/>
    <w:pPr>
      <w:keepNext/>
      <w:keepLines/>
      <w:numPr>
        <w:ilvl w:val="2"/>
        <w:numId w:val="1"/>
      </w:numPr>
      <w:spacing w:before="300" w:after="120"/>
      <w:outlineLvl w:val="2"/>
    </w:pPr>
    <w:rPr>
      <w:b/>
      <w:bCs/>
      <w:lang w:val="en-GB"/>
    </w:rPr>
  </w:style>
  <w:style w:type="paragraph" w:styleId="Nadpis5">
    <w:name w:val="heading 5"/>
    <w:aliases w:val="Further Points"/>
    <w:basedOn w:val="Normlny"/>
    <w:next w:val="Normlny"/>
    <w:link w:val="Nadpis5Char"/>
    <w:uiPriority w:val="99"/>
    <w:qFormat/>
    <w:rsid w:val="00191995"/>
    <w:pPr>
      <w:keepNext/>
      <w:keepLines/>
      <w:numPr>
        <w:ilvl w:val="4"/>
        <w:numId w:val="1"/>
      </w:numPr>
      <w:spacing w:before="200"/>
      <w:outlineLvl w:val="4"/>
    </w:pPr>
    <w:rPr>
      <w:rFonts w:ascii="Helvetica" w:hAnsi="Helvetica"/>
      <w:color w:val="7F7F7F"/>
      <w:sz w:val="20"/>
    </w:rPr>
  </w:style>
  <w:style w:type="paragraph" w:styleId="Nadpis6">
    <w:name w:val="heading 6"/>
    <w:aliases w:val="Points in Text"/>
    <w:basedOn w:val="Normlny"/>
    <w:next w:val="Normlny"/>
    <w:link w:val="Nadpis6Char"/>
    <w:uiPriority w:val="99"/>
    <w:qFormat/>
    <w:rsid w:val="00191995"/>
    <w:pPr>
      <w:keepNext/>
      <w:keepLines/>
      <w:numPr>
        <w:ilvl w:val="5"/>
        <w:numId w:val="1"/>
      </w:numPr>
      <w:spacing w:before="200"/>
      <w:outlineLvl w:val="5"/>
    </w:pPr>
    <w:rPr>
      <w:rFonts w:ascii="Helvetica" w:hAnsi="Helvetica"/>
      <w:i/>
      <w:iCs/>
      <w:color w:val="7F7F7F"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91995"/>
    <w:pPr>
      <w:keepNext/>
      <w:keepLines/>
      <w:numPr>
        <w:ilvl w:val="6"/>
        <w:numId w:val="1"/>
      </w:numPr>
      <w:spacing w:before="200"/>
      <w:outlineLvl w:val="6"/>
    </w:pPr>
    <w:rPr>
      <w:rFonts w:ascii="Helvetica" w:hAnsi="Helvetica"/>
      <w:i/>
      <w:iCs/>
      <w:color w:val="404040"/>
      <w:sz w:val="20"/>
    </w:rPr>
  </w:style>
  <w:style w:type="paragraph" w:styleId="Nadpis8">
    <w:name w:val="heading 8"/>
    <w:aliases w:val="Appendix Level 2"/>
    <w:basedOn w:val="Normlny"/>
    <w:next w:val="Normlny"/>
    <w:link w:val="Nadpis8Char"/>
    <w:uiPriority w:val="99"/>
    <w:qFormat/>
    <w:rsid w:val="00191995"/>
    <w:pPr>
      <w:keepNext/>
      <w:keepLines/>
      <w:numPr>
        <w:ilvl w:val="7"/>
        <w:numId w:val="1"/>
      </w:numPr>
      <w:spacing w:before="200"/>
      <w:outlineLvl w:val="7"/>
    </w:pPr>
    <w:rPr>
      <w:rFonts w:ascii="Helvetica" w:hAnsi="Helvetica"/>
      <w:color w:val="404040"/>
      <w:sz w:val="20"/>
    </w:rPr>
  </w:style>
  <w:style w:type="paragraph" w:styleId="Nadpis9">
    <w:name w:val="heading 9"/>
    <w:aliases w:val="Appendix Level 3"/>
    <w:basedOn w:val="Normlny"/>
    <w:next w:val="Normlny"/>
    <w:link w:val="Nadpis9Char"/>
    <w:uiPriority w:val="99"/>
    <w:qFormat/>
    <w:rsid w:val="00191995"/>
    <w:pPr>
      <w:keepNext/>
      <w:keepLines/>
      <w:numPr>
        <w:ilvl w:val="8"/>
        <w:numId w:val="1"/>
      </w:numPr>
      <w:spacing w:before="200"/>
      <w:outlineLvl w:val="8"/>
    </w:pPr>
    <w:rPr>
      <w:rFonts w:ascii="Helvetica" w:hAnsi="Helvetica"/>
      <w:i/>
      <w:iCs/>
      <w:color w:val="4040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Heading Char"/>
    <w:basedOn w:val="Predvolenpsmoodseku"/>
    <w:link w:val="Nadpis1"/>
    <w:uiPriority w:val="99"/>
    <w:rsid w:val="00191995"/>
    <w:rPr>
      <w:rFonts w:ascii="Arial" w:eastAsia="Times New Roman" w:hAnsi="Arial" w:cs="Times New Roman"/>
      <w:b/>
      <w:bCs/>
      <w:color w:val="17365D"/>
      <w:sz w:val="28"/>
      <w:szCs w:val="28"/>
      <w:shd w:val="clear" w:color="auto" w:fill="B6DDE8"/>
      <w:lang w:val="de-AT" w:eastAsia="de-AT"/>
    </w:rPr>
  </w:style>
  <w:style w:type="character" w:customStyle="1" w:styleId="Nadpis3Char">
    <w:name w:val="Nadpis 3 Char"/>
    <w:aliases w:val="Sub-heading Char,L3 Char Char"/>
    <w:basedOn w:val="Predvolenpsmoodseku"/>
    <w:link w:val="Nadpis3"/>
    <w:uiPriority w:val="99"/>
    <w:rsid w:val="00191995"/>
    <w:rPr>
      <w:rFonts w:ascii="Arial" w:eastAsia="Times New Roman" w:hAnsi="Arial" w:cs="Times New Roman"/>
      <w:b/>
      <w:bCs/>
      <w:szCs w:val="20"/>
      <w:lang w:val="en-GB" w:eastAsia="de-AT"/>
    </w:rPr>
  </w:style>
  <w:style w:type="character" w:customStyle="1" w:styleId="Nadpis5Char">
    <w:name w:val="Nadpis 5 Char"/>
    <w:aliases w:val="Further Points Char"/>
    <w:basedOn w:val="Predvolenpsmoodseku"/>
    <w:link w:val="Nadpis5"/>
    <w:uiPriority w:val="99"/>
    <w:rsid w:val="00191995"/>
    <w:rPr>
      <w:rFonts w:ascii="Helvetica" w:eastAsia="Times New Roman" w:hAnsi="Helvetica" w:cs="Times New Roman"/>
      <w:color w:val="7F7F7F"/>
      <w:sz w:val="20"/>
      <w:szCs w:val="20"/>
      <w:lang w:val="de-AT" w:eastAsia="de-AT"/>
    </w:rPr>
  </w:style>
  <w:style w:type="character" w:customStyle="1" w:styleId="Nadpis6Char">
    <w:name w:val="Nadpis 6 Char"/>
    <w:aliases w:val="Points in Text Char"/>
    <w:basedOn w:val="Predvolenpsmoodseku"/>
    <w:link w:val="Nadpis6"/>
    <w:uiPriority w:val="99"/>
    <w:rsid w:val="00191995"/>
    <w:rPr>
      <w:rFonts w:ascii="Helvetica" w:eastAsia="Times New Roman" w:hAnsi="Helvetica" w:cs="Times New Roman"/>
      <w:i/>
      <w:iCs/>
      <w:color w:val="7F7F7F"/>
      <w:sz w:val="20"/>
      <w:szCs w:val="20"/>
      <w:lang w:val="de-AT" w:eastAsia="de-AT"/>
    </w:rPr>
  </w:style>
  <w:style w:type="character" w:customStyle="1" w:styleId="Nadpis7Char">
    <w:name w:val="Nadpis 7 Char"/>
    <w:basedOn w:val="Predvolenpsmoodseku"/>
    <w:link w:val="Nadpis7"/>
    <w:uiPriority w:val="99"/>
    <w:rsid w:val="00191995"/>
    <w:rPr>
      <w:rFonts w:ascii="Helvetica" w:eastAsia="Times New Roman" w:hAnsi="Helvetica" w:cs="Times New Roman"/>
      <w:i/>
      <w:iCs/>
      <w:color w:val="404040"/>
      <w:sz w:val="20"/>
      <w:szCs w:val="20"/>
      <w:lang w:val="de-AT" w:eastAsia="de-AT"/>
    </w:rPr>
  </w:style>
  <w:style w:type="character" w:customStyle="1" w:styleId="Nadpis8Char">
    <w:name w:val="Nadpis 8 Char"/>
    <w:aliases w:val="Appendix Level 2 Char"/>
    <w:basedOn w:val="Predvolenpsmoodseku"/>
    <w:link w:val="Nadpis8"/>
    <w:uiPriority w:val="99"/>
    <w:rsid w:val="00191995"/>
    <w:rPr>
      <w:rFonts w:ascii="Helvetica" w:eastAsia="Times New Roman" w:hAnsi="Helvetica" w:cs="Times New Roman"/>
      <w:color w:val="404040"/>
      <w:sz w:val="20"/>
      <w:szCs w:val="20"/>
      <w:lang w:val="de-AT" w:eastAsia="de-AT"/>
    </w:rPr>
  </w:style>
  <w:style w:type="character" w:customStyle="1" w:styleId="Nadpis9Char">
    <w:name w:val="Nadpis 9 Char"/>
    <w:aliases w:val="Appendix Level 3 Char"/>
    <w:basedOn w:val="Predvolenpsmoodseku"/>
    <w:link w:val="Nadpis9"/>
    <w:uiPriority w:val="99"/>
    <w:rsid w:val="00191995"/>
    <w:rPr>
      <w:rFonts w:ascii="Helvetica" w:eastAsia="Times New Roman" w:hAnsi="Helvetica" w:cs="Times New Roman"/>
      <w:i/>
      <w:iCs/>
      <w:color w:val="404040"/>
      <w:sz w:val="20"/>
      <w:szCs w:val="20"/>
      <w:lang w:val="de-AT" w:eastAsia="de-AT"/>
    </w:rPr>
  </w:style>
  <w:style w:type="paragraph" w:styleId="Hlavika">
    <w:name w:val="header"/>
    <w:basedOn w:val="Normlny"/>
    <w:link w:val="HlavikaChar"/>
    <w:uiPriority w:val="99"/>
    <w:rsid w:val="0019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1995"/>
    <w:rPr>
      <w:rFonts w:ascii="Arial" w:eastAsia="Times New Roman" w:hAnsi="Arial" w:cs="Times New Roman"/>
      <w:szCs w:val="20"/>
      <w:lang w:val="de-AT" w:eastAsia="de-AT"/>
    </w:rPr>
  </w:style>
  <w:style w:type="paragraph" w:styleId="Pta">
    <w:name w:val="footer"/>
    <w:basedOn w:val="Normlny"/>
    <w:link w:val="PtaChar"/>
    <w:autoRedefine/>
    <w:uiPriority w:val="99"/>
    <w:rsid w:val="00191995"/>
    <w:pPr>
      <w:tabs>
        <w:tab w:val="center" w:pos="4536"/>
        <w:tab w:val="right" w:pos="9072"/>
      </w:tabs>
      <w:spacing w:before="0"/>
    </w:pPr>
    <w:rPr>
      <w:rFonts w:ascii="Helvetica" w:hAnsi="Helvetica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rsid w:val="00191995"/>
    <w:rPr>
      <w:rFonts w:ascii="Helvetica" w:eastAsia="Times New Roman" w:hAnsi="Helvetica" w:cs="Times New Roman"/>
      <w:sz w:val="18"/>
      <w:szCs w:val="18"/>
      <w:lang w:val="de-AT" w:eastAsia="de-AT"/>
    </w:rPr>
  </w:style>
  <w:style w:type="character" w:styleId="Siln">
    <w:name w:val="Strong"/>
    <w:basedOn w:val="Predvolenpsmoodseku"/>
    <w:uiPriority w:val="99"/>
    <w:qFormat/>
    <w:rsid w:val="00191995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unhideWhenUsed/>
    <w:rsid w:val="001919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91995"/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1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paragraph" w:customStyle="1" w:styleId="Default">
    <w:name w:val="Default"/>
    <w:uiPriority w:val="99"/>
    <w:rsid w:val="0098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B404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416F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16F3B"/>
    <w:rPr>
      <w:rFonts w:ascii="Arial" w:eastAsia="Times New Roman" w:hAnsi="Arial" w:cs="Times New Roman"/>
      <w:szCs w:val="20"/>
      <w:lang w:val="de-AT" w:eastAsia="de-AT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8489F"/>
    <w:pPr>
      <w:spacing w:before="0"/>
      <w:ind w:left="220" w:hanging="220"/>
    </w:pPr>
  </w:style>
  <w:style w:type="table" w:styleId="Mriekatabuky">
    <w:name w:val="Table Grid"/>
    <w:basedOn w:val="Normlnatabuka"/>
    <w:uiPriority w:val="59"/>
    <w:rsid w:val="0078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964E4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64E4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64E4"/>
    <w:rPr>
      <w:rFonts w:ascii="Arial" w:eastAsia="Times New Roman" w:hAnsi="Arial" w:cs="Times New Roman"/>
      <w:sz w:val="24"/>
      <w:szCs w:val="24"/>
      <w:lang w:val="de-AT" w:eastAsia="de-A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64E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64E4"/>
    <w:rPr>
      <w:rFonts w:ascii="Arial" w:eastAsia="Times New Roman" w:hAnsi="Arial" w:cs="Times New Roman"/>
      <w:b/>
      <w:bCs/>
      <w:sz w:val="20"/>
      <w:szCs w:val="20"/>
      <w:lang w:val="de-AT" w:eastAsia="de-AT"/>
    </w:rPr>
  </w:style>
  <w:style w:type="character" w:customStyle="1" w:styleId="tw4winMark">
    <w:name w:val="tw4winMark"/>
    <w:uiPriority w:val="99"/>
    <w:rsid w:val="00070727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995"/>
    <w:pPr>
      <w:spacing w:before="120" w:after="0" w:line="240" w:lineRule="auto"/>
    </w:pPr>
    <w:rPr>
      <w:rFonts w:ascii="Arial" w:eastAsia="Times New Roman" w:hAnsi="Arial" w:cs="Times New Roman"/>
      <w:szCs w:val="20"/>
      <w:lang w:val="de-AT" w:eastAsia="de-AT"/>
    </w:rPr>
  </w:style>
  <w:style w:type="paragraph" w:styleId="Nadpis1">
    <w:name w:val="heading 1"/>
    <w:aliases w:val="Chapter Heading"/>
    <w:basedOn w:val="Normlny"/>
    <w:next w:val="Normlny"/>
    <w:link w:val="Nadpis1Char"/>
    <w:autoRedefine/>
    <w:uiPriority w:val="99"/>
    <w:qFormat/>
    <w:rsid w:val="00191995"/>
    <w:pPr>
      <w:keepNext/>
      <w:numPr>
        <w:numId w:val="1"/>
      </w:numPr>
      <w:shd w:val="clear" w:color="auto" w:fill="B6DDE8"/>
      <w:spacing w:before="240" w:after="60"/>
      <w:jc w:val="both"/>
      <w:outlineLvl w:val="0"/>
    </w:pPr>
    <w:rPr>
      <w:b/>
      <w:bCs/>
      <w:color w:val="17365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1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Sub-heading,L3 Char"/>
    <w:basedOn w:val="Normlny"/>
    <w:next w:val="Normlny"/>
    <w:link w:val="Nadpis3Char"/>
    <w:autoRedefine/>
    <w:uiPriority w:val="99"/>
    <w:qFormat/>
    <w:rsid w:val="00191995"/>
    <w:pPr>
      <w:keepNext/>
      <w:keepLines/>
      <w:numPr>
        <w:ilvl w:val="2"/>
        <w:numId w:val="1"/>
      </w:numPr>
      <w:spacing w:before="300" w:after="120"/>
      <w:outlineLvl w:val="2"/>
    </w:pPr>
    <w:rPr>
      <w:b/>
      <w:bCs/>
      <w:lang w:val="en-GB"/>
    </w:rPr>
  </w:style>
  <w:style w:type="paragraph" w:styleId="Nadpis5">
    <w:name w:val="heading 5"/>
    <w:aliases w:val="Further Points"/>
    <w:basedOn w:val="Normlny"/>
    <w:next w:val="Normlny"/>
    <w:link w:val="Nadpis5Char"/>
    <w:uiPriority w:val="99"/>
    <w:qFormat/>
    <w:rsid w:val="00191995"/>
    <w:pPr>
      <w:keepNext/>
      <w:keepLines/>
      <w:numPr>
        <w:ilvl w:val="4"/>
        <w:numId w:val="1"/>
      </w:numPr>
      <w:spacing w:before="200"/>
      <w:outlineLvl w:val="4"/>
    </w:pPr>
    <w:rPr>
      <w:rFonts w:ascii="Helvetica" w:hAnsi="Helvetica"/>
      <w:color w:val="7F7F7F"/>
      <w:sz w:val="20"/>
    </w:rPr>
  </w:style>
  <w:style w:type="paragraph" w:styleId="Nadpis6">
    <w:name w:val="heading 6"/>
    <w:aliases w:val="Points in Text"/>
    <w:basedOn w:val="Normlny"/>
    <w:next w:val="Normlny"/>
    <w:link w:val="Nadpis6Char"/>
    <w:uiPriority w:val="99"/>
    <w:qFormat/>
    <w:rsid w:val="00191995"/>
    <w:pPr>
      <w:keepNext/>
      <w:keepLines/>
      <w:numPr>
        <w:ilvl w:val="5"/>
        <w:numId w:val="1"/>
      </w:numPr>
      <w:spacing w:before="200"/>
      <w:outlineLvl w:val="5"/>
    </w:pPr>
    <w:rPr>
      <w:rFonts w:ascii="Helvetica" w:hAnsi="Helvetica"/>
      <w:i/>
      <w:iCs/>
      <w:color w:val="7F7F7F"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91995"/>
    <w:pPr>
      <w:keepNext/>
      <w:keepLines/>
      <w:numPr>
        <w:ilvl w:val="6"/>
        <w:numId w:val="1"/>
      </w:numPr>
      <w:spacing w:before="200"/>
      <w:outlineLvl w:val="6"/>
    </w:pPr>
    <w:rPr>
      <w:rFonts w:ascii="Helvetica" w:hAnsi="Helvetica"/>
      <w:i/>
      <w:iCs/>
      <w:color w:val="404040"/>
      <w:sz w:val="20"/>
    </w:rPr>
  </w:style>
  <w:style w:type="paragraph" w:styleId="Nadpis8">
    <w:name w:val="heading 8"/>
    <w:aliases w:val="Appendix Level 2"/>
    <w:basedOn w:val="Normlny"/>
    <w:next w:val="Normlny"/>
    <w:link w:val="Nadpis8Char"/>
    <w:uiPriority w:val="99"/>
    <w:qFormat/>
    <w:rsid w:val="00191995"/>
    <w:pPr>
      <w:keepNext/>
      <w:keepLines/>
      <w:numPr>
        <w:ilvl w:val="7"/>
        <w:numId w:val="1"/>
      </w:numPr>
      <w:spacing w:before="200"/>
      <w:outlineLvl w:val="7"/>
    </w:pPr>
    <w:rPr>
      <w:rFonts w:ascii="Helvetica" w:hAnsi="Helvetica"/>
      <w:color w:val="404040"/>
      <w:sz w:val="20"/>
    </w:rPr>
  </w:style>
  <w:style w:type="paragraph" w:styleId="Nadpis9">
    <w:name w:val="heading 9"/>
    <w:aliases w:val="Appendix Level 3"/>
    <w:basedOn w:val="Normlny"/>
    <w:next w:val="Normlny"/>
    <w:link w:val="Nadpis9Char"/>
    <w:uiPriority w:val="99"/>
    <w:qFormat/>
    <w:rsid w:val="00191995"/>
    <w:pPr>
      <w:keepNext/>
      <w:keepLines/>
      <w:numPr>
        <w:ilvl w:val="8"/>
        <w:numId w:val="1"/>
      </w:numPr>
      <w:spacing w:before="200"/>
      <w:outlineLvl w:val="8"/>
    </w:pPr>
    <w:rPr>
      <w:rFonts w:ascii="Helvetica" w:hAnsi="Helvetica"/>
      <w:i/>
      <w:iCs/>
      <w:color w:val="4040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Heading Char"/>
    <w:basedOn w:val="Predvolenpsmoodseku"/>
    <w:link w:val="Nadpis1"/>
    <w:uiPriority w:val="99"/>
    <w:rsid w:val="00191995"/>
    <w:rPr>
      <w:rFonts w:ascii="Arial" w:eastAsia="Times New Roman" w:hAnsi="Arial" w:cs="Times New Roman"/>
      <w:b/>
      <w:bCs/>
      <w:color w:val="17365D"/>
      <w:sz w:val="28"/>
      <w:szCs w:val="28"/>
      <w:shd w:val="clear" w:color="auto" w:fill="B6DDE8"/>
      <w:lang w:val="de-AT" w:eastAsia="de-AT"/>
    </w:rPr>
  </w:style>
  <w:style w:type="character" w:customStyle="1" w:styleId="Nadpis3Char">
    <w:name w:val="Nadpis 3 Char"/>
    <w:aliases w:val="Sub-heading Char,L3 Char Char"/>
    <w:basedOn w:val="Predvolenpsmoodseku"/>
    <w:link w:val="Nadpis3"/>
    <w:uiPriority w:val="99"/>
    <w:rsid w:val="00191995"/>
    <w:rPr>
      <w:rFonts w:ascii="Arial" w:eastAsia="Times New Roman" w:hAnsi="Arial" w:cs="Times New Roman"/>
      <w:b/>
      <w:bCs/>
      <w:szCs w:val="20"/>
      <w:lang w:val="en-GB" w:eastAsia="de-AT"/>
    </w:rPr>
  </w:style>
  <w:style w:type="character" w:customStyle="1" w:styleId="Nadpis5Char">
    <w:name w:val="Nadpis 5 Char"/>
    <w:aliases w:val="Further Points Char"/>
    <w:basedOn w:val="Predvolenpsmoodseku"/>
    <w:link w:val="Nadpis5"/>
    <w:uiPriority w:val="99"/>
    <w:rsid w:val="00191995"/>
    <w:rPr>
      <w:rFonts w:ascii="Helvetica" w:eastAsia="Times New Roman" w:hAnsi="Helvetica" w:cs="Times New Roman"/>
      <w:color w:val="7F7F7F"/>
      <w:sz w:val="20"/>
      <w:szCs w:val="20"/>
      <w:lang w:val="de-AT" w:eastAsia="de-AT"/>
    </w:rPr>
  </w:style>
  <w:style w:type="character" w:customStyle="1" w:styleId="Nadpis6Char">
    <w:name w:val="Nadpis 6 Char"/>
    <w:aliases w:val="Points in Text Char"/>
    <w:basedOn w:val="Predvolenpsmoodseku"/>
    <w:link w:val="Nadpis6"/>
    <w:uiPriority w:val="99"/>
    <w:rsid w:val="00191995"/>
    <w:rPr>
      <w:rFonts w:ascii="Helvetica" w:eastAsia="Times New Roman" w:hAnsi="Helvetica" w:cs="Times New Roman"/>
      <w:i/>
      <w:iCs/>
      <w:color w:val="7F7F7F"/>
      <w:sz w:val="20"/>
      <w:szCs w:val="20"/>
      <w:lang w:val="de-AT" w:eastAsia="de-AT"/>
    </w:rPr>
  </w:style>
  <w:style w:type="character" w:customStyle="1" w:styleId="Nadpis7Char">
    <w:name w:val="Nadpis 7 Char"/>
    <w:basedOn w:val="Predvolenpsmoodseku"/>
    <w:link w:val="Nadpis7"/>
    <w:uiPriority w:val="99"/>
    <w:rsid w:val="00191995"/>
    <w:rPr>
      <w:rFonts w:ascii="Helvetica" w:eastAsia="Times New Roman" w:hAnsi="Helvetica" w:cs="Times New Roman"/>
      <w:i/>
      <w:iCs/>
      <w:color w:val="404040"/>
      <w:sz w:val="20"/>
      <w:szCs w:val="20"/>
      <w:lang w:val="de-AT" w:eastAsia="de-AT"/>
    </w:rPr>
  </w:style>
  <w:style w:type="character" w:customStyle="1" w:styleId="Nadpis8Char">
    <w:name w:val="Nadpis 8 Char"/>
    <w:aliases w:val="Appendix Level 2 Char"/>
    <w:basedOn w:val="Predvolenpsmoodseku"/>
    <w:link w:val="Nadpis8"/>
    <w:uiPriority w:val="99"/>
    <w:rsid w:val="00191995"/>
    <w:rPr>
      <w:rFonts w:ascii="Helvetica" w:eastAsia="Times New Roman" w:hAnsi="Helvetica" w:cs="Times New Roman"/>
      <w:color w:val="404040"/>
      <w:sz w:val="20"/>
      <w:szCs w:val="20"/>
      <w:lang w:val="de-AT" w:eastAsia="de-AT"/>
    </w:rPr>
  </w:style>
  <w:style w:type="character" w:customStyle="1" w:styleId="Nadpis9Char">
    <w:name w:val="Nadpis 9 Char"/>
    <w:aliases w:val="Appendix Level 3 Char"/>
    <w:basedOn w:val="Predvolenpsmoodseku"/>
    <w:link w:val="Nadpis9"/>
    <w:uiPriority w:val="99"/>
    <w:rsid w:val="00191995"/>
    <w:rPr>
      <w:rFonts w:ascii="Helvetica" w:eastAsia="Times New Roman" w:hAnsi="Helvetica" w:cs="Times New Roman"/>
      <w:i/>
      <w:iCs/>
      <w:color w:val="404040"/>
      <w:sz w:val="20"/>
      <w:szCs w:val="20"/>
      <w:lang w:val="de-AT" w:eastAsia="de-AT"/>
    </w:rPr>
  </w:style>
  <w:style w:type="paragraph" w:styleId="Hlavika">
    <w:name w:val="header"/>
    <w:basedOn w:val="Normlny"/>
    <w:link w:val="HlavikaChar"/>
    <w:uiPriority w:val="99"/>
    <w:rsid w:val="0019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1995"/>
    <w:rPr>
      <w:rFonts w:ascii="Arial" w:eastAsia="Times New Roman" w:hAnsi="Arial" w:cs="Times New Roman"/>
      <w:szCs w:val="20"/>
      <w:lang w:val="de-AT" w:eastAsia="de-AT"/>
    </w:rPr>
  </w:style>
  <w:style w:type="paragraph" w:styleId="Pta">
    <w:name w:val="footer"/>
    <w:basedOn w:val="Normlny"/>
    <w:link w:val="PtaChar"/>
    <w:autoRedefine/>
    <w:uiPriority w:val="99"/>
    <w:rsid w:val="00191995"/>
    <w:pPr>
      <w:tabs>
        <w:tab w:val="center" w:pos="4536"/>
        <w:tab w:val="right" w:pos="9072"/>
      </w:tabs>
      <w:spacing w:before="0"/>
    </w:pPr>
    <w:rPr>
      <w:rFonts w:ascii="Helvetica" w:hAnsi="Helvetica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rsid w:val="00191995"/>
    <w:rPr>
      <w:rFonts w:ascii="Helvetica" w:eastAsia="Times New Roman" w:hAnsi="Helvetica" w:cs="Times New Roman"/>
      <w:sz w:val="18"/>
      <w:szCs w:val="18"/>
      <w:lang w:val="de-AT" w:eastAsia="de-AT"/>
    </w:rPr>
  </w:style>
  <w:style w:type="character" w:styleId="Siln">
    <w:name w:val="Strong"/>
    <w:basedOn w:val="Predvolenpsmoodseku"/>
    <w:uiPriority w:val="99"/>
    <w:qFormat/>
    <w:rsid w:val="00191995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unhideWhenUsed/>
    <w:rsid w:val="001919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91995"/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1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paragraph" w:customStyle="1" w:styleId="Default">
    <w:name w:val="Default"/>
    <w:uiPriority w:val="99"/>
    <w:rsid w:val="0098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B404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416F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16F3B"/>
    <w:rPr>
      <w:rFonts w:ascii="Arial" w:eastAsia="Times New Roman" w:hAnsi="Arial" w:cs="Times New Roman"/>
      <w:szCs w:val="20"/>
      <w:lang w:val="de-AT" w:eastAsia="de-AT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8489F"/>
    <w:pPr>
      <w:spacing w:before="0"/>
      <w:ind w:left="220" w:hanging="220"/>
    </w:pPr>
  </w:style>
  <w:style w:type="table" w:styleId="Mriekatabuky">
    <w:name w:val="Table Grid"/>
    <w:basedOn w:val="Normlnatabuka"/>
    <w:uiPriority w:val="59"/>
    <w:rsid w:val="0078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964E4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64E4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64E4"/>
    <w:rPr>
      <w:rFonts w:ascii="Arial" w:eastAsia="Times New Roman" w:hAnsi="Arial" w:cs="Times New Roman"/>
      <w:sz w:val="24"/>
      <w:szCs w:val="24"/>
      <w:lang w:val="de-AT" w:eastAsia="de-A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64E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64E4"/>
    <w:rPr>
      <w:rFonts w:ascii="Arial" w:eastAsia="Times New Roman" w:hAnsi="Arial" w:cs="Times New Roman"/>
      <w:b/>
      <w:bCs/>
      <w:sz w:val="20"/>
      <w:szCs w:val="20"/>
      <w:lang w:val="de-AT" w:eastAsia="de-AT"/>
    </w:rPr>
  </w:style>
  <w:style w:type="character" w:customStyle="1" w:styleId="tw4winMark">
    <w:name w:val="tw4winMark"/>
    <w:uiPriority w:val="99"/>
    <w:rsid w:val="0007072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EFCA-DCA4-4FFC-B485-B314F29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2014-08-04T07:46:00Z</dcterms:created>
  <dcterms:modified xsi:type="dcterms:W3CDTF">2015-01-30T11:06:00Z</dcterms:modified>
</cp:coreProperties>
</file>