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228C" w:rsidRDefault="00343263" w:rsidP="0060228C">
      <w:pPr>
        <w:pStyle w:val="Nadpis1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7D80B" wp14:editId="2FE7DC30">
                <wp:simplePos x="0" y="0"/>
                <wp:positionH relativeFrom="column">
                  <wp:posOffset>7025005</wp:posOffset>
                </wp:positionH>
                <wp:positionV relativeFrom="paragraph">
                  <wp:posOffset>967105</wp:posOffset>
                </wp:positionV>
                <wp:extent cx="2371725" cy="5419725"/>
                <wp:effectExtent l="0" t="0" r="9525" b="9525"/>
                <wp:wrapNone/>
                <wp:docPr id="1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419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E4" w:rsidRPr="00C81713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12466">
                              <w:rPr>
                                <w:rFonts w:ascii="Times New Roman" w:hAnsi="Times New Roman"/>
                                <w:b/>
                              </w:rPr>
                              <w:t>Konzulárna pomoc 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ďalšie skvalitnenie, výjazdové dni, sezónne konzulárne pracoviská,  operatívne výpomoci, elektronizácia služieb, právna úprava finančnej pomoci, zjednodušenie vydávania a zrušenie vízovej povinnosti s ďalšími krajinami, zastupovanie SR v 33 krajinách a SR zastupuje 9 krajín na svojich úradoch., pripravená dohoda s externým poskytovateľom služieb  vo vízovom konaní na UA a v RF.</w:t>
                            </w:r>
                            <w:r w:rsidRPr="0070371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81713">
                              <w:rPr>
                                <w:rFonts w:ascii="Times New Roman" w:hAnsi="Times New Roman"/>
                              </w:rPr>
                              <w:t xml:space="preserve">SR uzavrela </w:t>
                            </w:r>
                            <w:r w:rsidRPr="00C81713">
                              <w:rPr>
                                <w:rFonts w:ascii="Times New Roman" w:hAnsi="Times New Roman"/>
                                <w:b/>
                              </w:rPr>
                              <w:t>50 nových medzinárodných zmlúv</w:t>
                            </w:r>
                            <w:r w:rsidRPr="00C81713">
                              <w:rPr>
                                <w:rFonts w:ascii="Times New Roman" w:hAnsi="Times New Roman"/>
                              </w:rPr>
                              <w:t xml:space="preserve">  - skvalitnenie zmluvnej základne, a vytváranie čo najvýhodnejších podmienok pre hospodársko-obchodnú spoluprácu</w:t>
                            </w:r>
                          </w:p>
                          <w:p w:rsidR="00EA33E4" w:rsidRDefault="003F4E6F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</w:t>
                            </w:r>
                            <w:r w:rsidR="00EA33E4" w:rsidRPr="0028743B">
                              <w:rPr>
                                <w:rFonts w:ascii="Times New Roman" w:hAnsi="Times New Roman"/>
                                <w:b/>
                              </w:rPr>
                              <w:t>erejná diplomacia</w:t>
                            </w:r>
                            <w:r w:rsidR="00EA33E4">
                              <w:rPr>
                                <w:rFonts w:ascii="Times New Roman" w:hAnsi="Times New Roman"/>
                              </w:rPr>
                              <w:t xml:space="preserve">: podujatia a výstavy  k 10.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</w:t>
                            </w:r>
                            <w:r w:rsidR="00EA33E4">
                              <w:rPr>
                                <w:rFonts w:ascii="Times New Roman" w:hAnsi="Times New Roman"/>
                              </w:rPr>
                              <w:t xml:space="preserve">ýročiu vstupu SR do EÚ, 25.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</w:t>
                            </w:r>
                            <w:r w:rsidR="00EA33E4">
                              <w:rPr>
                                <w:rFonts w:ascii="Times New Roman" w:hAnsi="Times New Roman"/>
                              </w:rPr>
                              <w:t xml:space="preserve">ýročiu Nežnej revolúcie, 70.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</w:t>
                            </w:r>
                            <w:r w:rsidR="00EA33E4">
                              <w:rPr>
                                <w:rFonts w:ascii="Times New Roman" w:hAnsi="Times New Roman"/>
                              </w:rPr>
                              <w:t>ýročiu SNP a 100.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v</w:t>
                            </w:r>
                            <w:r w:rsidR="00EA33E4">
                              <w:rPr>
                                <w:rFonts w:ascii="Times New Roman" w:hAnsi="Times New Roman"/>
                              </w:rPr>
                              <w:t xml:space="preserve">ýročiu vzniku 1. Svetovej vojny </w:t>
                            </w:r>
                          </w:p>
                          <w:p w:rsidR="003F4E6F" w:rsidRDefault="003F4E6F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3F4E6F">
                              <w:rPr>
                                <w:rFonts w:ascii="Times New Roman" w:hAnsi="Times New Roman"/>
                                <w:b/>
                              </w:rPr>
                              <w:t>Tvorba značky krajiny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koordinácia </w:t>
                            </w:r>
                            <w:r w:rsidR="00585EAD">
                              <w:rPr>
                                <w:rFonts w:ascii="Times New Roman" w:hAnsi="Times New Roman"/>
                              </w:rPr>
                              <w:t xml:space="preserve">medzirezortnej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prezentácie SR v zahraničí a posun procesu tvorby značky krajiny do realizačnej fázy</w:t>
                            </w:r>
                          </w:p>
                          <w:p w:rsidR="00EA33E4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553.15pt;margin-top:76.15pt;width:186.75pt;height:4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" fillcolor="#f2f2f2" stroked="f">
                <v:textbox>
                  <w:txbxContent>
                    <w:p w:rsidR="00EA33E4" w:rsidRPr="00C81713" w:rsidRDefault="00EA33E4" w:rsidP="006C6AAA">
                      <w:pPr>
                        <w:spacing w:after="120"/>
                        <w:rPr>
                          <w:rFonts w:ascii="Times New Roman" w:hAnsi="Times New Roman"/>
                          <w:b/>
                        </w:rPr>
                      </w:pPr>
                      <w:r w:rsidRPr="00E12466">
                        <w:rPr>
                          <w:rFonts w:ascii="Times New Roman" w:hAnsi="Times New Roman"/>
                          <w:b/>
                        </w:rPr>
                        <w:t>Konzulárna pomoc :</w:t>
                      </w:r>
                      <w:r>
                        <w:rPr>
                          <w:rFonts w:ascii="Times New Roman" w:hAnsi="Times New Roman"/>
                        </w:rPr>
                        <w:t xml:space="preserve"> ďalšie skvalitnenie, výjazdové dni, sezónne konzulárne pracoviská,  operatívne výpomoci, elektronizácia služieb, právna úprava finančnej pomoci, zjednodušenie vydávania a zrušenie vízovej povinnosti s ďalšími krajinami, zastupovanie SR v 33 krajinách a SR zastupuje 9 krajín na svojich úradoch., pripravená dohoda s externým poskytovateľom služieb  vo vízovom konaní na UA a v RF.</w:t>
                      </w:r>
                      <w:r w:rsidRPr="0070371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81713">
                        <w:rPr>
                          <w:rFonts w:ascii="Times New Roman" w:hAnsi="Times New Roman"/>
                        </w:rPr>
                        <w:t xml:space="preserve">SR uzavrela </w:t>
                      </w:r>
                      <w:r w:rsidRPr="00C81713">
                        <w:rPr>
                          <w:rFonts w:ascii="Times New Roman" w:hAnsi="Times New Roman"/>
                          <w:b/>
                        </w:rPr>
                        <w:t>50 nových medzinárodných zmlúv</w:t>
                      </w:r>
                      <w:r w:rsidRPr="00C81713">
                        <w:rPr>
                          <w:rFonts w:ascii="Times New Roman" w:hAnsi="Times New Roman"/>
                        </w:rPr>
                        <w:t xml:space="preserve">  - skvalitnenie zmluvnej základne, a vytváranie čo najvýhodnejších podmienok pre hospodársko-obchodnú spoluprácu</w:t>
                      </w:r>
                    </w:p>
                    <w:p w:rsidR="00EA33E4" w:rsidRDefault="003F4E6F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</w:t>
                      </w:r>
                      <w:r w:rsidR="00EA33E4" w:rsidRPr="0028743B">
                        <w:rPr>
                          <w:rFonts w:ascii="Times New Roman" w:hAnsi="Times New Roman"/>
                          <w:b/>
                        </w:rPr>
                        <w:t>erejná diplomacia</w:t>
                      </w:r>
                      <w:r w:rsidR="00EA33E4">
                        <w:rPr>
                          <w:rFonts w:ascii="Times New Roman" w:hAnsi="Times New Roman"/>
                        </w:rPr>
                        <w:t xml:space="preserve">: podujatia a výstavy  k 10. </w:t>
                      </w:r>
                      <w:r>
                        <w:rPr>
                          <w:rFonts w:ascii="Times New Roman" w:hAnsi="Times New Roman"/>
                        </w:rPr>
                        <w:t>v</w:t>
                      </w:r>
                      <w:r w:rsidR="00EA33E4">
                        <w:rPr>
                          <w:rFonts w:ascii="Times New Roman" w:hAnsi="Times New Roman"/>
                        </w:rPr>
                        <w:t xml:space="preserve">ýročiu vstupu SR do EÚ, 25. </w:t>
                      </w:r>
                      <w:r>
                        <w:rPr>
                          <w:rFonts w:ascii="Times New Roman" w:hAnsi="Times New Roman"/>
                        </w:rPr>
                        <w:t>v</w:t>
                      </w:r>
                      <w:r w:rsidR="00EA33E4">
                        <w:rPr>
                          <w:rFonts w:ascii="Times New Roman" w:hAnsi="Times New Roman"/>
                        </w:rPr>
                        <w:t xml:space="preserve">ýročiu Nežnej revolúcie, 70. </w:t>
                      </w:r>
                      <w:r>
                        <w:rPr>
                          <w:rFonts w:ascii="Times New Roman" w:hAnsi="Times New Roman"/>
                        </w:rPr>
                        <w:t>v</w:t>
                      </w:r>
                      <w:r w:rsidR="00EA33E4">
                        <w:rPr>
                          <w:rFonts w:ascii="Times New Roman" w:hAnsi="Times New Roman"/>
                        </w:rPr>
                        <w:t>ýročiu SNP a 100.</w:t>
                      </w:r>
                      <w:r>
                        <w:rPr>
                          <w:rFonts w:ascii="Times New Roman" w:hAnsi="Times New Roman"/>
                        </w:rPr>
                        <w:t xml:space="preserve"> v</w:t>
                      </w:r>
                      <w:r w:rsidR="00EA33E4">
                        <w:rPr>
                          <w:rFonts w:ascii="Times New Roman" w:hAnsi="Times New Roman"/>
                        </w:rPr>
                        <w:t xml:space="preserve">ýročiu vzniku 1. Svetovej vojny </w:t>
                      </w:r>
                    </w:p>
                    <w:p w:rsidR="003F4E6F" w:rsidRDefault="003F4E6F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3F4E6F">
                        <w:rPr>
                          <w:rFonts w:ascii="Times New Roman" w:hAnsi="Times New Roman"/>
                          <w:b/>
                        </w:rPr>
                        <w:t>Tvorba značky krajiny</w:t>
                      </w:r>
                      <w:r>
                        <w:rPr>
                          <w:rFonts w:ascii="Times New Roman" w:hAnsi="Times New Roman"/>
                        </w:rPr>
                        <w:t xml:space="preserve">: koordinácia </w:t>
                      </w:r>
                      <w:r w:rsidR="00585EAD">
                        <w:rPr>
                          <w:rFonts w:ascii="Times New Roman" w:hAnsi="Times New Roman"/>
                        </w:rPr>
                        <w:t xml:space="preserve">medzirezortnej </w:t>
                      </w:r>
                      <w:r>
                        <w:rPr>
                          <w:rFonts w:ascii="Times New Roman" w:hAnsi="Times New Roman"/>
                        </w:rPr>
                        <w:t>prezentácie SR v zahraničí a posun procesu tvorby značky krajiny do realizačnej fázy</w:t>
                      </w:r>
                    </w:p>
                    <w:p w:rsidR="00EA33E4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33E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6EE22" wp14:editId="581A803E">
                <wp:simplePos x="0" y="0"/>
                <wp:positionH relativeFrom="column">
                  <wp:posOffset>2195830</wp:posOffset>
                </wp:positionH>
                <wp:positionV relativeFrom="paragraph">
                  <wp:posOffset>986155</wp:posOffset>
                </wp:positionV>
                <wp:extent cx="2362200" cy="5505450"/>
                <wp:effectExtent l="0" t="0" r="0" b="0"/>
                <wp:wrapNone/>
                <wp:docPr id="10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505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>NATO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: Pripomenutie </w:t>
                            </w: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 xml:space="preserve">10.výročia vstupu.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Na samite vo Walese prijatie „Akčného plánu pripravenosti“ na posilnenie kolektívnej obrany a na uistenie spojencov; záväzok SR v súlade s hospodárskym rastom zvýšiť rozpočet na obranné výdaje (1,6% HDP do 2020) a modernizáciu OS SR; zachovanie politiky otvorených dverí v súlade s pozíciou SR </w:t>
                            </w:r>
                          </w:p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</w:rPr>
                              <w:t>Rozhodnutie o pokračovaní mandátu ZÚ SR v Bele</w:t>
                            </w:r>
                            <w:r w:rsidR="00D62411">
                              <w:rPr>
                                <w:rFonts w:ascii="Times New Roman" w:hAnsi="Times New Roman"/>
                              </w:rPr>
                              <w:t>hrade ako kontaktného bodu NATO</w:t>
                            </w:r>
                          </w:p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  <w:lang w:eastAsia="sk-SK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  <w:lang w:eastAsia="sk-SK"/>
                              </w:rPr>
                              <w:t>Ruská federácia:</w:t>
                            </w:r>
                            <w:r w:rsidRPr="006C6AAA">
                              <w:rPr>
                                <w:rFonts w:ascii="Times New Roman" w:hAnsi="Times New Roman"/>
                                <w:lang w:eastAsia="sk-SK"/>
                              </w:rPr>
                              <w:t xml:space="preserve"> otvorený dialóg o mierovom riešení konfliktu na UA a rovnako transparentný dialóg o obchodno-ekonomickej a energetickej dimenzii vzťahov, ako člen EÚ sa SR podieľala na sankciách</w:t>
                            </w:r>
                            <w:r w:rsidR="00D62411">
                              <w:rPr>
                                <w:rFonts w:ascii="Times New Roman" w:hAnsi="Times New Roman"/>
                                <w:lang w:eastAsia="sk-SK"/>
                              </w:rPr>
                              <w:t xml:space="preserve"> voči RF v dôsledku krízy na UA</w:t>
                            </w:r>
                          </w:p>
                          <w:p w:rsidR="00C614AB" w:rsidRPr="006C6AAA" w:rsidRDefault="00EA33E4" w:rsidP="00C614AB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  <w:lang w:eastAsia="sk-SK"/>
                              </w:rPr>
                              <w:t>Ukrajina:</w:t>
                            </w:r>
                            <w:r w:rsidRPr="006C6AAA">
                              <w:rPr>
                                <w:rFonts w:ascii="Times New Roman" w:hAnsi="Times New Roman"/>
                                <w:lang w:eastAsia="sk-SK"/>
                              </w:rPr>
                              <w:t xml:space="preserve"> sprevádzkovanie reverzného toku plynu, v rámci V4 zastrešenie tém energetiky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 a SSR, dve schôdzky Priateľov Ukrajiny, m</w:t>
                            </w:r>
                            <w:r w:rsidRPr="002C189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ateriálna a humanitárna pomoc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sk-SK"/>
                              </w:rPr>
                              <w:t xml:space="preserve">viac ako </w:t>
                            </w:r>
                            <w:r w:rsidR="00C614AB" w:rsidRPr="006C6AAA">
                              <w:rPr>
                                <w:rFonts w:ascii="Times New Roman" w:hAnsi="Times New Roman"/>
                                <w:lang w:eastAsia="sk-SK"/>
                              </w:rPr>
                              <w:t>800 tisíc eur</w:t>
                            </w:r>
                            <w:r w:rsidR="003F4E6F">
                              <w:rPr>
                                <w:rFonts w:ascii="Times New Roman" w:hAnsi="Times New Roman"/>
                                <w:lang w:eastAsia="sk-SK"/>
                              </w:rPr>
                              <w:t>, transformačná pomoc cez CETIR</w:t>
                            </w:r>
                            <w:r w:rsidR="00C614AB" w:rsidRPr="006C6AAA">
                              <w:rPr>
                                <w:rFonts w:ascii="Times New Roman" w:hAnsi="Times New Roman"/>
                                <w:lang w:eastAsia="sk-SK"/>
                              </w:rPr>
                              <w:t xml:space="preserve"> </w:t>
                            </w:r>
                          </w:p>
                          <w:p w:rsidR="00EA33E4" w:rsidRPr="002C189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2.9pt;margin-top:77.65pt;width:186pt;height:4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" fillcolor="#f2f2f2" stroked="f">
                <v:textbox>
                  <w:txbxContent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>NATO</w:t>
                      </w:r>
                      <w:r w:rsidRPr="006C6AAA">
                        <w:rPr>
                          <w:rFonts w:ascii="Times New Roman" w:hAnsi="Times New Roman"/>
                        </w:rPr>
                        <w:t xml:space="preserve">: Pripomenutie </w:t>
                      </w:r>
                      <w:r w:rsidRPr="006C6AAA">
                        <w:rPr>
                          <w:rFonts w:ascii="Times New Roman" w:hAnsi="Times New Roman"/>
                          <w:b/>
                        </w:rPr>
                        <w:t xml:space="preserve">10.výročia vstupu. </w:t>
                      </w:r>
                      <w:r w:rsidRPr="006C6AAA">
                        <w:rPr>
                          <w:rFonts w:ascii="Times New Roman" w:hAnsi="Times New Roman"/>
                        </w:rPr>
                        <w:t xml:space="preserve">Na samite vo Walese prijatie „Akčného plánu pripravenosti“ na posilnenie kolektívnej obrany a na uistenie spojencov; záväzok SR v súlade s hospodárskym rastom zvýšiť rozpočet na obranné výdaje (1,6% HDP do 2020) a modernizáciu OS SR; zachovanie politiky otvorených dverí v súlade s pozíciou SR </w:t>
                      </w:r>
                    </w:p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</w:rPr>
                        <w:t>Rozhodnutie o pokračovaní mandátu ZÚ SR v Bele</w:t>
                      </w:r>
                      <w:r w:rsidR="00D62411">
                        <w:rPr>
                          <w:rFonts w:ascii="Times New Roman" w:hAnsi="Times New Roman"/>
                        </w:rPr>
                        <w:t>hrade ako kontaktného bodu NATO</w:t>
                      </w:r>
                    </w:p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  <w:lang w:eastAsia="sk-SK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  <w:lang w:eastAsia="sk-SK"/>
                        </w:rPr>
                        <w:t>Ruská federácia:</w:t>
                      </w:r>
                      <w:r w:rsidRPr="006C6AAA">
                        <w:rPr>
                          <w:rFonts w:ascii="Times New Roman" w:hAnsi="Times New Roman"/>
                          <w:lang w:eastAsia="sk-SK"/>
                        </w:rPr>
                        <w:t xml:space="preserve"> otvorený dialóg o mierovom riešení konfliktu na UA a rovnako transparentný dialóg o obchodno-ekonomickej a energetickej dimenzii vzťahov, ako člen EÚ sa SR podieľala na sankciách</w:t>
                      </w:r>
                      <w:r w:rsidR="00D62411">
                        <w:rPr>
                          <w:rFonts w:ascii="Times New Roman" w:hAnsi="Times New Roman"/>
                          <w:lang w:eastAsia="sk-SK"/>
                        </w:rPr>
                        <w:t xml:space="preserve"> voči RF v dôsledku krízy na UA</w:t>
                      </w:r>
                    </w:p>
                    <w:p w:rsidR="00C614AB" w:rsidRPr="006C6AAA" w:rsidRDefault="00EA33E4" w:rsidP="00C614AB">
                      <w:pPr>
                        <w:spacing w:after="120" w:line="240" w:lineRule="auto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  <w:lang w:eastAsia="sk-SK"/>
                        </w:rPr>
                        <w:t>Ukrajina:</w:t>
                      </w:r>
                      <w:r w:rsidRPr="006C6AAA">
                        <w:rPr>
                          <w:rFonts w:ascii="Times New Roman" w:hAnsi="Times New Roman"/>
                          <w:lang w:eastAsia="sk-SK"/>
                        </w:rPr>
                        <w:t xml:space="preserve"> sprevádzkovanie reverzného toku plynu, v rámci V4 zastrešenie tém energetiky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sk-SK"/>
                        </w:rPr>
                        <w:t xml:space="preserve"> a SSR, dve schôdzky Priateľov Ukrajiny, m</w:t>
                      </w:r>
                      <w:r w:rsidRPr="002C189A">
                        <w:rPr>
                          <w:rFonts w:ascii="Times New Roman" w:hAnsi="Times New Roman"/>
                          <w:sz w:val="24"/>
                          <w:szCs w:val="24"/>
                          <w:lang w:eastAsia="sk-SK"/>
                        </w:rPr>
                        <w:t xml:space="preserve">ateriálna a humanitárna pomoc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sk-SK"/>
                        </w:rPr>
                        <w:t xml:space="preserve">viac ako </w:t>
                      </w:r>
                      <w:r w:rsidR="00C614AB" w:rsidRPr="006C6AAA">
                        <w:rPr>
                          <w:rFonts w:ascii="Times New Roman" w:hAnsi="Times New Roman"/>
                          <w:lang w:eastAsia="sk-SK"/>
                        </w:rPr>
                        <w:t>800 tisíc eur</w:t>
                      </w:r>
                      <w:r w:rsidR="003F4E6F">
                        <w:rPr>
                          <w:rFonts w:ascii="Times New Roman" w:hAnsi="Times New Roman"/>
                          <w:lang w:eastAsia="sk-SK"/>
                        </w:rPr>
                        <w:t>, transformačná pomoc cez CETIR</w:t>
                      </w:r>
                      <w:r w:rsidR="00C614AB" w:rsidRPr="006C6AAA">
                        <w:rPr>
                          <w:rFonts w:ascii="Times New Roman" w:hAnsi="Times New Roman"/>
                          <w:lang w:eastAsia="sk-SK"/>
                        </w:rPr>
                        <w:t xml:space="preserve"> </w:t>
                      </w:r>
                    </w:p>
                    <w:p w:rsidR="00EA33E4" w:rsidRPr="002C189A" w:rsidRDefault="00EA33E4" w:rsidP="006C6AAA">
                      <w:pPr>
                        <w:spacing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6B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2A843" wp14:editId="078DDE2C">
                <wp:simplePos x="0" y="0"/>
                <wp:positionH relativeFrom="column">
                  <wp:posOffset>-223520</wp:posOffset>
                </wp:positionH>
                <wp:positionV relativeFrom="paragraph">
                  <wp:posOffset>966470</wp:posOffset>
                </wp:positionV>
                <wp:extent cx="2333625" cy="5419725"/>
                <wp:effectExtent l="0" t="0" r="9525" b="9525"/>
                <wp:wrapNone/>
                <wp:docPr id="9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419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E4" w:rsidRPr="00343263" w:rsidRDefault="002E04C0" w:rsidP="0060228C">
                            <w:pPr>
                              <w:spacing w:before="120"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C189A">
                              <w:rPr>
                                <w:rFonts w:ascii="Times New Roman" w:hAnsi="Times New Roman"/>
                                <w:b/>
                              </w:rPr>
                              <w:t>EÚ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: </w:t>
                            </w:r>
                            <w:r w:rsidRPr="002C189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A33E4" w:rsidRPr="002C189A">
                              <w:rPr>
                                <w:rFonts w:ascii="Times New Roman" w:hAnsi="Times New Roman"/>
                              </w:rPr>
                              <w:t xml:space="preserve">Pripomenutie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10.výročia vstupu. </w:t>
                            </w:r>
                          </w:p>
                          <w:p w:rsidR="00EA33E4" w:rsidRPr="002C189A" w:rsidRDefault="00EA33E4" w:rsidP="0060228C">
                            <w:pPr>
                              <w:spacing w:before="120" w:after="0"/>
                              <w:rPr>
                                <w:rFonts w:ascii="Times New Roman" w:hAnsi="Times New Roman"/>
                              </w:rPr>
                            </w:pPr>
                            <w:r w:rsidRPr="002C189A">
                              <w:rPr>
                                <w:rFonts w:ascii="Times New Roman" w:hAnsi="Times New Roman"/>
                                <w:b/>
                              </w:rPr>
                              <w:t>Voľby do EP</w:t>
                            </w:r>
                            <w:r w:rsidRPr="002C189A">
                              <w:rPr>
                                <w:rFonts w:ascii="Times New Roman" w:hAnsi="Times New Roman"/>
                              </w:rPr>
                              <w:t xml:space="preserve">  a sfo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2C189A">
                              <w:rPr>
                                <w:rFonts w:ascii="Times New Roman" w:hAnsi="Times New Roman"/>
                              </w:rPr>
                              <w:t>movanie novej Európskej komisie, M.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6D54F1">
                              <w:rPr>
                                <w:rFonts w:ascii="Times New Roman" w:hAnsi="Times New Roman"/>
                              </w:rPr>
                              <w:t>Š</w:t>
                            </w:r>
                            <w:r w:rsidRPr="002C189A">
                              <w:rPr>
                                <w:rFonts w:ascii="Times New Roman" w:hAnsi="Times New Roman"/>
                              </w:rPr>
                              <w:t>efčovič</w:t>
                            </w:r>
                            <w:proofErr w:type="spellEnd"/>
                            <w:r w:rsidRPr="002C189A">
                              <w:rPr>
                                <w:rFonts w:ascii="Times New Roman" w:hAnsi="Times New Roman"/>
                              </w:rPr>
                              <w:t>, podpredseda EK, zodpovedný za Energetickú úniu</w:t>
                            </w:r>
                          </w:p>
                          <w:p w:rsidR="00EA33E4" w:rsidRPr="002C189A" w:rsidRDefault="00EA33E4" w:rsidP="0060228C">
                            <w:pPr>
                              <w:spacing w:before="120" w:after="0"/>
                              <w:rPr>
                                <w:rFonts w:ascii="Times New Roman" w:hAnsi="Times New Roman"/>
                              </w:rPr>
                            </w:pPr>
                            <w:r w:rsidRPr="002C189A">
                              <w:rPr>
                                <w:rFonts w:ascii="Times New Roman" w:hAnsi="Times New Roman"/>
                              </w:rPr>
                              <w:t>SR zaznamenala viacero pozitív pri dodržiavaní princípov rozpočtovej zodpovednosti – ukončená procedúra nadmerného deficitu, pozitívne hodnotenie rozpočtu na 2015 v súlade s Paktom rastu a stability, úspešné komplexné hodnotenie bánk v SR</w:t>
                            </w:r>
                          </w:p>
                          <w:p w:rsidR="00EA33E4" w:rsidRDefault="00EA33E4" w:rsidP="0060228C">
                            <w:pPr>
                              <w:spacing w:before="120" w:after="0"/>
                              <w:rPr>
                                <w:rFonts w:ascii="Times New Roman" w:hAnsi="Times New Roman"/>
                              </w:rPr>
                            </w:pPr>
                            <w:r w:rsidRPr="002C189A">
                              <w:rPr>
                                <w:rFonts w:ascii="Times New Roman" w:hAnsi="Times New Roman"/>
                              </w:rPr>
                              <w:t>Schválenie strategických dokumentov pre programy investícií do prioritných oblastí –zamestnanosť, vzdelávanie, dopravná infraštruktúra, energetika, životné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D62411">
                              <w:rPr>
                                <w:rFonts w:ascii="Times New Roman" w:hAnsi="Times New Roman"/>
                              </w:rPr>
                              <w:t>prostredie</w:t>
                            </w:r>
                          </w:p>
                          <w:p w:rsidR="00EA33E4" w:rsidRPr="002C189A" w:rsidRDefault="00EA33E4" w:rsidP="0060228C">
                            <w:pPr>
                              <w:spacing w:before="120" w:after="0"/>
                              <w:rPr>
                                <w:rFonts w:ascii="Times New Roman" w:hAnsi="Times New Roman"/>
                              </w:rPr>
                            </w:pPr>
                            <w:r w:rsidRPr="00032595">
                              <w:rPr>
                                <w:rFonts w:ascii="Times New Roman" w:hAnsi="Times New Roman"/>
                                <w:b/>
                              </w:rPr>
                              <w:t xml:space="preserve">SZBP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3050BD">
                              <w:rPr>
                                <w:rFonts w:ascii="Times New Roman" w:hAnsi="Times New Roman"/>
                              </w:rPr>
                              <w:t>priorit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y: Blí</w:t>
                            </w:r>
                            <w:r w:rsidRPr="003050BD">
                              <w:rPr>
                                <w:rFonts w:ascii="Times New Roman" w:hAnsi="Times New Roman"/>
                              </w:rPr>
                              <w:t xml:space="preserve">zkovýchodný mierový proces, boj proti terorizmu, iránsky jadrový program,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opatrenia proti šíreniu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Eboly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3050BD">
                              <w:rPr>
                                <w:rFonts w:ascii="Times New Roman" w:hAnsi="Times New Roman"/>
                              </w:rPr>
                              <w:t xml:space="preserve">podiel na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spoločnej európskej reakcii</w:t>
                            </w:r>
                            <w:r w:rsidRPr="003050BD">
                              <w:rPr>
                                <w:rFonts w:ascii="Times New Roman" w:hAnsi="Times New Roman"/>
                              </w:rPr>
                              <w:t xml:space="preserve"> na</w:t>
                            </w:r>
                            <w:r w:rsidRPr="00032595">
                              <w:rPr>
                                <w:rFonts w:ascii="Times New Roman" w:hAnsi="Times New Roman"/>
                              </w:rPr>
                              <w:t xml:space="preserve"> krízu na Ukrajine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vrátane sankčných </w:t>
                            </w:r>
                            <w:r w:rsidR="00642889">
                              <w:rPr>
                                <w:rFonts w:ascii="Times New Roman" w:hAnsi="Times New Roman"/>
                              </w:rPr>
                              <w:t xml:space="preserve"> opatrení </w:t>
                            </w:r>
                            <w:r w:rsidRPr="00032595">
                              <w:rPr>
                                <w:rFonts w:ascii="Times New Roman" w:hAnsi="Times New Roman"/>
                              </w:rPr>
                              <w:t>voči 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7.6pt;margin-top:76.1pt;width:183.75pt;height:4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" fillcolor="#f2f2f2" stroked="f">
                <v:textbox>
                  <w:txbxContent>
                    <w:p w:rsidR="00EA33E4" w:rsidRPr="00343263" w:rsidRDefault="002E04C0" w:rsidP="0060228C">
                      <w:pPr>
                        <w:spacing w:before="120" w:after="0"/>
                        <w:rPr>
                          <w:rFonts w:ascii="Times New Roman" w:hAnsi="Times New Roman"/>
                          <w:b/>
                        </w:rPr>
                      </w:pPr>
                      <w:r w:rsidRPr="002C189A">
                        <w:rPr>
                          <w:rFonts w:ascii="Times New Roman" w:hAnsi="Times New Roman"/>
                          <w:b/>
                        </w:rPr>
                        <w:t>EÚ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: </w:t>
                      </w:r>
                      <w:r w:rsidRPr="002C189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A33E4" w:rsidRPr="002C189A">
                        <w:rPr>
                          <w:rFonts w:ascii="Times New Roman" w:hAnsi="Times New Roman"/>
                        </w:rPr>
                        <w:t xml:space="preserve">Pripomenutie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10.výročia vstupu. </w:t>
                      </w:r>
                    </w:p>
                    <w:p w:rsidR="00EA33E4" w:rsidRPr="002C189A" w:rsidRDefault="00EA33E4" w:rsidP="0060228C">
                      <w:pPr>
                        <w:spacing w:before="120" w:after="0"/>
                        <w:rPr>
                          <w:rFonts w:ascii="Times New Roman" w:hAnsi="Times New Roman"/>
                        </w:rPr>
                      </w:pPr>
                      <w:r w:rsidRPr="002C189A">
                        <w:rPr>
                          <w:rFonts w:ascii="Times New Roman" w:hAnsi="Times New Roman"/>
                          <w:b/>
                        </w:rPr>
                        <w:t>Voľby do EP</w:t>
                      </w:r>
                      <w:r w:rsidRPr="002C189A">
                        <w:rPr>
                          <w:rFonts w:ascii="Times New Roman" w:hAnsi="Times New Roman"/>
                        </w:rPr>
                        <w:t xml:space="preserve">  a sfo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2C189A">
                        <w:rPr>
                          <w:rFonts w:ascii="Times New Roman" w:hAnsi="Times New Roman"/>
                        </w:rPr>
                        <w:t>movanie novej Európskej komisie, M.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="006D54F1">
                        <w:rPr>
                          <w:rFonts w:ascii="Times New Roman" w:hAnsi="Times New Roman"/>
                        </w:rPr>
                        <w:t>Š</w:t>
                      </w:r>
                      <w:r w:rsidRPr="002C189A">
                        <w:rPr>
                          <w:rFonts w:ascii="Times New Roman" w:hAnsi="Times New Roman"/>
                        </w:rPr>
                        <w:t>efčovič</w:t>
                      </w:r>
                      <w:proofErr w:type="spellEnd"/>
                      <w:r w:rsidRPr="002C189A">
                        <w:rPr>
                          <w:rFonts w:ascii="Times New Roman" w:hAnsi="Times New Roman"/>
                        </w:rPr>
                        <w:t>, podpredseda EK, zodpovedný za Energetickú úniu</w:t>
                      </w:r>
                    </w:p>
                    <w:p w:rsidR="00EA33E4" w:rsidRPr="002C189A" w:rsidRDefault="00EA33E4" w:rsidP="0060228C">
                      <w:pPr>
                        <w:spacing w:before="120" w:after="0"/>
                        <w:rPr>
                          <w:rFonts w:ascii="Times New Roman" w:hAnsi="Times New Roman"/>
                        </w:rPr>
                      </w:pPr>
                      <w:r w:rsidRPr="002C189A">
                        <w:rPr>
                          <w:rFonts w:ascii="Times New Roman" w:hAnsi="Times New Roman"/>
                        </w:rPr>
                        <w:t>SR zaznamenala viacero pozitív pri dodržiavaní princípov rozpočtovej zodpovednosti – ukončená procedúra nadmerného deficitu, pozitívne hodnotenie rozpočtu na 2015 v súlade s Paktom rastu a stability, úspešné komplexné hodnotenie bánk v SR</w:t>
                      </w:r>
                    </w:p>
                    <w:p w:rsidR="00EA33E4" w:rsidRDefault="00EA33E4" w:rsidP="0060228C">
                      <w:pPr>
                        <w:spacing w:before="120" w:after="0"/>
                        <w:rPr>
                          <w:rFonts w:ascii="Times New Roman" w:hAnsi="Times New Roman"/>
                        </w:rPr>
                      </w:pPr>
                      <w:r w:rsidRPr="002C189A">
                        <w:rPr>
                          <w:rFonts w:ascii="Times New Roman" w:hAnsi="Times New Roman"/>
                        </w:rPr>
                        <w:t>Schválenie strategických dokumentov pre programy investícií do prioritných oblastí –zamestnanosť, vzdelávanie, dopravná infraštruktúra, energetika, životné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D62411">
                        <w:rPr>
                          <w:rFonts w:ascii="Times New Roman" w:hAnsi="Times New Roman"/>
                        </w:rPr>
                        <w:t>prostredie</w:t>
                      </w:r>
                    </w:p>
                    <w:p w:rsidR="00EA33E4" w:rsidRPr="002C189A" w:rsidRDefault="00EA33E4" w:rsidP="0060228C">
                      <w:pPr>
                        <w:spacing w:before="120" w:after="0"/>
                        <w:rPr>
                          <w:rFonts w:ascii="Times New Roman" w:hAnsi="Times New Roman"/>
                        </w:rPr>
                      </w:pPr>
                      <w:r w:rsidRPr="00032595">
                        <w:rPr>
                          <w:rFonts w:ascii="Times New Roman" w:hAnsi="Times New Roman"/>
                          <w:b/>
                        </w:rPr>
                        <w:t xml:space="preserve">SZBP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3050BD">
                        <w:rPr>
                          <w:rFonts w:ascii="Times New Roman" w:hAnsi="Times New Roman"/>
                        </w:rPr>
                        <w:t>priorit</w:t>
                      </w:r>
                      <w:r>
                        <w:rPr>
                          <w:rFonts w:ascii="Times New Roman" w:hAnsi="Times New Roman"/>
                        </w:rPr>
                        <w:t>y: Blí</w:t>
                      </w:r>
                      <w:r w:rsidRPr="003050BD">
                        <w:rPr>
                          <w:rFonts w:ascii="Times New Roman" w:hAnsi="Times New Roman"/>
                        </w:rPr>
                        <w:t xml:space="preserve">zkovýchodný mierový proces, boj proti terorizmu, iránsky jadrový program,  </w:t>
                      </w:r>
                      <w:r>
                        <w:rPr>
                          <w:rFonts w:ascii="Times New Roman" w:hAnsi="Times New Roman"/>
                        </w:rPr>
                        <w:t xml:space="preserve">opatrenia proti šíreniu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Eboly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3050BD">
                        <w:rPr>
                          <w:rFonts w:ascii="Times New Roman" w:hAnsi="Times New Roman"/>
                        </w:rPr>
                        <w:t xml:space="preserve">podiel na </w:t>
                      </w:r>
                      <w:r>
                        <w:rPr>
                          <w:rFonts w:ascii="Times New Roman" w:hAnsi="Times New Roman"/>
                        </w:rPr>
                        <w:t>spoločnej európskej reakcii</w:t>
                      </w:r>
                      <w:r w:rsidRPr="003050BD">
                        <w:rPr>
                          <w:rFonts w:ascii="Times New Roman" w:hAnsi="Times New Roman"/>
                        </w:rPr>
                        <w:t xml:space="preserve"> na</w:t>
                      </w:r>
                      <w:r w:rsidRPr="00032595">
                        <w:rPr>
                          <w:rFonts w:ascii="Times New Roman" w:hAnsi="Times New Roman"/>
                        </w:rPr>
                        <w:t xml:space="preserve"> krízu na Ukrajine </w:t>
                      </w:r>
                      <w:r>
                        <w:rPr>
                          <w:rFonts w:ascii="Times New Roman" w:hAnsi="Times New Roman"/>
                        </w:rPr>
                        <w:t xml:space="preserve">vrátane sankčných </w:t>
                      </w:r>
                      <w:r w:rsidR="00642889">
                        <w:rPr>
                          <w:rFonts w:ascii="Times New Roman" w:hAnsi="Times New Roman"/>
                        </w:rPr>
                        <w:t xml:space="preserve"> opatrení </w:t>
                      </w:r>
                      <w:r w:rsidRPr="00032595">
                        <w:rPr>
                          <w:rFonts w:ascii="Times New Roman" w:hAnsi="Times New Roman"/>
                        </w:rPr>
                        <w:t>voči RF</w:t>
                      </w:r>
                    </w:p>
                  </w:txbxContent>
                </v:textbox>
              </v:shape>
            </w:pict>
          </mc:Fallback>
        </mc:AlternateContent>
      </w:r>
      <w:r w:rsidR="004046B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8681F" wp14:editId="487F2DDA">
                <wp:simplePos x="0" y="0"/>
                <wp:positionH relativeFrom="column">
                  <wp:posOffset>4643755</wp:posOffset>
                </wp:positionH>
                <wp:positionV relativeFrom="paragraph">
                  <wp:posOffset>967105</wp:posOffset>
                </wp:positionV>
                <wp:extent cx="2246630" cy="5467350"/>
                <wp:effectExtent l="0" t="0" r="1270" b="0"/>
                <wp:wrapNone/>
                <wp:docPr id="1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5467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91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>Ekonomická diplomacia: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 využívanie nových nástrojov – </w:t>
                            </w:r>
                            <w:proofErr w:type="spellStart"/>
                            <w:r w:rsidRPr="006C6AAA">
                              <w:rPr>
                                <w:rFonts w:ascii="Times New Roman" w:hAnsi="Times New Roman"/>
                              </w:rPr>
                              <w:t>info</w:t>
                            </w:r>
                            <w:proofErr w:type="spellEnd"/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 portál, posilnený dialóg s podnikateľským sektorom, prijatie strategických dokumentov, </w:t>
                            </w:r>
                          </w:p>
                          <w:p w:rsidR="00D4291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v súčinnosti so SARIO a SOPK cca 25 podnikateľských fór a misií, zasadnutie slovensko-rakúskeho </w:t>
                            </w:r>
                            <w:r w:rsidR="00D4291A">
                              <w:rPr>
                                <w:rFonts w:ascii="Times New Roman" w:hAnsi="Times New Roman"/>
                              </w:rPr>
                              <w:t xml:space="preserve">ekonomického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fóra, </w:t>
                            </w:r>
                          </w:p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vlastný program v oblasti inovácií </w:t>
                            </w:r>
                            <w:proofErr w:type="spellStart"/>
                            <w:r w:rsidRPr="006C6AAA">
                              <w:rPr>
                                <w:rFonts w:ascii="Times New Roman" w:hAnsi="Times New Roman"/>
                              </w:rPr>
                              <w:t>Hangout</w:t>
                            </w:r>
                            <w:proofErr w:type="spellEnd"/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6C6AAA">
                              <w:rPr>
                                <w:rFonts w:ascii="Times New Roman" w:hAnsi="Times New Roman"/>
                              </w:rPr>
                              <w:t>Innovators</w:t>
                            </w:r>
                            <w:proofErr w:type="spellEnd"/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6C6AAA">
                              <w:rPr>
                                <w:rFonts w:ascii="Times New Roman" w:hAnsi="Times New Roman"/>
                              </w:rPr>
                              <w:t>Connect</w:t>
                            </w:r>
                            <w:proofErr w:type="spellEnd"/>
                            <w:r w:rsidRPr="006C6AAA">
                              <w:rPr>
                                <w:rFonts w:ascii="Times New Roman" w:hAnsi="Times New Roman"/>
                              </w:rPr>
                              <w:t>, rast komunikačných služieb podnikateľského centra POCE</w:t>
                            </w:r>
                          </w:p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 xml:space="preserve">Energetická bezpečnosť: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zvýšenie prepojením plynárenských sietí s MR,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sprevádzkovanie reverzného toku plynu na UA ako strategické rozhodnutie pre bezpečnosť dodávok v regióne, ako PRES V4 koordinácia pozícii nielen tohto zoskupenia pri rozhodovaní EÚ o energetickom a klimatickom rámci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5.65pt;margin-top:76.15pt;width:176.9pt;height:4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" fillcolor="#f2f2f2" stroked="f">
                <v:textbox>
                  <w:txbxContent>
                    <w:p w:rsidR="00D4291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>Ekonomická diplomacia:</w:t>
                      </w:r>
                      <w:r w:rsidRPr="006C6AAA">
                        <w:rPr>
                          <w:rFonts w:ascii="Times New Roman" w:hAnsi="Times New Roman"/>
                        </w:rPr>
                        <w:t xml:space="preserve"> využívanie nových nástrojov – </w:t>
                      </w:r>
                      <w:proofErr w:type="spellStart"/>
                      <w:r w:rsidRPr="006C6AAA">
                        <w:rPr>
                          <w:rFonts w:ascii="Times New Roman" w:hAnsi="Times New Roman"/>
                        </w:rPr>
                        <w:t>info</w:t>
                      </w:r>
                      <w:proofErr w:type="spellEnd"/>
                      <w:r w:rsidRPr="006C6AAA">
                        <w:rPr>
                          <w:rFonts w:ascii="Times New Roman" w:hAnsi="Times New Roman"/>
                        </w:rPr>
                        <w:t xml:space="preserve"> portál, posilnený dialóg s podnikateľským sektorom, prijatie strategických dokumentov, </w:t>
                      </w:r>
                    </w:p>
                    <w:p w:rsidR="00D4291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</w:rPr>
                        <w:t xml:space="preserve">v súčinnosti so SARIO a SOPK cca 25 podnikateľských fór a misií, zasadnutie slovensko-rakúskeho </w:t>
                      </w:r>
                      <w:r w:rsidR="00D4291A">
                        <w:rPr>
                          <w:rFonts w:ascii="Times New Roman" w:hAnsi="Times New Roman"/>
                        </w:rPr>
                        <w:t xml:space="preserve">ekonomického </w:t>
                      </w:r>
                      <w:r w:rsidRPr="006C6AAA">
                        <w:rPr>
                          <w:rFonts w:ascii="Times New Roman" w:hAnsi="Times New Roman"/>
                        </w:rPr>
                        <w:t xml:space="preserve">fóra, </w:t>
                      </w:r>
                    </w:p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</w:rPr>
                        <w:t xml:space="preserve">vlastný program v oblasti inovácií </w:t>
                      </w:r>
                      <w:proofErr w:type="spellStart"/>
                      <w:r w:rsidRPr="006C6AAA">
                        <w:rPr>
                          <w:rFonts w:ascii="Times New Roman" w:hAnsi="Times New Roman"/>
                        </w:rPr>
                        <w:t>Hangout</w:t>
                      </w:r>
                      <w:proofErr w:type="spellEnd"/>
                      <w:r w:rsidRPr="006C6AAA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6C6AAA">
                        <w:rPr>
                          <w:rFonts w:ascii="Times New Roman" w:hAnsi="Times New Roman"/>
                        </w:rPr>
                        <w:t>Innovators</w:t>
                      </w:r>
                      <w:proofErr w:type="spellEnd"/>
                      <w:r w:rsidRPr="006C6AAA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6C6AAA">
                        <w:rPr>
                          <w:rFonts w:ascii="Times New Roman" w:hAnsi="Times New Roman"/>
                        </w:rPr>
                        <w:t>Connect</w:t>
                      </w:r>
                      <w:proofErr w:type="spellEnd"/>
                      <w:r w:rsidRPr="006C6AAA">
                        <w:rPr>
                          <w:rFonts w:ascii="Times New Roman" w:hAnsi="Times New Roman"/>
                        </w:rPr>
                        <w:t>, rast komunikačných služieb podnikateľského centra POCE</w:t>
                      </w:r>
                    </w:p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 xml:space="preserve">Energetická bezpečnosť: </w:t>
                      </w:r>
                      <w:r w:rsidRPr="006C6AAA">
                        <w:rPr>
                          <w:rFonts w:ascii="Times New Roman" w:hAnsi="Times New Roman"/>
                        </w:rPr>
                        <w:t>zvýšenie prepojením plynárenských sietí s MR,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C6AAA">
                        <w:rPr>
                          <w:rFonts w:ascii="Times New Roman" w:hAnsi="Times New Roman"/>
                        </w:rPr>
                        <w:t>sprevádzkovanie reverzného toku plynu na UA ako strategické rozhodnutie pre bezpečnosť dodávok v regióne, ako PRES V4 koordinácia pozícii nielen tohto zoskupenia pri rozhodovaní EÚ o energetickom a klimatickom rámci</w:t>
                      </w:r>
                    </w:p>
                  </w:txbxContent>
                </v:textbox>
              </v:shape>
            </w:pict>
          </mc:Fallback>
        </mc:AlternateContent>
      </w:r>
      <w:r w:rsidR="003C024A"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8D7D0" wp14:editId="163C225A">
                <wp:simplePos x="0" y="0"/>
                <wp:positionH relativeFrom="column">
                  <wp:posOffset>-261620</wp:posOffset>
                </wp:positionH>
                <wp:positionV relativeFrom="paragraph">
                  <wp:posOffset>-575945</wp:posOffset>
                </wp:positionV>
                <wp:extent cx="9658350" cy="6480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0" cy="648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E4" w:rsidRPr="007549F9" w:rsidRDefault="00EA33E4" w:rsidP="0060228C">
                            <w:pPr>
                              <w:pStyle w:val="Nadpis1"/>
                              <w:jc w:val="center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Správa o plnení úloh </w:t>
                            </w:r>
                            <w:r w:rsidRPr="007549F9">
                              <w:rPr>
                                <w:rFonts w:ascii="Times New Roman" w:hAnsi="Times New Roman"/>
                                <w:color w:val="FFFFFF"/>
                              </w:rPr>
                              <w:t>zahraničnej a európskej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politiky Slovenskej republiky v</w:t>
                            </w:r>
                            <w:r w:rsidRPr="007549F9"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rok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u</w:t>
                            </w:r>
                            <w:r w:rsidRPr="007549F9"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20.6pt;margin-top:-45.35pt;width:760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" fillcolor="#bfbfbf" stroked="f">
                <v:textbox>
                  <w:txbxContent>
                    <w:p w:rsidR="00EA33E4" w:rsidRPr="007549F9" w:rsidRDefault="00EA33E4" w:rsidP="0060228C">
                      <w:pPr>
                        <w:pStyle w:val="Nadpis1"/>
                        <w:jc w:val="center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Správa o plnení úloh </w:t>
                      </w:r>
                      <w:r w:rsidRPr="007549F9">
                        <w:rPr>
                          <w:rFonts w:ascii="Times New Roman" w:hAnsi="Times New Roman"/>
                          <w:color w:val="FFFFFF"/>
                        </w:rPr>
                        <w:t>zahraničnej a európskej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 politiky Slovenskej republiky v</w:t>
                      </w:r>
                      <w:r w:rsidRPr="007549F9">
                        <w:rPr>
                          <w:rFonts w:ascii="Times New Roman" w:hAnsi="Times New Roman"/>
                          <w:color w:val="FFFFFF"/>
                        </w:rPr>
                        <w:t xml:space="preserve"> rok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>u</w:t>
                      </w:r>
                      <w:r w:rsidRPr="007549F9">
                        <w:rPr>
                          <w:rFonts w:ascii="Times New Roman" w:hAnsi="Times New Roman"/>
                          <w:color w:val="FFFFFF"/>
                        </w:rPr>
                        <w:t xml:space="preserve"> 201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C024A">
        <w:rPr>
          <w:noProof/>
          <w:lang w:eastAsia="sk-SK"/>
        </w:rPr>
        <mc:AlternateContent>
          <mc:Choice Requires="wps">
            <w:drawing>
              <wp:anchor distT="91440" distB="91440" distL="457200" distR="91440" simplePos="0" relativeHeight="251661312" behindDoc="1" locked="0" layoutInCell="1" allowOverlap="1" wp14:anchorId="1BFE9DBB" wp14:editId="11F5C9E8">
                <wp:simplePos x="0" y="0"/>
                <wp:positionH relativeFrom="margin">
                  <wp:posOffset>2148205</wp:posOffset>
                </wp:positionH>
                <wp:positionV relativeFrom="margin">
                  <wp:posOffset>128905</wp:posOffset>
                </wp:positionV>
                <wp:extent cx="2354400" cy="756000"/>
                <wp:effectExtent l="0" t="0" r="27305" b="25400"/>
                <wp:wrapSquare wrapText="bothSides"/>
                <wp:docPr id="15" name="Automatický tvar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54400" cy="75600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33E4" w:rsidRPr="00D27ED8" w:rsidRDefault="00EA33E4" w:rsidP="003C024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FF"/>
                                <w:kern w:val="32"/>
                                <w:sz w:val="28"/>
                                <w:szCs w:val="28"/>
                              </w:rPr>
                            </w:pPr>
                            <w:r w:rsidRPr="00D27ED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FF"/>
                                <w:kern w:val="32"/>
                                <w:sz w:val="28"/>
                                <w:szCs w:val="28"/>
                              </w:rPr>
                              <w:t>Bezpečný a demokratický svet</w:t>
                            </w: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matický tvar 401" o:spid="_x0000_s1031" style="position:absolute;margin-left:169.15pt;margin-top:10.15pt;width:185.4pt;height:59.55pt;flip:y;z-index:-251655168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" fillcolor="#bfbfbf" strokecolor="#bfbfbf" strokeweight="1pt">
                <v:shadow type="perspective" color="#31849b" origin=",.5" offset="0,-123pt" matrix=",,,-1"/>
                <v:textbox inset="21.6pt,21.6pt,14.4pt,7.2pt">
                  <w:txbxContent>
                    <w:p w:rsidR="00EA33E4" w:rsidRPr="00D27ED8" w:rsidRDefault="00EA33E4" w:rsidP="003C024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color w:val="FFFFFF"/>
                          <w:kern w:val="32"/>
                          <w:sz w:val="28"/>
                          <w:szCs w:val="28"/>
                        </w:rPr>
                      </w:pPr>
                      <w:r w:rsidRPr="00D27ED8">
                        <w:rPr>
                          <w:rFonts w:ascii="Times New Roman" w:eastAsia="Times New Roman" w:hAnsi="Times New Roman"/>
                          <w:b/>
                          <w:bCs/>
                          <w:color w:val="FFFFFF"/>
                          <w:kern w:val="32"/>
                          <w:sz w:val="28"/>
                          <w:szCs w:val="28"/>
                        </w:rPr>
                        <w:t>Bezpečný a demokratický svet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27ED8">
        <w:rPr>
          <w:noProof/>
          <w:lang w:eastAsia="sk-SK"/>
        </w:rPr>
        <mc:AlternateContent>
          <mc:Choice Requires="wps">
            <w:drawing>
              <wp:anchor distT="91440" distB="91440" distL="457200" distR="91440" simplePos="0" relativeHeight="251660288" behindDoc="1" locked="0" layoutInCell="0" allowOverlap="1" wp14:anchorId="5426F0AB" wp14:editId="74EBBC04">
                <wp:simplePos x="0" y="0"/>
                <wp:positionH relativeFrom="margin">
                  <wp:posOffset>-223520</wp:posOffset>
                </wp:positionH>
                <wp:positionV relativeFrom="margin">
                  <wp:posOffset>136525</wp:posOffset>
                </wp:positionV>
                <wp:extent cx="2333625" cy="756000"/>
                <wp:effectExtent l="0" t="0" r="9525" b="6350"/>
                <wp:wrapThrough wrapText="bothSides">
                  <wp:wrapPolygon edited="0">
                    <wp:start x="0" y="0"/>
                    <wp:lineTo x="0" y="21237"/>
                    <wp:lineTo x="21512" y="21237"/>
                    <wp:lineTo x="21512" y="0"/>
                    <wp:lineTo x="0" y="0"/>
                  </wp:wrapPolygon>
                </wp:wrapThrough>
                <wp:docPr id="14" name="Automatický tvar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33625" cy="75600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33E4" w:rsidRPr="007549F9" w:rsidRDefault="00EA33E4" w:rsidP="0060228C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FF"/>
                                <w:kern w:val="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FF"/>
                                <w:kern w:val="32"/>
                                <w:sz w:val="28"/>
                                <w:szCs w:val="28"/>
                              </w:rPr>
                              <w:t>Európska politika</w:t>
                            </w: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-17.6pt;margin-top:10.75pt;width:183.75pt;height:59.55pt;flip:y;z-index:-251656192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" o:allowincell="f" fillcolor="#bfbfbf" stroked="f" strokecolor="#e36c0a" strokeweight="1pt">
                <v:shadow type="perspective" color="#31849b" origin=",.5" offset="0,-123pt" matrix=",,,-1"/>
                <v:textbox inset="21.6pt,21.6pt,14.4pt,7.2pt">
                  <w:txbxContent>
                    <w:p w:rsidR="00EA33E4" w:rsidRPr="007549F9" w:rsidRDefault="00EA33E4" w:rsidP="0060228C">
                      <w:pPr>
                        <w:rPr>
                          <w:rFonts w:ascii="Times New Roman" w:eastAsia="Times New Roman" w:hAnsi="Times New Roman"/>
                          <w:b/>
                          <w:bCs/>
                          <w:color w:val="FFFFFF"/>
                          <w:kern w:val="3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FFFFFF"/>
                          <w:kern w:val="32"/>
                          <w:sz w:val="28"/>
                          <w:szCs w:val="28"/>
                        </w:rPr>
                        <w:t>Európska politika</w:t>
                      </w: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D27ED8">
        <w:rPr>
          <w:noProof/>
          <w:lang w:eastAsia="sk-SK"/>
        </w:rPr>
        <mc:AlternateContent>
          <mc:Choice Requires="wps">
            <w:drawing>
              <wp:anchor distT="91440" distB="91440" distL="457200" distR="91440" simplePos="0" relativeHeight="251663360" behindDoc="1" locked="0" layoutInCell="0" allowOverlap="1" wp14:anchorId="1298D4E0" wp14:editId="0C2B4CC0">
                <wp:simplePos x="0" y="0"/>
                <wp:positionH relativeFrom="margin">
                  <wp:posOffset>7005955</wp:posOffset>
                </wp:positionH>
                <wp:positionV relativeFrom="margin">
                  <wp:posOffset>138430</wp:posOffset>
                </wp:positionV>
                <wp:extent cx="2332990" cy="756000"/>
                <wp:effectExtent l="0" t="0" r="10160" b="25400"/>
                <wp:wrapThrough wrapText="bothSides">
                  <wp:wrapPolygon edited="0">
                    <wp:start x="0" y="0"/>
                    <wp:lineTo x="0" y="21782"/>
                    <wp:lineTo x="21518" y="21782"/>
                    <wp:lineTo x="21518" y="0"/>
                    <wp:lineTo x="0" y="0"/>
                  </wp:wrapPolygon>
                </wp:wrapThrough>
                <wp:docPr id="17" name="Automatický tvar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32990" cy="75600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33E4" w:rsidRPr="007549F9" w:rsidRDefault="00EA33E4" w:rsidP="00D27E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FF"/>
                                <w:kern w:val="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FF"/>
                                <w:kern w:val="32"/>
                                <w:sz w:val="28"/>
                                <w:szCs w:val="28"/>
                              </w:rPr>
                              <w:t>Služby občanom a moderná diplomacia</w:t>
                            </w: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551.65pt;margin-top:10.9pt;width:183.7pt;height:59.55pt;flip:y;z-index:-251653120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" o:allowincell="f" fillcolor="#bfbfbf" strokecolor="#bfbfbf" strokeweight="1pt">
                <v:shadow type="perspective" color="#31849b" origin=",.5" offset="0,-123pt" matrix=",,,-1"/>
                <v:textbox inset="21.6pt,21.6pt,14.4pt,7.2pt">
                  <w:txbxContent>
                    <w:p w:rsidR="00EA33E4" w:rsidRPr="007549F9" w:rsidRDefault="00EA33E4" w:rsidP="00D27ED8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color w:val="FFFFFF"/>
                          <w:kern w:val="3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FFFFFF"/>
                          <w:kern w:val="32"/>
                          <w:sz w:val="28"/>
                          <w:szCs w:val="28"/>
                        </w:rPr>
                        <w:t>Služby občanom a moderná diplomacia</w:t>
                      </w: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D27ED8">
        <w:rPr>
          <w:noProof/>
          <w:lang w:eastAsia="sk-SK"/>
        </w:rPr>
        <mc:AlternateContent>
          <mc:Choice Requires="wps">
            <w:drawing>
              <wp:anchor distT="91440" distB="91440" distL="457200" distR="91440" simplePos="0" relativeHeight="251662336" behindDoc="1" locked="0" layoutInCell="0" allowOverlap="1" wp14:anchorId="742C1E24" wp14:editId="5B8D345A">
                <wp:simplePos x="0" y="0"/>
                <wp:positionH relativeFrom="margin">
                  <wp:posOffset>4558030</wp:posOffset>
                </wp:positionH>
                <wp:positionV relativeFrom="margin">
                  <wp:posOffset>137795</wp:posOffset>
                </wp:positionV>
                <wp:extent cx="2332990" cy="731520"/>
                <wp:effectExtent l="0" t="0" r="0" b="0"/>
                <wp:wrapThrough wrapText="bothSides">
                  <wp:wrapPolygon edited="0">
                    <wp:start x="0" y="0"/>
                    <wp:lineTo x="0" y="20813"/>
                    <wp:lineTo x="21341" y="20813"/>
                    <wp:lineTo x="21341" y="0"/>
                    <wp:lineTo x="0" y="0"/>
                  </wp:wrapPolygon>
                </wp:wrapThrough>
                <wp:docPr id="16" name="Automatický tvar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332990" cy="73152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33E4" w:rsidRPr="007549F9" w:rsidRDefault="00EA33E4" w:rsidP="0060228C">
                            <w:pP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FF"/>
                                <w:kern w:val="3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FF"/>
                                <w:kern w:val="32"/>
                                <w:sz w:val="28"/>
                                <w:szCs w:val="28"/>
                              </w:rPr>
                              <w:t>Ekonomická diplomacia</w:t>
                            </w: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358.9pt;margin-top:10.85pt;width:183.7pt;height:57.6pt;flip:x y;z-index:-251654144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" o:allowincell="f" fillcolor="#bfbfbf" stroked="f" strokecolor="#e36c0a" strokeweight="1pt">
                <v:shadow type="perspective" color="#31849b" origin=",.5" offset="0,-123pt" matrix=",,,-1"/>
                <v:textbox inset="21.6pt,21.6pt,14.4pt,7.2pt">
                  <w:txbxContent>
                    <w:p w:rsidR="00EA33E4" w:rsidRPr="007549F9" w:rsidRDefault="00EA33E4" w:rsidP="0060228C">
                      <w:pPr>
                        <w:rPr>
                          <w:rFonts w:ascii="Times New Roman" w:eastAsia="Times New Roman" w:hAnsi="Times New Roman"/>
                          <w:b/>
                          <w:bCs/>
                          <w:color w:val="FFFFFF"/>
                          <w:kern w:val="3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FFFFFF"/>
                          <w:kern w:val="32"/>
                          <w:sz w:val="28"/>
                          <w:szCs w:val="28"/>
                        </w:rPr>
                        <w:t>Ekonomická diplomacia</w:t>
                      </w: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60228C">
        <w:t xml:space="preserve"> </w:t>
      </w:r>
    </w:p>
    <w:p w:rsidR="0060228C" w:rsidRDefault="0060228C" w:rsidP="0060228C">
      <w:pPr>
        <w:pStyle w:val="Nadpis1"/>
      </w:pPr>
    </w:p>
    <w:p w:rsidR="0060228C" w:rsidRDefault="0060228C" w:rsidP="0060228C"/>
    <w:p w:rsidR="0060228C" w:rsidRDefault="0060228C" w:rsidP="0060228C"/>
    <w:p w:rsidR="0060228C" w:rsidRDefault="0060228C" w:rsidP="0060228C"/>
    <w:p w:rsidR="0060228C" w:rsidRDefault="0060228C" w:rsidP="0060228C"/>
    <w:p w:rsidR="0060228C" w:rsidRDefault="0060228C" w:rsidP="0060228C"/>
    <w:p w:rsidR="0060228C" w:rsidRDefault="0060228C" w:rsidP="0060228C"/>
    <w:p w:rsidR="0060228C" w:rsidRDefault="0060228C" w:rsidP="0060228C"/>
    <w:p w:rsidR="0060228C" w:rsidRDefault="0060228C" w:rsidP="0060228C"/>
    <w:p w:rsidR="0060228C" w:rsidRDefault="0060228C" w:rsidP="0060228C">
      <w:pPr>
        <w:rPr>
          <w:rFonts w:cs="Calibri"/>
          <w:sz w:val="24"/>
          <w:szCs w:val="24"/>
          <w:u w:val="single"/>
        </w:rPr>
        <w:sectPr w:rsidR="0060228C" w:rsidSect="00CE70FC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0228C" w:rsidRDefault="003F12AD" w:rsidP="0060228C">
      <w:pPr>
        <w:pStyle w:val="Nadpis1"/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1D3304" wp14:editId="7A3ADF77">
                <wp:simplePos x="0" y="0"/>
                <wp:positionH relativeFrom="column">
                  <wp:posOffset>7063105</wp:posOffset>
                </wp:positionH>
                <wp:positionV relativeFrom="paragraph">
                  <wp:posOffset>-471170</wp:posOffset>
                </wp:positionV>
                <wp:extent cx="2381250" cy="6781800"/>
                <wp:effectExtent l="0" t="0" r="0" b="0"/>
                <wp:wrapNone/>
                <wp:docPr id="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781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E6F" w:rsidRDefault="003F4E6F" w:rsidP="003F4E6F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3F4E6F">
                              <w:rPr>
                                <w:rFonts w:ascii="Times New Roman" w:hAnsi="Times New Roman"/>
                                <w:b/>
                              </w:rPr>
                              <w:t>Kultúrna diplomacia: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rok 2014 – rok výmen medzi V4 a Japonskom, zasadnutie Spoločnej slovensko-kórejskej komisie a medzivládnej slovensko-ukrajinskej komisie</w:t>
                            </w:r>
                          </w:p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>Slováci v zahraničí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: 12. zo </w:t>
                            </w:r>
                            <w:r w:rsidR="003F4E6F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tálych konferencií,  vzhľadom na novú štruktúru krajanskej komunity  dôraz na oblasť poskytovania dotácií, štipendií, v</w:t>
                            </w:r>
                            <w:r w:rsidR="003F4E6F">
                              <w:rPr>
                                <w:rFonts w:ascii="Times New Roman" w:hAnsi="Times New Roman"/>
                              </w:rPr>
                              <w:t>zdelávania a spolkovej činnosti</w:t>
                            </w:r>
                          </w:p>
                          <w:p w:rsidR="00EA33E4" w:rsidRPr="006C6AAA" w:rsidRDefault="00EA33E4" w:rsidP="006C6AAA">
                            <w:pPr>
                              <w:pStyle w:val="Obyajntext"/>
                              <w:spacing w:after="12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C6AAA">
                              <w:rPr>
                                <w:b/>
                                <w:sz w:val="22"/>
                                <w:szCs w:val="22"/>
                              </w:rPr>
                              <w:t>Mimovládny sektor</w:t>
                            </w:r>
                            <w:r w:rsidRPr="006C6AAA">
                              <w:rPr>
                                <w:sz w:val="22"/>
                                <w:szCs w:val="22"/>
                              </w:rPr>
                              <w:t xml:space="preserve">: pri príprave Stratégie ochrany a podpory ľudských práv sa uplatnil bezprecedentne široký  </w:t>
                            </w:r>
                            <w:proofErr w:type="spellStart"/>
                            <w:r w:rsidRPr="006C6AAA">
                              <w:rPr>
                                <w:sz w:val="22"/>
                                <w:szCs w:val="22"/>
                              </w:rPr>
                              <w:t>participatívny</w:t>
                            </w:r>
                            <w:proofErr w:type="spellEnd"/>
                            <w:r w:rsidRPr="006C6AAA">
                              <w:rPr>
                                <w:sz w:val="22"/>
                                <w:szCs w:val="22"/>
                              </w:rPr>
                              <w:t xml:space="preserve"> prístup otvorený všetkým názorovým prúdom. Dialóg </w:t>
                            </w:r>
                            <w:proofErr w:type="spellStart"/>
                            <w:r w:rsidRPr="006C6AAA">
                              <w:rPr>
                                <w:sz w:val="22"/>
                                <w:szCs w:val="22"/>
                              </w:rPr>
                              <w:t>MZVaEZ</w:t>
                            </w:r>
                            <w:proofErr w:type="spellEnd"/>
                            <w:r w:rsidRPr="006C6AAA">
                              <w:rPr>
                                <w:sz w:val="22"/>
                                <w:szCs w:val="22"/>
                              </w:rPr>
                              <w:t xml:space="preserve"> aj pri príprave strategického materiálu Zameranie zahraničnej politiky na rok 2015. Spolupráca na úspešných konferenciách </w:t>
                            </w:r>
                          </w:p>
                          <w:p w:rsidR="00EA33E4" w:rsidRPr="003F12AD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F12AD">
                              <w:rPr>
                                <w:rFonts w:ascii="Times New Roman" w:hAnsi="Times New Roman"/>
                                <w:b/>
                              </w:rPr>
                              <w:t>9. roč. GLOBSEC, 2.roč. Tatrasamit</w:t>
                            </w:r>
                          </w:p>
                          <w:p w:rsidR="003F4E6F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>Moderná diplomacia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   Jazykové vzdelávanie  v celej štátnej správe – príprava na PRES SR. Nový modul vzdelávania: Rozvojová a humanitárna pomoc. </w:t>
                            </w:r>
                            <w:proofErr w:type="spellStart"/>
                            <w:r w:rsidRPr="006C6AAA"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learning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-</w:t>
                            </w:r>
                            <w:r w:rsidR="003F4E6F">
                              <w:rPr>
                                <w:rFonts w:ascii="Times New Roman" w:hAnsi="Times New Roman"/>
                              </w:rPr>
                              <w:t>hospodárske vzdelávanie</w:t>
                            </w:r>
                          </w:p>
                          <w:p w:rsidR="00EA33E4" w:rsidRPr="006C6AAA" w:rsidRDefault="00EA33E4" w:rsidP="006C6AAA">
                            <w:pPr>
                              <w:spacing w:after="120"/>
                            </w:pPr>
                            <w:r w:rsidRPr="003F4E6F">
                              <w:rPr>
                                <w:rFonts w:ascii="Times New Roman" w:hAnsi="Times New Roman"/>
                                <w:b/>
                              </w:rPr>
                              <w:t>Elektronizácia služieb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-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pomoc občanom a podnikateľom.  Vonkajšie výberové konania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-zvýšenie konkurenčného prostredia  v rezorte. </w:t>
                            </w:r>
                            <w:r w:rsidRPr="003F4E6F">
                              <w:rPr>
                                <w:rFonts w:ascii="Times New Roman" w:hAnsi="Times New Roman"/>
                                <w:b/>
                              </w:rPr>
                              <w:t>Novela zákona o zahraničnej službe</w:t>
                            </w:r>
                          </w:p>
                          <w:p w:rsidR="00EA33E4" w:rsidRPr="007549F9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76E0D" w:rsidRDefault="00C76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56.15pt;margin-top:-37.1pt;width:187.5pt;height:5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" fillcolor="#f2f2f2" stroked="f">
                <v:textbox>
                  <w:txbxContent>
                    <w:p w:rsidR="003F4E6F" w:rsidRDefault="003F4E6F" w:rsidP="003F4E6F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3F4E6F">
                        <w:rPr>
                          <w:rFonts w:ascii="Times New Roman" w:hAnsi="Times New Roman"/>
                          <w:b/>
                        </w:rPr>
                        <w:t>Kultúrna diplomacia:</w:t>
                      </w:r>
                      <w:r>
                        <w:rPr>
                          <w:rFonts w:ascii="Times New Roman" w:hAnsi="Times New Roman"/>
                        </w:rPr>
                        <w:t xml:space="preserve"> rok 2014 – rok výmen medzi V4 a Japonskom, zasadnutie Spoločnej slovensko-kórejskej komisie a medzivládnej slovensko-ukrajinskej komisie</w:t>
                      </w:r>
                    </w:p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>Slováci v zahraničí</w:t>
                      </w:r>
                      <w:r w:rsidRPr="006C6AAA">
                        <w:rPr>
                          <w:rFonts w:ascii="Times New Roman" w:hAnsi="Times New Roman"/>
                        </w:rPr>
                        <w:t xml:space="preserve">: 12. zo </w:t>
                      </w:r>
                      <w:r w:rsidR="003F4E6F">
                        <w:rPr>
                          <w:rFonts w:ascii="Times New Roman" w:hAnsi="Times New Roman"/>
                        </w:rPr>
                        <w:t>S</w:t>
                      </w:r>
                      <w:r w:rsidRPr="006C6AAA">
                        <w:rPr>
                          <w:rFonts w:ascii="Times New Roman" w:hAnsi="Times New Roman"/>
                        </w:rPr>
                        <w:t>tálych konferencií,  vzhľadom na novú štruktúru krajanskej komunity  dôraz na oblasť poskytovania dotácií, štipendií, v</w:t>
                      </w:r>
                      <w:r w:rsidR="003F4E6F">
                        <w:rPr>
                          <w:rFonts w:ascii="Times New Roman" w:hAnsi="Times New Roman"/>
                        </w:rPr>
                        <w:t>zdelávania a spolkovej činnosti</w:t>
                      </w:r>
                    </w:p>
                    <w:p w:rsidR="00EA33E4" w:rsidRPr="006C6AAA" w:rsidRDefault="00EA33E4" w:rsidP="006C6AAA">
                      <w:pPr>
                        <w:pStyle w:val="Obyajntext"/>
                        <w:spacing w:after="120" w:line="276" w:lineRule="auto"/>
                        <w:rPr>
                          <w:sz w:val="22"/>
                          <w:szCs w:val="22"/>
                        </w:rPr>
                      </w:pPr>
                      <w:r w:rsidRPr="006C6AAA">
                        <w:rPr>
                          <w:b/>
                          <w:sz w:val="22"/>
                          <w:szCs w:val="22"/>
                        </w:rPr>
                        <w:t>Mimovládny sektor</w:t>
                      </w:r>
                      <w:r w:rsidRPr="006C6AAA">
                        <w:rPr>
                          <w:sz w:val="22"/>
                          <w:szCs w:val="22"/>
                        </w:rPr>
                        <w:t xml:space="preserve">: pri príprave Stratégie ochrany a podpory ľudských práv sa uplatnil bezprecedentne široký  </w:t>
                      </w:r>
                      <w:proofErr w:type="spellStart"/>
                      <w:r w:rsidRPr="006C6AAA">
                        <w:rPr>
                          <w:sz w:val="22"/>
                          <w:szCs w:val="22"/>
                        </w:rPr>
                        <w:t>participatívny</w:t>
                      </w:r>
                      <w:proofErr w:type="spellEnd"/>
                      <w:r w:rsidRPr="006C6AAA">
                        <w:rPr>
                          <w:sz w:val="22"/>
                          <w:szCs w:val="22"/>
                        </w:rPr>
                        <w:t xml:space="preserve"> prístup otvorený všetkým názorovým prúdom. Dialóg </w:t>
                      </w:r>
                      <w:proofErr w:type="spellStart"/>
                      <w:r w:rsidRPr="006C6AAA">
                        <w:rPr>
                          <w:sz w:val="22"/>
                          <w:szCs w:val="22"/>
                        </w:rPr>
                        <w:t>MZVaEZ</w:t>
                      </w:r>
                      <w:proofErr w:type="spellEnd"/>
                      <w:r w:rsidRPr="006C6AAA">
                        <w:rPr>
                          <w:sz w:val="22"/>
                          <w:szCs w:val="22"/>
                        </w:rPr>
                        <w:t xml:space="preserve"> aj pri príprave strategického materiálu Zameranie zahraničnej politiky na rok 2015. Spolupráca na úspešných konferenciách </w:t>
                      </w:r>
                    </w:p>
                    <w:p w:rsidR="00EA33E4" w:rsidRPr="003F12AD" w:rsidRDefault="00EA33E4" w:rsidP="006C6AAA">
                      <w:pPr>
                        <w:spacing w:after="120"/>
                        <w:rPr>
                          <w:rFonts w:ascii="Times New Roman" w:hAnsi="Times New Roman"/>
                          <w:b/>
                        </w:rPr>
                      </w:pPr>
                      <w:r w:rsidRPr="003F12AD">
                        <w:rPr>
                          <w:rFonts w:ascii="Times New Roman" w:hAnsi="Times New Roman"/>
                          <w:b/>
                        </w:rPr>
                        <w:t>9. roč. GLOBSEC, 2.roč. Tatrasamit</w:t>
                      </w:r>
                    </w:p>
                    <w:p w:rsidR="003F4E6F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>Moderná diplomacia</w:t>
                      </w:r>
                      <w:r w:rsidRPr="006C6AAA">
                        <w:rPr>
                          <w:rFonts w:ascii="Times New Roman" w:hAnsi="Times New Roman"/>
                        </w:rPr>
                        <w:t xml:space="preserve">   Jazykové vzdelávanie  v celej štátnej správe – príprava na PRES SR. Nový modul vzdelávania: Rozvojová a humanitárna pomoc. </w:t>
                      </w:r>
                      <w:proofErr w:type="spellStart"/>
                      <w:r w:rsidRPr="006C6AAA"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-</w:t>
                      </w:r>
                      <w:r w:rsidRPr="006C6AAA">
                        <w:rPr>
                          <w:rFonts w:ascii="Times New Roman" w:hAnsi="Times New Roman"/>
                        </w:rPr>
                        <w:t>learning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-</w:t>
                      </w:r>
                      <w:r w:rsidR="003F4E6F">
                        <w:rPr>
                          <w:rFonts w:ascii="Times New Roman" w:hAnsi="Times New Roman"/>
                        </w:rPr>
                        <w:t>hospodárske vzdelávanie</w:t>
                      </w:r>
                    </w:p>
                    <w:p w:rsidR="00EA33E4" w:rsidRPr="006C6AAA" w:rsidRDefault="00EA33E4" w:rsidP="006C6AAA">
                      <w:pPr>
                        <w:spacing w:after="120"/>
                      </w:pPr>
                      <w:r w:rsidRPr="003F4E6F">
                        <w:rPr>
                          <w:rFonts w:ascii="Times New Roman" w:hAnsi="Times New Roman"/>
                          <w:b/>
                        </w:rPr>
                        <w:t>Elektronizácia služieb</w:t>
                      </w:r>
                      <w:r>
                        <w:rPr>
                          <w:rFonts w:ascii="Times New Roman" w:hAnsi="Times New Roman"/>
                        </w:rPr>
                        <w:t xml:space="preserve"> - </w:t>
                      </w:r>
                      <w:r w:rsidRPr="006C6AAA">
                        <w:rPr>
                          <w:rFonts w:ascii="Times New Roman" w:hAnsi="Times New Roman"/>
                        </w:rPr>
                        <w:t>pomoc občanom a podnikateľom.  Vonkajšie výberové konania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C6AAA">
                        <w:rPr>
                          <w:rFonts w:ascii="Times New Roman" w:hAnsi="Times New Roman"/>
                        </w:rPr>
                        <w:t xml:space="preserve">-zvýšenie konkurenčného prostredia  v rezorte. </w:t>
                      </w:r>
                      <w:r w:rsidRPr="003F4E6F">
                        <w:rPr>
                          <w:rFonts w:ascii="Times New Roman" w:hAnsi="Times New Roman"/>
                          <w:b/>
                        </w:rPr>
                        <w:t>Novela zákona o zahraničnej službe</w:t>
                      </w:r>
                    </w:p>
                    <w:p w:rsidR="00EA33E4" w:rsidRPr="007549F9" w:rsidRDefault="00EA33E4" w:rsidP="006C6AAA">
                      <w:pPr>
                        <w:spacing w:after="1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76E0D" w:rsidRDefault="00C76E0D"/>
                  </w:txbxContent>
                </v:textbox>
              </v:shape>
            </w:pict>
          </mc:Fallback>
        </mc:AlternateContent>
      </w:r>
      <w:r w:rsidR="00DA4D1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BCF38" wp14:editId="57695BE7">
                <wp:simplePos x="0" y="0"/>
                <wp:positionH relativeFrom="column">
                  <wp:posOffset>-213995</wp:posOffset>
                </wp:positionH>
                <wp:positionV relativeFrom="paragraph">
                  <wp:posOffset>-471805</wp:posOffset>
                </wp:positionV>
                <wp:extent cx="2246630" cy="6848475"/>
                <wp:effectExtent l="0" t="0" r="1270" b="9525"/>
                <wp:wrapNone/>
                <wp:docPr id="6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68484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</w:rPr>
                              <w:t>SR zapojená do civilných misií a vojenských operácií – EUFOR ALTHEA v </w:t>
                            </w:r>
                            <w:proofErr w:type="spellStart"/>
                            <w:r w:rsidRPr="006C6AAA">
                              <w:rPr>
                                <w:rFonts w:ascii="Times New Roman" w:hAnsi="Times New Roman"/>
                              </w:rPr>
                              <w:t>BaH</w:t>
                            </w:r>
                            <w:proofErr w:type="spellEnd"/>
                            <w:r w:rsidRPr="006C6AAA">
                              <w:rPr>
                                <w:rFonts w:ascii="Times New Roman" w:hAnsi="Times New Roman"/>
                              </w:rPr>
                              <w:t>,  Reg</w:t>
                            </w:r>
                            <w:r w:rsidR="00642889">
                              <w:rPr>
                                <w:rFonts w:ascii="Times New Roman" w:hAnsi="Times New Roman"/>
                              </w:rPr>
                              <w:t xml:space="preserve">ionálnom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 koordinačnom centre v Sarajeve, EUMM Gruzínsko, civilní experti v </w:t>
                            </w:r>
                            <w:proofErr w:type="spellStart"/>
                            <w:r w:rsidRPr="006C6AAA">
                              <w:rPr>
                                <w:rFonts w:ascii="Times New Roman" w:hAnsi="Times New Roman"/>
                              </w:rPr>
                              <w:t>BaH</w:t>
                            </w:r>
                            <w:proofErr w:type="spellEnd"/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6C6AAA">
                              <w:rPr>
                                <w:rFonts w:ascii="Times New Roman" w:hAnsi="Times New Roman"/>
                              </w:rPr>
                              <w:t>Kosove</w:t>
                            </w:r>
                            <w:proofErr w:type="spellEnd"/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, MD-UA hranici, Afganistane a na palestínskych územiach, SR-USA vojenské cvičenie </w:t>
                            </w:r>
                            <w:proofErr w:type="spellStart"/>
                            <w:r w:rsidRPr="00642889">
                              <w:rPr>
                                <w:rFonts w:ascii="Times New Roman" w:hAnsi="Times New Roman"/>
                                <w:i/>
                              </w:rPr>
                              <w:t>Ground</w:t>
                            </w:r>
                            <w:proofErr w:type="spellEnd"/>
                            <w:r w:rsidRPr="00642889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642889">
                              <w:rPr>
                                <w:rFonts w:ascii="Times New Roman" w:hAnsi="Times New Roman"/>
                                <w:i/>
                              </w:rPr>
                              <w:t>Pepper</w:t>
                            </w:r>
                            <w:proofErr w:type="spellEnd"/>
                            <w:r w:rsidRPr="00642889">
                              <w:rPr>
                                <w:rFonts w:ascii="Times New Roman" w:hAnsi="Times New Roman"/>
                                <w:i/>
                              </w:rPr>
                              <w:t xml:space="preserve"> 2014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, príprava Bojovej skupiny EÚ krajín V4</w:t>
                            </w:r>
                          </w:p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>SK PRES 2016: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  prípravná fáza v súlade s harmonogramom ,  dve rokovania predsedníckeho Tria</w:t>
                            </w:r>
                          </w:p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 xml:space="preserve">SK PRES V4: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strategické priority  v oblasti energetiky, dopravy a obrannej spolupráce, posilňovanie značky V4 navonok</w:t>
                            </w: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 xml:space="preserve"> ,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Samit PV s prezidentom CH, V4+ Kórea, západný Balkán, GB, DE, UA</w:t>
                            </w:r>
                          </w:p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Koordinácia aktivít V4 na podporu UA  </w:t>
                            </w:r>
                          </w:p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>Východné partnerstvo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: podpísanie DCFTA medzi EÚ a UA, MD,  GE a MD 2.fáza vízovej liberalizácie</w:t>
                            </w:r>
                          </w:p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>Rozširovanie E</w:t>
                            </w:r>
                            <w:r w:rsidR="006D54F1">
                              <w:rPr>
                                <w:rFonts w:ascii="Times New Roman" w:hAnsi="Times New Roman"/>
                                <w:b/>
                              </w:rPr>
                              <w:t>Ú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: otvorenie pr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ístupových rokovaní so Srbskom,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udelenie kandidátskeho statusu Albánsku, zrušenie vízového režimu pre Moldavsko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6.85pt;margin-top:-37.15pt;width:176.9pt;height:5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" fillcolor="#f2f2f2" stroked="f">
                <v:textbox>
                  <w:txbxContent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</w:rPr>
                        <w:t>SR zapojená do civilných misií a vojenských operácií – EUFOR ALTHEA v </w:t>
                      </w:r>
                      <w:proofErr w:type="spellStart"/>
                      <w:r w:rsidRPr="006C6AAA">
                        <w:rPr>
                          <w:rFonts w:ascii="Times New Roman" w:hAnsi="Times New Roman"/>
                        </w:rPr>
                        <w:t>BaH</w:t>
                      </w:r>
                      <w:proofErr w:type="spellEnd"/>
                      <w:r w:rsidRPr="006C6AAA">
                        <w:rPr>
                          <w:rFonts w:ascii="Times New Roman" w:hAnsi="Times New Roman"/>
                        </w:rPr>
                        <w:t>,  Reg</w:t>
                      </w:r>
                      <w:r w:rsidR="00642889">
                        <w:rPr>
                          <w:rFonts w:ascii="Times New Roman" w:hAnsi="Times New Roman"/>
                        </w:rPr>
                        <w:t xml:space="preserve">ionálnom </w:t>
                      </w:r>
                      <w:r w:rsidRPr="006C6AAA">
                        <w:rPr>
                          <w:rFonts w:ascii="Times New Roman" w:hAnsi="Times New Roman"/>
                        </w:rPr>
                        <w:t xml:space="preserve"> koordinačnom centre v Sarajeve, EUMM Gruzínsko, civilní experti v </w:t>
                      </w:r>
                      <w:proofErr w:type="spellStart"/>
                      <w:r w:rsidRPr="006C6AAA">
                        <w:rPr>
                          <w:rFonts w:ascii="Times New Roman" w:hAnsi="Times New Roman"/>
                        </w:rPr>
                        <w:t>BaH</w:t>
                      </w:r>
                      <w:proofErr w:type="spellEnd"/>
                      <w:r w:rsidRPr="006C6AAA"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 w:rsidRPr="006C6AAA">
                        <w:rPr>
                          <w:rFonts w:ascii="Times New Roman" w:hAnsi="Times New Roman"/>
                        </w:rPr>
                        <w:t>Kosove</w:t>
                      </w:r>
                      <w:proofErr w:type="spellEnd"/>
                      <w:r w:rsidRPr="006C6AAA">
                        <w:rPr>
                          <w:rFonts w:ascii="Times New Roman" w:hAnsi="Times New Roman"/>
                        </w:rPr>
                        <w:t xml:space="preserve">, MD-UA hranici, Afganistane a na palestínskych územiach, SR-USA vojenské cvičenie </w:t>
                      </w:r>
                      <w:proofErr w:type="spellStart"/>
                      <w:r w:rsidRPr="00642889">
                        <w:rPr>
                          <w:rFonts w:ascii="Times New Roman" w:hAnsi="Times New Roman"/>
                          <w:i/>
                        </w:rPr>
                        <w:t>Ground</w:t>
                      </w:r>
                      <w:proofErr w:type="spellEnd"/>
                      <w:r w:rsidRPr="00642889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spellStart"/>
                      <w:r w:rsidRPr="00642889">
                        <w:rPr>
                          <w:rFonts w:ascii="Times New Roman" w:hAnsi="Times New Roman"/>
                          <w:i/>
                        </w:rPr>
                        <w:t>Pepper</w:t>
                      </w:r>
                      <w:proofErr w:type="spellEnd"/>
                      <w:r w:rsidRPr="00642889">
                        <w:rPr>
                          <w:rFonts w:ascii="Times New Roman" w:hAnsi="Times New Roman"/>
                          <w:i/>
                        </w:rPr>
                        <w:t xml:space="preserve"> 2014</w:t>
                      </w:r>
                      <w:r w:rsidRPr="006C6AAA">
                        <w:rPr>
                          <w:rFonts w:ascii="Times New Roman" w:hAnsi="Times New Roman"/>
                        </w:rPr>
                        <w:t>, príprava Bojovej skupiny EÚ krajín V4</w:t>
                      </w:r>
                    </w:p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>SK PRES 2016:</w:t>
                      </w:r>
                      <w:r w:rsidRPr="006C6AAA">
                        <w:rPr>
                          <w:rFonts w:ascii="Times New Roman" w:hAnsi="Times New Roman"/>
                        </w:rPr>
                        <w:t xml:space="preserve">  prípravná fáza v súlade s harmonogramom ,  dve rokovania predsedníckeho Tria</w:t>
                      </w:r>
                    </w:p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 xml:space="preserve">SK PRES V4: </w:t>
                      </w:r>
                      <w:r w:rsidRPr="006C6AAA">
                        <w:rPr>
                          <w:rFonts w:ascii="Times New Roman" w:hAnsi="Times New Roman"/>
                        </w:rPr>
                        <w:t>strategické priority  v oblasti energetiky, dopravy a obrannej spolupráce, posilňovanie značky V4 navonok</w:t>
                      </w:r>
                      <w:r w:rsidRPr="006C6AAA">
                        <w:rPr>
                          <w:rFonts w:ascii="Times New Roman" w:hAnsi="Times New Roman"/>
                          <w:b/>
                        </w:rPr>
                        <w:t xml:space="preserve"> , </w:t>
                      </w:r>
                      <w:r w:rsidRPr="006C6AAA">
                        <w:rPr>
                          <w:rFonts w:ascii="Times New Roman" w:hAnsi="Times New Roman"/>
                        </w:rPr>
                        <w:t>Samit PV s prezidentom CH, V4+ Kórea, západný Balkán, GB, DE, UA</w:t>
                      </w:r>
                    </w:p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</w:rPr>
                        <w:t xml:space="preserve">Koordinácia aktivít V4 na podporu UA  </w:t>
                      </w:r>
                    </w:p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>Východné partnerstvo</w:t>
                      </w:r>
                      <w:r w:rsidRPr="006C6AAA">
                        <w:rPr>
                          <w:rFonts w:ascii="Times New Roman" w:hAnsi="Times New Roman"/>
                        </w:rPr>
                        <w:t>: podpísanie DCFTA medzi EÚ a UA, MD,  GE a MD 2.fáza vízovej liberalizácie</w:t>
                      </w:r>
                    </w:p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>Rozširovanie E</w:t>
                      </w:r>
                      <w:r w:rsidR="006D54F1">
                        <w:rPr>
                          <w:rFonts w:ascii="Times New Roman" w:hAnsi="Times New Roman"/>
                          <w:b/>
                        </w:rPr>
                        <w:t>Ú</w:t>
                      </w:r>
                      <w:r w:rsidRPr="006C6AAA">
                        <w:rPr>
                          <w:rFonts w:ascii="Times New Roman" w:hAnsi="Times New Roman"/>
                        </w:rPr>
                        <w:t>: otvorenie pr</w:t>
                      </w:r>
                      <w:r>
                        <w:rPr>
                          <w:rFonts w:ascii="Times New Roman" w:hAnsi="Times New Roman"/>
                        </w:rPr>
                        <w:t xml:space="preserve">ístupových rokovaní so Srbskom, </w:t>
                      </w:r>
                      <w:r w:rsidRPr="006C6AAA">
                        <w:rPr>
                          <w:rFonts w:ascii="Times New Roman" w:hAnsi="Times New Roman"/>
                        </w:rPr>
                        <w:t>udelenie kandidátskeho statusu Albánsku, zrušenie vízového režimu pre Moldavsko</w:t>
                      </w:r>
                    </w:p>
                  </w:txbxContent>
                </v:textbox>
              </v:shape>
            </w:pict>
          </mc:Fallback>
        </mc:AlternateContent>
      </w:r>
      <w:r w:rsidR="00DA4D1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78E79" wp14:editId="5721A4D4">
                <wp:simplePos x="0" y="0"/>
                <wp:positionH relativeFrom="column">
                  <wp:posOffset>4853305</wp:posOffset>
                </wp:positionH>
                <wp:positionV relativeFrom="paragraph">
                  <wp:posOffset>-471170</wp:posOffset>
                </wp:positionV>
                <wp:extent cx="2159635" cy="6781800"/>
                <wp:effectExtent l="0" t="0" r="0" b="0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6781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>OECD hodnotenie SR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pozitívne v hlavných ukazovateľoch ako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HDP, na občana, výška dlhu 55%, prognózovaný rast, 2,8 % v 2015, stabilný makroekonomický rámec, odporúčania: zmenšovať regionálne rozdiely, nezamestnanosť, investovať do vzdelávania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82.15pt;margin-top:-37.1pt;width:170.05pt;height:5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" fillcolor="#f2f2f2" stroked="f">
                <v:textbox>
                  <w:txbxContent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>OECD hodnotenie SR</w:t>
                      </w:r>
                      <w:r w:rsidRPr="006C6AAA"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C6AAA">
                        <w:rPr>
                          <w:rFonts w:ascii="Times New Roman" w:hAnsi="Times New Roman"/>
                        </w:rPr>
                        <w:t>pozitívne v hlavných ukazovateľoch ako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C6AAA">
                        <w:rPr>
                          <w:rFonts w:ascii="Times New Roman" w:hAnsi="Times New Roman"/>
                        </w:rPr>
                        <w:t xml:space="preserve">HDP, na občana, výška dlhu 55%, prognózovaný rast, 2,8 % v 2015, stabilný makroekonomický rámec, odporúčania: zmenšovať regionálne rozdiely, nezamestnanosť, investovať do vzdelávania </w:t>
                      </w:r>
                    </w:p>
                  </w:txbxContent>
                </v:textbox>
              </v:shape>
            </w:pict>
          </mc:Fallback>
        </mc:AlternateContent>
      </w:r>
      <w:r w:rsidR="00DA4D1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D3002" wp14:editId="34E79225">
                <wp:simplePos x="0" y="0"/>
                <wp:positionH relativeFrom="column">
                  <wp:posOffset>2195830</wp:posOffset>
                </wp:positionH>
                <wp:positionV relativeFrom="paragraph">
                  <wp:posOffset>-471170</wp:posOffset>
                </wp:positionV>
                <wp:extent cx="2591435" cy="6848475"/>
                <wp:effectExtent l="0" t="0" r="0" b="9525"/>
                <wp:wrapNone/>
                <wp:docPr id="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68484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E4" w:rsidRPr="006C6AAA" w:rsidRDefault="00EA33E4" w:rsidP="00DA4D1D">
                            <w:pPr>
                              <w:spacing w:after="60"/>
                              <w:rPr>
                                <w:rFonts w:ascii="Times New Roman" w:hAnsi="Times New Roman"/>
                                <w:lang w:eastAsia="sk-SK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>USA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: tematicky široký dialóg , podiel na príprave samitu EÚ-USA, návšteva prezidenta SR impulzom  pre </w:t>
                            </w:r>
                            <w:proofErr w:type="spellStart"/>
                            <w:r w:rsidRPr="006C6AAA">
                              <w:rPr>
                                <w:rFonts w:ascii="Times New Roman" w:hAnsi="Times New Roman"/>
                              </w:rPr>
                              <w:t>startupy</w:t>
                            </w:r>
                            <w:proofErr w:type="spellEnd"/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 a inovácie</w:t>
                            </w:r>
                          </w:p>
                          <w:p w:rsidR="00EA33E4" w:rsidRPr="006C6AAA" w:rsidRDefault="00EA33E4" w:rsidP="00DA4D1D">
                            <w:pPr>
                              <w:spacing w:after="6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>SSR: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 schválená historicky prvá rezolúcia BR OSN o SSR, dôraz na koordináciu medzinárodných organizácií; založenie Skupiny priateľov SSR a jej predsedníctvo v OBSE; realizácia Afrického fóra s AÚ, OSN, EÚ a ISSAT-DCAF </w:t>
                            </w:r>
                          </w:p>
                          <w:p w:rsidR="00EA33E4" w:rsidRPr="006C6AAA" w:rsidRDefault="00EA33E4" w:rsidP="00DA4D1D">
                            <w:pPr>
                              <w:spacing w:after="60"/>
                              <w:rPr>
                                <w:rFonts w:ascii="Times New Roman" w:hAnsi="Times New Roman"/>
                                <w:lang w:eastAsia="sk-SK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  <w:lang w:eastAsia="sk-SK"/>
                              </w:rPr>
                              <w:t>Západný Balkán</w:t>
                            </w:r>
                            <w:r w:rsidRPr="006C6AAA">
                              <w:rPr>
                                <w:rFonts w:ascii="Times New Roman" w:hAnsi="Times New Roman"/>
                                <w:lang w:eastAsia="sk-SK"/>
                              </w:rPr>
                              <w:t xml:space="preserve">: zintenzívnenie hospodárskej spolupráce ako komplement politickej podpory,  výrazná podpora úspešnému otvoreniu prístupových rokovaní so Srbskom, udeleniu kandidátskeho statusu Albánsku, ale aj podpora Čiernej Hory, </w:t>
                            </w:r>
                            <w:proofErr w:type="spellStart"/>
                            <w:r w:rsidRPr="006C6AAA">
                              <w:rPr>
                                <w:rFonts w:ascii="Times New Roman" w:hAnsi="Times New Roman"/>
                                <w:lang w:eastAsia="sk-SK"/>
                              </w:rPr>
                              <w:t>BaH</w:t>
                            </w:r>
                            <w:proofErr w:type="spellEnd"/>
                          </w:p>
                          <w:p w:rsidR="00EA33E4" w:rsidRPr="006C6AAA" w:rsidRDefault="00EA33E4" w:rsidP="00DA4D1D">
                            <w:pPr>
                              <w:spacing w:after="60"/>
                              <w:rPr>
                                <w:rFonts w:ascii="Times New Roman" w:hAnsi="Times New Roman"/>
                                <w:lang w:eastAsia="sk-SK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lang w:eastAsia="sk-SK"/>
                              </w:rPr>
                              <w:t xml:space="preserve">Vznik </w:t>
                            </w:r>
                            <w:proofErr w:type="spellStart"/>
                            <w:r w:rsidRPr="00DA4D1D">
                              <w:rPr>
                                <w:rFonts w:ascii="Times New Roman" w:hAnsi="Times New Roman"/>
                                <w:b/>
                                <w:lang w:eastAsia="sk-SK"/>
                              </w:rPr>
                              <w:t>Západobalkánskeho</w:t>
                            </w:r>
                            <w:proofErr w:type="spellEnd"/>
                            <w:r w:rsidRPr="00DA4D1D">
                              <w:rPr>
                                <w:rFonts w:ascii="Times New Roman" w:hAnsi="Times New Roman"/>
                                <w:b/>
                                <w:lang w:eastAsia="sk-SK"/>
                              </w:rPr>
                              <w:t xml:space="preserve"> fondu</w:t>
                            </w:r>
                            <w:r w:rsidRPr="006C6AAA">
                              <w:rPr>
                                <w:rFonts w:ascii="Times New Roman" w:hAnsi="Times New Roman"/>
                                <w:lang w:eastAsia="sk-SK"/>
                              </w:rPr>
                              <w:t xml:space="preserve"> v Tirane po vzore MVF  </w:t>
                            </w:r>
                          </w:p>
                          <w:p w:rsidR="00DA4D1D" w:rsidRDefault="00EA33E4" w:rsidP="00DA4D1D">
                            <w:pPr>
                              <w:spacing w:after="6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>Afganistan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-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koniec operácie ISAF, účasť OS SR v novej, výcvikovej misii NATO, 500 tis. USD na stabilizáciu afganských bezpečnostných síl, podpor</w:t>
                            </w:r>
                            <w:r w:rsidR="00D62411">
                              <w:rPr>
                                <w:rFonts w:ascii="Times New Roman" w:hAnsi="Times New Roman"/>
                              </w:rPr>
                              <w:t>a posilnenia partnerstva s NATO</w:t>
                            </w:r>
                          </w:p>
                          <w:p w:rsidR="00DA4D1D" w:rsidRPr="006C6AAA" w:rsidRDefault="00DA4D1D" w:rsidP="00DA4D1D">
                            <w:pPr>
                              <w:spacing w:after="6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 xml:space="preserve">Rozvojová spolupráca a humanitárna pomoc: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>programy a projekty pre 10 partnerských krajín, koncentrácia na Keňu, Moldavsko, Afganistan</w:t>
                            </w:r>
                            <w:r w:rsidRPr="006C6AAA">
                              <w:rPr>
                                <w:rFonts w:ascii="Times New Roman" w:hAnsi="Times New Roman"/>
                                <w:b/>
                              </w:rPr>
                              <w:t xml:space="preserve">, </w:t>
                            </w: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  odovzdávanie skúseností z integrácie a reforiem (CETIR), zvyšovanie zapojenia podnikateľských subjektov do </w:t>
                            </w:r>
                            <w:proofErr w:type="spellStart"/>
                            <w:r w:rsidRPr="006C6AAA">
                              <w:rPr>
                                <w:rFonts w:ascii="Times New Roman" w:hAnsi="Times New Roman"/>
                              </w:rPr>
                              <w:t>SlovakAid</w:t>
                            </w:r>
                            <w:proofErr w:type="spellEnd"/>
                            <w:r w:rsidRPr="006C6AAA">
                              <w:rPr>
                                <w:rFonts w:ascii="Times New Roman" w:hAnsi="Times New Roman"/>
                              </w:rPr>
                              <w:t>, vysielanie dobrovoľníkov a expertov do rozvojových krajín, promptná reakcia na humanitárne krízy vo svete a na situáciu na Ukrajine</w:t>
                            </w:r>
                          </w:p>
                          <w:p w:rsidR="00EA33E4" w:rsidRPr="006C6AAA" w:rsidRDefault="00EA33E4" w:rsidP="006C6AAA">
                            <w:pPr>
                              <w:spacing w:after="120"/>
                              <w:rPr>
                                <w:rFonts w:ascii="Times New Roman" w:hAnsi="Times New Roman"/>
                              </w:rPr>
                            </w:pPr>
                            <w:r w:rsidRPr="006C6AA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2.9pt;margin-top:-37.1pt;width:204.05pt;height:53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" fillcolor="#f2f2f2" stroked="f">
                <v:textbox>
                  <w:txbxContent>
                    <w:p w:rsidR="00EA33E4" w:rsidRPr="006C6AAA" w:rsidRDefault="00EA33E4" w:rsidP="00DA4D1D">
                      <w:pPr>
                        <w:spacing w:after="60"/>
                        <w:rPr>
                          <w:rFonts w:ascii="Times New Roman" w:hAnsi="Times New Roman"/>
                          <w:lang w:eastAsia="sk-SK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>USA</w:t>
                      </w:r>
                      <w:r w:rsidRPr="006C6AAA">
                        <w:rPr>
                          <w:rFonts w:ascii="Times New Roman" w:hAnsi="Times New Roman"/>
                        </w:rPr>
                        <w:t xml:space="preserve">: tematicky široký dialóg , podiel na príprave samitu EÚ-USA, návšteva prezidenta SR impulzom  pre </w:t>
                      </w:r>
                      <w:proofErr w:type="spellStart"/>
                      <w:r w:rsidRPr="006C6AAA">
                        <w:rPr>
                          <w:rFonts w:ascii="Times New Roman" w:hAnsi="Times New Roman"/>
                        </w:rPr>
                        <w:t>startupy</w:t>
                      </w:r>
                      <w:proofErr w:type="spellEnd"/>
                      <w:r w:rsidRPr="006C6AAA">
                        <w:rPr>
                          <w:rFonts w:ascii="Times New Roman" w:hAnsi="Times New Roman"/>
                        </w:rPr>
                        <w:t xml:space="preserve"> a inovácie</w:t>
                      </w:r>
                    </w:p>
                    <w:p w:rsidR="00EA33E4" w:rsidRPr="006C6AAA" w:rsidRDefault="00EA33E4" w:rsidP="00DA4D1D">
                      <w:pPr>
                        <w:spacing w:after="6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>SSR:</w:t>
                      </w:r>
                      <w:r w:rsidRPr="006C6AAA">
                        <w:rPr>
                          <w:rFonts w:ascii="Times New Roman" w:hAnsi="Times New Roman"/>
                        </w:rPr>
                        <w:t xml:space="preserve"> schválená historicky prvá rezolúcia BR OSN o SSR, dôraz na koordináciu medzinárodných organizácií; založenie Skupiny priateľov SSR a jej predsedníctvo v OBSE; realizácia Afrického fóra s AÚ, OSN, EÚ a ISSAT-DCAF </w:t>
                      </w:r>
                    </w:p>
                    <w:p w:rsidR="00EA33E4" w:rsidRPr="006C6AAA" w:rsidRDefault="00EA33E4" w:rsidP="00DA4D1D">
                      <w:pPr>
                        <w:spacing w:after="60"/>
                        <w:rPr>
                          <w:rFonts w:ascii="Times New Roman" w:hAnsi="Times New Roman"/>
                          <w:lang w:eastAsia="sk-SK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  <w:lang w:eastAsia="sk-SK"/>
                        </w:rPr>
                        <w:t>Západný Balkán</w:t>
                      </w:r>
                      <w:r w:rsidRPr="006C6AAA">
                        <w:rPr>
                          <w:rFonts w:ascii="Times New Roman" w:hAnsi="Times New Roman"/>
                          <w:lang w:eastAsia="sk-SK"/>
                        </w:rPr>
                        <w:t xml:space="preserve">: zintenzívnenie hospodárskej spolupráce ako komplement politickej podpory,  výrazná podpora úspešnému otvoreniu prístupových rokovaní so Srbskom, udeleniu kandidátskeho statusu Albánsku, ale aj podpora Čiernej Hory, </w:t>
                      </w:r>
                      <w:proofErr w:type="spellStart"/>
                      <w:r w:rsidRPr="006C6AAA">
                        <w:rPr>
                          <w:rFonts w:ascii="Times New Roman" w:hAnsi="Times New Roman"/>
                          <w:lang w:eastAsia="sk-SK"/>
                        </w:rPr>
                        <w:t>BaH</w:t>
                      </w:r>
                      <w:proofErr w:type="spellEnd"/>
                    </w:p>
                    <w:p w:rsidR="00EA33E4" w:rsidRPr="006C6AAA" w:rsidRDefault="00EA33E4" w:rsidP="00DA4D1D">
                      <w:pPr>
                        <w:spacing w:after="60"/>
                        <w:rPr>
                          <w:rFonts w:ascii="Times New Roman" w:hAnsi="Times New Roman"/>
                          <w:lang w:eastAsia="sk-SK"/>
                        </w:rPr>
                      </w:pPr>
                      <w:r w:rsidRPr="006C6AAA">
                        <w:rPr>
                          <w:rFonts w:ascii="Times New Roman" w:hAnsi="Times New Roman"/>
                          <w:lang w:eastAsia="sk-SK"/>
                        </w:rPr>
                        <w:t xml:space="preserve">Vznik </w:t>
                      </w:r>
                      <w:proofErr w:type="spellStart"/>
                      <w:r w:rsidRPr="00DA4D1D">
                        <w:rPr>
                          <w:rFonts w:ascii="Times New Roman" w:hAnsi="Times New Roman"/>
                          <w:b/>
                          <w:lang w:eastAsia="sk-SK"/>
                        </w:rPr>
                        <w:t>Západobalkánskeho</w:t>
                      </w:r>
                      <w:proofErr w:type="spellEnd"/>
                      <w:r w:rsidRPr="00DA4D1D">
                        <w:rPr>
                          <w:rFonts w:ascii="Times New Roman" w:hAnsi="Times New Roman"/>
                          <w:b/>
                          <w:lang w:eastAsia="sk-SK"/>
                        </w:rPr>
                        <w:t xml:space="preserve"> fondu</w:t>
                      </w:r>
                      <w:r w:rsidRPr="006C6AAA">
                        <w:rPr>
                          <w:rFonts w:ascii="Times New Roman" w:hAnsi="Times New Roman"/>
                          <w:lang w:eastAsia="sk-SK"/>
                        </w:rPr>
                        <w:t xml:space="preserve"> v Tirane po vzore MVF  </w:t>
                      </w:r>
                    </w:p>
                    <w:p w:rsidR="00DA4D1D" w:rsidRDefault="00EA33E4" w:rsidP="00DA4D1D">
                      <w:pPr>
                        <w:spacing w:after="6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>Afganistan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- </w:t>
                      </w:r>
                      <w:r w:rsidRPr="006C6AAA">
                        <w:rPr>
                          <w:rFonts w:ascii="Times New Roman" w:hAnsi="Times New Roman"/>
                        </w:rPr>
                        <w:t>koniec operácie ISAF, účasť OS SR v novej, výcvikovej misii NATO, 500 tis. USD na stabilizáciu afganských bezpečnostných síl, podpor</w:t>
                      </w:r>
                      <w:r w:rsidR="00D62411">
                        <w:rPr>
                          <w:rFonts w:ascii="Times New Roman" w:hAnsi="Times New Roman"/>
                        </w:rPr>
                        <w:t>a posilnenia partnerstva s NATO</w:t>
                      </w:r>
                    </w:p>
                    <w:p w:rsidR="00DA4D1D" w:rsidRPr="006C6AAA" w:rsidRDefault="00DA4D1D" w:rsidP="00DA4D1D">
                      <w:pPr>
                        <w:spacing w:after="6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  <w:b/>
                        </w:rPr>
                        <w:t xml:space="preserve">Rozvojová spolupráca a humanitárna pomoc: </w:t>
                      </w:r>
                      <w:r w:rsidRPr="006C6AAA">
                        <w:rPr>
                          <w:rFonts w:ascii="Times New Roman" w:hAnsi="Times New Roman"/>
                        </w:rPr>
                        <w:t>programy a projekty pre 10 partnerských krajín, koncentrácia na Keňu, Moldavsko, Afganistan</w:t>
                      </w:r>
                      <w:r w:rsidRPr="006C6AAA">
                        <w:rPr>
                          <w:rFonts w:ascii="Times New Roman" w:hAnsi="Times New Roman"/>
                          <w:b/>
                        </w:rPr>
                        <w:t xml:space="preserve">, </w:t>
                      </w:r>
                      <w:r w:rsidRPr="006C6AAA">
                        <w:rPr>
                          <w:rFonts w:ascii="Times New Roman" w:hAnsi="Times New Roman"/>
                        </w:rPr>
                        <w:t xml:space="preserve">  odovzdávanie skúseností z integrácie a reforiem (CETIR), zvyšovanie zapojenia podnikateľských subjektov do </w:t>
                      </w:r>
                      <w:proofErr w:type="spellStart"/>
                      <w:r w:rsidRPr="006C6AAA">
                        <w:rPr>
                          <w:rFonts w:ascii="Times New Roman" w:hAnsi="Times New Roman"/>
                        </w:rPr>
                        <w:t>SlovakAid</w:t>
                      </w:r>
                      <w:proofErr w:type="spellEnd"/>
                      <w:r w:rsidRPr="006C6AAA">
                        <w:rPr>
                          <w:rFonts w:ascii="Times New Roman" w:hAnsi="Times New Roman"/>
                        </w:rPr>
                        <w:t>, vysielanie dobrovoľníkov a expertov do rozvojových krajín, promptná reakcia na humanitárne krízy vo svete a na situáciu na Ukrajine</w:t>
                      </w:r>
                    </w:p>
                    <w:p w:rsidR="00EA33E4" w:rsidRPr="006C6AAA" w:rsidRDefault="00EA33E4" w:rsidP="006C6AAA">
                      <w:pPr>
                        <w:spacing w:after="120"/>
                        <w:rPr>
                          <w:rFonts w:ascii="Times New Roman" w:hAnsi="Times New Roman"/>
                        </w:rPr>
                      </w:pPr>
                      <w:r w:rsidRPr="006C6AAA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228C">
        <w:t xml:space="preserve">  </w:t>
      </w:r>
    </w:p>
    <w:p w:rsidR="0060228C" w:rsidRDefault="0060228C" w:rsidP="0060228C">
      <w:pPr>
        <w:pStyle w:val="Nadpis1"/>
      </w:pPr>
    </w:p>
    <w:p w:rsidR="0060228C" w:rsidRDefault="0060228C" w:rsidP="0060228C"/>
    <w:p w:rsidR="0060228C" w:rsidRDefault="0060228C" w:rsidP="0060228C"/>
    <w:p w:rsidR="0060228C" w:rsidRDefault="0060228C" w:rsidP="0060228C"/>
    <w:p w:rsidR="0060228C" w:rsidRDefault="0060228C" w:rsidP="0060228C"/>
    <w:p w:rsidR="0060228C" w:rsidRDefault="0060228C" w:rsidP="0060228C"/>
    <w:sectPr w:rsidR="0060228C" w:rsidSect="00640D3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77" w:rsidRDefault="00F95C77">
      <w:pPr>
        <w:spacing w:after="0" w:line="240" w:lineRule="auto"/>
      </w:pPr>
      <w:r>
        <w:separator/>
      </w:r>
    </w:p>
  </w:endnote>
  <w:endnote w:type="continuationSeparator" w:id="0">
    <w:p w:rsidR="00F95C77" w:rsidRDefault="00F9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E4" w:rsidRDefault="00EA33E4" w:rsidP="00CE70FC">
    <w:pPr>
      <w:pStyle w:val="Pt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E4" w:rsidRDefault="00EA33E4">
    <w:pPr>
      <w:pStyle w:val="Pta"/>
      <w:jc w:val="center"/>
    </w:pPr>
  </w:p>
  <w:p w:rsidR="00EA33E4" w:rsidRDefault="00EA33E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77" w:rsidRDefault="00F95C77">
      <w:pPr>
        <w:spacing w:after="0" w:line="240" w:lineRule="auto"/>
      </w:pPr>
      <w:r>
        <w:separator/>
      </w:r>
    </w:p>
  </w:footnote>
  <w:footnote w:type="continuationSeparator" w:id="0">
    <w:p w:rsidR="00F95C77" w:rsidRDefault="00F95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8C"/>
    <w:rsid w:val="00032595"/>
    <w:rsid w:val="0007177B"/>
    <w:rsid w:val="00095D48"/>
    <w:rsid w:val="000F7D13"/>
    <w:rsid w:val="001A0D90"/>
    <w:rsid w:val="0028743B"/>
    <w:rsid w:val="00291483"/>
    <w:rsid w:val="002B215F"/>
    <w:rsid w:val="002C189A"/>
    <w:rsid w:val="002C51EB"/>
    <w:rsid w:val="002E04C0"/>
    <w:rsid w:val="003050BD"/>
    <w:rsid w:val="0031024C"/>
    <w:rsid w:val="00343263"/>
    <w:rsid w:val="003A71EA"/>
    <w:rsid w:val="003C024A"/>
    <w:rsid w:val="003D3B8B"/>
    <w:rsid w:val="003D6DB3"/>
    <w:rsid w:val="003F12AD"/>
    <w:rsid w:val="003F4E6F"/>
    <w:rsid w:val="004046BA"/>
    <w:rsid w:val="00462716"/>
    <w:rsid w:val="004A6E83"/>
    <w:rsid w:val="004E0D20"/>
    <w:rsid w:val="00541557"/>
    <w:rsid w:val="00567755"/>
    <w:rsid w:val="00585EAD"/>
    <w:rsid w:val="005E1321"/>
    <w:rsid w:val="005F363F"/>
    <w:rsid w:val="00600775"/>
    <w:rsid w:val="0060228C"/>
    <w:rsid w:val="00640D34"/>
    <w:rsid w:val="00642889"/>
    <w:rsid w:val="00645D82"/>
    <w:rsid w:val="006C6AAA"/>
    <w:rsid w:val="006D54F1"/>
    <w:rsid w:val="006F29DD"/>
    <w:rsid w:val="00703718"/>
    <w:rsid w:val="007C3B09"/>
    <w:rsid w:val="007F5136"/>
    <w:rsid w:val="0082157C"/>
    <w:rsid w:val="00886250"/>
    <w:rsid w:val="008940F3"/>
    <w:rsid w:val="008B5C76"/>
    <w:rsid w:val="008C1001"/>
    <w:rsid w:val="00910C02"/>
    <w:rsid w:val="00926124"/>
    <w:rsid w:val="00A37BCC"/>
    <w:rsid w:val="00A506F3"/>
    <w:rsid w:val="00A632D7"/>
    <w:rsid w:val="00AD256A"/>
    <w:rsid w:val="00B16B55"/>
    <w:rsid w:val="00B4117D"/>
    <w:rsid w:val="00B55611"/>
    <w:rsid w:val="00B813D5"/>
    <w:rsid w:val="00C614AB"/>
    <w:rsid w:val="00C76E0D"/>
    <w:rsid w:val="00C81713"/>
    <w:rsid w:val="00CE70FC"/>
    <w:rsid w:val="00D027C8"/>
    <w:rsid w:val="00D045B8"/>
    <w:rsid w:val="00D250CD"/>
    <w:rsid w:val="00D27ED8"/>
    <w:rsid w:val="00D339E8"/>
    <w:rsid w:val="00D413F6"/>
    <w:rsid w:val="00D4291A"/>
    <w:rsid w:val="00D62411"/>
    <w:rsid w:val="00D715D2"/>
    <w:rsid w:val="00DA4D1D"/>
    <w:rsid w:val="00E12466"/>
    <w:rsid w:val="00EA33E4"/>
    <w:rsid w:val="00EB0F37"/>
    <w:rsid w:val="00F47E78"/>
    <w:rsid w:val="00F95C77"/>
    <w:rsid w:val="00FA5245"/>
    <w:rsid w:val="00FC08FB"/>
    <w:rsid w:val="00F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022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0228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02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228C"/>
    <w:rPr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28743B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8743B"/>
    <w:rPr>
      <w:rFonts w:ascii="Times New Roman" w:hAnsi="Times New Roman"/>
      <w:sz w:val="24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1321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32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022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0228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02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228C"/>
    <w:rPr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28743B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8743B"/>
    <w:rPr>
      <w:rFonts w:ascii="Times New Roman" w:hAnsi="Times New Roman"/>
      <w:sz w:val="24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1321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32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38B6-0D62-46CA-9529-45E467D3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SR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2015-03-10T14:03:00Z</cp:lastPrinted>
  <dcterms:created xsi:type="dcterms:W3CDTF">2015-03-10T14:04:00Z</dcterms:created>
  <dcterms:modified xsi:type="dcterms:W3CDTF">2015-03-10T14:04:00Z</dcterms:modified>
</cp:coreProperties>
</file>