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970146">
        <w:rPr>
          <w:sz w:val="28"/>
          <w:szCs w:val="28"/>
        </w:rPr>
        <w:t> Konfederáciou odborových zväzov</w:t>
      </w:r>
      <w:r w:rsidR="001A75BA" w:rsidRPr="005B6137">
        <w:rPr>
          <w:sz w:val="28"/>
          <w:szCs w:val="28"/>
        </w:rPr>
        <w:t xml:space="preserve">  </w:t>
      </w:r>
    </w:p>
    <w:p w:rsidR="00EC3A2C" w:rsidRPr="00BF10FC" w:rsidRDefault="00570D43" w:rsidP="00EC3A2C">
      <w:pPr>
        <w:pStyle w:val="Zkladntext"/>
        <w:pBdr>
          <w:bottom w:val="single" w:sz="4" w:space="1" w:color="auto"/>
        </w:pBdr>
        <w:spacing w:after="120"/>
        <w:rPr>
          <w:sz w:val="23"/>
          <w:szCs w:val="23"/>
        </w:rPr>
      </w:pPr>
      <w:r w:rsidRPr="00BF10FC">
        <w:rPr>
          <w:sz w:val="23"/>
          <w:szCs w:val="23"/>
        </w:rPr>
        <w:t>k</w:t>
      </w:r>
      <w:r w:rsidR="00970146" w:rsidRPr="00BF10FC">
        <w:rPr>
          <w:sz w:val="23"/>
          <w:szCs w:val="23"/>
        </w:rPr>
        <w:t> návrhu zákona, ktorým sa mení a dopĺňa zákon č. 245/2008 Z. z. o výchove a vzdelávaní (školský zákon) a o zmene a doplnení niektorých zákonov v znení neskorších predpisov a ktorým sa menia a dopĺňajú niektoré zákony</w:t>
      </w:r>
    </w:p>
    <w:p w:rsidR="00570D43" w:rsidRPr="00BF10FC" w:rsidRDefault="00570D43" w:rsidP="00EC3A2C">
      <w:pPr>
        <w:spacing w:after="120"/>
        <w:rPr>
          <w:sz w:val="23"/>
          <w:szCs w:val="23"/>
        </w:rPr>
      </w:pPr>
    </w:p>
    <w:p w:rsidR="00EC3A2C" w:rsidRPr="00BF10FC" w:rsidRDefault="00EC3A2C" w:rsidP="00EC3A2C">
      <w:pPr>
        <w:tabs>
          <w:tab w:val="left" w:pos="1080"/>
        </w:tabs>
        <w:spacing w:after="120"/>
        <w:jc w:val="both"/>
        <w:rPr>
          <w:iCs/>
          <w:sz w:val="23"/>
          <w:szCs w:val="23"/>
        </w:rPr>
      </w:pPr>
      <w:r w:rsidRPr="00BF10FC">
        <w:rPr>
          <w:iCs/>
          <w:sz w:val="23"/>
          <w:szCs w:val="23"/>
          <w:u w:val="single"/>
        </w:rPr>
        <w:t>Dátum</w:t>
      </w:r>
      <w:r w:rsidRPr="00BF10FC">
        <w:rPr>
          <w:iCs/>
          <w:sz w:val="23"/>
          <w:szCs w:val="23"/>
        </w:rPr>
        <w:t xml:space="preserve">: </w:t>
      </w:r>
      <w:r w:rsidRPr="00BF10FC">
        <w:rPr>
          <w:iCs/>
          <w:sz w:val="23"/>
          <w:szCs w:val="23"/>
        </w:rPr>
        <w:tab/>
      </w:r>
      <w:r w:rsidR="00970146" w:rsidRPr="00BF10FC">
        <w:rPr>
          <w:iCs/>
          <w:sz w:val="23"/>
          <w:szCs w:val="23"/>
        </w:rPr>
        <w:t>7. apríl</w:t>
      </w:r>
      <w:r w:rsidRPr="00BF10FC">
        <w:rPr>
          <w:iCs/>
          <w:sz w:val="23"/>
          <w:szCs w:val="23"/>
        </w:rPr>
        <w:t xml:space="preserve"> 20</w:t>
      </w:r>
      <w:r w:rsidR="00970146" w:rsidRPr="00BF10FC">
        <w:rPr>
          <w:iCs/>
          <w:sz w:val="23"/>
          <w:szCs w:val="23"/>
        </w:rPr>
        <w:t>15</w:t>
      </w:r>
    </w:p>
    <w:p w:rsidR="00EC3A2C" w:rsidRPr="00BF10FC" w:rsidRDefault="00EC3A2C" w:rsidP="00EC3A2C">
      <w:pPr>
        <w:tabs>
          <w:tab w:val="left" w:pos="1080"/>
        </w:tabs>
        <w:spacing w:after="120"/>
        <w:ind w:left="1080" w:hanging="1080"/>
        <w:jc w:val="both"/>
        <w:rPr>
          <w:iCs/>
          <w:sz w:val="23"/>
          <w:szCs w:val="23"/>
        </w:rPr>
      </w:pPr>
      <w:r w:rsidRPr="00BF10FC">
        <w:rPr>
          <w:iCs/>
          <w:sz w:val="23"/>
          <w:szCs w:val="23"/>
          <w:u w:val="single"/>
        </w:rPr>
        <w:t>Miesto</w:t>
      </w:r>
      <w:r w:rsidR="00970146" w:rsidRPr="00BF10FC">
        <w:rPr>
          <w:iCs/>
          <w:sz w:val="23"/>
          <w:szCs w:val="23"/>
        </w:rPr>
        <w:t>:</w:t>
      </w:r>
      <w:r w:rsidR="00970146" w:rsidRPr="00BF10FC">
        <w:rPr>
          <w:iCs/>
          <w:sz w:val="23"/>
          <w:szCs w:val="23"/>
        </w:rPr>
        <w:tab/>
        <w:t>zasadačka ministra školstva, vedy, výskumu a športu SR</w:t>
      </w:r>
    </w:p>
    <w:p w:rsidR="00EC3A2C" w:rsidRPr="00BF10FC" w:rsidRDefault="00EC3A2C" w:rsidP="00EC3A2C">
      <w:pPr>
        <w:tabs>
          <w:tab w:val="left" w:pos="1080"/>
        </w:tabs>
        <w:spacing w:after="120"/>
        <w:ind w:left="1080" w:hanging="1080"/>
        <w:jc w:val="both"/>
        <w:rPr>
          <w:iCs/>
          <w:sz w:val="23"/>
          <w:szCs w:val="23"/>
        </w:rPr>
      </w:pPr>
      <w:r w:rsidRPr="00BF10FC">
        <w:rPr>
          <w:iCs/>
          <w:sz w:val="23"/>
          <w:szCs w:val="23"/>
          <w:u w:val="single"/>
        </w:rPr>
        <w:t>Prítomní:</w:t>
      </w:r>
      <w:r w:rsidRPr="00BF10FC">
        <w:rPr>
          <w:iCs/>
          <w:sz w:val="23"/>
          <w:szCs w:val="23"/>
        </w:rPr>
        <w:tab/>
        <w:t xml:space="preserve">podľa prezenčnej listiny </w:t>
      </w:r>
    </w:p>
    <w:p w:rsidR="00EC3A2C" w:rsidRPr="00BF10FC" w:rsidRDefault="00EC3A2C" w:rsidP="00EC3A2C">
      <w:pPr>
        <w:pStyle w:val="Zarkazkladnhotextu"/>
        <w:ind w:left="0" w:right="23"/>
        <w:jc w:val="both"/>
        <w:rPr>
          <w:sz w:val="23"/>
          <w:szCs w:val="23"/>
        </w:rPr>
      </w:pPr>
    </w:p>
    <w:p w:rsidR="001A75BA" w:rsidRPr="00BF10FC" w:rsidRDefault="001A75BA" w:rsidP="00EC3A2C">
      <w:pPr>
        <w:pStyle w:val="Zarkazkladnhotextu"/>
        <w:ind w:left="0" w:right="23"/>
        <w:jc w:val="both"/>
        <w:rPr>
          <w:b/>
          <w:sz w:val="23"/>
          <w:szCs w:val="23"/>
          <w:u w:val="single"/>
        </w:rPr>
      </w:pPr>
      <w:r w:rsidRPr="00BF10FC">
        <w:rPr>
          <w:b/>
          <w:sz w:val="23"/>
          <w:szCs w:val="23"/>
          <w:u w:val="single"/>
        </w:rPr>
        <w:t>Zásadné pripomien</w:t>
      </w:r>
      <w:r w:rsidR="00970146" w:rsidRPr="00BF10FC">
        <w:rPr>
          <w:b/>
          <w:sz w:val="23"/>
          <w:szCs w:val="23"/>
          <w:u w:val="single"/>
        </w:rPr>
        <w:t>ky</w:t>
      </w:r>
      <w:r w:rsidRPr="00BF10FC">
        <w:rPr>
          <w:b/>
          <w:sz w:val="23"/>
          <w:szCs w:val="23"/>
          <w:u w:val="single"/>
        </w:rPr>
        <w:t>:</w:t>
      </w: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 bod 1.  </w:t>
      </w:r>
    </w:p>
    <w:p w:rsidR="00BF10FC" w:rsidRPr="00BF10FC" w:rsidRDefault="00BF10FC" w:rsidP="00BF10FC">
      <w:pPr>
        <w:pStyle w:val="Zarkazkladnhotextu"/>
        <w:ind w:left="360" w:right="23"/>
        <w:jc w:val="both"/>
        <w:rPr>
          <w:sz w:val="23"/>
          <w:szCs w:val="23"/>
        </w:rPr>
      </w:pPr>
      <w:r w:rsidRPr="00BF10FC">
        <w:rPr>
          <w:sz w:val="23"/>
          <w:szCs w:val="23"/>
        </w:rPr>
        <w:t xml:space="preserve">V § 9 ods. 6 v tretej vete vypustiť slovo alebo“ a doplniť za slovo „škole“ slová „konzervatóriu alebo v jazykovej škole“. </w:t>
      </w:r>
    </w:p>
    <w:p w:rsidR="00BF10FC" w:rsidRPr="00BF10FC" w:rsidRDefault="00BF10FC" w:rsidP="00BF10FC">
      <w:pPr>
        <w:pStyle w:val="Zarkazkladnhotextu"/>
        <w:ind w:left="360" w:right="23"/>
        <w:jc w:val="both"/>
        <w:rPr>
          <w:sz w:val="23"/>
          <w:szCs w:val="23"/>
        </w:rPr>
      </w:pPr>
      <w:r w:rsidRPr="00BF10FC">
        <w:rPr>
          <w:sz w:val="23"/>
          <w:szCs w:val="23"/>
        </w:rPr>
        <w:t xml:space="preserve">Odôvodnenie: Keďže jazykové školy majú schválené štandardy pre všetky hlavné vyučovacie jazyky, nie je dôvod ich ako jediný druh školy nezaradiť do návrhu novely zákona a neposkytnúť im rovnaké možnosti úpravy školského vzdelávacieho programu ako iným typom škôl. Pre cudzie jazyky, ktoré nemajú schválený štandard si jazyková škola vypracuje osnovy.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Pr="00BF10FC" w:rsidRDefault="00BF10FC" w:rsidP="00552E65">
      <w:pPr>
        <w:pStyle w:val="Zarkazkladnhotextu"/>
        <w:tabs>
          <w:tab w:val="left" w:pos="360"/>
        </w:tabs>
        <w:spacing w:after="0"/>
        <w:ind w:left="717" w:right="23"/>
        <w:jc w:val="both"/>
        <w:rPr>
          <w:sz w:val="23"/>
          <w:szCs w:val="23"/>
        </w:rPr>
      </w:pPr>
      <w:r w:rsidRPr="00BF10FC">
        <w:rPr>
          <w:sz w:val="23"/>
          <w:szCs w:val="23"/>
        </w:rPr>
        <w:t>Pripomienka akceptovaná</w:t>
      </w:r>
      <w:r w:rsidR="00552E65">
        <w:rPr>
          <w:sz w:val="23"/>
          <w:szCs w:val="23"/>
        </w:rPr>
        <w:t>.</w:t>
      </w:r>
    </w:p>
    <w:p w:rsidR="00BF10FC" w:rsidRPr="00BF10FC" w:rsidRDefault="00BF10FC" w:rsidP="00BF10FC">
      <w:pPr>
        <w:pStyle w:val="Zarkazkladnhotextu"/>
        <w:ind w:left="360"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 </w:t>
      </w:r>
    </w:p>
    <w:p w:rsidR="00BF10FC" w:rsidRPr="00BF10FC" w:rsidRDefault="00BF10FC" w:rsidP="00BF10FC">
      <w:pPr>
        <w:pStyle w:val="Zarkazkladnhotextu"/>
        <w:ind w:left="360" w:right="23"/>
        <w:jc w:val="both"/>
        <w:rPr>
          <w:sz w:val="23"/>
          <w:szCs w:val="23"/>
        </w:rPr>
      </w:pPr>
      <w:r w:rsidRPr="00BF10FC">
        <w:rPr>
          <w:sz w:val="23"/>
          <w:szCs w:val="23"/>
        </w:rPr>
        <w:t xml:space="preserve">Za bod 13 pridať bod 14 v znení: „V § 53 ods. 3, v prvej vete pridať za slovo „školstva“ slová „ na obdobie 5 rokov“. </w:t>
      </w:r>
    </w:p>
    <w:p w:rsidR="00BF10FC" w:rsidRPr="00BF10FC" w:rsidRDefault="00BF10FC" w:rsidP="00BF10FC">
      <w:pPr>
        <w:pStyle w:val="Zarkazkladnhotextu"/>
        <w:ind w:left="360" w:right="23"/>
        <w:jc w:val="both"/>
        <w:rPr>
          <w:sz w:val="23"/>
          <w:szCs w:val="23"/>
        </w:rPr>
      </w:pPr>
      <w:r w:rsidRPr="00BF10FC">
        <w:rPr>
          <w:sz w:val="23"/>
          <w:szCs w:val="23"/>
        </w:rPr>
        <w:t xml:space="preserve">Odôvodnenie: Keďže v súčasnosti upravuje podmienky a trvanie oprávnenia vyhláška, hoci ide o stanovenie povinnosti, je potrebné preniesť úpravu do zákona. Zmena obdobia platnosti oprávnenia zabezpečí väčšiu plynulosť práce jazykovej školy a zlepší podmienky kontroly štátnej školskej inšpekcie.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Default="00BF10FC" w:rsidP="00552E65">
      <w:pPr>
        <w:pStyle w:val="Zarkazkladnhotextu"/>
        <w:tabs>
          <w:tab w:val="left" w:pos="360"/>
        </w:tabs>
        <w:spacing w:after="0"/>
        <w:ind w:left="717" w:right="23"/>
        <w:jc w:val="both"/>
        <w:rPr>
          <w:sz w:val="23"/>
          <w:szCs w:val="23"/>
        </w:rPr>
      </w:pPr>
      <w:r w:rsidRPr="00BF10FC">
        <w:rPr>
          <w:sz w:val="23"/>
          <w:szCs w:val="23"/>
        </w:rPr>
        <w:t>Pripomienka preklasifikovaná na obyčajnú</w:t>
      </w:r>
      <w:r w:rsidR="00552E65">
        <w:rPr>
          <w:sz w:val="23"/>
          <w:szCs w:val="23"/>
        </w:rPr>
        <w:t>.</w:t>
      </w:r>
    </w:p>
    <w:p w:rsidR="00552E65" w:rsidRPr="00BF10FC" w:rsidRDefault="00552E65" w:rsidP="00552E65">
      <w:pPr>
        <w:pStyle w:val="Zarkazkladnhotextu"/>
        <w:tabs>
          <w:tab w:val="left" w:pos="360"/>
        </w:tabs>
        <w:spacing w:after="0"/>
        <w:ind w:left="717"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 </w:t>
      </w:r>
    </w:p>
    <w:p w:rsidR="00BF10FC" w:rsidRPr="00BF10FC" w:rsidRDefault="00BF10FC" w:rsidP="00BF10FC">
      <w:pPr>
        <w:pStyle w:val="Zarkazkladnhotextu"/>
        <w:ind w:left="360" w:right="23"/>
        <w:jc w:val="both"/>
        <w:rPr>
          <w:sz w:val="23"/>
          <w:szCs w:val="23"/>
        </w:rPr>
      </w:pPr>
      <w:r w:rsidRPr="00BF10FC">
        <w:rPr>
          <w:sz w:val="23"/>
          <w:szCs w:val="23"/>
        </w:rPr>
        <w:t xml:space="preserve">Za bod 14 pridať bod 15 v znení: „V § 53 ods. 6 za slovo „ nariadením“ doplniť slová „stanovením minimálnej a maximálnej výšky ročného školného.“ </w:t>
      </w:r>
    </w:p>
    <w:p w:rsidR="00BF10FC" w:rsidRPr="00BF10FC" w:rsidRDefault="00BF10FC" w:rsidP="00BF10FC">
      <w:pPr>
        <w:pStyle w:val="Zarkazkladnhotextu"/>
        <w:ind w:left="360" w:right="23"/>
        <w:jc w:val="both"/>
        <w:rPr>
          <w:sz w:val="23"/>
          <w:szCs w:val="23"/>
        </w:rPr>
      </w:pPr>
      <w:r w:rsidRPr="00BF10FC">
        <w:rPr>
          <w:sz w:val="23"/>
          <w:szCs w:val="23"/>
        </w:rPr>
        <w:t xml:space="preserve">Odôvodnenie: Po zrušení stanovej maximálnej sumy školného v tomto odseku paragrafu školského zákona stratili samosprávy oporu a právnu istotu pri tvorbe všeobecného záväzného nariadenia. Každá samospráva postupuje iným spôsobom a dostáva sa do rozporu s ustanovením § 5 ods. 13 písm. d) zákona č. 596/2003 Z. z.. Verejné jazykové školy pracujú za nerovnakých podmienok a v neporovnateľných systémoch financovania, hoci všetky ostatné podmienky vzdelávania a kvalifikácie učiteľov majú legislatívne stanovené rovnako. Je potrebné zabezpečiť právnu oporu pre rovnakú metodiku tvorby všeobecného záväzného nariadenia pre všetky samosprávy a zabezpečiť pôvodne nastavenú nadväznosť legislatívy, </w:t>
      </w:r>
      <w:r w:rsidRPr="00BF10FC">
        <w:rPr>
          <w:sz w:val="23"/>
          <w:szCs w:val="23"/>
        </w:rPr>
        <w:lastRenderedPageBreak/>
        <w:t xml:space="preserve">ktorá nebráni variabilite školského vzdelávacie programu jazykovej školy v súlade so schváleným štátnym vzdelávacím programom.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Default="00BF10FC" w:rsidP="00552E65">
      <w:pPr>
        <w:pStyle w:val="Zarkazkladnhotextu"/>
        <w:tabs>
          <w:tab w:val="left" w:pos="360"/>
        </w:tabs>
        <w:spacing w:after="0"/>
        <w:ind w:left="717" w:right="23"/>
        <w:jc w:val="both"/>
        <w:rPr>
          <w:sz w:val="23"/>
          <w:szCs w:val="23"/>
        </w:rPr>
      </w:pPr>
      <w:r w:rsidRPr="00BF10FC">
        <w:rPr>
          <w:sz w:val="23"/>
          <w:szCs w:val="23"/>
        </w:rPr>
        <w:t>Pripomienka preklasifikovaná na obyčajnú</w:t>
      </w:r>
      <w:r w:rsidR="00552E65">
        <w:rPr>
          <w:sz w:val="23"/>
          <w:szCs w:val="23"/>
        </w:rPr>
        <w:t>.</w:t>
      </w:r>
    </w:p>
    <w:p w:rsidR="00552E65" w:rsidRPr="00BF10FC" w:rsidRDefault="00552E65" w:rsidP="00552E65">
      <w:pPr>
        <w:pStyle w:val="Zarkazkladnhotextu"/>
        <w:tabs>
          <w:tab w:val="left" w:pos="360"/>
        </w:tabs>
        <w:spacing w:after="0"/>
        <w:ind w:left="717"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 </w:t>
      </w:r>
    </w:p>
    <w:p w:rsidR="00BF10FC" w:rsidRPr="00BF10FC" w:rsidRDefault="00BF10FC" w:rsidP="00BF10FC">
      <w:pPr>
        <w:pStyle w:val="Zarkazkladnhotextu"/>
        <w:ind w:left="360" w:right="23"/>
        <w:jc w:val="both"/>
        <w:rPr>
          <w:sz w:val="23"/>
          <w:szCs w:val="23"/>
        </w:rPr>
      </w:pPr>
      <w:r w:rsidRPr="00BF10FC">
        <w:rPr>
          <w:sz w:val="23"/>
          <w:szCs w:val="23"/>
        </w:rPr>
        <w:t xml:space="preserve">Za bod 15 pridať bod 16 v znení: „ V § 53 ods. 8 za slovo „septembra“ doplniť slová „a 28. februára“. </w:t>
      </w:r>
    </w:p>
    <w:p w:rsidR="00BF10FC" w:rsidRPr="00BF10FC" w:rsidRDefault="00BF10FC" w:rsidP="00BF10FC">
      <w:pPr>
        <w:pStyle w:val="Zarkazkladnhotextu"/>
        <w:ind w:left="360" w:right="23"/>
        <w:jc w:val="both"/>
        <w:rPr>
          <w:sz w:val="23"/>
          <w:szCs w:val="23"/>
        </w:rPr>
      </w:pPr>
      <w:r w:rsidRPr="00BF10FC">
        <w:rPr>
          <w:sz w:val="23"/>
          <w:szCs w:val="23"/>
        </w:rPr>
        <w:t xml:space="preserve">Odôvodnenie: Väčšina jazykových škôl vyberá úhrady v dvoch častiach, zvlášť na každý školský polrok. Treba umožniť škole, aby mohla vrátiť školné aj poslucháčom, ktorí zo závažných dôvodov (preukázané zdravotné dôvody, študijný pobyt a pod.) nemôžu v druhom polroku navštevovať vyučovanie a školné naň zaplatili do 15.2.. Podmienky v oboch školských polrokoch by mali mať poslucháči rovnaké.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Pr="00BF10FC" w:rsidRDefault="00BF10FC" w:rsidP="00552E65">
      <w:pPr>
        <w:pStyle w:val="Zarkazkladnhotextu"/>
        <w:tabs>
          <w:tab w:val="left" w:pos="360"/>
        </w:tabs>
        <w:spacing w:after="0"/>
        <w:ind w:left="717" w:right="23"/>
        <w:jc w:val="both"/>
        <w:rPr>
          <w:sz w:val="23"/>
          <w:szCs w:val="23"/>
        </w:rPr>
      </w:pPr>
      <w:r w:rsidRPr="00BF10FC">
        <w:rPr>
          <w:sz w:val="23"/>
          <w:szCs w:val="23"/>
        </w:rPr>
        <w:t>Pripomienka akceptovaná</w:t>
      </w:r>
      <w:r w:rsidR="00552E65">
        <w:rPr>
          <w:sz w:val="23"/>
          <w:szCs w:val="23"/>
        </w:rPr>
        <w:t>.</w:t>
      </w:r>
    </w:p>
    <w:p w:rsidR="00BF10FC" w:rsidRPr="00BF10FC" w:rsidRDefault="00BF10FC" w:rsidP="00BF10FC">
      <w:pPr>
        <w:pStyle w:val="Zarkazkladnhotextu"/>
        <w:ind w:left="360"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II </w:t>
      </w:r>
    </w:p>
    <w:p w:rsidR="00BF10FC" w:rsidRPr="00BF10FC" w:rsidRDefault="00BF10FC" w:rsidP="00BF10FC">
      <w:pPr>
        <w:pStyle w:val="Zarkazkladnhotextu"/>
        <w:ind w:left="360" w:right="23"/>
        <w:jc w:val="both"/>
        <w:rPr>
          <w:sz w:val="23"/>
          <w:szCs w:val="23"/>
        </w:rPr>
      </w:pPr>
      <w:r w:rsidRPr="00BF10FC">
        <w:rPr>
          <w:sz w:val="23"/>
          <w:szCs w:val="23"/>
        </w:rPr>
        <w:t xml:space="preserve">Žiadame vypustiť body 1 až 3. </w:t>
      </w:r>
    </w:p>
    <w:p w:rsidR="00BF10FC" w:rsidRPr="00BF10FC" w:rsidRDefault="00BF10FC" w:rsidP="00BF10FC">
      <w:pPr>
        <w:pStyle w:val="Zarkazkladnhotextu"/>
        <w:ind w:left="360" w:right="23"/>
        <w:jc w:val="both"/>
        <w:rPr>
          <w:sz w:val="23"/>
          <w:szCs w:val="23"/>
        </w:rPr>
      </w:pPr>
      <w:r w:rsidRPr="00BF10FC">
        <w:rPr>
          <w:sz w:val="23"/>
          <w:szCs w:val="23"/>
        </w:rPr>
        <w:t xml:space="preserve">Odôvodnenie: Predkladanie návrhu na vymenovanie a odvolanie riaditeľa školy je najdôležitejšou kompetenciou samosprávneho orgánu školy - rady školy. Táto kompetencia rady školy zabraňuje subjektívnemu rozhodovaniu zriaďovateľa o výbere riaditeľa školy. Nesúhlasíme s predloženým návrhom ministerstva, považujeme ho za vecne neodôvodnený a neprijateľný zásah do právomocí školskej samosprávy.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Pr="00BF10FC" w:rsidRDefault="00BF10FC" w:rsidP="00552E65">
      <w:pPr>
        <w:pStyle w:val="Zarkazkladnhotextu"/>
        <w:tabs>
          <w:tab w:val="left" w:pos="360"/>
        </w:tabs>
        <w:spacing w:after="0"/>
        <w:ind w:left="717" w:right="23"/>
        <w:jc w:val="both"/>
        <w:rPr>
          <w:sz w:val="23"/>
          <w:szCs w:val="23"/>
        </w:rPr>
      </w:pPr>
      <w:r w:rsidRPr="00BF10FC">
        <w:rPr>
          <w:sz w:val="23"/>
          <w:szCs w:val="23"/>
        </w:rPr>
        <w:t>Pripomienka neakceptovaná</w:t>
      </w:r>
      <w:r w:rsidR="00552E65">
        <w:rPr>
          <w:sz w:val="23"/>
          <w:szCs w:val="23"/>
        </w:rPr>
        <w:t>. Rozpor trvá.</w:t>
      </w:r>
    </w:p>
    <w:p w:rsidR="00BF10FC" w:rsidRPr="00BF10FC" w:rsidRDefault="00BF10FC" w:rsidP="00BF10FC">
      <w:pPr>
        <w:pStyle w:val="Zarkazkladnhotextu"/>
        <w:ind w:left="360"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II </w:t>
      </w:r>
    </w:p>
    <w:p w:rsidR="00BF10FC" w:rsidRPr="00BF10FC" w:rsidRDefault="00BF10FC" w:rsidP="00BF10FC">
      <w:pPr>
        <w:pStyle w:val="Zarkazkladnhotextu"/>
        <w:ind w:left="360" w:right="23"/>
        <w:jc w:val="both"/>
        <w:rPr>
          <w:sz w:val="23"/>
          <w:szCs w:val="23"/>
        </w:rPr>
      </w:pPr>
      <w:r w:rsidRPr="00BF10FC">
        <w:rPr>
          <w:sz w:val="23"/>
          <w:szCs w:val="23"/>
        </w:rPr>
        <w:t xml:space="preserve">Za bod 3 pridať bod 4, ktorý znie: „ V § 5 ods. 13 doplniť písmeno c) v znení: „c) predčasnom skončení štúdia, ak poslucháč závažným spôsobom porušuje školský poriadok alebo ak poslucháč alebo jeho zákonný zástupca neuhrádza čiastočnú úhradu nákladov štúdia.“ </w:t>
      </w:r>
    </w:p>
    <w:p w:rsidR="00BF10FC" w:rsidRPr="00BF10FC" w:rsidRDefault="00BF10FC" w:rsidP="00BF10FC">
      <w:pPr>
        <w:pStyle w:val="Zarkazkladnhotextu"/>
        <w:ind w:left="360" w:right="23"/>
        <w:jc w:val="both"/>
        <w:rPr>
          <w:sz w:val="23"/>
          <w:szCs w:val="23"/>
        </w:rPr>
      </w:pPr>
      <w:r w:rsidRPr="00BF10FC">
        <w:rPr>
          <w:sz w:val="23"/>
          <w:szCs w:val="23"/>
        </w:rPr>
        <w:t xml:space="preserve">Odôvodnenie: Keďže ide o súdne napadnuteľné rozhodnutie, je nevyhnutné zvýšiť právnu ochranu školy bližším špecifikovaním podmienok na predčasné ukončenie štúdia.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Default="00BF10FC" w:rsidP="00552E65">
      <w:pPr>
        <w:pStyle w:val="Zarkazkladnhotextu"/>
        <w:tabs>
          <w:tab w:val="left" w:pos="360"/>
        </w:tabs>
        <w:spacing w:after="0"/>
        <w:ind w:left="717" w:right="23"/>
        <w:jc w:val="both"/>
        <w:rPr>
          <w:sz w:val="23"/>
          <w:szCs w:val="23"/>
        </w:rPr>
      </w:pPr>
      <w:r w:rsidRPr="00BF10FC">
        <w:rPr>
          <w:sz w:val="23"/>
          <w:szCs w:val="23"/>
        </w:rPr>
        <w:t>Pripomienka preklasifikovaná na obyčajnú</w:t>
      </w:r>
      <w:r w:rsidR="00552E65">
        <w:rPr>
          <w:sz w:val="23"/>
          <w:szCs w:val="23"/>
        </w:rPr>
        <w:t>.</w:t>
      </w:r>
    </w:p>
    <w:p w:rsidR="00552E65" w:rsidRPr="00BF10FC" w:rsidRDefault="00552E65" w:rsidP="00552E65">
      <w:pPr>
        <w:pStyle w:val="Zarkazkladnhotextu"/>
        <w:tabs>
          <w:tab w:val="left" w:pos="360"/>
        </w:tabs>
        <w:spacing w:after="0"/>
        <w:ind w:left="717"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III bod 1. </w:t>
      </w:r>
    </w:p>
    <w:p w:rsidR="00BF10FC" w:rsidRPr="00BF10FC" w:rsidRDefault="00BF10FC" w:rsidP="00BF10FC">
      <w:pPr>
        <w:pStyle w:val="Zarkazkladnhotextu"/>
        <w:ind w:left="360" w:right="23"/>
        <w:jc w:val="both"/>
        <w:rPr>
          <w:sz w:val="23"/>
          <w:szCs w:val="23"/>
        </w:rPr>
      </w:pPr>
      <w:r w:rsidRPr="00BF10FC">
        <w:rPr>
          <w:sz w:val="23"/>
          <w:szCs w:val="23"/>
        </w:rPr>
        <w:t xml:space="preserve">V § 5 ods. 2 písm. l) za slová „absolventskú skúšku“ doplniť slová „a predsedov skúšobných komisií pre štátne jazykové skúšky“. </w:t>
      </w:r>
    </w:p>
    <w:p w:rsidR="00BF10FC" w:rsidRPr="00BF10FC" w:rsidRDefault="00BF10FC" w:rsidP="00BF10FC">
      <w:pPr>
        <w:pStyle w:val="Zarkazkladnhotextu"/>
        <w:ind w:left="360" w:right="23"/>
        <w:jc w:val="both"/>
        <w:rPr>
          <w:sz w:val="23"/>
          <w:szCs w:val="23"/>
        </w:rPr>
      </w:pPr>
      <w:r w:rsidRPr="00BF10FC">
        <w:rPr>
          <w:sz w:val="23"/>
          <w:szCs w:val="23"/>
        </w:rPr>
        <w:t xml:space="preserve">Odôvodnenie: Štátne jazykové skúšky sa konajú za obdobných podmienok ako ostatné uvedené skúšky a predsedovia skúšobných komisií sú aj rovnako menovaní.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Pr="00BF10FC" w:rsidRDefault="00BF10FC" w:rsidP="00552E65">
      <w:pPr>
        <w:pStyle w:val="Zarkazkladnhotextu"/>
        <w:tabs>
          <w:tab w:val="left" w:pos="360"/>
        </w:tabs>
        <w:spacing w:after="0"/>
        <w:ind w:left="717" w:right="23"/>
        <w:jc w:val="both"/>
        <w:rPr>
          <w:sz w:val="23"/>
          <w:szCs w:val="23"/>
        </w:rPr>
      </w:pPr>
      <w:r w:rsidRPr="00BF10FC">
        <w:rPr>
          <w:sz w:val="23"/>
          <w:szCs w:val="23"/>
        </w:rPr>
        <w:t>Pripomienka akceptovaná</w:t>
      </w:r>
      <w:r w:rsidR="00552E65">
        <w:rPr>
          <w:sz w:val="23"/>
          <w:szCs w:val="23"/>
        </w:rPr>
        <w:t>.</w:t>
      </w:r>
    </w:p>
    <w:p w:rsidR="00BF10FC" w:rsidRPr="00BF10FC" w:rsidRDefault="00BF10FC" w:rsidP="00BF10FC">
      <w:pPr>
        <w:pStyle w:val="Zarkazkladnhotextu"/>
        <w:numPr>
          <w:ilvl w:val="0"/>
          <w:numId w:val="1"/>
        </w:numPr>
        <w:ind w:right="23"/>
        <w:jc w:val="both"/>
        <w:rPr>
          <w:sz w:val="23"/>
          <w:szCs w:val="23"/>
        </w:rPr>
      </w:pPr>
      <w:r w:rsidRPr="00BF10FC">
        <w:rPr>
          <w:sz w:val="23"/>
          <w:szCs w:val="23"/>
        </w:rPr>
        <w:lastRenderedPageBreak/>
        <w:t xml:space="preserve">Čl. III bod 2. </w:t>
      </w:r>
    </w:p>
    <w:p w:rsidR="00BF10FC" w:rsidRPr="00BF10FC" w:rsidRDefault="00BF10FC" w:rsidP="00BF10FC">
      <w:pPr>
        <w:pStyle w:val="Zarkazkladnhotextu"/>
        <w:ind w:left="360" w:right="23"/>
        <w:jc w:val="both"/>
        <w:rPr>
          <w:sz w:val="23"/>
          <w:szCs w:val="23"/>
        </w:rPr>
      </w:pPr>
      <w:r w:rsidRPr="00BF10FC">
        <w:rPr>
          <w:sz w:val="23"/>
          <w:szCs w:val="23"/>
        </w:rPr>
        <w:t xml:space="preserve">V § 7 doplniť odsek 10, ktorý znie: „( 10) Ak ide o učiteľa základnej školy, strednej školy, jazykovej školy a kontinuálneho vzdelávania, vyžaduje sa aj vyučovanie jeho aprobačných predmetov - príslušného cudzieho jazyka, ako kvalifikáciu platnú pre všetky podkategórie týchto učiteľov.“ </w:t>
      </w:r>
    </w:p>
    <w:p w:rsidR="00BF10FC" w:rsidRPr="00BF10FC" w:rsidRDefault="00BF10FC" w:rsidP="00BF10FC">
      <w:pPr>
        <w:pStyle w:val="Zarkazkladnhotextu"/>
        <w:ind w:left="360" w:right="23"/>
        <w:jc w:val="both"/>
        <w:rPr>
          <w:sz w:val="23"/>
          <w:szCs w:val="23"/>
        </w:rPr>
      </w:pPr>
      <w:r w:rsidRPr="00BF10FC">
        <w:rPr>
          <w:sz w:val="23"/>
          <w:szCs w:val="23"/>
        </w:rPr>
        <w:t xml:space="preserve">Odôvodnenie: Učitelia cudzích jazykov vo všetkých uvedených typoch škôl získavajú štúdiom na VŠ II. stupňa rovnakú aprobáciu pre vyučovanie na všetkých typoch škôl, čo pri iných vyučovacích predmetoch neplatí.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Pr="00BF10FC" w:rsidRDefault="00BF10FC" w:rsidP="00552E65">
      <w:pPr>
        <w:pStyle w:val="Zarkazkladnhotextu"/>
        <w:tabs>
          <w:tab w:val="left" w:pos="360"/>
        </w:tabs>
        <w:spacing w:after="0"/>
        <w:ind w:left="717" w:right="23"/>
        <w:jc w:val="both"/>
        <w:rPr>
          <w:sz w:val="23"/>
          <w:szCs w:val="23"/>
        </w:rPr>
      </w:pPr>
      <w:r w:rsidRPr="00BF10FC">
        <w:rPr>
          <w:sz w:val="23"/>
          <w:szCs w:val="23"/>
        </w:rPr>
        <w:t>Pripomienka akceptovaná</w:t>
      </w:r>
      <w:r w:rsidR="00552E65">
        <w:rPr>
          <w:sz w:val="23"/>
          <w:szCs w:val="23"/>
        </w:rPr>
        <w:t>.</w:t>
      </w:r>
    </w:p>
    <w:p w:rsidR="00BF10FC" w:rsidRPr="00BF10FC" w:rsidRDefault="00BF10FC" w:rsidP="00BF10FC">
      <w:pPr>
        <w:pStyle w:val="Zarkazkladnhotextu"/>
        <w:ind w:left="360"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III  </w:t>
      </w:r>
    </w:p>
    <w:p w:rsidR="00BF10FC" w:rsidRPr="00BF10FC" w:rsidRDefault="00BF10FC" w:rsidP="00BF10FC">
      <w:pPr>
        <w:pStyle w:val="Zarkazkladnhotextu"/>
        <w:ind w:left="360" w:right="23"/>
        <w:jc w:val="both"/>
        <w:rPr>
          <w:sz w:val="23"/>
          <w:szCs w:val="23"/>
        </w:rPr>
      </w:pPr>
      <w:r w:rsidRPr="00BF10FC">
        <w:rPr>
          <w:sz w:val="23"/>
          <w:szCs w:val="23"/>
        </w:rPr>
        <w:t xml:space="preserve">Za bod 3 doplniť bod 4, ktorý znie: „V § 46 ods. 5 v znení „Doba platnosti kreditového príplatku je najviac 10 rokov od jeho priznania. Zo závažných dôvodov, najmä čerpania materskej dovolenky, rodičovskej dovolenky, alebo práceneschopnosti trvajúcej dlhšie ako šesť mesiacov nepretržite, môže zamestnávateľ na základe písomnej žiadosti zamestnanca dobu platnosti kreditového príplatku predĺžiť najviac o 3 roky.“ </w:t>
      </w:r>
    </w:p>
    <w:p w:rsidR="00BF10FC" w:rsidRPr="00BF10FC" w:rsidRDefault="00BF10FC" w:rsidP="00BF10FC">
      <w:pPr>
        <w:pStyle w:val="Zarkazkladnhotextu"/>
        <w:ind w:left="360" w:right="23"/>
        <w:jc w:val="both"/>
        <w:rPr>
          <w:sz w:val="23"/>
          <w:szCs w:val="23"/>
        </w:rPr>
      </w:pPr>
      <w:r w:rsidRPr="00BF10FC">
        <w:rPr>
          <w:sz w:val="23"/>
          <w:szCs w:val="23"/>
        </w:rPr>
        <w:t xml:space="preserve">Odôvodnenie: Navrhovaná zmena umožňuje zamestnancovi ktorý získa 30 resp. 60 kreditov priznať výšku kreditového príplatku 6 % alebo 2x 6 % na obdobie desiatich rokov bez možnosti zníženia, resp. odobratia kreditového príplatku. Takouto zmenou sa podporí aj cieľ celoživotného vzdelávania pedagogických a odborných zamestnancov. </w:t>
      </w:r>
    </w:p>
    <w:p w:rsidR="00BF10FC" w:rsidRPr="00BF10FC" w:rsidRDefault="00BF10FC" w:rsidP="00BF10FC">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BF10FC" w:rsidRDefault="00BF10FC" w:rsidP="00552E65">
      <w:pPr>
        <w:pStyle w:val="Zarkazkladnhotextu"/>
        <w:tabs>
          <w:tab w:val="left" w:pos="360"/>
        </w:tabs>
        <w:spacing w:after="0"/>
        <w:ind w:left="717" w:right="23"/>
        <w:jc w:val="both"/>
        <w:rPr>
          <w:sz w:val="23"/>
          <w:szCs w:val="23"/>
        </w:rPr>
      </w:pPr>
      <w:r w:rsidRPr="00BF10FC">
        <w:rPr>
          <w:sz w:val="23"/>
          <w:szCs w:val="23"/>
        </w:rPr>
        <w:t>Pripomienka preklasifikovaná na obyčajnú</w:t>
      </w:r>
      <w:r w:rsidR="00552E65">
        <w:rPr>
          <w:sz w:val="23"/>
          <w:szCs w:val="23"/>
        </w:rPr>
        <w:t>.</w:t>
      </w:r>
    </w:p>
    <w:p w:rsidR="00552E65" w:rsidRPr="00BF10FC" w:rsidRDefault="00552E65" w:rsidP="00552E65">
      <w:pPr>
        <w:pStyle w:val="Zarkazkladnhotextu"/>
        <w:tabs>
          <w:tab w:val="left" w:pos="360"/>
        </w:tabs>
        <w:spacing w:after="0"/>
        <w:ind w:left="717" w:right="23"/>
        <w:jc w:val="both"/>
        <w:rPr>
          <w:sz w:val="23"/>
          <w:szCs w:val="23"/>
        </w:rPr>
      </w:pPr>
    </w:p>
    <w:p w:rsidR="00BF10FC" w:rsidRPr="00BF10FC" w:rsidRDefault="00BF10FC" w:rsidP="00BF10FC">
      <w:pPr>
        <w:pStyle w:val="Zarkazkladnhotextu"/>
        <w:numPr>
          <w:ilvl w:val="0"/>
          <w:numId w:val="1"/>
        </w:numPr>
        <w:ind w:right="23"/>
        <w:jc w:val="both"/>
        <w:rPr>
          <w:sz w:val="23"/>
          <w:szCs w:val="23"/>
        </w:rPr>
      </w:pPr>
      <w:r w:rsidRPr="00BF10FC">
        <w:rPr>
          <w:sz w:val="23"/>
          <w:szCs w:val="23"/>
        </w:rPr>
        <w:t xml:space="preserve">Čl. III </w:t>
      </w:r>
    </w:p>
    <w:p w:rsidR="00BF10FC" w:rsidRPr="00BF10FC" w:rsidRDefault="00BF10FC" w:rsidP="00BF10FC">
      <w:pPr>
        <w:pStyle w:val="Zarkazkladnhotextu"/>
        <w:ind w:left="360" w:right="23"/>
        <w:jc w:val="both"/>
        <w:rPr>
          <w:sz w:val="23"/>
          <w:szCs w:val="23"/>
        </w:rPr>
      </w:pPr>
      <w:r w:rsidRPr="00BF10FC">
        <w:rPr>
          <w:sz w:val="23"/>
          <w:szCs w:val="23"/>
        </w:rPr>
        <w:t xml:space="preserve">Za bod 12 doplniť body 13, 14, 15 a 16, ktoré znejú: </w:t>
      </w:r>
    </w:p>
    <w:p w:rsidR="00BF10FC" w:rsidRPr="00BF10FC" w:rsidRDefault="00BF10FC" w:rsidP="00BF10FC">
      <w:pPr>
        <w:pStyle w:val="Zarkazkladnhotextu"/>
        <w:ind w:left="360" w:right="23"/>
        <w:jc w:val="both"/>
        <w:rPr>
          <w:sz w:val="23"/>
          <w:szCs w:val="23"/>
        </w:rPr>
      </w:pPr>
      <w:r w:rsidRPr="00BF10FC">
        <w:rPr>
          <w:sz w:val="23"/>
          <w:szCs w:val="23"/>
        </w:rPr>
        <w:t xml:space="preserve">„13. V § 49 odsek 5 znie: </w:t>
      </w:r>
    </w:p>
    <w:p w:rsidR="00BF10FC" w:rsidRPr="00BF10FC" w:rsidRDefault="00BF10FC" w:rsidP="00BF10FC">
      <w:pPr>
        <w:pStyle w:val="Zarkazkladnhotextu"/>
        <w:ind w:left="360" w:right="23"/>
        <w:jc w:val="both"/>
        <w:rPr>
          <w:sz w:val="23"/>
          <w:szCs w:val="23"/>
        </w:rPr>
      </w:pPr>
      <w:r w:rsidRPr="00BF10FC">
        <w:rPr>
          <w:sz w:val="23"/>
          <w:szCs w:val="23"/>
        </w:rPr>
        <w:t xml:space="preserve">„(5) Pedagogický zamestnanec môže vykonať atestáciu len v kategórii a podkategórii, pre ktorú spĺňa kvalifikačný predpoklad v získanom stupni vzdelania a v príslušnom odbore vzdelania. Odborný zamestnanec môže vykonať atestáciu len v kategórii, pre ktorú spĺňa kvalifikačný predpoklad v získanom príslušnom odbore vzdelania.“. </w:t>
      </w:r>
    </w:p>
    <w:p w:rsidR="00BF10FC" w:rsidRPr="00BF10FC" w:rsidRDefault="00BF10FC" w:rsidP="00552E65">
      <w:pPr>
        <w:pStyle w:val="Zarkazkladnhotextu"/>
        <w:ind w:left="360" w:right="23"/>
        <w:jc w:val="both"/>
        <w:rPr>
          <w:sz w:val="23"/>
          <w:szCs w:val="23"/>
        </w:rPr>
      </w:pPr>
      <w:r w:rsidRPr="00BF10FC">
        <w:rPr>
          <w:sz w:val="23"/>
          <w:szCs w:val="23"/>
        </w:rPr>
        <w:t xml:space="preserve">Odôvodnenie: Navrhovaná zmena zohľadňuje v plnom rozsahu dosiahnutú kvalifikáciu pedagogického zamestnanca v pregraduálnom vzdelávaní v príslušnom odbore ako aj stupni vzdelania. Podľa súčasného stavu zákona ak pedagogický zamestnanec pôsobí na strednej škole a vykoná I. alebo II. atestačnú skúšku z matematiky a následne pôjde učiť na základnú školu mu daná atestácia vykonaná na strednej škole v danom odbore (matematika) neplatí. Pritom má kvalifikačný predpoklad na II. stupeň základnej školy aj na strednú školu. 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BF10FC" w:rsidRPr="00BF10FC" w:rsidRDefault="00BF10FC" w:rsidP="00BF10FC">
      <w:pPr>
        <w:pStyle w:val="Zarkazkladnhotextu"/>
        <w:ind w:left="360" w:right="23"/>
        <w:jc w:val="both"/>
        <w:rPr>
          <w:sz w:val="23"/>
          <w:szCs w:val="23"/>
        </w:rPr>
      </w:pPr>
      <w:r w:rsidRPr="00BF10FC">
        <w:rPr>
          <w:sz w:val="23"/>
          <w:szCs w:val="23"/>
        </w:rPr>
        <w:t xml:space="preserve">„14. V § 49 odsek 7 znie: </w:t>
      </w:r>
    </w:p>
    <w:p w:rsidR="00BF10FC" w:rsidRPr="00BF10FC" w:rsidRDefault="00BF10FC" w:rsidP="00BF10FC">
      <w:pPr>
        <w:pStyle w:val="Zarkazkladnhotextu"/>
        <w:ind w:left="360" w:right="23"/>
        <w:jc w:val="both"/>
        <w:rPr>
          <w:sz w:val="23"/>
          <w:szCs w:val="23"/>
        </w:rPr>
      </w:pPr>
      <w:r w:rsidRPr="00BF10FC">
        <w:rPr>
          <w:sz w:val="23"/>
          <w:szCs w:val="23"/>
        </w:rPr>
        <w:t xml:space="preserve">„(7) Vykonaná atestácia platí len pre príslušnú kategóriu alebo podkategóriu a pre príslušný stupeň a odbor vzdelania pedagogického zamestnanca, v ktorom atestáciu vykonal. Vykonaná atestácia platí len pre príslušnú kategóriu a príslušný odbor vzdelania odborného zamestnanca, v ktorom atestáciu vykonal. Atestácia vykonaná v niektorej z podkategórií </w:t>
      </w:r>
      <w:r w:rsidRPr="00BF10FC">
        <w:rPr>
          <w:sz w:val="23"/>
          <w:szCs w:val="23"/>
        </w:rPr>
        <w:lastRenderedPageBreak/>
        <w:t xml:space="preserve">učiteľa podľa § 13 sa uznáva ku každej podkategórii učiteľa, pre výkon ktorej učiteľ spĺňa kvalifikačné predpoklady.“ </w:t>
      </w:r>
    </w:p>
    <w:p w:rsidR="00BF10FC" w:rsidRPr="00BF10FC" w:rsidRDefault="00BF10FC" w:rsidP="00552E65">
      <w:pPr>
        <w:pStyle w:val="Zarkazkladnhotextu"/>
        <w:ind w:left="360" w:right="23"/>
        <w:jc w:val="both"/>
        <w:rPr>
          <w:sz w:val="23"/>
          <w:szCs w:val="23"/>
        </w:rPr>
      </w:pPr>
      <w:r w:rsidRPr="00BF10FC">
        <w:rPr>
          <w:sz w:val="23"/>
          <w:szCs w:val="23"/>
        </w:rPr>
        <w:t xml:space="preserve">Odôvodnenie: Navrhovaná zmena zohľadňuje v plnom rozsahu dosiahnutú kvalifikáciu pedagogického zamestnanca v pregraduálnom vzdelávaní v príslušnom odbore ako aj stupni vzdelania. Podľa súčasného stavu zákona ak pedagogický zamestnanec pôsobí na strednej škole a vykoná I. alebo II. atestačnú skúšku z matematiky a následne pôjde učiť na základnú školu mu daná atestácia vykonaná na strednej škole v danom odbore (matematika) neplatí. Pritom má kvalifikačný predpoklad na II. stupeň základnej školy aj na strednú školu. 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BF10FC" w:rsidRPr="00BF10FC" w:rsidRDefault="00BF10FC" w:rsidP="00BF10FC">
      <w:pPr>
        <w:pStyle w:val="Zarkazkladnhotextu"/>
        <w:ind w:left="360" w:right="23"/>
        <w:jc w:val="both"/>
        <w:rPr>
          <w:sz w:val="23"/>
          <w:szCs w:val="23"/>
        </w:rPr>
      </w:pPr>
      <w:r w:rsidRPr="00BF10FC">
        <w:rPr>
          <w:sz w:val="23"/>
          <w:szCs w:val="23"/>
        </w:rPr>
        <w:t xml:space="preserve">„15. V § 54 navrhujeme doplniť písmeno c, ktoré znie: </w:t>
      </w:r>
    </w:p>
    <w:p w:rsidR="00BF10FC" w:rsidRPr="00BF10FC" w:rsidRDefault="00BF10FC" w:rsidP="00BF10FC">
      <w:pPr>
        <w:pStyle w:val="Zarkazkladnhotextu"/>
        <w:ind w:left="360" w:right="23"/>
        <w:jc w:val="both"/>
        <w:rPr>
          <w:sz w:val="23"/>
          <w:szCs w:val="23"/>
        </w:rPr>
      </w:pPr>
      <w:r w:rsidRPr="00BF10FC">
        <w:rPr>
          <w:sz w:val="23"/>
          <w:szCs w:val="23"/>
        </w:rPr>
        <w:t xml:space="preserve">„c) účastníkom funkčného a aktualizačného funkčného vzdelávania v rozsahu akreditovaného programu vzdelávania.“ </w:t>
      </w:r>
    </w:p>
    <w:p w:rsidR="00BF10FC" w:rsidRPr="00BF10FC" w:rsidRDefault="00BF10FC" w:rsidP="00552E65">
      <w:pPr>
        <w:pStyle w:val="Zarkazkladnhotextu"/>
        <w:ind w:left="360" w:right="23"/>
        <w:jc w:val="both"/>
        <w:rPr>
          <w:sz w:val="23"/>
          <w:szCs w:val="23"/>
        </w:rPr>
      </w:pPr>
      <w:r w:rsidRPr="00BF10FC">
        <w:rPr>
          <w:sz w:val="23"/>
          <w:szCs w:val="23"/>
        </w:rPr>
        <w:t xml:space="preserve">Odôvodnenie: Povinnosťou vedúceho pedagogického zamestnanca ako aj vedúceho odborného zamestnanca je spĺňať podmienky kvalifikačného predpokladu a kvalifikačnej požiadavky na riadiacu funkciu. Rozsah 5 dní v prípade takéhoto vzdelávania (200) hodín je nepostačujúci. </w:t>
      </w:r>
    </w:p>
    <w:p w:rsidR="00BF10FC" w:rsidRPr="00BF10FC" w:rsidRDefault="00BF10FC" w:rsidP="00BF10FC">
      <w:pPr>
        <w:pStyle w:val="Zarkazkladnhotextu"/>
        <w:ind w:left="360" w:right="23"/>
        <w:jc w:val="both"/>
        <w:rPr>
          <w:sz w:val="23"/>
          <w:szCs w:val="23"/>
        </w:rPr>
      </w:pPr>
      <w:r w:rsidRPr="00BF10FC">
        <w:rPr>
          <w:sz w:val="23"/>
          <w:szCs w:val="23"/>
        </w:rPr>
        <w:t xml:space="preserve">„16. Za § 61c sa vkladá § 61d, ktorý vrátane nadpisu znie: „ § 61d Prechodné ustanovenia k úpravám účinným od 1. septembra 2015. Pri uznávaní atestácií vykonaných a uznaných do 31. augusta 2015 sa postupuje podľa § 49 ods. 7.“. </w:t>
      </w:r>
    </w:p>
    <w:p w:rsidR="00BF10FC" w:rsidRPr="00BF10FC" w:rsidRDefault="00BF10FC" w:rsidP="00BF10FC">
      <w:pPr>
        <w:pStyle w:val="Zarkazkladnhotextu"/>
        <w:ind w:left="360" w:right="23"/>
        <w:jc w:val="both"/>
        <w:rPr>
          <w:sz w:val="23"/>
          <w:szCs w:val="23"/>
        </w:rPr>
      </w:pPr>
      <w:r w:rsidRPr="00BF10FC">
        <w:rPr>
          <w:sz w:val="23"/>
          <w:szCs w:val="23"/>
        </w:rPr>
        <w:t xml:space="preserve">Odôvodnenie: Navrhovaná zmena zohľadňuje v plnom rozsahu dosiahnutú kvalifikáciu pedagogického zamestnanca v pregraduálnom vzdelávaní v príslušnom odbore ako aj stupni vzdelania. Podľa súčasného stavu zákona ak pedagogický zamestnanec pôsobí na strednej škole a vykoná I. alebo II. atestačnú skúšku z matematiky a následne pôjde učiť na základnú školu mu daná atestácia vykonaná na strednej škole v danom odbore (matematika) neplatí. Pritom má kvalifikačný predpoklad na II. stupeň základnej školy aj na strednú školu. Kvalifikačný predpoklad v získanom stupni vzdelania a v príslušnom odbore vzdelania dáva možnosť pedagogickému zamestnancovi pôsobiť na školách v rozsahu predprimárneho a primárneho vzdelávania resp. v druhom prípade druhého stupňa základnej školy a strednej školy. </w:t>
      </w:r>
    </w:p>
    <w:p w:rsidR="00BF10FC" w:rsidRPr="00BF10FC" w:rsidRDefault="00BF10FC" w:rsidP="00BF10FC">
      <w:pPr>
        <w:pStyle w:val="Zarkazkladnhotextu"/>
        <w:ind w:left="360" w:right="23"/>
        <w:jc w:val="both"/>
        <w:rPr>
          <w:sz w:val="23"/>
          <w:szCs w:val="23"/>
        </w:rPr>
      </w:pPr>
      <w:r w:rsidRPr="00BF10FC">
        <w:rPr>
          <w:sz w:val="23"/>
          <w:szCs w:val="23"/>
        </w:rPr>
        <w:t xml:space="preserve">Príklad: Ukončené kvalifikácie typu učiteľstvo všeobecnovzdelávacích predmetov oprávňuje vyučovať daný predmet príslušného odboru vzdelania aj na základnej aj na strednej škole. </w:t>
      </w:r>
    </w:p>
    <w:p w:rsidR="00570D43" w:rsidRPr="00BF10FC" w:rsidRDefault="00570D43" w:rsidP="001A75BA">
      <w:pPr>
        <w:pStyle w:val="Zarkazkladnhotextu"/>
        <w:ind w:left="357" w:right="23"/>
        <w:jc w:val="both"/>
        <w:rPr>
          <w:sz w:val="23"/>
          <w:szCs w:val="23"/>
        </w:rPr>
      </w:pPr>
      <w:r w:rsidRPr="00BF10FC">
        <w:rPr>
          <w:b/>
          <w:sz w:val="23"/>
          <w:szCs w:val="23"/>
          <w:u w:val="single"/>
        </w:rPr>
        <w:t>Záver</w:t>
      </w:r>
      <w:r w:rsidRPr="00BF10FC">
        <w:rPr>
          <w:sz w:val="23"/>
          <w:szCs w:val="23"/>
        </w:rPr>
        <w:t>:</w:t>
      </w:r>
      <w:r w:rsidRPr="00BF10FC">
        <w:rPr>
          <w:sz w:val="23"/>
          <w:szCs w:val="23"/>
        </w:rPr>
        <w:tab/>
      </w:r>
    </w:p>
    <w:p w:rsidR="00974D0C" w:rsidRPr="00BF10FC" w:rsidRDefault="00974D0C" w:rsidP="00552E65">
      <w:pPr>
        <w:pStyle w:val="Zarkazkladnhotextu"/>
        <w:tabs>
          <w:tab w:val="left" w:pos="360"/>
        </w:tabs>
        <w:spacing w:after="0"/>
        <w:ind w:left="717" w:right="23"/>
        <w:jc w:val="both"/>
        <w:rPr>
          <w:sz w:val="23"/>
          <w:szCs w:val="23"/>
        </w:rPr>
      </w:pPr>
      <w:r w:rsidRPr="00BF10FC">
        <w:rPr>
          <w:sz w:val="23"/>
          <w:szCs w:val="23"/>
        </w:rPr>
        <w:t>Pripomienka čiastočne akceptovaná</w:t>
      </w:r>
      <w:r w:rsidR="00552E65">
        <w:rPr>
          <w:sz w:val="23"/>
          <w:szCs w:val="23"/>
        </w:rPr>
        <w:t>.</w:t>
      </w:r>
    </w:p>
    <w:p w:rsidR="00570D43" w:rsidRPr="00BF10FC" w:rsidRDefault="00570D43" w:rsidP="00570D43">
      <w:pPr>
        <w:pStyle w:val="Zarkazkladnhotextu"/>
        <w:tabs>
          <w:tab w:val="left" w:pos="360"/>
        </w:tabs>
        <w:spacing w:after="0"/>
        <w:ind w:left="357" w:right="23"/>
        <w:jc w:val="both"/>
        <w:rPr>
          <w:sz w:val="23"/>
          <w:szCs w:val="23"/>
        </w:rPr>
      </w:pPr>
    </w:p>
    <w:p w:rsidR="00570D43" w:rsidRPr="00BF10FC" w:rsidRDefault="00570D43" w:rsidP="00974D0C">
      <w:pPr>
        <w:pStyle w:val="Zarkazkladnhotextu"/>
        <w:ind w:left="0" w:right="23" w:firstLine="283"/>
        <w:jc w:val="both"/>
        <w:rPr>
          <w:sz w:val="23"/>
          <w:szCs w:val="23"/>
        </w:rPr>
      </w:pPr>
      <w:r w:rsidRPr="00BF10FC">
        <w:rPr>
          <w:sz w:val="23"/>
          <w:szCs w:val="23"/>
        </w:rPr>
        <w:t xml:space="preserve">V Bratislave dňa </w:t>
      </w:r>
      <w:r w:rsidR="00974D0C" w:rsidRPr="00BF10FC">
        <w:rPr>
          <w:sz w:val="23"/>
          <w:szCs w:val="23"/>
        </w:rPr>
        <w:t>7</w:t>
      </w:r>
      <w:r w:rsidRPr="00BF10FC">
        <w:rPr>
          <w:sz w:val="23"/>
          <w:szCs w:val="23"/>
        </w:rPr>
        <w:t xml:space="preserve">. </w:t>
      </w:r>
      <w:r w:rsidR="00974D0C" w:rsidRPr="00BF10FC">
        <w:rPr>
          <w:sz w:val="23"/>
          <w:szCs w:val="23"/>
        </w:rPr>
        <w:t>apríla 2015</w:t>
      </w:r>
    </w:p>
    <w:p w:rsidR="004E3370" w:rsidRPr="00BF10FC" w:rsidRDefault="004E3370" w:rsidP="00EC3A2C">
      <w:pPr>
        <w:pStyle w:val="Zarkazkladnhotextu"/>
        <w:ind w:right="23"/>
        <w:jc w:val="both"/>
        <w:rPr>
          <w:sz w:val="23"/>
          <w:szCs w:val="23"/>
        </w:rPr>
      </w:pPr>
    </w:p>
    <w:p w:rsidR="00570D43" w:rsidRPr="00BF10FC" w:rsidRDefault="00570D43" w:rsidP="00EC3A2C">
      <w:pPr>
        <w:pStyle w:val="Zarkazkladnhotextu"/>
        <w:ind w:right="23"/>
        <w:jc w:val="both"/>
        <w:rPr>
          <w:b/>
          <w:sz w:val="23"/>
          <w:szCs w:val="23"/>
          <w:u w:val="single"/>
        </w:rPr>
      </w:pPr>
      <w:r w:rsidRPr="00BF10FC">
        <w:rPr>
          <w:b/>
          <w:sz w:val="23"/>
          <w:szCs w:val="23"/>
          <w:u w:val="single"/>
        </w:rPr>
        <w:t>Podpísané za:</w:t>
      </w:r>
    </w:p>
    <w:p w:rsidR="00570D43" w:rsidRPr="00BF10FC" w:rsidRDefault="00570D43" w:rsidP="00EC3A2C">
      <w:pPr>
        <w:pStyle w:val="Zarkazkladnhotextu"/>
        <w:ind w:right="23"/>
        <w:jc w:val="both"/>
        <w:rPr>
          <w:sz w:val="23"/>
          <w:szCs w:val="23"/>
        </w:rPr>
      </w:pPr>
    </w:p>
    <w:p w:rsidR="006D688E" w:rsidRPr="00BF10FC" w:rsidRDefault="006D688E" w:rsidP="00E37B4C">
      <w:pPr>
        <w:pStyle w:val="Zarkazkladnhotextu"/>
        <w:tabs>
          <w:tab w:val="left" w:pos="5245"/>
          <w:tab w:val="right" w:leader="dot" w:pos="8789"/>
        </w:tabs>
        <w:spacing w:after="240"/>
        <w:ind w:left="284" w:right="4627"/>
        <w:rPr>
          <w:b/>
          <w:sz w:val="23"/>
          <w:szCs w:val="23"/>
        </w:rPr>
      </w:pPr>
      <w:r w:rsidRPr="00BF10FC">
        <w:rPr>
          <w:b/>
          <w:sz w:val="23"/>
          <w:szCs w:val="23"/>
        </w:rPr>
        <w:t>Ministerstvo školst</w:t>
      </w:r>
      <w:r w:rsidR="00552E65">
        <w:rPr>
          <w:b/>
          <w:sz w:val="23"/>
          <w:szCs w:val="23"/>
        </w:rPr>
        <w:t>va, vedy, výskumu a športu SR:</w:t>
      </w:r>
      <w:r w:rsidR="00552E65">
        <w:rPr>
          <w:b/>
          <w:sz w:val="23"/>
          <w:szCs w:val="23"/>
        </w:rPr>
        <w:tab/>
        <w:t xml:space="preserve">Juraj Draxler, v. r. </w:t>
      </w:r>
    </w:p>
    <w:p w:rsidR="006D688E" w:rsidRPr="00BF10FC" w:rsidRDefault="006D688E" w:rsidP="006D688E">
      <w:pPr>
        <w:pStyle w:val="Zarkazkladnhotextu"/>
        <w:tabs>
          <w:tab w:val="left" w:pos="5245"/>
          <w:tab w:val="right" w:leader="dot" w:pos="8789"/>
        </w:tabs>
        <w:spacing w:after="240"/>
        <w:ind w:left="284" w:right="4627"/>
        <w:rPr>
          <w:sz w:val="23"/>
          <w:szCs w:val="23"/>
        </w:rPr>
      </w:pPr>
    </w:p>
    <w:p w:rsidR="00570D43" w:rsidRPr="00552E65" w:rsidRDefault="00974D0C" w:rsidP="00552E65">
      <w:pPr>
        <w:pStyle w:val="Zarkazkladnhotextu"/>
        <w:tabs>
          <w:tab w:val="left" w:pos="5245"/>
          <w:tab w:val="right" w:leader="dot" w:pos="8789"/>
        </w:tabs>
        <w:spacing w:after="240"/>
        <w:ind w:left="284" w:right="4627"/>
        <w:rPr>
          <w:b/>
          <w:sz w:val="23"/>
          <w:szCs w:val="23"/>
        </w:rPr>
      </w:pPr>
      <w:r w:rsidRPr="00BF10FC">
        <w:rPr>
          <w:b/>
          <w:sz w:val="23"/>
          <w:szCs w:val="23"/>
        </w:rPr>
        <w:t>KOZ</w:t>
      </w:r>
      <w:r w:rsidR="00BF10FC" w:rsidRPr="00BF10FC">
        <w:rPr>
          <w:b/>
          <w:sz w:val="23"/>
          <w:szCs w:val="23"/>
        </w:rPr>
        <w:t xml:space="preserve"> SR</w:t>
      </w:r>
      <w:r w:rsidRPr="00BF10FC">
        <w:rPr>
          <w:b/>
          <w:sz w:val="23"/>
          <w:szCs w:val="23"/>
        </w:rPr>
        <w:t>:</w:t>
      </w:r>
      <w:r w:rsidR="00552E65">
        <w:rPr>
          <w:b/>
          <w:sz w:val="23"/>
          <w:szCs w:val="23"/>
        </w:rPr>
        <w:tab/>
        <w:t xml:space="preserve">Martin Maták, v. </w:t>
      </w:r>
      <w:bookmarkStart w:id="0" w:name="_GoBack"/>
      <w:bookmarkEnd w:id="0"/>
      <w:r w:rsidR="00552E65">
        <w:rPr>
          <w:b/>
          <w:sz w:val="23"/>
          <w:szCs w:val="23"/>
        </w:rPr>
        <w:t>r.</w:t>
      </w:r>
    </w:p>
    <w:sectPr w:rsidR="00570D43" w:rsidRPr="00552E65"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1E" w:rsidRDefault="00552A1E" w:rsidP="00BF10FC">
      <w:r>
        <w:separator/>
      </w:r>
    </w:p>
  </w:endnote>
  <w:endnote w:type="continuationSeparator" w:id="0">
    <w:p w:rsidR="00552A1E" w:rsidRDefault="00552A1E"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552E65">
      <w:rPr>
        <w:noProof/>
      </w:rPr>
      <w:t>4</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1E" w:rsidRDefault="00552A1E" w:rsidP="00BF10FC">
      <w:r>
        <w:separator/>
      </w:r>
    </w:p>
  </w:footnote>
  <w:footnote w:type="continuationSeparator" w:id="0">
    <w:p w:rsidR="00552A1E" w:rsidRDefault="00552A1E"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C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
    <w:nsid w:val="09070CE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0FDE6D67"/>
    <w:multiLevelType w:val="hybridMultilevel"/>
    <w:tmpl w:val="8CD4417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nsid w:val="16637C1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
    <w:nsid w:val="16852C5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
    <w:nsid w:val="189A113D"/>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6">
    <w:nsid w:val="19BC654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
    <w:nsid w:val="1DEA461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
    <w:nsid w:val="1F0361B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9">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71207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1">
    <w:nsid w:val="27FA56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
    <w:nsid w:val="293C256A"/>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3">
    <w:nsid w:val="2BBA30A5"/>
    <w:multiLevelType w:val="hybridMultilevel"/>
    <w:tmpl w:val="EA627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30F3255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5">
    <w:nsid w:val="314C6355"/>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6">
    <w:nsid w:val="33A27985"/>
    <w:multiLevelType w:val="hybridMultilevel"/>
    <w:tmpl w:val="5DBC8548"/>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3689734B"/>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8FF60D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9">
    <w:nsid w:val="3ACD1AC3"/>
    <w:multiLevelType w:val="hybridMultilevel"/>
    <w:tmpl w:val="2E583AEE"/>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0">
    <w:nsid w:val="46BD73E4"/>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1">
    <w:nsid w:val="48C337F0"/>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22">
    <w:nsid w:val="508B24FB"/>
    <w:multiLevelType w:val="hybridMultilevel"/>
    <w:tmpl w:val="EAD213E6"/>
    <w:lvl w:ilvl="0" w:tplc="FFFFFFF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54CE395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4">
    <w:nsid w:val="55475ABC"/>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5">
    <w:nsid w:val="55956DF9"/>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nsid w:val="5CDD66BA"/>
    <w:multiLevelType w:val="multilevel"/>
    <w:tmpl w:val="5ADAC948"/>
    <w:lvl w:ilvl="0">
      <w:start w:val="1"/>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61FC419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8">
    <w:nsid w:val="64FA156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9">
    <w:nsid w:val="65681697"/>
    <w:multiLevelType w:val="hybridMultilevel"/>
    <w:tmpl w:val="3A5E993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2626AC"/>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1">
    <w:nsid w:val="775370FC"/>
    <w:multiLevelType w:val="hybridMultilevel"/>
    <w:tmpl w:val="84369D64"/>
    <w:lvl w:ilvl="0" w:tplc="FC5A9920">
      <w:start w:val="1"/>
      <w:numFmt w:val="bullet"/>
      <w:lvlText w:val=""/>
      <w:lvlJc w:val="left"/>
      <w:pPr>
        <w:tabs>
          <w:tab w:val="num" w:pos="789"/>
        </w:tabs>
        <w:ind w:left="789" w:hanging="360"/>
      </w:pPr>
      <w:rPr>
        <w:rFonts w:ascii="Symbol" w:hAnsi="Symbol" w:hint="default"/>
      </w:rPr>
    </w:lvl>
    <w:lvl w:ilvl="1" w:tplc="041B0003">
      <w:start w:val="1"/>
      <w:numFmt w:val="bullet"/>
      <w:lvlText w:val="o"/>
      <w:lvlJc w:val="left"/>
      <w:pPr>
        <w:tabs>
          <w:tab w:val="num" w:pos="249"/>
        </w:tabs>
        <w:ind w:left="249" w:hanging="360"/>
      </w:pPr>
      <w:rPr>
        <w:rFonts w:ascii="Courier New" w:hAnsi="Courier New" w:cs="Courier New" w:hint="default"/>
      </w:rPr>
    </w:lvl>
    <w:lvl w:ilvl="2" w:tplc="041B0005" w:tentative="1">
      <w:start w:val="1"/>
      <w:numFmt w:val="bullet"/>
      <w:lvlText w:val=""/>
      <w:lvlJc w:val="left"/>
      <w:pPr>
        <w:tabs>
          <w:tab w:val="num" w:pos="969"/>
        </w:tabs>
        <w:ind w:left="969" w:hanging="360"/>
      </w:pPr>
      <w:rPr>
        <w:rFonts w:ascii="Wingdings" w:hAnsi="Wingdings" w:hint="default"/>
      </w:rPr>
    </w:lvl>
    <w:lvl w:ilvl="3" w:tplc="041B0001" w:tentative="1">
      <w:start w:val="1"/>
      <w:numFmt w:val="bullet"/>
      <w:lvlText w:val=""/>
      <w:lvlJc w:val="left"/>
      <w:pPr>
        <w:tabs>
          <w:tab w:val="num" w:pos="1689"/>
        </w:tabs>
        <w:ind w:left="1689" w:hanging="360"/>
      </w:pPr>
      <w:rPr>
        <w:rFonts w:ascii="Symbol" w:hAnsi="Symbol" w:hint="default"/>
      </w:rPr>
    </w:lvl>
    <w:lvl w:ilvl="4" w:tplc="041B0003" w:tentative="1">
      <w:start w:val="1"/>
      <w:numFmt w:val="bullet"/>
      <w:lvlText w:val="o"/>
      <w:lvlJc w:val="left"/>
      <w:pPr>
        <w:tabs>
          <w:tab w:val="num" w:pos="2409"/>
        </w:tabs>
        <w:ind w:left="2409" w:hanging="360"/>
      </w:pPr>
      <w:rPr>
        <w:rFonts w:ascii="Courier New" w:hAnsi="Courier New" w:cs="Courier New" w:hint="default"/>
      </w:rPr>
    </w:lvl>
    <w:lvl w:ilvl="5" w:tplc="041B0005" w:tentative="1">
      <w:start w:val="1"/>
      <w:numFmt w:val="bullet"/>
      <w:lvlText w:val=""/>
      <w:lvlJc w:val="left"/>
      <w:pPr>
        <w:tabs>
          <w:tab w:val="num" w:pos="3129"/>
        </w:tabs>
        <w:ind w:left="3129" w:hanging="360"/>
      </w:pPr>
      <w:rPr>
        <w:rFonts w:ascii="Wingdings" w:hAnsi="Wingdings" w:hint="default"/>
      </w:rPr>
    </w:lvl>
    <w:lvl w:ilvl="6" w:tplc="041B0001" w:tentative="1">
      <w:start w:val="1"/>
      <w:numFmt w:val="bullet"/>
      <w:lvlText w:val=""/>
      <w:lvlJc w:val="left"/>
      <w:pPr>
        <w:tabs>
          <w:tab w:val="num" w:pos="3849"/>
        </w:tabs>
        <w:ind w:left="3849" w:hanging="360"/>
      </w:pPr>
      <w:rPr>
        <w:rFonts w:ascii="Symbol" w:hAnsi="Symbol" w:hint="default"/>
      </w:rPr>
    </w:lvl>
    <w:lvl w:ilvl="7" w:tplc="041B0003" w:tentative="1">
      <w:start w:val="1"/>
      <w:numFmt w:val="bullet"/>
      <w:lvlText w:val="o"/>
      <w:lvlJc w:val="left"/>
      <w:pPr>
        <w:tabs>
          <w:tab w:val="num" w:pos="4569"/>
        </w:tabs>
        <w:ind w:left="4569" w:hanging="360"/>
      </w:pPr>
      <w:rPr>
        <w:rFonts w:ascii="Courier New" w:hAnsi="Courier New" w:cs="Courier New" w:hint="default"/>
      </w:rPr>
    </w:lvl>
    <w:lvl w:ilvl="8" w:tplc="041B0005" w:tentative="1">
      <w:start w:val="1"/>
      <w:numFmt w:val="bullet"/>
      <w:lvlText w:val=""/>
      <w:lvlJc w:val="left"/>
      <w:pPr>
        <w:tabs>
          <w:tab w:val="num" w:pos="5289"/>
        </w:tabs>
        <w:ind w:left="5289" w:hanging="360"/>
      </w:pPr>
      <w:rPr>
        <w:rFonts w:ascii="Wingdings" w:hAnsi="Wingdings" w:hint="default"/>
      </w:rPr>
    </w:lvl>
  </w:abstractNum>
  <w:abstractNum w:abstractNumId="32">
    <w:nsid w:val="7A9613F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3">
    <w:nsid w:val="7D696C51"/>
    <w:multiLevelType w:val="hybridMultilevel"/>
    <w:tmpl w:val="5ADAC94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num w:numId="1">
    <w:abstractNumId w:val="9"/>
  </w:num>
  <w:num w:numId="2">
    <w:abstractNumId w:val="29"/>
  </w:num>
  <w:num w:numId="3">
    <w:abstractNumId w:val="31"/>
  </w:num>
  <w:num w:numId="4">
    <w:abstractNumId w:val="33"/>
  </w:num>
  <w:num w:numId="5">
    <w:abstractNumId w:val="26"/>
  </w:num>
  <w:num w:numId="6">
    <w:abstractNumId w:val="21"/>
  </w:num>
  <w:num w:numId="7">
    <w:abstractNumId w:val="22"/>
  </w:num>
  <w:num w:numId="8">
    <w:abstractNumId w:val="7"/>
  </w:num>
  <w:num w:numId="9">
    <w:abstractNumId w:val="13"/>
  </w:num>
  <w:num w:numId="10">
    <w:abstractNumId w:val="16"/>
  </w:num>
  <w:num w:numId="11">
    <w:abstractNumId w:val="24"/>
  </w:num>
  <w:num w:numId="12">
    <w:abstractNumId w:val="5"/>
  </w:num>
  <w:num w:numId="13">
    <w:abstractNumId w:val="0"/>
  </w:num>
  <w:num w:numId="14">
    <w:abstractNumId w:val="18"/>
  </w:num>
  <w:num w:numId="15">
    <w:abstractNumId w:val="19"/>
  </w:num>
  <w:num w:numId="16">
    <w:abstractNumId w:val="10"/>
  </w:num>
  <w:num w:numId="17">
    <w:abstractNumId w:val="2"/>
  </w:num>
  <w:num w:numId="18">
    <w:abstractNumId w:val="28"/>
  </w:num>
  <w:num w:numId="19">
    <w:abstractNumId w:val="23"/>
  </w:num>
  <w:num w:numId="20">
    <w:abstractNumId w:val="8"/>
  </w:num>
  <w:num w:numId="21">
    <w:abstractNumId w:val="17"/>
  </w:num>
  <w:num w:numId="22">
    <w:abstractNumId w:val="3"/>
  </w:num>
  <w:num w:numId="23">
    <w:abstractNumId w:val="27"/>
  </w:num>
  <w:num w:numId="24">
    <w:abstractNumId w:val="30"/>
  </w:num>
  <w:num w:numId="25">
    <w:abstractNumId w:val="11"/>
  </w:num>
  <w:num w:numId="26">
    <w:abstractNumId w:val="12"/>
  </w:num>
  <w:num w:numId="27">
    <w:abstractNumId w:val="25"/>
  </w:num>
  <w:num w:numId="28">
    <w:abstractNumId w:val="32"/>
  </w:num>
  <w:num w:numId="29">
    <w:abstractNumId w:val="15"/>
  </w:num>
  <w:num w:numId="30">
    <w:abstractNumId w:val="14"/>
  </w:num>
  <w:num w:numId="31">
    <w:abstractNumId w:val="4"/>
  </w:num>
  <w:num w:numId="32">
    <w:abstractNumId w:val="20"/>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3"/>
    <w:rsid w:val="00047EE0"/>
    <w:rsid w:val="001A75BA"/>
    <w:rsid w:val="003564E9"/>
    <w:rsid w:val="00431C2B"/>
    <w:rsid w:val="00460AED"/>
    <w:rsid w:val="004E3370"/>
    <w:rsid w:val="004F21DB"/>
    <w:rsid w:val="00552A1E"/>
    <w:rsid w:val="00552E65"/>
    <w:rsid w:val="00570D43"/>
    <w:rsid w:val="005B6137"/>
    <w:rsid w:val="00615BE0"/>
    <w:rsid w:val="00626B5C"/>
    <w:rsid w:val="006D688E"/>
    <w:rsid w:val="007A07A5"/>
    <w:rsid w:val="00800BBC"/>
    <w:rsid w:val="00812D45"/>
    <w:rsid w:val="0081330D"/>
    <w:rsid w:val="00843C31"/>
    <w:rsid w:val="008731EE"/>
    <w:rsid w:val="008D6ABD"/>
    <w:rsid w:val="0093148C"/>
    <w:rsid w:val="00970146"/>
    <w:rsid w:val="00974D0C"/>
    <w:rsid w:val="009D6E05"/>
    <w:rsid w:val="009D76D6"/>
    <w:rsid w:val="00B03EB0"/>
    <w:rsid w:val="00B05CF3"/>
    <w:rsid w:val="00B40F5F"/>
    <w:rsid w:val="00BF10FC"/>
    <w:rsid w:val="00CD5D1A"/>
    <w:rsid w:val="00D86F34"/>
    <w:rsid w:val="00DA6A02"/>
    <w:rsid w:val="00DF7041"/>
    <w:rsid w:val="00E37B4C"/>
    <w:rsid w:val="00EC3A2C"/>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1484</Words>
  <Characters>8465</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7</cp:revision>
  <cp:lastPrinted>2015-04-03T08:47:00Z</cp:lastPrinted>
  <dcterms:created xsi:type="dcterms:W3CDTF">2015-04-03T08:39:00Z</dcterms:created>
  <dcterms:modified xsi:type="dcterms:W3CDTF">2015-04-08T14:13:00Z</dcterms:modified>
</cp:coreProperties>
</file>