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7" w:rsidRPr="00FB48ED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FB48ED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FB48ED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FB48ED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  <w:r w:rsidRPr="00FB48ED">
        <w:rPr>
          <w:b w:val="0"/>
          <w:bCs w:val="0"/>
          <w:color w:val="000000"/>
          <w:sz w:val="24"/>
          <w:szCs w:val="24"/>
        </w:rPr>
        <w:t xml:space="preserve">K </w:t>
      </w:r>
      <w:r w:rsidR="00284796" w:rsidRPr="00FB48ED">
        <w:rPr>
          <w:b w:val="0"/>
          <w:bCs w:val="0"/>
          <w:color w:val="000000"/>
          <w:sz w:val="24"/>
          <w:szCs w:val="24"/>
        </w:rPr>
        <w:t xml:space="preserve">návrhu zákona, ktorým sa mení a dopĺňa zákon č. 595/2003 Z. z. o dani z príjmov v znení neskorších predpisov a ktorým sa menia a dopĺňajú niektoré zákony </w:t>
      </w:r>
      <w:r w:rsidRPr="00FB48ED">
        <w:rPr>
          <w:b w:val="0"/>
          <w:bCs w:val="0"/>
          <w:color w:val="000000"/>
          <w:sz w:val="24"/>
          <w:szCs w:val="24"/>
        </w:rPr>
        <w:t xml:space="preserve">boli predložené viaceré </w:t>
      </w:r>
      <w:r w:rsidRPr="00FB48ED">
        <w:rPr>
          <w:bCs w:val="0"/>
          <w:color w:val="000000"/>
          <w:sz w:val="24"/>
          <w:szCs w:val="24"/>
        </w:rPr>
        <w:t>zásadné</w:t>
      </w:r>
      <w:r w:rsidRPr="00FB48ED">
        <w:rPr>
          <w:b w:val="0"/>
          <w:bCs w:val="0"/>
          <w:color w:val="000000"/>
          <w:sz w:val="24"/>
          <w:szCs w:val="24"/>
        </w:rPr>
        <w:t xml:space="preserve"> </w:t>
      </w:r>
      <w:r w:rsidRPr="00FB48ED">
        <w:rPr>
          <w:bCs w:val="0"/>
          <w:color w:val="000000"/>
          <w:sz w:val="24"/>
          <w:szCs w:val="24"/>
        </w:rPr>
        <w:t xml:space="preserve">pripomienky </w:t>
      </w:r>
      <w:r w:rsidRPr="00FB48ED">
        <w:rPr>
          <w:b w:val="0"/>
          <w:bCs w:val="0"/>
          <w:color w:val="000000"/>
          <w:sz w:val="24"/>
          <w:szCs w:val="24"/>
        </w:rPr>
        <w:t>v rámci medzirezortného pripomienkového konania. V rámci rozporového konania k zásadným pripomienkam sa nepodarilo odstrániť rozpory v nasledujúcich oblastiach:</w:t>
      </w:r>
    </w:p>
    <w:p w:rsidR="00492543" w:rsidRPr="00FB48ED" w:rsidRDefault="00492543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189"/>
        <w:gridCol w:w="6821"/>
        <w:gridCol w:w="907"/>
        <w:gridCol w:w="4510"/>
      </w:tblGrid>
      <w:tr w:rsidR="000279D2" w:rsidRPr="00FB48ED" w:rsidTr="007F5918">
        <w:tc>
          <w:tcPr>
            <w:tcW w:w="323" w:type="pct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Por. č. </w:t>
            </w:r>
          </w:p>
        </w:tc>
        <w:tc>
          <w:tcPr>
            <w:tcW w:w="414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Subjekt</w:t>
            </w:r>
          </w:p>
        </w:tc>
        <w:tc>
          <w:tcPr>
            <w:tcW w:w="2376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Pripomienka</w:t>
            </w:r>
          </w:p>
        </w:tc>
        <w:tc>
          <w:tcPr>
            <w:tcW w:w="316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Typ</w:t>
            </w:r>
          </w:p>
        </w:tc>
        <w:tc>
          <w:tcPr>
            <w:tcW w:w="1571" w:type="pct"/>
          </w:tcPr>
          <w:p w:rsidR="000279D2" w:rsidRPr="00FB48ED" w:rsidRDefault="008A53FC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Stanovisko Ministerstva financií</w:t>
            </w:r>
            <w:r w:rsidR="000279D2"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SR</w:t>
            </w:r>
          </w:p>
        </w:tc>
      </w:tr>
      <w:tr w:rsidR="005F0096" w:rsidRPr="00FB48ED" w:rsidTr="00E928BA">
        <w:tc>
          <w:tcPr>
            <w:tcW w:w="323" w:type="pct"/>
            <w:shd w:val="clear" w:color="auto" w:fill="BFBFBF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4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376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Zásadné pripomienky k čl. I.</w:t>
            </w:r>
          </w:p>
        </w:tc>
        <w:tc>
          <w:tcPr>
            <w:tcW w:w="316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71" w:type="pct"/>
            <w:shd w:val="clear" w:color="auto" w:fill="BFBFBF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7F5918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" w:type="pct"/>
          </w:tcPr>
          <w:p w:rsidR="007C5B46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2E5D7A" w:rsidRPr="002E5D7A" w:rsidRDefault="002E5D7A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</w:t>
            </w:r>
            <w:r w:rsidRPr="002E5D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presnenie nepeňažného plnenia.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0A0A20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0A0A2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nad rámec novely zákona spresniť nepeňažné plnenie tak, aby za </w:t>
            </w:r>
            <w:r w:rsidR="000A0A2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príjem zo závislej činnosti sa</w:t>
            </w:r>
            <w:r w:rsidR="000A0A2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považovalo</w:t>
            </w:r>
            <w:r w:rsidR="000A0A2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aj navýšenie nepeňažného plnenia a suma sa vypočíta podľa prílohy č. 6 zákona o dani z príjmov. Podstata navýšenia spočíva v tom, že dôjde k navýšeniu príjmu o výšku odvodov a dane z príjmu zo závislej činnosti a v plnej výške ju uhradí zamestnávateľ.</w:t>
            </w:r>
          </w:p>
          <w:p w:rsidR="00184F62" w:rsidRPr="00FB48ED" w:rsidRDefault="00184F6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6" w:type="pct"/>
            <w:vAlign w:val="center"/>
          </w:tcPr>
          <w:p w:rsidR="000279D2" w:rsidRPr="00FB48ED" w:rsidRDefault="007D14F5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084333" w:rsidRDefault="008A5B11" w:rsidP="00FA37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Ministerstvo financií SR nepovažuje uvedenú úpravu podľa § 5 ods.3 písm. d) za potrebnú, nakoľko sa zamestnávateľ sám môže rozhodnúť o akú sumu preddavku na daň a poistného navýši nepeňažné plnenie</w:t>
            </w:r>
            <w:r w:rsidR="00B247B9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Výpočet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nepeňažné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ho plnenia podľa prílohy č. 6 ZDP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má odporúčací charakter. K problematike sa v súčasnosti pripravuje metodický pokyn.</w:t>
            </w:r>
            <w:r w:rsidR="001B619E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0279D2" w:rsidRPr="00FB48ED" w:rsidRDefault="001B619E" w:rsidP="00FA37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" w:type="pct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Zavedenie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daňových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zvýhodnen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životné poistenie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D155A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návrh novely aj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 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zvýhodnenia týkajúce sa  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dlhodobé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investičné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životné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poisteni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RÚZ tak z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ásadne rozporuje zavedenie konkurenčnej výhody iba v prospech tých subjektov, ktorými sú poskytovatelia finančných služieb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dlhodobého investičného sporenia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oproti napr. poisťovniam.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Pri investovaní fyzických osôb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do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investičného životného poistenia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tak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bude 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dochádza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ť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 tomu, že výnosy z cenných papierov investovaných prostredníctvom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investičného životného poistenia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budú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zdaňované, pričom výnosy tých istých cenných papierov pri investovaní priamo na kapitálovom trhu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budú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od dane oslobodené.</w:t>
            </w:r>
          </w:p>
          <w:p w:rsidR="000279D2" w:rsidRPr="00FB48ED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FB48ED" w:rsidRPr="00FB48ED" w:rsidRDefault="00C23329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Ministerstvo financií SR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považuje n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avrhovan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ú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daňov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ú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úľav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u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 životné poistenie nad rámec novely, ktorá v súlade s úlohou C.10 z uznesenia vlády SR  č.191/2014 z 23. 4. 2014  ku Koncepcii rozvoja kapitálového trhu má za cieľ podporiť investovanie na kapitálovom trhu. </w:t>
            </w:r>
          </w:p>
          <w:p w:rsidR="000279D2" w:rsidRPr="00FB48ED" w:rsidRDefault="00FB48ED" w:rsidP="005A193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Životné poistenie spojené s investičnými fondm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sú štruktúrovanými produktmi, ktorých podpora priamo nesúvisí s plnením úloh z Koncepcie rozvoja  kapitálového trhu. Okrem toho návrh nepočíta ani s osobitnými daňovými úľavami pre produkty kolektívneho investovania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 bolo by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nesystémové zaviesť túto podporu pre sektor poisťovníctva využívajúci ako poklad   substitučného štruktúrovaného produktu práve investičné fondy. Životné poistenie je zo svojej podstaty dlhodobý finančný produkt, dokonca v časovom horizonte presahujúcom navrhovaných 15 rokov. </w:t>
            </w:r>
            <w:r w:rsidR="001B619E"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1B619E">
        <w:trPr>
          <w:trHeight w:val="70"/>
        </w:trPr>
        <w:tc>
          <w:tcPr>
            <w:tcW w:w="323" w:type="pct"/>
          </w:tcPr>
          <w:p w:rsidR="000279D2" w:rsidRPr="00FB48ED" w:rsidRDefault="007C5B4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" w:type="pct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Zavedenie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daňových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zvýhodnen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životné poistenie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7C5B46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C2332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nezdaniteľnú časť základu dane aj o 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príspevky na životné poistenie, zaplaten</w:t>
            </w:r>
            <w:r w:rsidR="00C23329">
              <w:rPr>
                <w:rFonts w:ascii="Times New Roman" w:hAnsi="Times New Roman"/>
                <w:sz w:val="24"/>
                <w:szCs w:val="24"/>
                <w:lang w:val="sk-SK"/>
              </w:rPr>
              <w:t>é v danom zdaňovacom období, pričom n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 uplatnenie nezdaniteľnej časti základu dane nesmie byť takáto poistná zmluva zrušená pred dovŕšením 60. roku života poisteného, a dĺžka jej trvania nesmie byť kratšia než 10 rokov. V prípade porušenia ustanovení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by bol 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daňovník povinný dodatočne zaplatiť daň vo výške rozdielu medzi výškou dane, ktorá by bola zaplatená za všetky zdaňovacie obdobia za predpokladu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>porušenia týchto podmienok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, a výškou skutočne zaplatenej dane za toto obdobie.</w:t>
            </w:r>
          </w:p>
        </w:tc>
        <w:tc>
          <w:tcPr>
            <w:tcW w:w="316" w:type="pct"/>
            <w:vAlign w:val="center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Navrhovaná daňová úľava pre životné poistenie je nad rámec novely, ktorá v súlade s úlohou C.10 z uznesenia vlády SR  č.191/2014 z 23. 4. 2014  ku Koncepcii rozvoja kapitálového trhu má za cieľ podporiť investovanie na kapitálovom trhu. </w:t>
            </w:r>
          </w:p>
          <w:p w:rsid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Životné poistenie spojené s investičnými fondm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sú štruktúrovanými produktmi, ktorých podpora priamo nesúvisí s plnením úloh z Koncepcie rozvoja  kapitálového trhu. Okrem toho návrh nepočíta ani s osobitnými daňovými úľavami pre produkty kolektívneho investovania a bolo by nesystémové zaviesť túto podporu pre sektor poisťovníctva využívajúci ako poklad   substitučného štruktúrovaného produktu práve investičné fondy. Životné poistenie je zo svojej podstaty dlhodobý finančný produkt, dokonca v časovom horizonte presahujúcom navrhovaných 15 rokov.</w:t>
            </w:r>
          </w:p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Okrem toho navrhovaná daňová úľava pre životné poistenie by bola duplicitná, teda tak na vstupe pri založení poistenia ako pri výstupe po ukončení poistenia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čo by bolo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neštandardné pokiaľ ide o roz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sah daňovej úľavy aj v porovnaní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 navrhovaným dlhodobým investičným sporením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kde sa daňová úľava uplatňuje až pri výstupe.  </w:t>
            </w:r>
          </w:p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V zásade pokladáme model daňovej úľavy pri výstupe za viac motivujúci pre klienta, pokiaľ ide o posilnenie motivácie k dlhodobému sporeniu. Model daňovej úľavy na vstupe môže byť zneužitý aj  marketingovú motiváciou pre predaj daného produktu a v konečnom dôsledku vie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sť tzv. misselingu.</w:t>
            </w:r>
          </w:p>
          <w:p w:rsidR="00084333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Pripomienka je nekonzistentná s odôvodnením k bodu 1, nakoľko zavádza daňovú úľavu len pre životné poistenie, teda by išlo o konkurenčnú výhodu oproti iným finančným produktom.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0279D2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6E76F7">
        <w:tc>
          <w:tcPr>
            <w:tcW w:w="323" w:type="pct"/>
          </w:tcPr>
          <w:p w:rsidR="000279D2" w:rsidRPr="00FB48ED" w:rsidRDefault="007C5B4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" w:type="pct"/>
          </w:tcPr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Rozšírenie odpisu pohľadávky a tvorby opravnej položk</w:t>
            </w:r>
            <w:r w:rsidR="002527E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y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lízingové spoločnosti.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2EC7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odpis pohľadávky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subjekt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mi podľa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zákona o spotrebiteľských úveroch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 lízingovými spoločnosťami, pričom pri týchto subjektoch nemusí byť splnená podmienka jej predošlého zahrnutia do zdaniteľných príjmov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ďalej navrhuje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aj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>tvorbu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opravných položiek vytváraných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týmito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subjektmi k pohľadávke, pri ktorej je riziko, že ju dlžník úplne alebo čiastočne nezaplatí, za podmienok ustanovených v odsekoch 10 alebo 14, pričom nemusí byť splnená podmienka jej predošlého zahrnutia do zdaniteľných príjmov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2527E4" w:rsidRDefault="00D42EC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42EC7">
              <w:rPr>
                <w:rFonts w:ascii="Times New Roman" w:hAnsi="Times New Roman"/>
                <w:sz w:val="24"/>
                <w:szCs w:val="24"/>
                <w:lang w:val="sk-SK"/>
              </w:rPr>
              <w:t>Ministerstvo financií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SR uvádza, že v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ýnimka v § 19 ods. 2 písm. h) zákon o dani z príjmov umožňuje považovať za daňový výdavok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aj odpis pohľadávky, ktorá nebola zahrnutá do zdaniteľných príjmov, a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to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2527E4" w:rsidRPr="002527E4" w:rsidRDefault="006E76F7" w:rsidP="002527E4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odpis istiny z nesplatenej pôžičky len u vybraných subjektov, t. j. u bánk a u daňovníkov, ktorí vykonávajú obchodnú činnosť spočívajúcu v poskytovaní spotrebiteľských úverov.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Ide o subjekty, na ktorých činnosť vo forme poskytovania úverov je potrebné povolenie Národnej banky Slovenska.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Rovnako ako u bežného daňovníka, ktorý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poskytne pôžičku neumožňuje zákon túto pohľadávku (istinu) daňovo odpísať na základe zákonných dôvodov, neumožňuje sa túto pohľadávku (istinu) odpísať ani u iných subjektov. Ak lízingové spoločnosti chcú poskytovať aj spotrebiteľské úvery podľa zákona č. 129/2010 Z. z., sú podľa tohto zákona povinné na túto činnosť získať od 1.4.2015 oprávnenie na poskytovanie spotrebiteľských úverov.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 § 21a sú síce určité subjekty vyňaté z pravidiel nízkej kapitalizácie, avšak primárne toto ustanovenie hovorí o úprave základu dane v prípade závislých osôb, t.j. nedotýka sa všetkých daňových subjektov a z tohto dôvodu boli určité subjekty vyňaté z pravidiel nízkej kapitalizácie (medzi nimi aj lízingové spoločnosti). Nemožno ich však stotožňovať so subjektmi poskytujúcimi úver, na ktoré by sa mal aplikovať § 19 ods. 2 písm. h) zákona o dani z príjmov. </w:t>
            </w:r>
          </w:p>
          <w:p w:rsidR="000279D2" w:rsidRPr="00FB48ED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1710A4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D2440" w:rsidRPr="00FB48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0279D2" w:rsidRPr="00FB48ED" w:rsidRDefault="003D51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  <w:p w:rsidR="003D51E0" w:rsidRPr="00FB48ED" w:rsidRDefault="003D51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AZZZ SR</w:t>
            </w:r>
          </w:p>
        </w:tc>
        <w:tc>
          <w:tcPr>
            <w:tcW w:w="2376" w:type="pct"/>
          </w:tcPr>
          <w:p w:rsidR="000279D2" w:rsidRPr="00FB48ED" w:rsidRDefault="009178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RÚ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Z</w:t>
            </w:r>
            <w:r w:rsidR="003D51E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AZZZ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n</w:t>
            </w:r>
            <w:r w:rsidR="003D51E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avrhujú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doplniť, čo sa bude považovať za </w:t>
            </w:r>
            <w:r w:rsidR="006E76F7" w:rsidRPr="00C06F6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vstupnú cenu finančného majetku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 prípade, ak prijímateľ nepeňažného vkladu prevezme pôvodnú cenu finančného majetku podľa § 17d (napr. obchodného podielu) a následne dôjde k zvýšeniu hodnoty finančného majetku (obchodného podielu) napr. ďalším vkladom do základného imania alebo vkladom do ostatných kapitálových fo</w:t>
            </w:r>
            <w:r w:rsidR="00A707B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ndov (mimo základného imania).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Súčasne znenie zákona ani návrh novely zákona takúto situáciu nerieši, a z dôvodu aplikačnej praxe je preto potrebné upraviť danú situáciu.</w:t>
            </w:r>
          </w:p>
        </w:tc>
        <w:tc>
          <w:tcPr>
            <w:tcW w:w="316" w:type="pct"/>
            <w:vAlign w:val="center"/>
          </w:tcPr>
          <w:p w:rsidR="000279D2" w:rsidRPr="00FB48ED" w:rsidRDefault="007D14F5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3E3B2D" w:rsidRDefault="00D42EC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kákoľvek zmena základného imania (zvýšenie resp. zníženie) musí byť vykonaná v súlade s Obchodným zákonníkom a zapisuje sa do obchodného registra. Zmena základného imania v Obchodnom registri predstavuje operáciu, ktorá sa musí premietnuť aj v účtovníctve účtovnej jednotky a účtovná jednotka musí vedieť identifikovať, z akého dôvodu k tejto zmene prišlo. Zákon o dani z príjmov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zároveň skúma vplyv tejto účtovnej operácie na základ dane. Nepovažujeme za potrebné zapracovať navrhovanú úpravu do zákona o dani z príjmov, keďže každá operácia (zmena základného imania) sa podľa zákona o dani z príjmov posúdi </w:t>
            </w:r>
            <w:bookmarkStart w:id="0" w:name="_GoBack"/>
            <w:bookmarkEnd w:id="0"/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samostatne a rovnako sa samostatne uplatní aj pri určení vstupnej ceny finančného majetku podľa § 25a a jej uplatnení do daňových výdavkov. </w:t>
            </w:r>
          </w:p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</w:tbl>
    <w:p w:rsidR="000E0D8B" w:rsidRPr="00FB48ED" w:rsidRDefault="000E0D8B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492543" w:rsidRPr="00FB48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2543" w:rsidRPr="00FB48ED" w:rsidRDefault="00A46DD7" w:rsidP="002055BD">
            <w:pPr>
              <w:pStyle w:val="Zkladntex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B48ED">
              <w:rPr>
                <w:color w:val="000000"/>
                <w:sz w:val="24"/>
                <w:szCs w:val="24"/>
              </w:rPr>
              <w:t xml:space="preserve">Vysvetlivky </w:t>
            </w:r>
            <w:r w:rsidR="00492543" w:rsidRPr="00FB48ED">
              <w:rPr>
                <w:color w:val="000000"/>
                <w:sz w:val="24"/>
                <w:szCs w:val="24"/>
              </w:rPr>
              <w:t>k použitým skratkám v tabuľke:</w:t>
            </w:r>
          </w:p>
          <w:p w:rsidR="009B7AF5" w:rsidRPr="00FB48ED" w:rsidRDefault="009B7AF5" w:rsidP="002055B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B48ED">
              <w:rPr>
                <w:b w:val="0"/>
                <w:color w:val="000000"/>
                <w:sz w:val="24"/>
                <w:szCs w:val="24"/>
              </w:rPr>
              <w:t>ASL SR – Asociácia súkromných lekárov SR</w:t>
            </w:r>
          </w:p>
        </w:tc>
      </w:tr>
    </w:tbl>
    <w:p w:rsidR="00EC66A7" w:rsidRPr="00FB48ED" w:rsidRDefault="00EC66A7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AZZZ SR - Asociácia zamestnávateľských zväzov a združení SR</w:t>
      </w:r>
    </w:p>
    <w:p w:rsidR="003711C8" w:rsidRPr="00FB48ED" w:rsidRDefault="003711C8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MH SR – Ministerstvo hospodárstva SR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SLK – Slovenská lekárska komora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SKZL – Slovenská komora zubných lekárov</w:t>
      </w:r>
    </w:p>
    <w:p w:rsidR="004C7F22" w:rsidRPr="00FB48ED" w:rsidRDefault="00EC66A7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RUZ - Republiková únia zamestnávateľov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ZCR SR – Zväz cestovného ruchu SR</w:t>
      </w:r>
    </w:p>
    <w:sectPr w:rsidR="009B7AF5" w:rsidRPr="00FB48ED" w:rsidSect="00D73398">
      <w:footerReference w:type="default" r:id="rId9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BA" w:rsidRDefault="00E928BA" w:rsidP="00E86254">
      <w:pPr>
        <w:spacing w:after="0" w:line="240" w:lineRule="auto"/>
      </w:pPr>
      <w:r>
        <w:separator/>
      </w:r>
    </w:p>
  </w:endnote>
  <w:endnote w:type="continuationSeparator" w:id="0">
    <w:p w:rsidR="00E928BA" w:rsidRDefault="00E928BA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4508"/>
      <w:docPartObj>
        <w:docPartGallery w:val="Page Numbers (Bottom of Page)"/>
        <w:docPartUnique/>
      </w:docPartObj>
    </w:sdtPr>
    <w:sdtContent>
      <w:p w:rsidR="003B17A7" w:rsidRDefault="003B17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EE" w:rsidRPr="003E28EE">
          <w:rPr>
            <w:noProof/>
            <w:lang w:val="sk-SK"/>
          </w:rPr>
          <w:t>5</w:t>
        </w:r>
        <w:r>
          <w:fldChar w:fldCharType="end"/>
        </w:r>
      </w:p>
    </w:sdtContent>
  </w:sdt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BA" w:rsidRDefault="00E928BA" w:rsidP="00E86254">
      <w:pPr>
        <w:spacing w:after="0" w:line="240" w:lineRule="auto"/>
      </w:pPr>
      <w:r>
        <w:separator/>
      </w:r>
    </w:p>
  </w:footnote>
  <w:footnote w:type="continuationSeparator" w:id="0">
    <w:p w:rsidR="00E928BA" w:rsidRDefault="00E928BA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54"/>
    <w:rsid w:val="000005E2"/>
    <w:rsid w:val="00003D5F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A0A20"/>
    <w:rsid w:val="000A2566"/>
    <w:rsid w:val="000B0C82"/>
    <w:rsid w:val="000E0D8B"/>
    <w:rsid w:val="000E6BA7"/>
    <w:rsid w:val="000F4DAF"/>
    <w:rsid w:val="00112D54"/>
    <w:rsid w:val="001575B2"/>
    <w:rsid w:val="00167943"/>
    <w:rsid w:val="001710A4"/>
    <w:rsid w:val="00184F62"/>
    <w:rsid w:val="00194B7B"/>
    <w:rsid w:val="001977D3"/>
    <w:rsid w:val="001A0F99"/>
    <w:rsid w:val="001B00C4"/>
    <w:rsid w:val="001B619E"/>
    <w:rsid w:val="001C1EC9"/>
    <w:rsid w:val="001C4410"/>
    <w:rsid w:val="001D279D"/>
    <w:rsid w:val="002055BD"/>
    <w:rsid w:val="00205D5F"/>
    <w:rsid w:val="00216C6B"/>
    <w:rsid w:val="0021797E"/>
    <w:rsid w:val="002432FF"/>
    <w:rsid w:val="002527E4"/>
    <w:rsid w:val="0026446B"/>
    <w:rsid w:val="00284796"/>
    <w:rsid w:val="0028487F"/>
    <w:rsid w:val="00291BC3"/>
    <w:rsid w:val="002A7D66"/>
    <w:rsid w:val="002E5BFC"/>
    <w:rsid w:val="002E5D7A"/>
    <w:rsid w:val="00331950"/>
    <w:rsid w:val="00357FE8"/>
    <w:rsid w:val="003711C8"/>
    <w:rsid w:val="003716C6"/>
    <w:rsid w:val="0037389A"/>
    <w:rsid w:val="003877F7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22451"/>
    <w:rsid w:val="00431E6F"/>
    <w:rsid w:val="004461DF"/>
    <w:rsid w:val="00466486"/>
    <w:rsid w:val="00492543"/>
    <w:rsid w:val="004C7F22"/>
    <w:rsid w:val="004D2440"/>
    <w:rsid w:val="00505532"/>
    <w:rsid w:val="00547360"/>
    <w:rsid w:val="00555C46"/>
    <w:rsid w:val="005678B7"/>
    <w:rsid w:val="00581D66"/>
    <w:rsid w:val="005A193F"/>
    <w:rsid w:val="005A29D5"/>
    <w:rsid w:val="005E3AE0"/>
    <w:rsid w:val="005F0096"/>
    <w:rsid w:val="005F47EF"/>
    <w:rsid w:val="0062367E"/>
    <w:rsid w:val="00673458"/>
    <w:rsid w:val="00674684"/>
    <w:rsid w:val="006872DE"/>
    <w:rsid w:val="006A54C6"/>
    <w:rsid w:val="006E76F7"/>
    <w:rsid w:val="00701DA6"/>
    <w:rsid w:val="007049CF"/>
    <w:rsid w:val="00714DCD"/>
    <w:rsid w:val="00761299"/>
    <w:rsid w:val="00775860"/>
    <w:rsid w:val="007B7B6B"/>
    <w:rsid w:val="007C5B46"/>
    <w:rsid w:val="007D14F5"/>
    <w:rsid w:val="007D39B3"/>
    <w:rsid w:val="007D55DB"/>
    <w:rsid w:val="007F5206"/>
    <w:rsid w:val="007F5918"/>
    <w:rsid w:val="00812446"/>
    <w:rsid w:val="00836C81"/>
    <w:rsid w:val="00843E86"/>
    <w:rsid w:val="00856FFA"/>
    <w:rsid w:val="0086784B"/>
    <w:rsid w:val="008A0DCB"/>
    <w:rsid w:val="008A1F67"/>
    <w:rsid w:val="008A53FC"/>
    <w:rsid w:val="008A5B11"/>
    <w:rsid w:val="008B48AF"/>
    <w:rsid w:val="008B7534"/>
    <w:rsid w:val="008E5435"/>
    <w:rsid w:val="00902A29"/>
    <w:rsid w:val="00914FA1"/>
    <w:rsid w:val="009178E0"/>
    <w:rsid w:val="0094770B"/>
    <w:rsid w:val="00962B30"/>
    <w:rsid w:val="00967E0B"/>
    <w:rsid w:val="00984FB1"/>
    <w:rsid w:val="009B26AD"/>
    <w:rsid w:val="009B7AF5"/>
    <w:rsid w:val="009E641C"/>
    <w:rsid w:val="00A269B0"/>
    <w:rsid w:val="00A46DD7"/>
    <w:rsid w:val="00A63365"/>
    <w:rsid w:val="00A707B7"/>
    <w:rsid w:val="00A81B86"/>
    <w:rsid w:val="00A94106"/>
    <w:rsid w:val="00A9719C"/>
    <w:rsid w:val="00AA1F76"/>
    <w:rsid w:val="00AB24C4"/>
    <w:rsid w:val="00AC5C41"/>
    <w:rsid w:val="00AE2EE7"/>
    <w:rsid w:val="00AF58FC"/>
    <w:rsid w:val="00B13E45"/>
    <w:rsid w:val="00B239FB"/>
    <w:rsid w:val="00B247B9"/>
    <w:rsid w:val="00B4591E"/>
    <w:rsid w:val="00B53BCB"/>
    <w:rsid w:val="00B82ACD"/>
    <w:rsid w:val="00BA5C58"/>
    <w:rsid w:val="00BB436D"/>
    <w:rsid w:val="00BC11CF"/>
    <w:rsid w:val="00C06F61"/>
    <w:rsid w:val="00C07FD0"/>
    <w:rsid w:val="00C202C8"/>
    <w:rsid w:val="00C23329"/>
    <w:rsid w:val="00C25957"/>
    <w:rsid w:val="00C2770F"/>
    <w:rsid w:val="00C35D8B"/>
    <w:rsid w:val="00C524F2"/>
    <w:rsid w:val="00C80620"/>
    <w:rsid w:val="00C87B0E"/>
    <w:rsid w:val="00C9459E"/>
    <w:rsid w:val="00CA60C8"/>
    <w:rsid w:val="00CB31B0"/>
    <w:rsid w:val="00CB49E0"/>
    <w:rsid w:val="00CD3C2A"/>
    <w:rsid w:val="00CD54A5"/>
    <w:rsid w:val="00CE08C8"/>
    <w:rsid w:val="00D14A57"/>
    <w:rsid w:val="00D158C2"/>
    <w:rsid w:val="00D17050"/>
    <w:rsid w:val="00D42EC7"/>
    <w:rsid w:val="00D5154C"/>
    <w:rsid w:val="00D73398"/>
    <w:rsid w:val="00DA4DBA"/>
    <w:rsid w:val="00DB178E"/>
    <w:rsid w:val="00DF21BF"/>
    <w:rsid w:val="00E233F9"/>
    <w:rsid w:val="00E349AE"/>
    <w:rsid w:val="00E520BE"/>
    <w:rsid w:val="00E84FB1"/>
    <w:rsid w:val="00E86254"/>
    <w:rsid w:val="00E928BA"/>
    <w:rsid w:val="00E976F3"/>
    <w:rsid w:val="00EA20B8"/>
    <w:rsid w:val="00EA20B9"/>
    <w:rsid w:val="00EA7489"/>
    <w:rsid w:val="00EC656F"/>
    <w:rsid w:val="00EC66A7"/>
    <w:rsid w:val="00ED0724"/>
    <w:rsid w:val="00ED22F0"/>
    <w:rsid w:val="00F118FF"/>
    <w:rsid w:val="00F1317F"/>
    <w:rsid w:val="00F36E0D"/>
    <w:rsid w:val="00F37D44"/>
    <w:rsid w:val="00F41B6B"/>
    <w:rsid w:val="00F57838"/>
    <w:rsid w:val="00F754B6"/>
    <w:rsid w:val="00F76EF4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155A"/>
    <w:rsid w:val="00FE0CDF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86254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86254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1CE1-4D34-4A1D-BD6F-4D77E90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1275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Vidova Michaela</cp:lastModifiedBy>
  <cp:revision>8</cp:revision>
  <cp:lastPrinted>2015-05-19T12:19:00Z</cp:lastPrinted>
  <dcterms:created xsi:type="dcterms:W3CDTF">2015-05-18T12:59:00Z</dcterms:created>
  <dcterms:modified xsi:type="dcterms:W3CDTF">2015-05-19T13:25:00Z</dcterms:modified>
</cp:coreProperties>
</file>