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AE" w:rsidRPr="009303AE" w:rsidRDefault="009303AE" w:rsidP="001C3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1C3E7D" w:rsidRPr="009303AE" w:rsidRDefault="001C3E7D" w:rsidP="001C3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303A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Doložka vybraných vplyvov</w:t>
      </w:r>
    </w:p>
    <w:p w:rsidR="006B43D8" w:rsidRPr="009303AE" w:rsidRDefault="006B43D8" w:rsidP="001C3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4D1F" w:rsidRPr="009303AE" w:rsidRDefault="001C3E7D" w:rsidP="0006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A.1. Názov materiálu: </w:t>
      </w:r>
      <w:r w:rsidR="00064D1F"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Návrh zákona o úprave niektorých vzťahov v oblasti štátnej pomoci a minimálnej pomoci </w:t>
      </w:r>
      <w:r w:rsidR="006173CB"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(zákon o štátnej pomoci)</w:t>
      </w:r>
      <w:r w:rsidR="006173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o zmene a doplnení niektorých zákonov</w:t>
      </w:r>
    </w:p>
    <w:p w:rsidR="001C3E7D" w:rsidRPr="009303AE" w:rsidRDefault="001C3E7D" w:rsidP="001C3E7D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3E7D" w:rsidRPr="009303AE" w:rsidRDefault="001C3E7D" w:rsidP="001C3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začatia a ukončenia PPK:</w:t>
      </w:r>
      <w:r w:rsidR="006B43D8"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</w:t>
      </w:r>
    </w:p>
    <w:p w:rsidR="006B43D8" w:rsidRPr="009303AE" w:rsidRDefault="006B43D8" w:rsidP="001C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3E7D" w:rsidRPr="009303AE" w:rsidRDefault="001C3E7D" w:rsidP="001C3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A.2. Vplyvy:</w:t>
      </w:r>
    </w:p>
    <w:tbl>
      <w:tblPr>
        <w:tblW w:w="7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1242"/>
        <w:gridCol w:w="1260"/>
        <w:gridCol w:w="1336"/>
      </w:tblGrid>
      <w:tr w:rsidR="001C3E7D" w:rsidRPr="009303AE" w:rsidTr="001C3E7D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C3E7D" w:rsidRPr="009303AE" w:rsidRDefault="001C3E7D" w:rsidP="001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C3E7D" w:rsidRPr="009303AE" w:rsidRDefault="001C3E7D" w:rsidP="001C3E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Pozitívne</w:t>
            </w:r>
            <w:r w:rsidRPr="009303AE">
              <w:rPr>
                <w:rFonts w:ascii="Times New Roman" w:eastAsia="Times New Roman" w:hAnsi="Times New Roman" w:cs="Times New Roman"/>
                <w:sz w:val="11"/>
                <w:szCs w:val="11"/>
                <w:vertAlign w:val="superscript"/>
                <w:lang w:eastAsia="sk-SK"/>
              </w:rPr>
              <w:t>*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C3E7D" w:rsidRPr="009303AE" w:rsidRDefault="001C3E7D" w:rsidP="001C3E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Žiadne</w:t>
            </w:r>
            <w:r w:rsidRPr="009303AE">
              <w:rPr>
                <w:rFonts w:ascii="Times New Roman" w:eastAsia="Times New Roman" w:hAnsi="Times New Roman" w:cs="Times New Roman"/>
                <w:sz w:val="11"/>
                <w:szCs w:val="11"/>
                <w:vertAlign w:val="superscript"/>
                <w:lang w:eastAsia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C3E7D" w:rsidRPr="009303AE" w:rsidRDefault="001C3E7D" w:rsidP="001C3E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Negatívne</w:t>
            </w:r>
            <w:r w:rsidRPr="009303AE">
              <w:rPr>
                <w:rFonts w:ascii="Times New Roman" w:eastAsia="Times New Roman" w:hAnsi="Times New Roman" w:cs="Times New Roman"/>
                <w:sz w:val="11"/>
                <w:szCs w:val="11"/>
                <w:vertAlign w:val="superscript"/>
                <w:lang w:eastAsia="sk-SK"/>
              </w:rPr>
              <w:t>*</w:t>
            </w:r>
          </w:p>
        </w:tc>
      </w:tr>
      <w:tr w:rsidR="001C3E7D" w:rsidRPr="009303AE" w:rsidTr="001C3E7D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C3E7D" w:rsidRPr="009303AE" w:rsidRDefault="001C3E7D" w:rsidP="001C3E7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303AE">
              <w:rPr>
                <w:rFonts w:ascii="Times New Roman" w:eastAsia="Times New Roman" w:hAnsi="Times New Roman" w:cs="Times New Roman"/>
                <w:lang w:eastAsia="sk-SK"/>
              </w:rPr>
              <w:t>1. Vplyvy na rozpočet verejnej správy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C3E7D" w:rsidRPr="009303AE" w:rsidRDefault="00411C16" w:rsidP="0041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303AE">
              <w:rPr>
                <w:rFonts w:ascii="Times New Roman" w:eastAsia="Times New Roman" w:hAnsi="Times New Roman" w:cs="Times New Roman"/>
                <w:lang w:eastAsia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C3E7D" w:rsidRPr="009303AE" w:rsidRDefault="001C3E7D" w:rsidP="001C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C3E7D" w:rsidRPr="009303AE" w:rsidRDefault="00671021" w:rsidP="0067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303AE">
              <w:rPr>
                <w:rFonts w:ascii="Times New Roman" w:eastAsia="Times New Roman" w:hAnsi="Times New Roman" w:cs="Times New Roman"/>
                <w:lang w:eastAsia="sk-SK"/>
              </w:rPr>
              <w:t>x</w:t>
            </w:r>
          </w:p>
        </w:tc>
      </w:tr>
      <w:tr w:rsidR="001C3E7D" w:rsidRPr="009303AE" w:rsidTr="001C3E7D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C3E7D" w:rsidRPr="009303AE" w:rsidRDefault="001C3E7D" w:rsidP="001C3E7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303AE">
              <w:rPr>
                <w:rFonts w:ascii="Times New Roman" w:eastAsia="Times New Roman" w:hAnsi="Times New Roman" w:cs="Times New Roman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C3E7D" w:rsidRPr="009303AE" w:rsidRDefault="00411C16" w:rsidP="0041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303AE">
              <w:rPr>
                <w:rFonts w:ascii="Times New Roman" w:eastAsia="Times New Roman" w:hAnsi="Times New Roman" w:cs="Times New Roman"/>
                <w:lang w:eastAsia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C3E7D" w:rsidRPr="009303AE" w:rsidRDefault="001C3E7D" w:rsidP="001C3E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C3E7D" w:rsidRPr="009303AE" w:rsidRDefault="001C3E7D" w:rsidP="001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3E7D" w:rsidRPr="009303AE" w:rsidTr="001C3E7D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C3E7D" w:rsidRPr="009303AE" w:rsidRDefault="006B43D8" w:rsidP="001C3E7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303AE">
              <w:rPr>
                <w:rFonts w:ascii="Times New Roman" w:eastAsia="Times New Roman" w:hAnsi="Times New Roman" w:cs="Times New Roman"/>
                <w:lang w:eastAsia="sk-SK"/>
              </w:rPr>
              <w:t>3.</w:t>
            </w:r>
            <w:r w:rsidR="001C3E7D" w:rsidRPr="009303AE">
              <w:rPr>
                <w:rFonts w:ascii="Times New Roman" w:eastAsia="Times New Roman" w:hAnsi="Times New Roman" w:cs="Times New Roman"/>
                <w:lang w:eastAsia="sk-SK"/>
              </w:rPr>
              <w:t xml:space="preserve"> Sociálne vplyvy </w:t>
            </w:r>
          </w:p>
          <w:p w:rsidR="001C3E7D" w:rsidRPr="009303AE" w:rsidRDefault="001C3E7D" w:rsidP="001C3E7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303AE">
              <w:rPr>
                <w:rFonts w:ascii="Times New Roman" w:eastAsia="Times New Roman" w:hAnsi="Times New Roman" w:cs="Times New Roman"/>
                <w:lang w:eastAsia="sk-SK"/>
              </w:rPr>
              <w:t>– vplyvy na hospodárenie obyvateľstva,</w:t>
            </w:r>
          </w:p>
          <w:p w:rsidR="001C3E7D" w:rsidRPr="009303AE" w:rsidRDefault="001C3E7D" w:rsidP="001C3E7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303AE">
              <w:rPr>
                <w:rFonts w:ascii="Times New Roman" w:eastAsia="Times New Roman" w:hAnsi="Times New Roman" w:cs="Times New Roman"/>
                <w:lang w:eastAsia="sk-SK"/>
              </w:rPr>
              <w:t xml:space="preserve">-sociálnu </w:t>
            </w:r>
            <w:proofErr w:type="spellStart"/>
            <w:r w:rsidRPr="009303AE">
              <w:rPr>
                <w:rFonts w:ascii="Times New Roman" w:eastAsia="Times New Roman" w:hAnsi="Times New Roman" w:cs="Times New Roman"/>
                <w:lang w:eastAsia="sk-SK"/>
              </w:rPr>
              <w:t>exklúziu</w:t>
            </w:r>
            <w:proofErr w:type="spellEnd"/>
            <w:r w:rsidRPr="009303AE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</w:p>
          <w:p w:rsidR="001C3E7D" w:rsidRPr="009303AE" w:rsidRDefault="001C3E7D" w:rsidP="001C3E7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303AE">
              <w:rPr>
                <w:rFonts w:ascii="Times New Roman" w:eastAsia="Times New Roman" w:hAnsi="Times New Roman" w:cs="Times New Roman"/>
                <w:lang w:eastAsia="sk-SK"/>
              </w:rPr>
              <w:t>- rovnosť príležitostí a rodovú rovnosť a 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C3E7D" w:rsidRPr="009303AE" w:rsidRDefault="001C3E7D" w:rsidP="001C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C3E7D" w:rsidRPr="009303AE" w:rsidRDefault="001C3E7D" w:rsidP="001C3E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C3E7D" w:rsidRPr="009303AE" w:rsidRDefault="001C3E7D" w:rsidP="001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3E7D" w:rsidRPr="009303AE" w:rsidTr="001C3E7D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C3E7D" w:rsidRPr="009303AE" w:rsidRDefault="001C3E7D" w:rsidP="001C3E7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303AE">
              <w:rPr>
                <w:rFonts w:ascii="Times New Roman" w:eastAsia="Times New Roman" w:hAnsi="Times New Roman" w:cs="Times New Roman"/>
                <w:lang w:eastAsia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C3E7D" w:rsidRPr="009303AE" w:rsidRDefault="001C3E7D" w:rsidP="001C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C3E7D" w:rsidRPr="009303AE" w:rsidRDefault="001C3E7D" w:rsidP="001C3E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C3E7D" w:rsidRPr="009303AE" w:rsidRDefault="001C3E7D" w:rsidP="001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3E7D" w:rsidRPr="009303AE" w:rsidTr="001C3E7D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C3E7D" w:rsidRPr="009303AE" w:rsidRDefault="001C3E7D" w:rsidP="001C3E7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303AE">
              <w:rPr>
                <w:rFonts w:ascii="Times New Roman" w:eastAsia="Times New Roman" w:hAnsi="Times New Roman" w:cs="Times New Roman"/>
                <w:lang w:eastAsia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C3E7D" w:rsidRPr="009303AE" w:rsidRDefault="001C3E7D" w:rsidP="001C3E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C3E7D" w:rsidRPr="009303AE" w:rsidRDefault="001C3E7D" w:rsidP="001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C3E7D" w:rsidRPr="009303AE" w:rsidRDefault="001C3E7D" w:rsidP="001C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C3E7D" w:rsidRPr="009303AE" w:rsidRDefault="001C3E7D" w:rsidP="001C3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C3E7D" w:rsidRPr="009303AE" w:rsidRDefault="001C3E7D" w:rsidP="001C3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A.3. Poznámky</w:t>
      </w:r>
    </w:p>
    <w:p w:rsidR="001C3E7D" w:rsidRPr="009303AE" w:rsidRDefault="00411C16" w:rsidP="001C3E7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Zákonom sa navrhuje ukladanie pokút za porušenie povinností podľa tohto zákona. Pokuty budú príjmom štátneho rozpočtu. </w:t>
      </w:r>
      <w:r w:rsidR="001C3E7D" w:rsidRPr="009303AE">
        <w:rPr>
          <w:rFonts w:ascii="Times New Roman" w:eastAsia="Times New Roman" w:hAnsi="Times New Roman" w:cs="Times New Roman"/>
          <w:sz w:val="24"/>
          <w:szCs w:val="24"/>
          <w:lang w:eastAsia="sk-SK"/>
        </w:rPr>
        <w:t>Odhad potenciálnych pozitívnych vplyvov návrhu zákona na rozpočet verejnej správy nie je možné kvantifikovať vzhľadom na charakter príjmov.</w:t>
      </w:r>
    </w:p>
    <w:p w:rsidR="00411C16" w:rsidRDefault="00411C16" w:rsidP="00B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Zákonom sa ruší povinnosť pre príjemcov minimálnej pomoci</w:t>
      </w:r>
      <w:r w:rsidR="00633607" w:rsidRPr="009303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oznamovať koordinátorovi štátnej pomoci prijatie minimálnej pomoci, čím sa odstraňuje administratívna záťaž pre podnikateľské subjekty.</w:t>
      </w:r>
    </w:p>
    <w:p w:rsidR="00B74D61" w:rsidRDefault="00B74D61" w:rsidP="00B7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4D61" w:rsidRPr="009303AE" w:rsidRDefault="00B74D61" w:rsidP="00D4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45F0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miest a osobné výdavky budú delimitované z Ministerstva financií SR na Protimonopolný úrad SR. Ostatné výdavky budú zabezpečené v rámci schválených výdavkov rozpočtu.</w:t>
      </w:r>
    </w:p>
    <w:p w:rsidR="006B43D8" w:rsidRPr="009303AE" w:rsidRDefault="006B43D8" w:rsidP="001C3E7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11C16" w:rsidRPr="009303AE" w:rsidRDefault="00411C16" w:rsidP="00411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A.4. Alternatívne riešenia</w:t>
      </w:r>
    </w:p>
    <w:p w:rsidR="00411C16" w:rsidRPr="009303AE" w:rsidRDefault="00411C16" w:rsidP="00411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11C16" w:rsidRPr="009303AE" w:rsidRDefault="00411C16" w:rsidP="00411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A.5. Stanovisko gestorov</w:t>
      </w:r>
    </w:p>
    <w:p w:rsidR="00633607" w:rsidRPr="009303AE" w:rsidRDefault="00633607" w:rsidP="001C3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47F0" w:rsidRPr="009303AE" w:rsidRDefault="000247F0" w:rsidP="009303AE">
      <w:pPr>
        <w:pStyle w:val="Hlavik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3AE">
        <w:rPr>
          <w:rFonts w:ascii="Times New Roman" w:hAnsi="Times New Roman" w:cs="Times New Roman"/>
          <w:b/>
          <w:bCs/>
          <w:sz w:val="28"/>
          <w:szCs w:val="28"/>
        </w:rPr>
        <w:t>Vplyvy na rozpočet verejnej správy,</w:t>
      </w:r>
    </w:p>
    <w:p w:rsidR="000247F0" w:rsidRPr="009303AE" w:rsidRDefault="000247F0" w:rsidP="009303AE">
      <w:pPr>
        <w:pStyle w:val="Hlavik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3AE">
        <w:rPr>
          <w:rFonts w:ascii="Times New Roman" w:hAnsi="Times New Roman" w:cs="Times New Roman"/>
          <w:b/>
          <w:bCs/>
          <w:sz w:val="28"/>
          <w:szCs w:val="28"/>
        </w:rPr>
        <w:t>na zamestnanosť vo verejnej správe a financovanie návrhu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  <w:r w:rsidRPr="009303AE">
        <w:rPr>
          <w:rFonts w:ascii="Times New Roman" w:hAnsi="Times New Roman" w:cs="Times New Roman"/>
          <w:b/>
          <w:sz w:val="24"/>
          <w:szCs w:val="24"/>
        </w:rPr>
        <w:t>2.1. Zhrnutie vplyvov na rozpočet verejnej správy v návrhu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  <w:r w:rsidRPr="009303AE">
        <w:rPr>
          <w:rFonts w:ascii="Times New Roman" w:hAnsi="Times New Roman" w:cs="Times New Roman"/>
          <w:b/>
          <w:sz w:val="24"/>
          <w:szCs w:val="24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1267"/>
        <w:gridCol w:w="1267"/>
        <w:gridCol w:w="1267"/>
        <w:gridCol w:w="1267"/>
      </w:tblGrid>
      <w:tr w:rsidR="000247F0" w:rsidRPr="009303AE" w:rsidTr="000247F0"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1"/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0247F0" w:rsidRPr="009303AE" w:rsidTr="000247F0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0247F0" w:rsidRPr="009303AE" w:rsidTr="000247F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247F0" w:rsidRPr="009303AE" w:rsidTr="000247F0"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247F0" w:rsidRPr="009303AE" w:rsidTr="000247F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247F0" w:rsidRPr="009303AE" w:rsidTr="000247F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0247F0" w:rsidRPr="009303AE" w:rsidTr="000247F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0247F0" w:rsidRPr="009303AE" w:rsidTr="000247F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247F0" w:rsidRPr="009303AE" w:rsidRDefault="000941CF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241</w:t>
            </w:r>
            <w:r w:rsidR="00D423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247F0" w:rsidRPr="00D4231C" w:rsidRDefault="00D4231C" w:rsidP="00CC582E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bCs/>
                <w:sz w:val="24"/>
              </w:rPr>
              <w:t>126 765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247F0" w:rsidRPr="00D4231C" w:rsidRDefault="00CC582E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96 105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247F0" w:rsidRPr="00D4231C" w:rsidRDefault="00CC582E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96 105</w:t>
            </w:r>
          </w:p>
        </w:tc>
      </w:tr>
      <w:tr w:rsidR="000247F0" w:rsidRPr="009303AE" w:rsidTr="000247F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v tom: MF SR</w:t>
            </w:r>
            <w:r w:rsidR="007E3CEA"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074 Tvorba metodiky, riadenie, kontrola, vládny audit a vnútorný audit verejných financií (programová časť 0740606)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941CF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241</w:t>
            </w:r>
            <w:r w:rsidR="00D423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231C" w:rsidRPr="00640265" w:rsidTr="00D4231C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D4231C" w:rsidP="00D4231C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sz w:val="24"/>
                <w:szCs w:val="24"/>
              </w:rPr>
              <w:t>Viazanie výdavkov v kapitole MF SR- 074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D4231C" w:rsidP="00D4231C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D4231C" w:rsidP="00CC582E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sz w:val="24"/>
                <w:szCs w:val="24"/>
              </w:rPr>
              <w:t>-250 538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CC582E" w:rsidP="00CC582E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-250 538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D4231C" w:rsidP="00CC582E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sz w:val="24"/>
                <w:szCs w:val="24"/>
              </w:rPr>
              <w:t>-250 538</w:t>
            </w:r>
          </w:p>
        </w:tc>
      </w:tr>
      <w:tr w:rsidR="00D4231C" w:rsidRPr="00640265" w:rsidTr="00D4231C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D4231C" w:rsidP="00D4231C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sz w:val="24"/>
                <w:szCs w:val="24"/>
              </w:rPr>
              <w:t>Zvýšenie výdavkov kapitoly PMÚ SR - 084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D4231C" w:rsidP="00D4231C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CC582E" w:rsidP="00CC582E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377 303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D4231C" w:rsidP="00D4231C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sz w:val="24"/>
                <w:szCs w:val="24"/>
              </w:rPr>
              <w:t>346 643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D4231C" w:rsidP="00CC582E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sz w:val="24"/>
                <w:szCs w:val="24"/>
              </w:rPr>
              <w:t>346 643</w:t>
            </w:r>
          </w:p>
        </w:tc>
      </w:tr>
      <w:tr w:rsidR="000247F0" w:rsidRPr="009303AE" w:rsidTr="000247F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247F0" w:rsidRPr="009303AE" w:rsidTr="000247F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33391C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241 351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33391C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bCs/>
                <w:sz w:val="24"/>
              </w:rPr>
              <w:t>126 765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33391C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96 105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33391C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96 105</w:t>
            </w:r>
          </w:p>
        </w:tc>
      </w:tr>
      <w:tr w:rsidR="0033391C" w:rsidRPr="00D4231C" w:rsidTr="00D4231C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1C" w:rsidRDefault="0033391C" w:rsidP="00D523DB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 tom: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1C" w:rsidRPr="009303AE" w:rsidRDefault="0033391C" w:rsidP="0033391C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1C" w:rsidRPr="00D4231C" w:rsidRDefault="0033391C" w:rsidP="00D523DB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1C" w:rsidRPr="00D4231C" w:rsidRDefault="0033391C" w:rsidP="00D523DB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1C" w:rsidRPr="00D4231C" w:rsidRDefault="0033391C" w:rsidP="00D523DB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4231C" w:rsidRPr="00D4231C" w:rsidTr="00D4231C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33391C" w:rsidRDefault="00CC582E" w:rsidP="00D523DB">
            <w:pPr>
              <w:pStyle w:val="Hlavik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3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Tvorba centrálneho registra v kapitole MF SR - 074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33391C" w:rsidRDefault="00CC582E" w:rsidP="0033391C">
            <w:pPr>
              <w:pStyle w:val="Hlavik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3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241 351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33391C" w:rsidRDefault="00D4231C" w:rsidP="00D523DB">
            <w:pPr>
              <w:pStyle w:val="Hlavik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33391C" w:rsidRDefault="0033391C" w:rsidP="00D523DB">
            <w:pPr>
              <w:pStyle w:val="Hlavik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3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33391C" w:rsidRDefault="00D4231C" w:rsidP="00D523DB">
            <w:pPr>
              <w:pStyle w:val="Hlavik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C582E" w:rsidRPr="00D4231C" w:rsidTr="00CC582E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2E" w:rsidRPr="0033391C" w:rsidRDefault="00CC582E" w:rsidP="00C6543C">
            <w:pPr>
              <w:pStyle w:val="Hlavik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3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Viazanie výdavkov v kapitole MF SR- 074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2E" w:rsidRPr="0033391C" w:rsidRDefault="00CC582E" w:rsidP="00C6543C">
            <w:pPr>
              <w:pStyle w:val="Hlavik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2E" w:rsidRPr="0033391C" w:rsidRDefault="00CC582E" w:rsidP="00C6543C">
            <w:pPr>
              <w:pStyle w:val="Hlavik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3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-250 538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2E" w:rsidRPr="0033391C" w:rsidRDefault="00CC582E" w:rsidP="00C6543C">
            <w:pPr>
              <w:pStyle w:val="Hlavik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3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-250 538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82E" w:rsidRPr="0033391C" w:rsidRDefault="00CC582E" w:rsidP="00C6543C">
            <w:pPr>
              <w:pStyle w:val="Hlavik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3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-250 538</w:t>
            </w:r>
          </w:p>
        </w:tc>
      </w:tr>
      <w:tr w:rsidR="00D4231C" w:rsidRPr="00D4231C" w:rsidTr="00D4231C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33391C" w:rsidRDefault="00D4231C" w:rsidP="00D523DB">
            <w:pPr>
              <w:pStyle w:val="Hlavik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3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Zvýšenie výdavkov kapitoly PMÚ SR - 084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33391C" w:rsidRDefault="00D4231C" w:rsidP="00D523DB">
            <w:pPr>
              <w:pStyle w:val="Hlavik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33391C" w:rsidRDefault="00D4231C" w:rsidP="00D523DB">
            <w:pPr>
              <w:pStyle w:val="Hlavik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3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377 303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33391C" w:rsidRDefault="00D4231C" w:rsidP="00D523DB">
            <w:pPr>
              <w:pStyle w:val="Hlavik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3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346 643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33391C" w:rsidRDefault="00D4231C" w:rsidP="00D523DB">
            <w:pPr>
              <w:pStyle w:val="Hlavik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39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346 643</w:t>
            </w:r>
          </w:p>
        </w:tc>
      </w:tr>
      <w:tr w:rsidR="000247F0" w:rsidRPr="009303AE" w:rsidTr="000247F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0247F0" w:rsidRPr="009303AE" w:rsidTr="000247F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247F0" w:rsidRPr="009303AE" w:rsidTr="000247F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z toho vplyv na ŠR</w:t>
            </w: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247F0" w:rsidRPr="009303AE" w:rsidTr="000247F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247F0" w:rsidRPr="009303AE" w:rsidRDefault="000941CF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241</w:t>
            </w:r>
            <w:r w:rsidR="00D423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351</w:t>
            </w:r>
            <w:r w:rsidR="00ED5EBA"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247F0" w:rsidRPr="00D4231C" w:rsidRDefault="00D4231C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bCs/>
                <w:sz w:val="24"/>
              </w:rPr>
              <w:t>126 765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247F0" w:rsidRPr="00D4231C" w:rsidRDefault="00D4231C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bCs/>
                <w:sz w:val="24"/>
              </w:rPr>
              <w:t>96 105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247F0" w:rsidRPr="00D4231C" w:rsidRDefault="00D4231C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bCs/>
                <w:sz w:val="24"/>
              </w:rPr>
              <w:t>96 105</w:t>
            </w:r>
          </w:p>
        </w:tc>
      </w:tr>
      <w:tr w:rsidR="000247F0" w:rsidRPr="009303AE" w:rsidTr="000247F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tom: MF SR / </w:t>
            </w:r>
            <w:r w:rsidR="007E3CEA"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074 Tvorba metodiky, riadenie, kontrola, vládny audit a vnútorný audit verejných financií (programová časť 0740606)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941CF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241</w:t>
            </w:r>
            <w:r w:rsidR="00D423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351</w:t>
            </w:r>
            <w:r w:rsidR="00886BB3"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bookmarkEnd w:id="0"/>
      <w:tr w:rsidR="00D4231C" w:rsidRPr="00640265" w:rsidTr="00D4231C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D4231C" w:rsidP="00D4231C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sz w:val="24"/>
                <w:szCs w:val="24"/>
              </w:rPr>
              <w:t>MF SR – 074 - tvorba metodiky, riadenia, kontrola...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CC582E" w:rsidP="00D4231C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D4231C" w:rsidP="00D4231C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sz w:val="24"/>
                <w:szCs w:val="24"/>
              </w:rPr>
              <w:t>-250 538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D4231C" w:rsidP="00D4231C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sz w:val="24"/>
                <w:szCs w:val="24"/>
              </w:rPr>
              <w:t>-250 538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D4231C" w:rsidP="00D4231C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sz w:val="24"/>
                <w:szCs w:val="24"/>
              </w:rPr>
              <w:t>-250 538</w:t>
            </w:r>
          </w:p>
        </w:tc>
      </w:tr>
      <w:tr w:rsidR="00D4231C" w:rsidRPr="00640265" w:rsidTr="00D4231C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D4231C" w:rsidP="00D4231C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sz w:val="24"/>
                <w:szCs w:val="24"/>
              </w:rPr>
              <w:t>PMÚ SR – 084 – Hospodárska súťaž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CC582E" w:rsidP="00D4231C">
            <w:pPr>
              <w:pStyle w:val="Hlavik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D4231C" w:rsidP="00D4231C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sz w:val="24"/>
                <w:szCs w:val="24"/>
              </w:rPr>
              <w:t>377 303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D4231C" w:rsidP="00D4231C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sz w:val="24"/>
                <w:szCs w:val="24"/>
              </w:rPr>
              <w:t>346 643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31C" w:rsidRPr="00D4231C" w:rsidRDefault="00D4231C" w:rsidP="00D4231C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31C">
              <w:rPr>
                <w:rFonts w:ascii="Times New Roman" w:hAnsi="Times New Roman" w:cs="Times New Roman"/>
                <w:b/>
                <w:sz w:val="24"/>
                <w:szCs w:val="24"/>
              </w:rPr>
              <w:t>346 643</w:t>
            </w:r>
          </w:p>
        </w:tc>
      </w:tr>
    </w:tbl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  <w:r w:rsidRPr="009303AE">
        <w:rPr>
          <w:rFonts w:ascii="Times New Roman" w:hAnsi="Times New Roman" w:cs="Times New Roman"/>
          <w:b/>
          <w:bCs/>
          <w:sz w:val="24"/>
          <w:szCs w:val="24"/>
        </w:rPr>
        <w:t>2.2. Financovanie návrhu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  <w:r w:rsidRPr="009303AE">
        <w:rPr>
          <w:rFonts w:ascii="Times New Roman" w:hAnsi="Times New Roman" w:cs="Times New Roman"/>
          <w:b/>
          <w:sz w:val="24"/>
          <w:szCs w:val="24"/>
        </w:rPr>
        <w:t>Tabuľka č. 2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4"/>
        <w:gridCol w:w="1264"/>
        <w:gridCol w:w="1264"/>
        <w:gridCol w:w="1264"/>
        <w:gridCol w:w="1264"/>
      </w:tblGrid>
      <w:tr w:rsidR="000247F0" w:rsidRPr="009303AE" w:rsidTr="000247F0">
        <w:trPr>
          <w:cantSplit/>
          <w:trHeight w:val="70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Financo</w:t>
            </w:r>
            <w:bookmarkStart w:id="1" w:name="_GoBack"/>
            <w:bookmarkEnd w:id="1"/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vanie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0247F0" w:rsidRPr="009303AE" w:rsidTr="000247F0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A746E6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A746E6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A746E6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A746E6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0247F0" w:rsidRPr="009303AE" w:rsidTr="00D523DB">
        <w:trPr>
          <w:trHeight w:val="662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Celkový vplyv na rozpočet verejnej správy</w:t>
            </w:r>
            <w:r w:rsidR="007E3CEA"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- príjmy, + výdavky)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941CF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241</w:t>
            </w:r>
            <w:r w:rsidR="00D423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351</w:t>
            </w:r>
            <w:r w:rsidR="00A746E6"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D523DB" w:rsidRDefault="00D523DB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126 765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D523DB" w:rsidRDefault="00D4231C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96 105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D523DB" w:rsidRDefault="00D523DB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96 105</w:t>
            </w:r>
          </w:p>
        </w:tc>
      </w:tr>
      <w:tr w:rsidR="000247F0" w:rsidRPr="009303AE" w:rsidTr="000247F0"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 toho vplyv na ŠR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941CF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241</w:t>
            </w:r>
            <w:r w:rsidR="00D423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351</w:t>
            </w:r>
            <w:r w:rsidR="00A746E6"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D523DB" w:rsidRDefault="00D523DB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126 765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D523DB" w:rsidRDefault="00D4231C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96 105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D523DB" w:rsidRDefault="00D523DB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96 105</w:t>
            </w:r>
          </w:p>
        </w:tc>
      </w:tr>
      <w:tr w:rsidR="000247F0" w:rsidRPr="009303AE" w:rsidTr="000247F0">
        <w:trPr>
          <w:trHeight w:val="15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financovanie zabezpečené v rozpočte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941CF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241</w:t>
            </w:r>
            <w:r w:rsidR="00D423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351</w:t>
            </w:r>
            <w:r w:rsidR="00A746E6"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D523DB" w:rsidRDefault="00D523DB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126 765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D523DB" w:rsidRDefault="00D4231C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96 105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D523DB" w:rsidRDefault="00D523DB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96 105</w:t>
            </w:r>
          </w:p>
        </w:tc>
      </w:tr>
      <w:tr w:rsidR="000247F0" w:rsidRPr="009303AE" w:rsidTr="000247F0">
        <w:trPr>
          <w:trHeight w:val="13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247F0" w:rsidRPr="009303AE" w:rsidTr="000247F0"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  <w:r w:rsidRPr="009303AE">
        <w:rPr>
          <w:rFonts w:ascii="Times New Roman" w:hAnsi="Times New Roman" w:cs="Times New Roman"/>
          <w:b/>
          <w:bCs/>
          <w:sz w:val="24"/>
          <w:szCs w:val="24"/>
        </w:rPr>
        <w:t>Návrh na riešenie úbytku príjmov alebo zvýšených výdavkov podľa § 33 ods. 1 zákona č. 523/2004 Z. z. o rozpočtových pravidlách verejnej správy:</w:t>
      </w:r>
    </w:p>
    <w:p w:rsidR="000247F0" w:rsidRDefault="0033391C" w:rsidP="000247F0">
      <w:pPr>
        <w:pStyle w:val="Hlavik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Výdavky na tvorbu centrálneho registra sú</w:t>
      </w:r>
      <w:r w:rsidR="000247F0" w:rsidRPr="009303AE">
        <w:rPr>
          <w:rFonts w:ascii="Times New Roman" w:hAnsi="Times New Roman" w:cs="Times New Roman"/>
          <w:bCs/>
          <w:sz w:val="24"/>
          <w:szCs w:val="24"/>
        </w:rPr>
        <w:t xml:space="preserve"> zabezpečené v rámci schválených výdavkov kapitoly MF SR na príslušný rozpočtový rok.</w:t>
      </w:r>
    </w:p>
    <w:p w:rsidR="00D523DB" w:rsidRDefault="00D523DB" w:rsidP="000247F0">
      <w:pPr>
        <w:pStyle w:val="Hlavika"/>
        <w:rPr>
          <w:rFonts w:ascii="Times New Roman" w:hAnsi="Times New Roman" w:cs="Times New Roman"/>
          <w:bCs/>
          <w:sz w:val="24"/>
          <w:szCs w:val="24"/>
        </w:rPr>
      </w:pPr>
    </w:p>
    <w:p w:rsidR="00D523DB" w:rsidRPr="00D523DB" w:rsidRDefault="00D523DB" w:rsidP="00D523DB">
      <w:pPr>
        <w:pStyle w:val="Hlavika"/>
        <w:rPr>
          <w:rFonts w:ascii="Times New Roman" w:hAnsi="Times New Roman" w:cs="Times New Roman"/>
          <w:bCs/>
          <w:sz w:val="24"/>
          <w:szCs w:val="24"/>
        </w:rPr>
      </w:pPr>
      <w:r w:rsidRPr="00D523DB">
        <w:rPr>
          <w:rFonts w:ascii="Times New Roman" w:hAnsi="Times New Roman" w:cs="Times New Roman"/>
          <w:bCs/>
          <w:sz w:val="24"/>
          <w:szCs w:val="24"/>
        </w:rPr>
        <w:t xml:space="preserve">Rozpočet Protimonopolného úradu SR sa z titulu prijatia zákona zvýši o 377 303  € (v roku 2016), resp. o 346 643 € (v rokoch 2017 - 2018). </w:t>
      </w:r>
    </w:p>
    <w:p w:rsidR="00D523DB" w:rsidRPr="00D523DB" w:rsidRDefault="00D523DB" w:rsidP="00D523DB">
      <w:pPr>
        <w:pStyle w:val="Hlavika"/>
        <w:rPr>
          <w:rFonts w:ascii="Times New Roman" w:hAnsi="Times New Roman" w:cs="Times New Roman"/>
          <w:bCs/>
          <w:sz w:val="24"/>
          <w:szCs w:val="24"/>
        </w:rPr>
      </w:pPr>
      <w:r w:rsidRPr="00D523DB">
        <w:rPr>
          <w:rFonts w:ascii="Times New Roman" w:hAnsi="Times New Roman" w:cs="Times New Roman"/>
          <w:bCs/>
          <w:sz w:val="24"/>
          <w:szCs w:val="24"/>
        </w:rPr>
        <w:t xml:space="preserve">Z toho sa delimitáciou z MF SR zabezpečia zdroje (kategória 610 a 620) v sume 250 538 € (v rokoch 2016 – 2018). Spolu s tým sa budú delimitovať  zamestnanci MF SR v počte 20. </w:t>
      </w:r>
    </w:p>
    <w:p w:rsidR="00D523DB" w:rsidRPr="00D523DB" w:rsidRDefault="00D523DB" w:rsidP="00D523DB">
      <w:pPr>
        <w:pStyle w:val="Hlavika"/>
        <w:rPr>
          <w:rFonts w:ascii="Times New Roman" w:hAnsi="Times New Roman" w:cs="Times New Roman"/>
          <w:bCs/>
          <w:sz w:val="24"/>
          <w:szCs w:val="24"/>
        </w:rPr>
      </w:pPr>
      <w:r w:rsidRPr="00D523DB">
        <w:rPr>
          <w:rFonts w:ascii="Times New Roman" w:hAnsi="Times New Roman" w:cs="Times New Roman"/>
          <w:bCs/>
          <w:sz w:val="24"/>
          <w:szCs w:val="24"/>
        </w:rPr>
        <w:t xml:space="preserve">Výdavky v sume 126 765 € - kategória 630 (v roku 2016), resp. 96 105 € (v rokoch 2017 a 2018) budú zabezpečené v rámci schválených limitov kapitoly PMÚ SR. 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  <w:r w:rsidRPr="009303AE">
        <w:rPr>
          <w:rFonts w:ascii="Times New Roman" w:hAnsi="Times New Roman" w:cs="Times New Roman"/>
          <w:b/>
          <w:bCs/>
          <w:sz w:val="24"/>
          <w:szCs w:val="24"/>
        </w:rPr>
        <w:t>2.3. Popis a charakteristika návrhu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  <w:r w:rsidRPr="009303AE">
        <w:rPr>
          <w:rFonts w:ascii="Times New Roman" w:hAnsi="Times New Roman" w:cs="Times New Roman"/>
          <w:b/>
          <w:bCs/>
          <w:sz w:val="24"/>
          <w:szCs w:val="24"/>
        </w:rPr>
        <w:t>2.3.1. Popis návrhu: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F0" w:rsidRPr="009303AE" w:rsidRDefault="00ED5EBA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  <w:r w:rsidRPr="009303AE">
        <w:rPr>
          <w:rFonts w:ascii="Times New Roman" w:hAnsi="Times New Roman" w:cs="Times New Roman"/>
          <w:b/>
          <w:sz w:val="24"/>
          <w:szCs w:val="24"/>
        </w:rPr>
        <w:t>Akú problematiku návrh</w:t>
      </w:r>
      <w:r w:rsidR="000247F0" w:rsidRPr="009303AE">
        <w:rPr>
          <w:rFonts w:ascii="Times New Roman" w:hAnsi="Times New Roman" w:cs="Times New Roman"/>
          <w:b/>
          <w:sz w:val="24"/>
          <w:szCs w:val="24"/>
        </w:rPr>
        <w:t xml:space="preserve"> rieši? Kto bude návrh implementovať? Kde sa budú služby poskytovať?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ED5EBA" w:rsidRPr="009303AE" w:rsidRDefault="00653601" w:rsidP="00ED5EBA">
      <w:pPr>
        <w:pStyle w:val="Hlavik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Vytvára sa c</w:t>
      </w:r>
      <w:r w:rsidR="00A746E6" w:rsidRPr="009303AE">
        <w:rPr>
          <w:rFonts w:ascii="Times New Roman" w:hAnsi="Times New Roman" w:cs="Times New Roman"/>
          <w:sz w:val="24"/>
          <w:szCs w:val="24"/>
          <w:lang w:eastAsia="sk-SK"/>
        </w:rPr>
        <w:t xml:space="preserve">entrálny register, ktorý je informačným systémom verejnej správy a jeho funkciou bude evidencia poskytnutej štátnej pomoci a minimálnej pomoci v Slovenskej republike. </w:t>
      </w:r>
      <w:r w:rsidR="00ED5EBA" w:rsidRPr="009303AE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Register bude obsahovať údaje o poskytnutej štátnej pomoci a o poskytnutej minimálnej pomoci v Slovenskej republike. Jeho správcom bude koordinátor pomoci a</w:t>
      </w:r>
      <w:r w:rsidR="00B74D61">
        <w:rPr>
          <w:rFonts w:ascii="Times New Roman" w:eastAsia="Times New Roman" w:hAnsi="Times New Roman" w:cs="Times New Roman"/>
          <w:sz w:val="24"/>
          <w:szCs w:val="24"/>
          <w:lang w:eastAsia="sk-SK"/>
        </w:rPr>
        <w:t> prevádzkovateľom bude štátna rozpočtová organizácia na základe dohody so správcom tohto informačného systému</w:t>
      </w:r>
      <w:r w:rsidR="00ED5EBA" w:rsidRPr="009303AE">
        <w:rPr>
          <w:rFonts w:ascii="Times New Roman" w:eastAsia="Times New Roman" w:hAnsi="Times New Roman" w:cs="Times New Roman"/>
          <w:sz w:val="24"/>
          <w:szCs w:val="24"/>
          <w:lang w:eastAsia="sk-SK"/>
        </w:rPr>
        <w:t>. Údaje o poskytnutej pomoci budú zadávať do centrálneho registra formou vzdialeného prístupu príslušní poskytovatelia. Poskytovatelia budú povinní do centrálneho registra zaznamenávať údaje o poskytnutej pomoci a údaje o príjemcovi pomoci prostredníctvom elektronického formulára, a to v rozsahu a v štruktúre podľa osobitných predpisov Európskej únie pre štátnu pomoc (napr. čl. 9 nariadenia Komisie (EÚ) č. 651/2014 a čl. 9 nariadenia Komisie (EÚ) č. 702/2014) a v súlade so zákonom o štátnej pomoci. Údaje o poskytnutej pomoci budú verejne prístupné.</w:t>
      </w:r>
      <w:r w:rsidR="00ED5EBA" w:rsidRPr="009303A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  <w:r w:rsidRPr="009303AE">
        <w:rPr>
          <w:rFonts w:ascii="Times New Roman" w:hAnsi="Times New Roman" w:cs="Times New Roman"/>
          <w:b/>
          <w:bCs/>
          <w:sz w:val="24"/>
          <w:szCs w:val="24"/>
        </w:rPr>
        <w:t>2.3.2. Charakteristika návrhu podľa bodu  2.3.2. Metodiky :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  <w:r w:rsidRPr="009303AE">
        <w:rPr>
          <w:rFonts w:ascii="Times New Roman" w:hAnsi="Times New Roman" w:cs="Times New Roman"/>
          <w:b/>
          <w:sz w:val="24"/>
          <w:szCs w:val="24"/>
        </w:rPr>
        <w:t xml:space="preserve">       zmena sadzby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  <w:r w:rsidRPr="009303AE">
        <w:rPr>
          <w:rFonts w:ascii="Times New Roman" w:hAnsi="Times New Roman" w:cs="Times New Roman"/>
          <w:b/>
          <w:sz w:val="24"/>
          <w:szCs w:val="24"/>
        </w:rPr>
        <w:t xml:space="preserve">       zmena v nároku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  <w:r w:rsidRPr="009303AE">
        <w:rPr>
          <w:rFonts w:ascii="Times New Roman" w:hAnsi="Times New Roman" w:cs="Times New Roman"/>
          <w:b/>
          <w:sz w:val="24"/>
          <w:szCs w:val="24"/>
        </w:rPr>
        <w:t xml:space="preserve">       nová služba alebo nariadenie (alebo ich zrušenie)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  <w:r w:rsidRPr="009303AE">
        <w:rPr>
          <w:rFonts w:ascii="Times New Roman" w:hAnsi="Times New Roman" w:cs="Times New Roman"/>
          <w:b/>
          <w:sz w:val="24"/>
          <w:szCs w:val="24"/>
        </w:rPr>
        <w:t xml:space="preserve">       kombinovaný návrh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  <w:r w:rsidRPr="009303AE">
        <w:rPr>
          <w:rFonts w:ascii="Times New Roman" w:hAnsi="Times New Roman" w:cs="Times New Roman"/>
          <w:b/>
          <w:sz w:val="24"/>
          <w:szCs w:val="24"/>
        </w:rPr>
        <w:t xml:space="preserve">       iné 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  <w:r w:rsidRPr="009303AE">
        <w:rPr>
          <w:rFonts w:ascii="Times New Roman" w:hAnsi="Times New Roman" w:cs="Times New Roman"/>
          <w:b/>
          <w:bCs/>
          <w:sz w:val="24"/>
          <w:szCs w:val="24"/>
        </w:rPr>
        <w:t>2.3.3. Predpoklady vývoja objemu aktivít: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0247F0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  <w:r w:rsidRPr="009303AE">
        <w:rPr>
          <w:rFonts w:ascii="Times New Roman" w:hAnsi="Times New Roman" w:cs="Times New Roman"/>
          <w:b/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33391C" w:rsidRDefault="0033391C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33391C" w:rsidRDefault="0033391C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33391C" w:rsidRDefault="0033391C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33391C" w:rsidRDefault="0033391C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33391C" w:rsidRPr="009303AE" w:rsidRDefault="0033391C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  <w:r w:rsidRPr="009303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Tabuľka č. 3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134"/>
        <w:gridCol w:w="1134"/>
        <w:gridCol w:w="1134"/>
        <w:gridCol w:w="1134"/>
      </w:tblGrid>
      <w:tr w:rsidR="000247F0" w:rsidRPr="009303AE" w:rsidTr="000247F0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Odhadované objemy</w:t>
            </w:r>
          </w:p>
        </w:tc>
      </w:tr>
      <w:tr w:rsidR="000247F0" w:rsidRPr="009303AE" w:rsidTr="000247F0"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A746E6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A746E6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A746E6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A746E6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0247F0" w:rsidRPr="009303AE" w:rsidTr="000247F0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7F0" w:rsidRPr="009303AE" w:rsidTr="000247F0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7F0" w:rsidRPr="009303AE" w:rsidTr="000247F0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  <w:r w:rsidRPr="009303AE">
        <w:rPr>
          <w:rFonts w:ascii="Times New Roman" w:hAnsi="Times New Roman" w:cs="Times New Roman"/>
          <w:b/>
          <w:bCs/>
          <w:sz w:val="24"/>
          <w:szCs w:val="24"/>
        </w:rPr>
        <w:t>2.3.4. Výpočty vplyvov na verejné financie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  <w:r w:rsidRPr="009303AE">
        <w:rPr>
          <w:rFonts w:ascii="Times New Roman" w:hAnsi="Times New Roman" w:cs="Times New Roman"/>
          <w:b/>
          <w:sz w:val="24"/>
          <w:szCs w:val="24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sz w:val="24"/>
          <w:szCs w:val="24"/>
        </w:rPr>
      </w:pP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  <w:sectPr w:rsidR="000247F0" w:rsidRPr="009303AE" w:rsidSect="00D4231C">
          <w:footerReference w:type="default" r:id="rId8"/>
          <w:pgSz w:w="11906" w:h="16838"/>
          <w:pgMar w:top="1417" w:right="1417" w:bottom="993" w:left="1417" w:header="708" w:footer="305" w:gutter="0"/>
          <w:pgNumType w:start="1"/>
          <w:cols w:space="708"/>
        </w:sectPr>
      </w:pP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  <w:r w:rsidRPr="009303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Tabuľka č. 4 </w:t>
      </w: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500"/>
        <w:gridCol w:w="1500"/>
        <w:gridCol w:w="1500"/>
        <w:gridCol w:w="1500"/>
        <w:gridCol w:w="3000"/>
      </w:tblGrid>
      <w:tr w:rsidR="000247F0" w:rsidRPr="009303AE" w:rsidTr="000247F0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0247F0" w:rsidRPr="009303AE" w:rsidTr="000247F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247F0" w:rsidRPr="009303AE" w:rsidRDefault="00A746E6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247F0" w:rsidRPr="009303AE" w:rsidRDefault="00A746E6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247F0" w:rsidRPr="009303AE" w:rsidRDefault="00A746E6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247F0" w:rsidRPr="009303AE" w:rsidRDefault="00A746E6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7F0" w:rsidRPr="009303AE" w:rsidTr="000247F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Daňové príjmy (100)</w:t>
            </w: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Nedaňové príjmy (200)</w:t>
            </w: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Granty a transfery (300)</w:t>
            </w: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  <w:r w:rsidRPr="009303AE">
        <w:rPr>
          <w:rFonts w:ascii="Times New Roman" w:hAnsi="Times New Roman" w:cs="Times New Roman"/>
          <w:b/>
          <w:bCs/>
          <w:sz w:val="24"/>
          <w:szCs w:val="24"/>
        </w:rPr>
        <w:t>1 –  príjmy rozpísať až do položiek platnej ekonomickej klasifikácie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  <w:r w:rsidRPr="009303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Tabuľka č. 5 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0"/>
        <w:gridCol w:w="1540"/>
        <w:gridCol w:w="1540"/>
        <w:gridCol w:w="1540"/>
        <w:gridCol w:w="1540"/>
        <w:gridCol w:w="2220"/>
      </w:tblGrid>
      <w:tr w:rsidR="000247F0" w:rsidRPr="009303AE" w:rsidTr="000247F0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0247F0" w:rsidRPr="009303AE" w:rsidTr="000247F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247F0" w:rsidRPr="009303AE" w:rsidRDefault="00A746E6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247F0" w:rsidRPr="009303AE" w:rsidRDefault="00BD70B7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247F0" w:rsidRPr="009303AE" w:rsidRDefault="00BD70B7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247F0" w:rsidRPr="009303AE" w:rsidRDefault="00BD70B7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7F0" w:rsidRPr="009303AE" w:rsidTr="000247F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D523DB">
        <w:trPr>
          <w:trHeight w:val="406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Tovary a služby (630)</w:t>
            </w:r>
            <w:r w:rsidRPr="009303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D523DB" w:rsidRDefault="00D523DB" w:rsidP="00D523DB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DB">
              <w:rPr>
                <w:rFonts w:ascii="Times New Roman" w:hAnsi="Times New Roman" w:cs="Times New Roman"/>
                <w:b/>
                <w:sz w:val="24"/>
              </w:rPr>
              <w:t>126 765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D523DB" w:rsidRDefault="00D523DB" w:rsidP="00D523DB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DB">
              <w:rPr>
                <w:rFonts w:ascii="Times New Roman" w:hAnsi="Times New Roman" w:cs="Times New Roman"/>
                <w:b/>
                <w:sz w:val="24"/>
              </w:rPr>
              <w:t>96 105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D523DB" w:rsidRDefault="00D523DB" w:rsidP="00D523DB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DB">
              <w:rPr>
                <w:rFonts w:ascii="Times New Roman" w:hAnsi="Times New Roman" w:cs="Times New Roman"/>
                <w:b/>
                <w:sz w:val="24"/>
              </w:rPr>
              <w:t>96 105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Bežné transfery (640)</w:t>
            </w:r>
            <w:r w:rsidRPr="009303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Splácanie úrokov a ostatné platby súvisiace s úvermi, pôžičkami a NFV (650)</w:t>
            </w:r>
            <w:r w:rsidRPr="009303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7F0" w:rsidRPr="009303AE" w:rsidTr="000247F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941CF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241</w:t>
            </w:r>
            <w:r w:rsidR="00D423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351</w:t>
            </w:r>
            <w:r w:rsidR="00A746E6"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Obstarávanie kapitálových aktív (710)</w:t>
            </w:r>
            <w:r w:rsidRPr="009303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941CF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241</w:t>
            </w:r>
            <w:r w:rsidR="00D423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351</w:t>
            </w:r>
            <w:r w:rsidR="00A746E6"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Kapitálové transfery (720)</w:t>
            </w:r>
            <w:r w:rsidRPr="009303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z toho výdavky na 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941CF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241</w:t>
            </w:r>
            <w:r w:rsidR="00D423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351</w:t>
            </w:r>
            <w:r w:rsidR="00A746E6"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7F0" w:rsidRPr="009303AE" w:rsidTr="000247F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Bežné výdavky (600)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D523DB" w:rsidRDefault="00D523DB" w:rsidP="00D523DB">
            <w:pPr>
              <w:pStyle w:val="Hlavi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3DB">
              <w:rPr>
                <w:rFonts w:ascii="Times New Roman" w:hAnsi="Times New Roman" w:cs="Times New Roman"/>
                <w:b/>
                <w:sz w:val="24"/>
              </w:rPr>
              <w:t>126 765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D523DB" w:rsidRDefault="00D523DB" w:rsidP="00D523DB">
            <w:pPr>
              <w:pStyle w:val="Hlavi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3DB">
              <w:rPr>
                <w:rFonts w:ascii="Times New Roman" w:hAnsi="Times New Roman" w:cs="Times New Roman"/>
                <w:b/>
                <w:sz w:val="24"/>
              </w:rPr>
              <w:t>96 105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D523DB" w:rsidRDefault="00D523DB" w:rsidP="00D523DB">
            <w:pPr>
              <w:pStyle w:val="Hlavi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3DB">
              <w:rPr>
                <w:rFonts w:ascii="Times New Roman" w:hAnsi="Times New Roman" w:cs="Times New Roman"/>
                <w:b/>
                <w:sz w:val="24"/>
              </w:rPr>
              <w:t>96 105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7F0" w:rsidRPr="009303AE" w:rsidTr="000247F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7F0" w:rsidRPr="009303AE" w:rsidTr="000247F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941CF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241</w:t>
            </w:r>
            <w:r w:rsidR="00D423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351</w:t>
            </w:r>
            <w:r w:rsidR="00A746E6" w:rsidRPr="009303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7F0" w:rsidRPr="009303AE" w:rsidTr="000247F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  <w:r w:rsidRPr="009303AE">
        <w:rPr>
          <w:rFonts w:ascii="Times New Roman" w:hAnsi="Times New Roman" w:cs="Times New Roman"/>
          <w:b/>
          <w:bCs/>
          <w:sz w:val="24"/>
          <w:szCs w:val="24"/>
        </w:rPr>
        <w:t>2 –  výdavky rozpísať až do položiek platnej ekonomickej klasifikácie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  <w:r w:rsidRPr="009303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D523DB" w:rsidRDefault="00D523DB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  <w:r w:rsidRPr="009303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Tabuľka č. 6 </w:t>
      </w:r>
    </w:p>
    <w:p w:rsidR="000247F0" w:rsidRPr="009303AE" w:rsidRDefault="000247F0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0247F0" w:rsidRPr="009303AE" w:rsidTr="000247F0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0247F0" w:rsidRPr="009303AE" w:rsidTr="000247F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247F0" w:rsidRPr="009303AE" w:rsidRDefault="00BD70B7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247F0" w:rsidRPr="009303AE" w:rsidRDefault="00BD70B7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247F0" w:rsidRPr="009303AE" w:rsidRDefault="00BD70B7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247F0" w:rsidRPr="009303AE" w:rsidRDefault="00BD70B7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7F0" w:rsidRPr="009303AE" w:rsidTr="000247F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zamestnancov celkom*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7F0" w:rsidRPr="009303AE" w:rsidTr="000247F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Priemerný mzdový výdavok (v eurách)*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Mzdy, platy, služobné príjmy a ostatné osobné vyrovnania (610)*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Poistné a príspevok do poisťovní (620)*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247F0" w:rsidRPr="009303AE" w:rsidTr="000247F0">
        <w:trPr>
          <w:trHeight w:val="255"/>
        </w:trPr>
        <w:tc>
          <w:tcPr>
            <w:tcW w:w="6188" w:type="dxa"/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7F0" w:rsidRPr="009303AE" w:rsidTr="000247F0">
        <w:trPr>
          <w:trHeight w:val="255"/>
        </w:trPr>
        <w:tc>
          <w:tcPr>
            <w:tcW w:w="6188" w:type="dxa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Poznámky:</w:t>
            </w:r>
          </w:p>
        </w:tc>
        <w:tc>
          <w:tcPr>
            <w:tcW w:w="1698" w:type="dxa"/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7F0" w:rsidRPr="009303AE" w:rsidTr="000247F0">
        <w:trPr>
          <w:trHeight w:val="255"/>
        </w:trPr>
        <w:tc>
          <w:tcPr>
            <w:tcW w:w="13814" w:type="dxa"/>
            <w:gridSpan w:val="6"/>
            <w:noWrap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1620" w:type="dxa"/>
            <w:gridSpan w:val="2"/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F0" w:rsidRPr="009303AE" w:rsidTr="000247F0">
        <w:trPr>
          <w:trHeight w:val="255"/>
        </w:trPr>
        <w:tc>
          <w:tcPr>
            <w:tcW w:w="15434" w:type="dxa"/>
            <w:gridSpan w:val="8"/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  34,95 %,  pre policajtov, profesionálnych vojakov, colníkov, hasičov vrátane horskej záchrannej služby predstavuje 33,2 %.  Pre ostatné subjekty verejnej správy vrátane prenesených kompetencií výkonu štátnej správy poistné tvorí podiel zodpovedajúci  35,2 %.</w:t>
            </w:r>
          </w:p>
        </w:tc>
      </w:tr>
      <w:tr w:rsidR="000247F0" w:rsidRPr="009303AE" w:rsidTr="000247F0">
        <w:trPr>
          <w:trHeight w:val="255"/>
        </w:trPr>
        <w:tc>
          <w:tcPr>
            <w:tcW w:w="10394" w:type="dxa"/>
            <w:gridSpan w:val="4"/>
            <w:noWrap/>
            <w:vAlign w:val="bottom"/>
            <w:hideMark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sz w:val="24"/>
                <w:szCs w:val="24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</w:rPr>
              <w:t>Kategórie 610 a 620 sú z tejto prílohy automaticky prenášané do príslušných kategórií prílohy</w:t>
            </w:r>
            <w:r w:rsidR="009303AE" w:rsidRPr="0093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3AE">
              <w:rPr>
                <w:rFonts w:ascii="Times New Roman" w:hAnsi="Times New Roman" w:cs="Times New Roman"/>
                <w:sz w:val="24"/>
                <w:szCs w:val="24"/>
              </w:rPr>
              <w:t>„výdavky“</w:t>
            </w:r>
          </w:p>
        </w:tc>
        <w:tc>
          <w:tcPr>
            <w:tcW w:w="1698" w:type="dxa"/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noWrap/>
            <w:vAlign w:val="bottom"/>
          </w:tcPr>
          <w:p w:rsidR="000247F0" w:rsidRPr="009303AE" w:rsidRDefault="000247F0" w:rsidP="000247F0">
            <w:pPr>
              <w:pStyle w:val="Hlavi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7F0" w:rsidRPr="009303AE" w:rsidRDefault="000247F0" w:rsidP="000247F0">
      <w:pPr>
        <w:pStyle w:val="Hlavika"/>
        <w:rPr>
          <w:rFonts w:ascii="Times New Roman" w:hAnsi="Times New Roman" w:cs="Times New Roman"/>
          <w:bCs/>
          <w:sz w:val="24"/>
          <w:szCs w:val="24"/>
        </w:rPr>
      </w:pPr>
      <w:r w:rsidRPr="009303AE">
        <w:rPr>
          <w:rFonts w:ascii="Times New Roman" w:hAnsi="Times New Roman" w:cs="Times New Roman"/>
          <w:bCs/>
          <w:sz w:val="24"/>
          <w:szCs w:val="24"/>
        </w:rPr>
        <w:t>* počet zamestnancov,  mzdy a poistné rozpísať podľa spôsobu odmeňovania (napr. policajti, colníci ...)</w:t>
      </w:r>
    </w:p>
    <w:p w:rsidR="000247F0" w:rsidRPr="009303AE" w:rsidRDefault="00BD70B7" w:rsidP="000247F0">
      <w:pPr>
        <w:pStyle w:val="Hlavika"/>
        <w:rPr>
          <w:rFonts w:ascii="Times New Roman" w:hAnsi="Times New Roman" w:cs="Times New Roman"/>
          <w:b/>
          <w:bCs/>
          <w:sz w:val="24"/>
          <w:szCs w:val="24"/>
        </w:rPr>
        <w:sectPr w:rsidR="000247F0" w:rsidRPr="009303AE">
          <w:pgSz w:w="16838" w:h="11906" w:orient="landscape"/>
          <w:pgMar w:top="1418" w:right="1418" w:bottom="1418" w:left="1418" w:header="709" w:footer="709" w:gutter="0"/>
          <w:cols w:space="708"/>
        </w:sectPr>
      </w:pPr>
      <w:r w:rsidRPr="00930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3E7D" w:rsidRPr="009303AE" w:rsidRDefault="001C3E7D" w:rsidP="009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303A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Vplyvy na informatizáciu spoločnosti</w:t>
      </w:r>
    </w:p>
    <w:p w:rsidR="00633607" w:rsidRPr="009303AE" w:rsidRDefault="00633607" w:rsidP="00633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3780"/>
      </w:tblGrid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BD70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71021"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.1.</w:t>
            </w:r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Rozširujú alebo inovujú sa existujúce alebo vytvárajú sa či zavádzajú sa nové elektronické služby?</w:t>
            </w:r>
          </w:p>
          <w:p w:rsidR="00671021" w:rsidRPr="009303AE" w:rsidRDefault="00671021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(Popíšte ich funkciu a úroveň poskytovania.)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Áno, zverejňovaním údajov z Centrálneho registra na webovom sídle štátna pomoc sa zavádzajú nové elektronické služby  s úrovňou minimálne III (obojstranná interakcia)</w:t>
            </w:r>
          </w:p>
        </w:tc>
      </w:tr>
      <w:tr w:rsidR="00671021" w:rsidRPr="009303AE" w:rsidTr="00671021">
        <w:trPr>
          <w:trHeight w:val="72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BD70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71021"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.2.</w:t>
            </w:r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Vytvárajú sa podmienky pre sémantickú </w:t>
            </w:r>
            <w:proofErr w:type="spellStart"/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interoperabilitu</w:t>
            </w:r>
            <w:proofErr w:type="spellEnd"/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? </w:t>
            </w:r>
            <w:r w:rsidR="00671021" w:rsidRPr="009303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671021" w:rsidRPr="009303AE" w:rsidRDefault="00671021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BD70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71021"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.3.</w:t>
            </w:r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Zabezpečuje sa vzdelávanie v oblasti počítačovej gramotnosti a rozširovanie vedomostí o IKT?</w:t>
            </w:r>
          </w:p>
          <w:p w:rsidR="00671021" w:rsidRPr="009303AE" w:rsidRDefault="00671021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671021" w:rsidRPr="009303AE" w:rsidRDefault="006710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BD70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71021"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.4.</w:t>
            </w:r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Zabezpečuje sa rozvoj elektronického vzdelávania?</w:t>
            </w:r>
          </w:p>
          <w:p w:rsidR="00671021" w:rsidRPr="009303AE" w:rsidRDefault="00671021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typ a spôsob zabezpečenia vzdelávacích aktivít.)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BD70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71021"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.5.</w:t>
            </w:r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Zabezpečuje sa podporná a propagačná aktivita zameraná na zvyšovanie povedomia o informatizácii a IKT? </w:t>
            </w:r>
            <w:r w:rsidR="00671021" w:rsidRPr="009303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BD70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71021"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.6.</w:t>
            </w:r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Zabezpečuje/zohľadňuje/zlepšuje sa prístup znevýhodnených osôb k službám informačnej spoločnosti? </w:t>
            </w:r>
            <w:r w:rsidR="00671021" w:rsidRPr="009303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BD70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71021"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.7.</w:t>
            </w:r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Rozširuje, inovuje, vytvára alebo zavádza sa nový informačný systém? </w:t>
            </w:r>
            <w:r w:rsidR="00671021" w:rsidRPr="009303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Vytvára sa Centrálny register, ktorý je informačným systémom verejnej správy a jeho funkciou bude evidencia poskytnutej štátnej pomoci a minimálnej pomoci v Slovenskej </w:t>
            </w:r>
            <w:r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republike. Jeho správcom bude koordinátor pomoci.</w:t>
            </w: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BD70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3</w:t>
            </w:r>
            <w:r w:rsidR="00671021"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.8.</w:t>
            </w:r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Rozširuje sa prístupnosť k internetu?</w:t>
            </w:r>
          </w:p>
          <w:p w:rsidR="00671021" w:rsidRPr="009303AE" w:rsidRDefault="00671021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BD70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71021"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.9.</w:t>
            </w:r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Rozširuje sa prístupnosť k elektronickým službám?</w:t>
            </w:r>
          </w:p>
          <w:p w:rsidR="00671021" w:rsidRPr="009303AE" w:rsidRDefault="00671021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BD70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71021"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.10.</w:t>
            </w:r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Zabezpečuje sa technická </w:t>
            </w:r>
            <w:proofErr w:type="spellStart"/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interoperabilita</w:t>
            </w:r>
            <w:proofErr w:type="spellEnd"/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?</w:t>
            </w:r>
          </w:p>
          <w:p w:rsidR="00671021" w:rsidRPr="009303AE" w:rsidRDefault="00671021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BD70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71021"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.11.</w:t>
            </w:r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Zvyšuje sa bezpečnosť IT?</w:t>
            </w:r>
          </w:p>
          <w:p w:rsidR="00671021" w:rsidRPr="009303AE" w:rsidRDefault="00671021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Pr="009303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Uveďte spôsob zvýšenia bezpečnosti a ochrany IT.)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BD70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71021"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.12.</w:t>
            </w:r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Rozširuje sa technická infraštruktúra?</w:t>
            </w:r>
          </w:p>
          <w:p w:rsidR="00671021" w:rsidRPr="009303AE" w:rsidRDefault="00671021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Pr="009303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BD70B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71021"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.13.</w:t>
            </w:r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Predpokladajú sa zmeny v riadení procesu informatizácie? </w:t>
            </w:r>
            <w:r w:rsidR="00671021" w:rsidRPr="009303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BD70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71021"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.14.</w:t>
            </w:r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Vyžaduje si proces informatizácie finančné investície? </w:t>
            </w:r>
            <w:r w:rsidR="00671021" w:rsidRPr="009303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 w:rsidP="006710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Rezortná úroveň </w:t>
            </w: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71021" w:rsidRPr="009303AE" w:rsidTr="00671021"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BD70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671021" w:rsidRPr="0093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.15.</w:t>
            </w:r>
            <w:r w:rsidR="00671021"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Predpokladá nelegislatívny materiál potrebu úpravy legislatívneho prostredia procesu informatizácie?</w:t>
            </w:r>
          </w:p>
          <w:p w:rsidR="00671021" w:rsidRPr="009303AE" w:rsidRDefault="00671021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71021" w:rsidRPr="009303AE" w:rsidRDefault="006710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303A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</w:tbl>
    <w:p w:rsidR="00DE3364" w:rsidRPr="009303AE" w:rsidRDefault="00DE3364">
      <w:pPr>
        <w:rPr>
          <w:rFonts w:ascii="Times New Roman" w:hAnsi="Times New Roman" w:cs="Times New Roman"/>
        </w:rPr>
      </w:pPr>
    </w:p>
    <w:sectPr w:rsidR="00DE3364" w:rsidRPr="0093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85" w:rsidRDefault="00720F85" w:rsidP="00633607">
      <w:pPr>
        <w:spacing w:after="0" w:line="240" w:lineRule="auto"/>
      </w:pPr>
      <w:r>
        <w:separator/>
      </w:r>
    </w:p>
  </w:endnote>
  <w:endnote w:type="continuationSeparator" w:id="0">
    <w:p w:rsidR="00720F85" w:rsidRDefault="00720F85" w:rsidP="0063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222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523DB" w:rsidRPr="0025210A" w:rsidRDefault="00D523DB">
        <w:pPr>
          <w:pStyle w:val="Pta"/>
          <w:jc w:val="center"/>
          <w:rPr>
            <w:rFonts w:ascii="Times New Roman" w:hAnsi="Times New Roman" w:cs="Times New Roman"/>
          </w:rPr>
        </w:pPr>
        <w:r w:rsidRPr="0025210A">
          <w:rPr>
            <w:rFonts w:ascii="Times New Roman" w:hAnsi="Times New Roman" w:cs="Times New Roman"/>
          </w:rPr>
          <w:fldChar w:fldCharType="begin"/>
        </w:r>
        <w:r w:rsidRPr="0025210A">
          <w:rPr>
            <w:rFonts w:ascii="Times New Roman" w:hAnsi="Times New Roman" w:cs="Times New Roman"/>
          </w:rPr>
          <w:instrText>PAGE   \* MERGEFORMAT</w:instrText>
        </w:r>
        <w:r w:rsidRPr="0025210A">
          <w:rPr>
            <w:rFonts w:ascii="Times New Roman" w:hAnsi="Times New Roman" w:cs="Times New Roman"/>
          </w:rPr>
          <w:fldChar w:fldCharType="separate"/>
        </w:r>
        <w:r w:rsidR="00CE069E">
          <w:rPr>
            <w:rFonts w:ascii="Times New Roman" w:hAnsi="Times New Roman" w:cs="Times New Roman"/>
            <w:noProof/>
          </w:rPr>
          <w:t>1</w:t>
        </w:r>
        <w:r w:rsidRPr="0025210A">
          <w:rPr>
            <w:rFonts w:ascii="Times New Roman" w:hAnsi="Times New Roman" w:cs="Times New Roman"/>
          </w:rPr>
          <w:fldChar w:fldCharType="end"/>
        </w:r>
      </w:p>
    </w:sdtContent>
  </w:sdt>
  <w:p w:rsidR="00D523DB" w:rsidRDefault="00D523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85" w:rsidRDefault="00720F85" w:rsidP="00633607">
      <w:pPr>
        <w:spacing w:after="0" w:line="240" w:lineRule="auto"/>
      </w:pPr>
      <w:r>
        <w:separator/>
      </w:r>
    </w:p>
  </w:footnote>
  <w:footnote w:type="continuationSeparator" w:id="0">
    <w:p w:rsidR="00720F85" w:rsidRDefault="00720F85" w:rsidP="00633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95"/>
    <w:rsid w:val="000247F0"/>
    <w:rsid w:val="00035D95"/>
    <w:rsid w:val="00064D1F"/>
    <w:rsid w:val="00086868"/>
    <w:rsid w:val="00086C52"/>
    <w:rsid w:val="000941CF"/>
    <w:rsid w:val="000B4079"/>
    <w:rsid w:val="000E694E"/>
    <w:rsid w:val="00110D5D"/>
    <w:rsid w:val="00163ED1"/>
    <w:rsid w:val="001C3E7D"/>
    <w:rsid w:val="001E0D98"/>
    <w:rsid w:val="001E4B3E"/>
    <w:rsid w:val="00245C52"/>
    <w:rsid w:val="0025210A"/>
    <w:rsid w:val="0033391C"/>
    <w:rsid w:val="00342F76"/>
    <w:rsid w:val="00392C7E"/>
    <w:rsid w:val="00411C16"/>
    <w:rsid w:val="00543729"/>
    <w:rsid w:val="0056280E"/>
    <w:rsid w:val="006173CB"/>
    <w:rsid w:val="00630361"/>
    <w:rsid w:val="00633607"/>
    <w:rsid w:val="00653601"/>
    <w:rsid w:val="00671021"/>
    <w:rsid w:val="006A7539"/>
    <w:rsid w:val="006B43D8"/>
    <w:rsid w:val="00720F85"/>
    <w:rsid w:val="007668F7"/>
    <w:rsid w:val="007E3CEA"/>
    <w:rsid w:val="00867484"/>
    <w:rsid w:val="00886BB3"/>
    <w:rsid w:val="009303AE"/>
    <w:rsid w:val="00A746E6"/>
    <w:rsid w:val="00AB36C1"/>
    <w:rsid w:val="00AC56E2"/>
    <w:rsid w:val="00B74D61"/>
    <w:rsid w:val="00BC3591"/>
    <w:rsid w:val="00BD70B7"/>
    <w:rsid w:val="00BF0646"/>
    <w:rsid w:val="00C2212D"/>
    <w:rsid w:val="00C33B63"/>
    <w:rsid w:val="00C35F18"/>
    <w:rsid w:val="00C41F98"/>
    <w:rsid w:val="00CC582E"/>
    <w:rsid w:val="00CE069E"/>
    <w:rsid w:val="00D00BE9"/>
    <w:rsid w:val="00D156B0"/>
    <w:rsid w:val="00D4231C"/>
    <w:rsid w:val="00D44F3E"/>
    <w:rsid w:val="00D523DB"/>
    <w:rsid w:val="00DE3364"/>
    <w:rsid w:val="00E64A7F"/>
    <w:rsid w:val="00E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C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C3E7D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360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36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3607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64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4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F76"/>
  </w:style>
  <w:style w:type="paragraph" w:styleId="Pta">
    <w:name w:val="footer"/>
    <w:basedOn w:val="Normlny"/>
    <w:link w:val="PtaChar"/>
    <w:uiPriority w:val="99"/>
    <w:unhideWhenUsed/>
    <w:rsid w:val="0034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C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C3E7D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360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36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3607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64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4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F76"/>
  </w:style>
  <w:style w:type="paragraph" w:styleId="Pta">
    <w:name w:val="footer"/>
    <w:basedOn w:val="Normlny"/>
    <w:link w:val="PtaChar"/>
    <w:uiPriority w:val="99"/>
    <w:unhideWhenUsed/>
    <w:rsid w:val="0034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Vizikova Annamaria</dc:creator>
  <cp:lastModifiedBy>Vlcekova Barbara</cp:lastModifiedBy>
  <cp:revision>6</cp:revision>
  <cp:lastPrinted>2015-05-28T13:25:00Z</cp:lastPrinted>
  <dcterms:created xsi:type="dcterms:W3CDTF">2015-03-19T10:54:00Z</dcterms:created>
  <dcterms:modified xsi:type="dcterms:W3CDTF">2015-05-28T13:38:00Z</dcterms:modified>
</cp:coreProperties>
</file>