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65" w:rsidRPr="000E484D" w:rsidRDefault="00A40165" w:rsidP="000E484D">
      <w:pPr>
        <w:pStyle w:val="Nzov"/>
        <w:rPr>
          <w:rFonts w:ascii="Times New Roman" w:hAnsi="Times New Roman" w:cs="Times New Roman"/>
          <w:sz w:val="28"/>
          <w:szCs w:val="28"/>
        </w:rPr>
      </w:pPr>
      <w:r w:rsidRPr="000E484D">
        <w:rPr>
          <w:rFonts w:ascii="Times New Roman" w:hAnsi="Times New Roman" w:cs="Times New Roman"/>
          <w:sz w:val="28"/>
          <w:szCs w:val="28"/>
        </w:rPr>
        <w:t>Správa o transformácii vlastníckych a užívacích vzťahov</w:t>
      </w:r>
      <w:r w:rsidR="000E484D">
        <w:rPr>
          <w:rFonts w:ascii="Times New Roman" w:hAnsi="Times New Roman" w:cs="Times New Roman"/>
          <w:sz w:val="28"/>
          <w:szCs w:val="28"/>
        </w:rPr>
        <w:br/>
      </w:r>
      <w:r w:rsidRPr="000E484D">
        <w:rPr>
          <w:rFonts w:ascii="Times New Roman" w:hAnsi="Times New Roman" w:cs="Times New Roman"/>
          <w:sz w:val="28"/>
          <w:szCs w:val="28"/>
        </w:rPr>
        <w:t>k lesný</w:t>
      </w:r>
      <w:r w:rsidR="000E484D" w:rsidRPr="000E484D">
        <w:rPr>
          <w:rFonts w:ascii="Times New Roman" w:hAnsi="Times New Roman" w:cs="Times New Roman"/>
          <w:sz w:val="28"/>
          <w:szCs w:val="28"/>
        </w:rPr>
        <w:t>m</w:t>
      </w:r>
      <w:r w:rsidRPr="000E484D">
        <w:rPr>
          <w:rFonts w:ascii="Times New Roman" w:hAnsi="Times New Roman" w:cs="Times New Roman"/>
          <w:sz w:val="28"/>
          <w:szCs w:val="28"/>
        </w:rPr>
        <w:t xml:space="preserve"> pozemkom</w:t>
      </w:r>
    </w:p>
    <w:p w:rsidR="00A40165" w:rsidRDefault="00A40165">
      <w:pPr>
        <w:spacing w:before="240" w:after="240" w:line="240" w:lineRule="auto"/>
        <w:jc w:val="both"/>
        <w:rPr>
          <w:rFonts w:ascii="Times New Roman" w:hAnsi="Times New Roman" w:cs="Times New Roman"/>
          <w:sz w:val="24"/>
          <w:szCs w:val="24"/>
          <w:lang w:eastAsia="sk-SK"/>
        </w:rPr>
      </w:pPr>
    </w:p>
    <w:p w:rsidR="00A40165" w:rsidRDefault="00A40165">
      <w:pPr>
        <w:pStyle w:val="Nadpis1"/>
        <w:spacing w:before="0" w:after="0"/>
        <w:rPr>
          <w:rFonts w:ascii="Times New Roman" w:hAnsi="Times New Roman" w:cs="Times New Roman"/>
        </w:rPr>
      </w:pPr>
      <w:r>
        <w:rPr>
          <w:rFonts w:ascii="Times New Roman" w:hAnsi="Times New Roman" w:cs="Times New Roman"/>
        </w:rPr>
        <w:t>Ú v o d</w:t>
      </w:r>
    </w:p>
    <w:p w:rsidR="00A40165" w:rsidRDefault="00A40165">
      <w:pPr>
        <w:pStyle w:val="Zkladntext2"/>
        <w:spacing w:before="0" w:after="0"/>
        <w:rPr>
          <w:rFonts w:ascii="Times New Roman" w:hAnsi="Times New Roman" w:cs="Times New Roman"/>
          <w:i w:val="0"/>
          <w:iCs w:val="0"/>
        </w:rPr>
      </w:pPr>
    </w:p>
    <w:p w:rsidR="00A40165" w:rsidRDefault="00A40165">
      <w:pPr>
        <w:pStyle w:val="Zkladntext2"/>
        <w:spacing w:before="0" w:after="0"/>
        <w:rPr>
          <w:rFonts w:ascii="Times New Roman" w:hAnsi="Times New Roman" w:cs="Times New Roman"/>
          <w:i w:val="0"/>
          <w:iCs w:val="0"/>
        </w:rPr>
      </w:pPr>
      <w:r>
        <w:rPr>
          <w:rFonts w:ascii="Times New Roman" w:hAnsi="Times New Roman" w:cs="Times New Roman"/>
          <w:i w:val="0"/>
          <w:iCs w:val="0"/>
        </w:rPr>
        <w:t>Federálne zhromaždenie Českej a Slovenskej Federatívnej republiky prijalo 24. júna 1991 zákon č. 229/1991 Zb. o úprave vlastníckych vzťahov k pôde a inému poľnohospodárskemu majetku (ďalej len „zákon č. 229/1991 Zb.“) v snahe zmierniť následky niektorých majetkových krívd, ku ktorým došlo voči vlastníkom poľnohospodárskych a lesných pozemkov v období rokov 1948 až 1989. Účelom zákona bolo zmiernenie niektorých majetkových krívd a dosiahnutie zlepšenia starostlivosti o poľnohospodársku a lesnú pôdu obnovením pôvodných vlastníckych vzťahov a upravením vlastníckych</w:t>
      </w:r>
      <w:r>
        <w:rPr>
          <w:rFonts w:ascii="Times New Roman" w:hAnsi="Times New Roman" w:cs="Times New Roman"/>
          <w:i w:val="0"/>
          <w:iCs w:val="0"/>
        </w:rPr>
        <w:br/>
        <w:t>a užívacích vzťahov k pôde v súlade so záujmami hospodárskeho rozvoja vidieka. Ďalším zákonom, ktorý rieši nápravu krívd spôsobených vlastníkom pôdy v rozhodujúcom období, je zákon č. 503/2003 Z. z. o navrátení vlastníctva k pozemkom a o zmene a doplnení zákona Národnej rady Slovenskej republiky č. 180/1995 Z. z. o niektorých opatreniach</w:t>
      </w:r>
      <w:r>
        <w:rPr>
          <w:rFonts w:ascii="Times New Roman" w:hAnsi="Times New Roman" w:cs="Times New Roman"/>
          <w:i w:val="0"/>
          <w:iCs w:val="0"/>
        </w:rPr>
        <w:br/>
        <w:t>na usporiadanie vlastníctva k pozemkom v znení neskorších predpisov (ďalej len „zákon</w:t>
      </w:r>
      <w:r>
        <w:rPr>
          <w:rFonts w:ascii="Times New Roman" w:hAnsi="Times New Roman" w:cs="Times New Roman"/>
          <w:i w:val="0"/>
          <w:iCs w:val="0"/>
        </w:rPr>
        <w:br/>
        <w:t>č. 180/1995 Z. z.“).</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Default="00A40165">
      <w:pPr>
        <w:pStyle w:val="Zarkazkladnhotextu3"/>
        <w:rPr>
          <w:rFonts w:ascii="Times New Roman" w:hAnsi="Times New Roman" w:cs="Times New Roman"/>
        </w:rPr>
      </w:pPr>
      <w:r>
        <w:rPr>
          <w:rFonts w:ascii="Times New Roman" w:hAnsi="Times New Roman" w:cs="Times New Roman"/>
        </w:rPr>
        <w:t>Majetok, ktorý bol ku dňu 31. decembra 1949 vo vlastníctve obcí a prešiel</w:t>
      </w:r>
      <w:r>
        <w:rPr>
          <w:rFonts w:ascii="Times New Roman" w:hAnsi="Times New Roman" w:cs="Times New Roman"/>
        </w:rPr>
        <w:br/>
        <w:t>do vlastníctva štátu, upravuje zákon č. 306/1992 Zb., ktorým sa mení a dopĺňa zákon Slovenskej národnej rady č. 138/1991 Zb. o majetku obcí v znení neskorších predpisov (ďalej len „zákon č. 306/1992 Zb.“). Dňom jeho účinnosti (t. j. 25. júna 1992) obce nadobudli</w:t>
      </w:r>
      <w:r>
        <w:rPr>
          <w:rFonts w:ascii="Times New Roman" w:hAnsi="Times New Roman" w:cs="Times New Roman"/>
        </w:rPr>
        <w:br/>
        <w:t>do vlastníctva lesné pozemky, vrátane lesných porastov na nich.</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Default="00A40165">
      <w:pPr>
        <w:pStyle w:val="Zarkazkladnhotextu3"/>
        <w:rPr>
          <w:rFonts w:ascii="Times New Roman" w:hAnsi="Times New Roman" w:cs="Times New Roman"/>
        </w:rPr>
      </w:pPr>
      <w:r>
        <w:rPr>
          <w:rFonts w:ascii="Times New Roman" w:hAnsi="Times New Roman" w:cs="Times New Roman"/>
        </w:rPr>
        <w:t>Ďalším zákonom, ktorým sa zmierňovali následky majetkových krívd, bol zákon</w:t>
      </w:r>
      <w:r>
        <w:rPr>
          <w:rFonts w:ascii="Times New Roman" w:hAnsi="Times New Roman" w:cs="Times New Roman"/>
        </w:rPr>
        <w:br/>
        <w:t>č. 282/1993 Z. z. o zmiernení niektorých majetkových krívd spôsobených cirkvám a náboženským spoločnostiam v znení neskorších predpisov (ďalej len „zákon č. 282/1993 Z. z.“) a zákon č. 161/2005 Z. z. o navrátení vlastníctva k nehnuteľným veciam cirkvám a náboženským spoločnostiam a prechode vlastníctva k niektorým nehnuteľnostiam (ďalej len „zákon č. 161/2005 Z. z.“).</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Default="00A40165">
      <w:pPr>
        <w:pStyle w:val="Zarkazkladnhotextu3"/>
        <w:rPr>
          <w:rFonts w:ascii="Times New Roman" w:hAnsi="Times New Roman" w:cs="Times New Roman"/>
        </w:rPr>
      </w:pPr>
      <w:r>
        <w:rPr>
          <w:rFonts w:ascii="Times New Roman" w:hAnsi="Times New Roman" w:cs="Times New Roman"/>
        </w:rPr>
        <w:t>Uplatňovaním týchto zákonov riešiacich nápravu krívd sa začal zložitý a dlhotrvajúci proces, ktorý nie je ani s odstupom viac ako dvadsať rokov ukončený. Je spojený s mnohými komplikáciami, spôsobenými nielen osobitosťami usporiadania vlastníctva v zložitých vlastníckych vzťahoch a stavom evidencie právnych vzťahov k pôde, ale aj možnosťami budúceho obhospodarovania a ochrany pôdy.</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Predmetom správy o transformácii vlastníckych a užívacích vzťahov k lesným pozemkom sú lesné pozemky užívané štátnymi organizáciami lesného hospodárstva (ďalej len „ŠOLH“) v pôsobnosti Ministerstva pôdohospodárstva a rozvoja vidieka Slovenskej republiky (ďalej len „ministerstvo“) a v pôsobnosti Ministerstva obrany Slovenskej republiky (ďalej len „MO SR“) ku dňu účinnosti reštitučných zákonov, na základe údajov získaných a poskytnutých týmito organizáciami.</w:t>
      </w:r>
    </w:p>
    <w:p w:rsidR="00A40165" w:rsidRDefault="00A40165">
      <w:pPr>
        <w:spacing w:after="0" w:line="240" w:lineRule="auto"/>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sz w:val="24"/>
          <w:szCs w:val="24"/>
          <w:lang w:eastAsia="sk-SK"/>
        </w:rPr>
        <w:br w:type="page"/>
      </w:r>
      <w:r>
        <w:rPr>
          <w:rFonts w:ascii="Times New Roman" w:hAnsi="Times New Roman" w:cs="Times New Roman"/>
          <w:b/>
          <w:bCs/>
          <w:sz w:val="24"/>
          <w:szCs w:val="24"/>
          <w:lang w:eastAsia="sk-SK"/>
        </w:rPr>
        <w:lastRenderedPageBreak/>
        <w:t>1. Obhospodarovanie lesných pozemkov so stavom ku dňu 31. decembra 2014</w:t>
      </w: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pStyle w:val="Nadpis1"/>
        <w:spacing w:before="0" w:after="0"/>
        <w:rPr>
          <w:rFonts w:ascii="Times New Roman" w:hAnsi="Times New Roman" w:cs="Times New Roman"/>
        </w:rPr>
      </w:pPr>
      <w:r>
        <w:rPr>
          <w:rFonts w:ascii="Times New Roman" w:hAnsi="Times New Roman" w:cs="Times New Roman"/>
        </w:rPr>
        <w:t>1.1. Usporiadanie vlastníckych a užívacích vzťahov k lesným pozemkom</w:t>
      </w:r>
    </w:p>
    <w:p w:rsidR="00A40165" w:rsidRDefault="00A40165">
      <w:pPr>
        <w:spacing w:after="0" w:line="240" w:lineRule="auto"/>
        <w:rPr>
          <w:rFonts w:ascii="Times New Roman" w:hAnsi="Times New Roman" w:cs="Times New Roman"/>
          <w:b/>
          <w:bCs/>
          <w:sz w:val="24"/>
          <w:szCs w:val="24"/>
          <w:lang w:eastAsia="sk-SK"/>
        </w:rPr>
      </w:pPr>
    </w:p>
    <w:p w:rsidR="00A40165" w:rsidRPr="00DC49FE" w:rsidRDefault="00A40165">
      <w:pPr>
        <w:spacing w:after="0" w:line="240" w:lineRule="auto"/>
        <w:ind w:firstLine="709"/>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 xml:space="preserve">Celková výmera lesných pozemkov, ktoré sú predmetom transformácie vlastníckych a užívacích vzťahov k pôde v pôsobnosti ministerstva a MO SR predstavuje výmeru s rozlohou 1 149 370 ha. Z toho výmera odovzdaných lesných pozemkov je 972 650 ha a výmera neodovzdaných lesných pozemkov je 176 720 ha. </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ŠOLH obhospodarujú 1 020 765 ha lesnej pôdy. Z toho 825 233 ha lesných pozemkov je vo vlastníctve Slovenskej republiky, 30 073 ha tvoria lesné pozemky v nájme od fyzických a právnických osôb a 176 720 ha predstavujú lesné pozemky vo vlastníctve neštátneho sektora, pozostávajúce z lesných pozemkov vo vlastníctve fyzických a právnických osôb, ktoré si svoje práva uplatnili a sú v riešení, neznámych fyzických osôb, fyzických osôb, ktorých pobyt nie je známy a osôb, ktoré si svoje práva doteraz neuplatnili. Lesné pozemky vo vlastníctve Slovenskej republiky vo výmere 11 261 ha boli prenajaté lesníckemu školstvu na zabezpečenie výučby stredných lesníckych škôl a Technickej univerzity vo Zvolene a fyzickým a právnickým osobám, s cieľom ich racionálneho obhospodarovania. Prehľad o obhospodarovaní lesných pozemkov je uvedený v prílohách č. 2a až 2f.</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 xml:space="preserve">Povinné osoby v pôsobnosti ministerstva a MO SR zabezpečujú riešenie žiadostí oprávnených osôb s celkovým počtom </w:t>
      </w:r>
      <w:r w:rsidRPr="009B60D0">
        <w:rPr>
          <w:rFonts w:ascii="Times New Roman" w:hAnsi="Times New Roman" w:cs="Times New Roman"/>
          <w:bCs/>
          <w:sz w:val="24"/>
          <w:szCs w:val="24"/>
          <w:lang w:eastAsia="sk-SK"/>
        </w:rPr>
        <w:t>61</w:t>
      </w:r>
      <w:r w:rsidRPr="00DC49FE">
        <w:rPr>
          <w:rFonts w:ascii="Times New Roman" w:hAnsi="Times New Roman" w:cs="Times New Roman"/>
          <w:sz w:val="24"/>
          <w:szCs w:val="24"/>
          <w:lang w:eastAsia="sk-SK"/>
        </w:rPr>
        <w:t xml:space="preserve"> zamestnancov. Z toho LESY Slovenskej republiky, štátny podnik (ďalej len „LESY SR, š. p.“) zabezpečuje úlohy 44 zamestnancami, </w:t>
      </w:r>
      <w:proofErr w:type="spellStart"/>
      <w:r w:rsidRPr="00DC49FE">
        <w:rPr>
          <w:rFonts w:ascii="Times New Roman" w:hAnsi="Times New Roman" w:cs="Times New Roman"/>
          <w:sz w:val="24"/>
          <w:szCs w:val="24"/>
          <w:lang w:eastAsia="sk-SK"/>
        </w:rPr>
        <w:t>Lesopoľnohospodársky</w:t>
      </w:r>
      <w:proofErr w:type="spellEnd"/>
      <w:r w:rsidRPr="00DC49FE">
        <w:rPr>
          <w:rFonts w:ascii="Times New Roman" w:hAnsi="Times New Roman" w:cs="Times New Roman"/>
          <w:sz w:val="24"/>
          <w:szCs w:val="24"/>
          <w:lang w:eastAsia="sk-SK"/>
        </w:rPr>
        <w:t xml:space="preserve"> majetok Ulič, štátny podnik (ďalej len „LPM Ulič, š. p.“) zabezpečuje úlohy 1 zamestnancom, </w:t>
      </w:r>
      <w:r w:rsidR="00CD64DD" w:rsidRPr="003E0B71">
        <w:rPr>
          <w:rFonts w:ascii="Times New Roman" w:hAnsi="Times New Roman" w:cs="Times New Roman"/>
          <w:sz w:val="24"/>
          <w:szCs w:val="24"/>
        </w:rPr>
        <w:t>Štátne lesy Tatranského národného parku Tatranská Lomnica</w:t>
      </w:r>
      <w:r w:rsidRPr="00DC49FE">
        <w:rPr>
          <w:rFonts w:ascii="Times New Roman" w:hAnsi="Times New Roman" w:cs="Times New Roman"/>
          <w:sz w:val="24"/>
          <w:szCs w:val="24"/>
          <w:lang w:eastAsia="sk-SK"/>
        </w:rPr>
        <w:t xml:space="preserve"> (ďalej len „ŠL TANAP“) 4 zamestnancami a Vojenské lesy a majetky SR - štátny podnik (ďalej len „VLM, š. p.“) 12 zamestnancami, z</w:t>
      </w:r>
      <w:r w:rsidR="00CD64DD">
        <w:rPr>
          <w:rFonts w:ascii="Times New Roman" w:hAnsi="Times New Roman" w:cs="Times New Roman"/>
          <w:sz w:val="24"/>
          <w:szCs w:val="24"/>
          <w:lang w:eastAsia="sk-SK"/>
        </w:rPr>
        <w:t> </w:t>
      </w:r>
      <w:r w:rsidRPr="00DC49FE">
        <w:rPr>
          <w:rFonts w:ascii="Times New Roman" w:hAnsi="Times New Roman" w:cs="Times New Roman"/>
          <w:sz w:val="24"/>
          <w:szCs w:val="24"/>
          <w:lang w:eastAsia="sk-SK"/>
        </w:rPr>
        <w:t>čoho</w:t>
      </w:r>
      <w:r w:rsidR="00CD64DD">
        <w:rPr>
          <w:rFonts w:ascii="Times New Roman" w:hAnsi="Times New Roman" w:cs="Times New Roman"/>
          <w:sz w:val="24"/>
          <w:szCs w:val="24"/>
          <w:lang w:eastAsia="sk-SK"/>
        </w:rPr>
        <w:t xml:space="preserve"> </w:t>
      </w:r>
      <w:r w:rsidRPr="00DC49FE">
        <w:rPr>
          <w:rFonts w:ascii="Times New Roman" w:hAnsi="Times New Roman" w:cs="Times New Roman"/>
          <w:sz w:val="24"/>
          <w:szCs w:val="24"/>
          <w:lang w:eastAsia="sk-SK"/>
        </w:rPr>
        <w:t>je 8 v oddelení reštitúcií, ktoré organizačne prešlo po zrušení Vojenského obvodu</w:t>
      </w:r>
      <w:r>
        <w:rPr>
          <w:rFonts w:ascii="Times New Roman" w:hAnsi="Times New Roman" w:cs="Times New Roman"/>
          <w:sz w:val="24"/>
          <w:szCs w:val="24"/>
          <w:lang w:eastAsia="sk-SK"/>
        </w:rPr>
        <w:t xml:space="preserve"> Javorina</w:t>
      </w:r>
      <w:r w:rsidR="00CD64DD">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z MO SR na VLM, š. p., OZ Kežmarok.  </w:t>
      </w:r>
    </w:p>
    <w:p w:rsidR="00A40165" w:rsidRDefault="00A40165">
      <w:pPr>
        <w:spacing w:after="0" w:line="240" w:lineRule="auto"/>
        <w:ind w:firstLine="709"/>
        <w:jc w:val="both"/>
        <w:rPr>
          <w:rFonts w:ascii="Times New Roman" w:hAnsi="Times New Roman" w:cs="Times New Roman"/>
          <w:sz w:val="12"/>
          <w:szCs w:val="12"/>
          <w:lang w:eastAsia="sk-SK"/>
        </w:rPr>
      </w:pPr>
    </w:p>
    <w:p w:rsidR="00A40165" w:rsidRDefault="00A40165">
      <w:pPr>
        <w:pStyle w:val="Zarkazkladnhotextu2"/>
        <w:spacing w:before="0" w:after="0"/>
        <w:rPr>
          <w:rFonts w:ascii="Times New Roman" w:hAnsi="Times New Roman" w:cs="Times New Roman"/>
        </w:rPr>
      </w:pPr>
      <w:r>
        <w:rPr>
          <w:rFonts w:ascii="Times New Roman" w:hAnsi="Times New Roman" w:cs="Times New Roman"/>
        </w:rPr>
        <w:t>Títo zamestnanci majú v pracovnej náplni aj konania registrov obnovenej evidencie pozemkov, pozemkové úpravy, konania na orgánoch štátnej správy (obnova programov starostlivosti o lesy, územné konanie, stavebné konanie, zmeny druhov pozemkov a pod.), vedenie evidencie pozemkov, inventarizáciu pozemkov, prevody správy, zámeny, podklady pre audit, delimitáciu so Slovenským pozemkovým fondom, majetkovoprávne usporiadanie pozemkov vo vlastníctve štátu, podklady pre uzatvorenie nájomných zmlúv na lesnícke obhospodarovanie iných vlastníkov, ako je vlastníctvo štátu a pod.</w:t>
      </w:r>
    </w:p>
    <w:p w:rsidR="00A40165" w:rsidRDefault="00A40165">
      <w:pPr>
        <w:spacing w:after="0" w:line="240" w:lineRule="auto"/>
        <w:ind w:left="595" w:hanging="595"/>
        <w:jc w:val="both"/>
        <w:rPr>
          <w:rFonts w:ascii="Times New Roman" w:hAnsi="Times New Roman" w:cs="Times New Roman"/>
          <w:b/>
          <w:bCs/>
          <w:sz w:val="24"/>
          <w:szCs w:val="24"/>
          <w:lang w:eastAsia="sk-SK"/>
        </w:rPr>
      </w:pPr>
    </w:p>
    <w:p w:rsidR="00A40165" w:rsidRDefault="00A40165">
      <w:pPr>
        <w:spacing w:after="0" w:line="240" w:lineRule="auto"/>
        <w:ind w:left="595" w:hanging="595"/>
        <w:jc w:val="both"/>
        <w:rPr>
          <w:rFonts w:ascii="Times New Roman" w:hAnsi="Times New Roman" w:cs="Times New Roman"/>
          <w:b/>
          <w:bCs/>
          <w:sz w:val="24"/>
          <w:szCs w:val="24"/>
          <w:lang w:eastAsia="sk-SK"/>
        </w:rPr>
      </w:pPr>
    </w:p>
    <w:p w:rsidR="00A40165" w:rsidRDefault="00A40165">
      <w:pPr>
        <w:spacing w:after="0" w:line="240" w:lineRule="auto"/>
        <w:ind w:left="595" w:hanging="595"/>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1.2. Uplatnené žiadosti o usporiadanie vlastníckych a užívacích práv k lesným pozemkom</w:t>
      </w:r>
    </w:p>
    <w:p w:rsidR="00A40165" w:rsidRDefault="00A40165">
      <w:pPr>
        <w:spacing w:after="0" w:line="240" w:lineRule="auto"/>
        <w:ind w:firstLine="709"/>
        <w:jc w:val="both"/>
        <w:rPr>
          <w:rFonts w:ascii="Times New Roman" w:hAnsi="Times New Roman" w:cs="Times New Roman"/>
          <w:sz w:val="24"/>
          <w:szCs w:val="24"/>
          <w:lang w:eastAsia="sk-SK"/>
        </w:rPr>
      </w:pPr>
    </w:p>
    <w:p w:rsidR="00A40165" w:rsidRDefault="00A40165">
      <w:pPr>
        <w:pStyle w:val="Zarkazkladnhotextu2"/>
        <w:spacing w:before="0" w:after="0"/>
        <w:rPr>
          <w:rFonts w:ascii="Times New Roman" w:hAnsi="Times New Roman" w:cs="Times New Roman"/>
        </w:rPr>
      </w:pPr>
      <w:r>
        <w:rPr>
          <w:rFonts w:ascii="Times New Roman" w:hAnsi="Times New Roman" w:cs="Times New Roman"/>
        </w:rPr>
        <w:t>Náprava niektorých krívd spočíva vo vrátení vlastníckeho práva k lesným pozemkom, ktoré prešli na štát postupom podľa § 6 zákona č. 229/1991 Zb. a podľa  § 3 zákona</w:t>
      </w:r>
      <w:r>
        <w:rPr>
          <w:rFonts w:ascii="Times New Roman" w:hAnsi="Times New Roman" w:cs="Times New Roman"/>
        </w:rPr>
        <w:br/>
        <w:t xml:space="preserve">č. 503/2003 Z. z. </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Podľa zákona č. 229/1991 Zb. si mali oprávnené osoby uplatniť svoje práva na príslušnom pozemkovom úrade a zároveň mali vyzvať povinnú osobu na vydanie nehnuteľnosti v termíne do 31. decembra 1992. Na základe tejto výzvy povinné osoby spísali dohodu o vydaní vlastníctva, ktorú musel schváliť pozemkový úrad. Po schválení dohody o vydaní vlastníctva pozemkovým úradom, povinné osoby riešia užívacie vzťahy k týmto lesným pozemkom. </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lastRenderedPageBreak/>
        <w:t>V súlade so zákonom č. 229/1991 Zb. príslušné pozemkové úrady schválili 156 dohôd. V 145 prípadoch vydali rozhodnutie o vlastníctve oprávnenej osoby, ak medzi povinnou a oprávnenou osobou k dohode nedošlo a jednu dohodu neschválili. V prípade vydania rozhodnutia o vlastníctve oprávnenej osoby, ak nedošlo k dohode, ŠOLH podali 3 opravné prostriedky na výmeru 487 ha, z toho v 2 prípadoch na výmeru 305 ha bolo právoplatne rozhodnuté.</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 xml:space="preserve">Podľa zákona č. 503/2003 Z. z. si oprávnená osoba mohla do 31. decembra 2004 uplatniť svoje nároky na obvodnom pozemkovom úrade, v ktorého obvode vlastnila pozemok, a zároveň preukázala rozhodné skutočnosti, že vlastníctvo pozemku prešlo na štát v súlade s týmto zákonom. Následne príslušný pozemkový úrad rozhodol o navrátení vlastníctva k pozemku alebo o priznaní práva na náhradu. Podľa evidencie ŠOLH vo veci vlastníctva lesných pozemkov, pozemkové úrady k 31. decembru 2014 vydali 2 128 rozhodnutí na výmeru 7 721 ha. Nakoľko tento zákon č. 503/2003 Z. z. neupravuje povinnosť oznamovať rozhodnutie ŠOLH, tieto organizácie nemajú vedomosť o všetkých rozhodnutiach pozemkových úradov. ŠOLH uplatnili opravné prostriedky v 11 prípadoch na výmere </w:t>
      </w:r>
      <w:r w:rsidRPr="00DC49FE">
        <w:rPr>
          <w:rFonts w:ascii="Times New Roman" w:hAnsi="Times New Roman" w:cs="Times New Roman"/>
          <w:sz w:val="24"/>
          <w:szCs w:val="24"/>
          <w:lang w:eastAsia="sk-SK"/>
        </w:rPr>
        <w:br/>
        <w:t xml:space="preserve">1 133 ha. Právoplatne rozhodnuté o opravných prostriedkoch bolo v 6 prípadoch </w:t>
      </w:r>
      <w:r w:rsidRPr="00DC49FE">
        <w:rPr>
          <w:rFonts w:ascii="Times New Roman" w:hAnsi="Times New Roman" w:cs="Times New Roman"/>
          <w:sz w:val="24"/>
          <w:szCs w:val="24"/>
          <w:lang w:eastAsia="sk-SK"/>
        </w:rPr>
        <w:br/>
        <w:t xml:space="preserve">na výmere 60 ha. Opravné prostriedky boli uplatnené napríklad z dôvodu, že išlo o majetok právnickej osoby alebo z dôvodu rozhodnutia o náhradnom pozemku, aj keď neboli prekážky na vydanie pôvodného pozemku. </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K 31. decembru 2014 bolo v rámci Slovenskej republiky celkovo vybavených 66 161 žiadostí o usporiadanie vlastníckych a užívacích práv fyzických osôb k lesným pozemkom s celkovou výmerou 972 650 ha. Z toho bolo vrátené vlastníctvo k lesným pozemkom 3 715 fyzickým osobám s výmerou 64 012 ha podľa zákona č. 229/1991 Zb. a 77 fyzickým osobám bolo vrátené vlastníctvo k lesným pozemkom s výmerou 618 ha podľa zákona</w:t>
      </w:r>
      <w:r w:rsidRPr="00DC49FE">
        <w:rPr>
          <w:rFonts w:ascii="Times New Roman" w:hAnsi="Times New Roman" w:cs="Times New Roman"/>
          <w:sz w:val="24"/>
          <w:szCs w:val="24"/>
          <w:lang w:eastAsia="sk-SK"/>
        </w:rPr>
        <w:br/>
        <w:t>č. 503/2003 Z. z.</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Na usporiadanie užívacích práv k spoločnej nehnuteľnosti (bývalé urbariáty, komposesoráty a podobné právne útvary) vlastníci určia spoločného zástupcu alebo zástupcov a spôsob ich konania. K tomu je potrebný súhlas nadpolovičnej väčšiny majiteľov vlastníckych podielov, ak zákon nestanoví inak. Zákon č. 181/1995 Z. z. o pozemkových spoločenstvách v znení neskorších predpisov platný do 30.04.2013, ktorý bol zrušený zákonom č. 97/2013 Z. z. o pozemkových spoločenstvách v znení zákona č. 34/2014 Z. z. rozlišoval dva druhy pozemkových spoločenstiev, a to spoločenstvo bez právnej subjektivity, ktoré nie je spôsobilé na právne úkony, a spoločníci boli povinní oznámiť založenie spoločenstva príslušnému obvodnému lesnému úradu a spoločenstvo s právnou subjektivitou, ktoré vzniká až dňom registrácie spoločenstva v registri pozemkových spoločenstiev, ktorý vedie príslušný obvodný lesný úrad. K 31. decembru 2014 bolo v rámci Slovenskej republiky vybavených 3 767 žiadostí pozemkových spoločenstiev s výmerou 509 097 ha.</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Vlastnícke práva k lesným pozemkom, ktoré boli k 31. decembru 1949 vo vlastníctve obcí a prešli do vlastníctva štátu, upravuje zákon č. 306/1992 Zb. Obce, ktoré svoje vlastnícke práva nadobudli dňom účinnosti tohto zákona, t. j. 25. júna 1992, sú povinné spísať s doterajšími užívateľmi protokoly o odovzdaní majetku a do 12 mesiacov od prevzatia majetku sú povinné podať návrh na zápis do katastra nehnuteľností. K 31. decembru 2014 bolo v rámci Slovenskej republiky s obcami spísaných 505 protokolov, ktoré sa týkajú lesných pozemkov vo výmere 200 857 ha.</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Pri usporiadaní vlastníctva obcí sa vyskytlo niekoľko prípadov, keď lesné pozemky, ktoré boli v pozemkovej knihe zapísané na štát - v správe okresných národných výborov, boli delimitačnými protokolmi prevedené na obce z bývalých okresných úradov, hoci nespĺňali zákonné podmienky.</w:t>
      </w:r>
      <w:r w:rsidRPr="00DC49FE">
        <w:rPr>
          <w:rFonts w:ascii="Times New Roman" w:hAnsi="Times New Roman" w:cs="Times New Roman"/>
          <w:b/>
          <w:bCs/>
          <w:sz w:val="24"/>
          <w:szCs w:val="24"/>
          <w:lang w:eastAsia="sk-SK"/>
        </w:rPr>
        <w:t xml:space="preserve"> </w:t>
      </w:r>
      <w:r w:rsidRPr="00DC49FE">
        <w:rPr>
          <w:rFonts w:ascii="Times New Roman" w:hAnsi="Times New Roman" w:cs="Times New Roman"/>
          <w:sz w:val="24"/>
          <w:szCs w:val="24"/>
          <w:lang w:eastAsia="sk-SK"/>
        </w:rPr>
        <w:t xml:space="preserve">Takýto prevod na obce je v rozpore so zákonom a náprava je možná len </w:t>
      </w:r>
      <w:r w:rsidRPr="00DC49FE">
        <w:rPr>
          <w:rFonts w:ascii="Times New Roman" w:hAnsi="Times New Roman" w:cs="Times New Roman"/>
          <w:sz w:val="24"/>
          <w:szCs w:val="24"/>
          <w:lang w:eastAsia="sk-SK"/>
        </w:rPr>
        <w:lastRenderedPageBreak/>
        <w:t>súdnou cestou, čo je náročné z finančného aj časového hľadiska. V súčasnosti prebiehajú ohľadne takýchto prevodov súdne konania.</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 xml:space="preserve">Majetok cirkví a náboženských spoločností je upravený zákonom č. 282/1993 Z. z. a zákonom č. 161/2005 Z. z. Právo na navrátenie vlastníctva k nehnuteľnému majetku si mohli uplatniť oprávnené osoby, ktorými sú štátom registrované cirkvi a náboženské spoločnosti so sídlom na území Slovenskej republiky a majú právnu subjektivitu, ktorých majetok prešiel do vlastníctva štátu alebo obce v rozhodnom období od 8. mája 1945 a pri židovských náboženských obciach od 2. novembra 1938 do 1. januára 1990. Výzvy na vydanie vlastníctva mohli oprávnené osoby uplatniť písomne v lehote 12 mesiacov od účinnosti zákona č. 282/1993 Z. z. a v lehote do 30. apríla 2006 podľa zákona č. 161/2005 Z. z., inak právo zaniklo.  K 31. decembru 2014 bolo v rámci Slovenskej republiky vybavených 768 žiadostí cirkví a náboženských spoločností o navrátenie vlastníctva k lesným pozemkom s výmerou 71 122 ha. </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K 31. decembru 2014 v rámci Slovenskej republiky požiadalo o usporiadanie vlastníckych a užívacích práv celkom 100 334 subjektov s požadovanou výmerou lesných pozemkov 1 045 326 ha. Prehľad o počte prijatých žiadostí a ich riešeniach je uvedený v prílohách č. 1a až 1f.</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Z celkového počtu žiadostí, prijatých v rámci Slovenskej republiky, bolo kladne vybavených 65,94 % žiadostí. Fyzicky odovzdané užívacie práva boli vybavené na 93,05 % z požadovanej výmery. Prehľad o počte prijatých a vybavených žiadostí je v prílohe č. 1a</w:t>
      </w:r>
      <w:r w:rsidRPr="00DC49FE">
        <w:rPr>
          <w:rFonts w:ascii="Times New Roman" w:hAnsi="Times New Roman" w:cs="Times New Roman"/>
          <w:sz w:val="24"/>
          <w:szCs w:val="24"/>
          <w:lang w:eastAsia="sk-SK"/>
        </w:rPr>
        <w:br/>
        <w:t xml:space="preserve">až 1f. </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pStyle w:val="Zarkazkladnhotextu3"/>
        <w:rPr>
          <w:rFonts w:ascii="Times New Roman" w:hAnsi="Times New Roman" w:cs="Times New Roman"/>
        </w:rPr>
      </w:pPr>
      <w:r w:rsidRPr="00DC49FE">
        <w:rPr>
          <w:rFonts w:ascii="Times New Roman" w:hAnsi="Times New Roman" w:cs="Times New Roman"/>
        </w:rPr>
        <w:t>Najväčší počet žiadostí povinné osoby vybavili v  roku 2000 (10 530), v roku 1995 (10 020) a v roku 1996 (8 322). Najmenší počet vybavených žiadostí bol v roku 1991, teda v roku, keď bol prijatý zákon č. 229/1991 Zb. Postup predkladania a riešenia všetkých žiadostí a ich nárast sumárne za roky 1991 až 2009 a za jednotlivé roky 2010 až 2014 za Slovenskú republiku je uvedený v prílohách č. 3a až 3f.</w:t>
      </w:r>
    </w:p>
    <w:p w:rsidR="00A40165" w:rsidRPr="00DC49FE" w:rsidRDefault="00A40165">
      <w:pPr>
        <w:spacing w:after="0" w:line="240" w:lineRule="auto"/>
        <w:ind w:firstLine="708"/>
        <w:jc w:val="both"/>
        <w:rPr>
          <w:rFonts w:ascii="Times New Roman" w:hAnsi="Times New Roman" w:cs="Times New Roman"/>
          <w:sz w:val="12"/>
          <w:szCs w:val="12"/>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K záporným hodnotám medziročného nárastu došlo z dôvodu postupného odstraňovania duplicitnej evidencie žiadostí v ŠOLH. Ide o prípady, keď pôvodný vlastník zomrel a jeho dedičia požiadali o navrátenie tých istých pozemkov alebo o prípady, keď je zaevidovaná žiadosť podielnika na vydanie celej výmery lesných pozemkov pozemkového spoločenstva  a pod. Pri ŠL TANAP ide o delimitáciu časti územia z dôvodu zmeny hraníc ochranného pásma Tatranského národného parku a s tým súvisiacej agendy na LESY SR, š. p.</w:t>
      </w: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1.3. Odovzdávanie lesných ciest</w:t>
      </w: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Podľa zákona č. 12/2004 Z. z., ktorým sa mení a dopĺňa zákon č. 229/1991 Zb. o úprave vlastníckych vzťahov k pôde a inému poľnohospodárskemu majetku v znení </w:t>
      </w:r>
      <w:r w:rsidRPr="00DC49FE">
        <w:rPr>
          <w:rFonts w:ascii="Times New Roman" w:hAnsi="Times New Roman" w:cs="Times New Roman"/>
          <w:sz w:val="24"/>
          <w:szCs w:val="24"/>
          <w:lang w:eastAsia="sk-SK"/>
        </w:rPr>
        <w:t>neskorších predpisov a o zmene a doplnení zákona č. 138/1991 Zb. o majetku obcí v znení neskorších predpisov, zákona č. 282/1993 Z. z. a zákona č. 161/2005 Z. z. bolo uplatnených celkovo 387 žiadostí o bezodplatné odovzdanie investičných lesných ciest, ktoré prechádzajú pozemkami vo vlastníctve neštátneho sektora. Z tohto počtu bolo zrealizovaných 339 žiadostí s celkovou odovzdanou dĺžkou ciest 1 127,3 km. Prehľad o odovzdávaní lesných ciest podľa jednotlivých organizácií je uvedený v nasledujúcej tabuľke.</w:t>
      </w:r>
    </w:p>
    <w:p w:rsidR="00577229" w:rsidRDefault="00577229">
      <w:pPr>
        <w:spacing w:after="0" w:line="240" w:lineRule="auto"/>
        <w:ind w:firstLine="708"/>
        <w:jc w:val="both"/>
        <w:rPr>
          <w:rFonts w:ascii="Times New Roman" w:hAnsi="Times New Roman" w:cs="Times New Roman"/>
          <w:sz w:val="24"/>
          <w:szCs w:val="24"/>
          <w:lang w:eastAsia="sk-SK"/>
        </w:rPr>
      </w:pPr>
    </w:p>
    <w:p w:rsidR="00711483" w:rsidRDefault="00711483">
      <w:pPr>
        <w:spacing w:after="0" w:line="240" w:lineRule="auto"/>
        <w:ind w:firstLine="708"/>
        <w:jc w:val="both"/>
        <w:rPr>
          <w:rFonts w:ascii="Times New Roman" w:hAnsi="Times New Roman" w:cs="Times New Roman"/>
          <w:sz w:val="24"/>
          <w:szCs w:val="24"/>
          <w:lang w:eastAsia="sk-SK"/>
        </w:rPr>
      </w:pPr>
    </w:p>
    <w:p w:rsidR="00711483" w:rsidRDefault="00711483">
      <w:pPr>
        <w:spacing w:after="0" w:line="240" w:lineRule="auto"/>
        <w:ind w:firstLine="708"/>
        <w:jc w:val="both"/>
        <w:rPr>
          <w:rFonts w:ascii="Times New Roman" w:hAnsi="Times New Roman" w:cs="Times New Roman"/>
          <w:sz w:val="24"/>
          <w:szCs w:val="24"/>
          <w:lang w:eastAsia="sk-SK"/>
        </w:rPr>
      </w:pPr>
    </w:p>
    <w:p w:rsidR="00711483" w:rsidRDefault="00711483">
      <w:pPr>
        <w:spacing w:after="0" w:line="240" w:lineRule="auto"/>
        <w:ind w:firstLine="708"/>
        <w:jc w:val="both"/>
        <w:rPr>
          <w:rFonts w:ascii="Times New Roman" w:hAnsi="Times New Roman" w:cs="Times New Roman"/>
          <w:sz w:val="24"/>
          <w:szCs w:val="24"/>
          <w:lang w:eastAsia="sk-SK"/>
        </w:rPr>
      </w:pPr>
    </w:p>
    <w:p w:rsidR="00711483" w:rsidRPr="00DC49FE" w:rsidRDefault="00711483">
      <w:pPr>
        <w:spacing w:after="0" w:line="240" w:lineRule="auto"/>
        <w:ind w:firstLine="708"/>
        <w:jc w:val="both"/>
        <w:rPr>
          <w:rFonts w:ascii="Times New Roman" w:hAnsi="Times New Roman" w:cs="Times New Roman"/>
          <w:sz w:val="24"/>
          <w:szCs w:val="24"/>
          <w:lang w:eastAsia="sk-SK"/>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559"/>
        <w:gridCol w:w="1701"/>
        <w:gridCol w:w="1843"/>
      </w:tblGrid>
      <w:tr w:rsidR="00A40165" w:rsidRPr="00E77046">
        <w:trPr>
          <w:trHeight w:val="70"/>
          <w:jc w:val="center"/>
        </w:trPr>
        <w:tc>
          <w:tcPr>
            <w:tcW w:w="6946" w:type="dxa"/>
            <w:gridSpan w:val="4"/>
            <w:tcBorders>
              <w:bottom w:val="single" w:sz="12" w:space="0" w:color="auto"/>
            </w:tcBorders>
            <w:vAlign w:val="center"/>
          </w:tcPr>
          <w:p w:rsidR="00A40165" w:rsidRPr="00E77046" w:rsidRDefault="00A40165">
            <w:pPr>
              <w:spacing w:after="0" w:line="70" w:lineRule="atLeast"/>
              <w:jc w:val="center"/>
              <w:rPr>
                <w:rFonts w:ascii="Times New Roman" w:hAnsi="Times New Roman" w:cs="Times New Roman"/>
                <w:b/>
                <w:bCs/>
                <w:sz w:val="10"/>
                <w:szCs w:val="10"/>
                <w:lang w:eastAsia="sk-SK"/>
              </w:rPr>
            </w:pPr>
            <w:r w:rsidRPr="00E77046">
              <w:rPr>
                <w:rFonts w:ascii="Times New Roman" w:hAnsi="Times New Roman" w:cs="Times New Roman"/>
                <w:sz w:val="24"/>
                <w:szCs w:val="24"/>
                <w:lang w:eastAsia="sk-SK"/>
              </w:rPr>
              <w:br w:type="page"/>
            </w:r>
            <w:r w:rsidRPr="00E77046">
              <w:rPr>
                <w:rFonts w:ascii="Times New Roman" w:hAnsi="Times New Roman" w:cs="Times New Roman"/>
                <w:sz w:val="24"/>
                <w:szCs w:val="24"/>
                <w:lang w:eastAsia="sk-SK"/>
              </w:rPr>
              <w:br w:type="page"/>
            </w:r>
          </w:p>
          <w:p w:rsidR="00A40165" w:rsidRPr="00E77046" w:rsidRDefault="00A40165">
            <w:pPr>
              <w:spacing w:after="0" w:line="70" w:lineRule="atLeast"/>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Prehľad o odovzdaní lesných ciest k 31.12.2014</w:t>
            </w:r>
          </w:p>
          <w:p w:rsidR="00A40165" w:rsidRPr="00E77046" w:rsidRDefault="00A40165">
            <w:pPr>
              <w:spacing w:after="0" w:line="70" w:lineRule="atLeast"/>
              <w:jc w:val="center"/>
              <w:rPr>
                <w:rFonts w:ascii="Times New Roman" w:hAnsi="Times New Roman" w:cs="Times New Roman"/>
                <w:sz w:val="10"/>
                <w:szCs w:val="10"/>
                <w:lang w:eastAsia="sk-SK"/>
              </w:rPr>
            </w:pPr>
          </w:p>
        </w:tc>
      </w:tr>
      <w:tr w:rsidR="00A40165" w:rsidRPr="00E77046">
        <w:trPr>
          <w:trHeight w:val="487"/>
          <w:jc w:val="center"/>
        </w:trPr>
        <w:tc>
          <w:tcPr>
            <w:tcW w:w="1843" w:type="dxa"/>
            <w:tcBorders>
              <w:top w:val="single" w:sz="12" w:space="0" w:color="auto"/>
              <w:bottom w:val="single" w:sz="12" w:space="0" w:color="auto"/>
            </w:tcBorders>
            <w:vAlign w:val="center"/>
          </w:tcPr>
          <w:p w:rsidR="00A40165" w:rsidRPr="00E77046" w:rsidRDefault="00A40165">
            <w:pPr>
              <w:spacing w:after="0" w:line="70" w:lineRule="atLeast"/>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Organizácia</w:t>
            </w:r>
          </w:p>
        </w:tc>
        <w:tc>
          <w:tcPr>
            <w:tcW w:w="1559" w:type="dxa"/>
            <w:tcBorders>
              <w:top w:val="single" w:sz="12" w:space="0" w:color="auto"/>
              <w:bottom w:val="single" w:sz="12" w:space="0" w:color="auto"/>
            </w:tcBorders>
            <w:vAlign w:val="center"/>
          </w:tcPr>
          <w:p w:rsidR="00A40165" w:rsidRPr="00E77046" w:rsidRDefault="00A40165">
            <w:pPr>
              <w:spacing w:after="0" w:line="70" w:lineRule="atLeast"/>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 prijatých</w:t>
            </w:r>
          </w:p>
          <w:p w:rsidR="00A40165" w:rsidRPr="00E77046" w:rsidRDefault="00A40165">
            <w:pPr>
              <w:spacing w:after="0" w:line="70" w:lineRule="atLeast"/>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žiadostí</w:t>
            </w:r>
          </w:p>
        </w:tc>
        <w:tc>
          <w:tcPr>
            <w:tcW w:w="1701" w:type="dxa"/>
            <w:tcBorders>
              <w:top w:val="single" w:sz="12" w:space="0" w:color="auto"/>
              <w:bottom w:val="single" w:sz="12" w:space="0" w:color="auto"/>
            </w:tcBorders>
            <w:vAlign w:val="center"/>
          </w:tcPr>
          <w:p w:rsidR="00A40165" w:rsidRPr="00E77046" w:rsidRDefault="00A40165">
            <w:pPr>
              <w:spacing w:after="0" w:line="70" w:lineRule="atLeast"/>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xml:space="preserve">Počet vybavených </w:t>
            </w:r>
          </w:p>
          <w:p w:rsidR="00A40165" w:rsidRPr="00E77046" w:rsidRDefault="00A40165">
            <w:pPr>
              <w:spacing w:after="0" w:line="70" w:lineRule="atLeast"/>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žiadostí</w:t>
            </w:r>
          </w:p>
        </w:tc>
        <w:tc>
          <w:tcPr>
            <w:tcW w:w="1843" w:type="dxa"/>
            <w:tcBorders>
              <w:top w:val="single" w:sz="12" w:space="0" w:color="auto"/>
              <w:bottom w:val="single" w:sz="12" w:space="0" w:color="auto"/>
            </w:tcBorders>
            <w:vAlign w:val="center"/>
          </w:tcPr>
          <w:p w:rsidR="00A40165" w:rsidRPr="00E77046" w:rsidRDefault="00A40165">
            <w:pPr>
              <w:spacing w:after="0" w:line="70" w:lineRule="atLeast"/>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Dĺžka odovzdaných</w:t>
            </w:r>
          </w:p>
          <w:p w:rsidR="00A40165" w:rsidRPr="00E77046" w:rsidRDefault="00A40165">
            <w:pPr>
              <w:spacing w:after="0" w:line="70" w:lineRule="atLeast"/>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ciest v km</w:t>
            </w:r>
          </w:p>
        </w:tc>
      </w:tr>
      <w:tr w:rsidR="00A40165" w:rsidRPr="00E77046">
        <w:trPr>
          <w:trHeight w:val="244"/>
          <w:jc w:val="center"/>
        </w:trPr>
        <w:tc>
          <w:tcPr>
            <w:tcW w:w="1843" w:type="dxa"/>
            <w:tcBorders>
              <w:top w:val="single" w:sz="12" w:space="0" w:color="auto"/>
            </w:tcBorders>
            <w:vAlign w:val="center"/>
          </w:tcPr>
          <w:p w:rsidR="00A40165" w:rsidRPr="00E77046" w:rsidRDefault="00A40165">
            <w:pPr>
              <w:pStyle w:val="CharChar"/>
              <w:spacing w:after="0" w:line="360" w:lineRule="auto"/>
              <w:rPr>
                <w:rFonts w:ascii="Times New Roman" w:hAnsi="Times New Roman" w:cs="Times New Roman"/>
                <w:lang w:val="sk-SK" w:eastAsia="sk-SK"/>
              </w:rPr>
            </w:pPr>
            <w:r w:rsidRPr="00E77046">
              <w:rPr>
                <w:rFonts w:ascii="Times New Roman" w:hAnsi="Times New Roman" w:cs="Times New Roman"/>
                <w:lang w:val="sk-SK" w:eastAsia="sk-SK"/>
              </w:rPr>
              <w:t>LESY SR, š. p.</w:t>
            </w:r>
          </w:p>
        </w:tc>
        <w:tc>
          <w:tcPr>
            <w:tcW w:w="1559" w:type="dxa"/>
            <w:tcBorders>
              <w:top w:val="single" w:sz="12"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342</w:t>
            </w:r>
          </w:p>
        </w:tc>
        <w:tc>
          <w:tcPr>
            <w:tcW w:w="1701" w:type="dxa"/>
            <w:tcBorders>
              <w:top w:val="single" w:sz="12"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300</w:t>
            </w:r>
          </w:p>
        </w:tc>
        <w:tc>
          <w:tcPr>
            <w:tcW w:w="1843" w:type="dxa"/>
            <w:tcBorders>
              <w:top w:val="single" w:sz="12"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985,5</w:t>
            </w:r>
          </w:p>
        </w:tc>
      </w:tr>
      <w:tr w:rsidR="00A40165" w:rsidRPr="00E77046">
        <w:trPr>
          <w:trHeight w:val="397"/>
          <w:jc w:val="center"/>
        </w:trPr>
        <w:tc>
          <w:tcPr>
            <w:tcW w:w="1843" w:type="dxa"/>
            <w:vAlign w:val="center"/>
          </w:tcPr>
          <w:p w:rsidR="00A40165" w:rsidRPr="00E77046" w:rsidRDefault="00A40165">
            <w:pPr>
              <w:spacing w:after="0" w:line="360" w:lineRule="auto"/>
              <w:rPr>
                <w:rFonts w:ascii="Times New Roman" w:hAnsi="Times New Roman" w:cs="Times New Roman"/>
                <w:sz w:val="20"/>
                <w:szCs w:val="20"/>
                <w:lang w:eastAsia="sk-SK"/>
              </w:rPr>
            </w:pPr>
            <w:r w:rsidRPr="00E77046">
              <w:rPr>
                <w:rFonts w:ascii="Times New Roman" w:hAnsi="Times New Roman" w:cs="Times New Roman"/>
                <w:sz w:val="20"/>
                <w:szCs w:val="20"/>
                <w:lang w:eastAsia="sk-SK"/>
              </w:rPr>
              <w:t>LPM Ulič, š. p.</w:t>
            </w:r>
          </w:p>
        </w:tc>
        <w:tc>
          <w:tcPr>
            <w:tcW w:w="1559" w:type="dxa"/>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w:t>
            </w:r>
          </w:p>
        </w:tc>
        <w:tc>
          <w:tcPr>
            <w:tcW w:w="1701" w:type="dxa"/>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w:t>
            </w:r>
          </w:p>
        </w:tc>
        <w:tc>
          <w:tcPr>
            <w:tcW w:w="1843" w:type="dxa"/>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56,7</w:t>
            </w:r>
          </w:p>
        </w:tc>
      </w:tr>
      <w:tr w:rsidR="00A40165" w:rsidRPr="00E77046" w:rsidTr="00C14F85">
        <w:trPr>
          <w:trHeight w:val="397"/>
          <w:jc w:val="center"/>
        </w:trPr>
        <w:tc>
          <w:tcPr>
            <w:tcW w:w="1843" w:type="dxa"/>
            <w:tcBorders>
              <w:bottom w:val="single" w:sz="4" w:space="0" w:color="auto"/>
            </w:tcBorders>
            <w:vAlign w:val="center"/>
          </w:tcPr>
          <w:p w:rsidR="00A40165" w:rsidRPr="00E77046" w:rsidRDefault="00A40165">
            <w:pPr>
              <w:spacing w:after="0" w:line="360" w:lineRule="auto"/>
              <w:rPr>
                <w:rFonts w:ascii="Times New Roman" w:hAnsi="Times New Roman" w:cs="Times New Roman"/>
                <w:sz w:val="20"/>
                <w:szCs w:val="20"/>
                <w:lang w:eastAsia="sk-SK"/>
              </w:rPr>
            </w:pPr>
            <w:r w:rsidRPr="00E77046">
              <w:rPr>
                <w:rFonts w:ascii="Times New Roman" w:hAnsi="Times New Roman" w:cs="Times New Roman"/>
                <w:sz w:val="20"/>
                <w:szCs w:val="20"/>
                <w:lang w:eastAsia="sk-SK"/>
              </w:rPr>
              <w:t>ŠL TANAP</w:t>
            </w:r>
          </w:p>
        </w:tc>
        <w:tc>
          <w:tcPr>
            <w:tcW w:w="1559" w:type="dxa"/>
            <w:tcBorders>
              <w:bottom w:val="single" w:sz="4"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33</w:t>
            </w:r>
          </w:p>
        </w:tc>
        <w:tc>
          <w:tcPr>
            <w:tcW w:w="1701" w:type="dxa"/>
            <w:tcBorders>
              <w:bottom w:val="single" w:sz="4"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28</w:t>
            </w:r>
          </w:p>
        </w:tc>
        <w:tc>
          <w:tcPr>
            <w:tcW w:w="1843" w:type="dxa"/>
            <w:tcBorders>
              <w:bottom w:val="single" w:sz="4"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77,8</w:t>
            </w:r>
          </w:p>
        </w:tc>
      </w:tr>
      <w:tr w:rsidR="00A40165" w:rsidRPr="00E77046" w:rsidTr="00C14F85">
        <w:trPr>
          <w:trHeight w:val="397"/>
          <w:jc w:val="center"/>
        </w:trPr>
        <w:tc>
          <w:tcPr>
            <w:tcW w:w="1843" w:type="dxa"/>
            <w:tcBorders>
              <w:bottom w:val="single" w:sz="12" w:space="0" w:color="auto"/>
            </w:tcBorders>
            <w:vAlign w:val="center"/>
          </w:tcPr>
          <w:p w:rsidR="00A40165" w:rsidRPr="00B15314" w:rsidRDefault="00A40165">
            <w:pPr>
              <w:spacing w:after="0" w:line="360" w:lineRule="auto"/>
              <w:rPr>
                <w:rFonts w:ascii="Times New Roman" w:hAnsi="Times New Roman" w:cs="Times New Roman"/>
                <w:sz w:val="20"/>
                <w:szCs w:val="20"/>
                <w:lang w:eastAsia="sk-SK"/>
              </w:rPr>
            </w:pPr>
            <w:r w:rsidRPr="00B15314">
              <w:rPr>
                <w:rFonts w:ascii="Times New Roman" w:hAnsi="Times New Roman" w:cs="Times New Roman"/>
                <w:sz w:val="20"/>
                <w:szCs w:val="20"/>
                <w:lang w:eastAsia="sk-SK"/>
              </w:rPr>
              <w:t>VLM SR, š. p.</w:t>
            </w:r>
          </w:p>
        </w:tc>
        <w:tc>
          <w:tcPr>
            <w:tcW w:w="1559" w:type="dxa"/>
            <w:tcBorders>
              <w:bottom w:val="single" w:sz="12" w:space="0" w:color="auto"/>
            </w:tcBorders>
            <w:vAlign w:val="center"/>
          </w:tcPr>
          <w:p w:rsidR="00A40165" w:rsidRPr="00B15314" w:rsidRDefault="00A40165">
            <w:pPr>
              <w:spacing w:after="0" w:line="240" w:lineRule="auto"/>
              <w:jc w:val="center"/>
              <w:rPr>
                <w:rFonts w:ascii="Times New Roman" w:hAnsi="Times New Roman" w:cs="Times New Roman"/>
                <w:sz w:val="20"/>
                <w:szCs w:val="20"/>
                <w:lang w:eastAsia="sk-SK"/>
              </w:rPr>
            </w:pPr>
            <w:r w:rsidRPr="00B15314">
              <w:rPr>
                <w:rFonts w:ascii="Times New Roman" w:hAnsi="Times New Roman" w:cs="Times New Roman"/>
                <w:sz w:val="20"/>
                <w:szCs w:val="20"/>
                <w:lang w:eastAsia="sk-SK"/>
              </w:rPr>
              <w:t>4</w:t>
            </w:r>
          </w:p>
        </w:tc>
        <w:tc>
          <w:tcPr>
            <w:tcW w:w="1701" w:type="dxa"/>
            <w:tcBorders>
              <w:bottom w:val="single" w:sz="12" w:space="0" w:color="auto"/>
            </w:tcBorders>
            <w:vAlign w:val="center"/>
          </w:tcPr>
          <w:p w:rsidR="00A40165" w:rsidRPr="00B15314" w:rsidRDefault="00A40165">
            <w:pPr>
              <w:spacing w:after="0" w:line="240" w:lineRule="auto"/>
              <w:jc w:val="center"/>
              <w:rPr>
                <w:rFonts w:ascii="Times New Roman" w:hAnsi="Times New Roman" w:cs="Times New Roman"/>
                <w:sz w:val="20"/>
                <w:szCs w:val="20"/>
                <w:lang w:eastAsia="sk-SK"/>
              </w:rPr>
            </w:pPr>
            <w:r w:rsidRPr="00B15314">
              <w:rPr>
                <w:rFonts w:ascii="Times New Roman" w:hAnsi="Times New Roman" w:cs="Times New Roman"/>
                <w:sz w:val="20"/>
                <w:szCs w:val="20"/>
                <w:lang w:eastAsia="sk-SK"/>
              </w:rPr>
              <w:t>3</w:t>
            </w:r>
          </w:p>
        </w:tc>
        <w:tc>
          <w:tcPr>
            <w:tcW w:w="1843" w:type="dxa"/>
            <w:tcBorders>
              <w:bottom w:val="single" w:sz="12" w:space="0" w:color="auto"/>
            </w:tcBorders>
            <w:vAlign w:val="center"/>
          </w:tcPr>
          <w:p w:rsidR="00A40165" w:rsidRPr="00B15314" w:rsidRDefault="00A40165">
            <w:pPr>
              <w:spacing w:after="0" w:line="240" w:lineRule="auto"/>
              <w:jc w:val="center"/>
              <w:rPr>
                <w:rFonts w:ascii="Times New Roman" w:hAnsi="Times New Roman" w:cs="Times New Roman"/>
                <w:sz w:val="20"/>
                <w:szCs w:val="20"/>
                <w:lang w:eastAsia="sk-SK"/>
              </w:rPr>
            </w:pPr>
            <w:r w:rsidRPr="00B15314">
              <w:rPr>
                <w:rFonts w:ascii="Times New Roman" w:hAnsi="Times New Roman" w:cs="Times New Roman"/>
                <w:sz w:val="20"/>
                <w:szCs w:val="20"/>
                <w:lang w:eastAsia="sk-SK"/>
              </w:rPr>
              <w:t>7,3</w:t>
            </w:r>
          </w:p>
        </w:tc>
      </w:tr>
      <w:tr w:rsidR="00A40165" w:rsidRPr="00E77046" w:rsidTr="00CD2089">
        <w:trPr>
          <w:trHeight w:val="397"/>
          <w:jc w:val="center"/>
        </w:trPr>
        <w:tc>
          <w:tcPr>
            <w:tcW w:w="1843" w:type="dxa"/>
            <w:tcBorders>
              <w:top w:val="single" w:sz="12" w:space="0" w:color="auto"/>
            </w:tcBorders>
            <w:vAlign w:val="center"/>
          </w:tcPr>
          <w:p w:rsidR="00A40165" w:rsidRPr="00E77046" w:rsidRDefault="00A40165" w:rsidP="00CD2089">
            <w:pPr>
              <w:spacing w:after="0" w:line="240" w:lineRule="auto"/>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S p o l u</w:t>
            </w:r>
          </w:p>
        </w:tc>
        <w:tc>
          <w:tcPr>
            <w:tcW w:w="1559" w:type="dxa"/>
            <w:tcBorders>
              <w:top w:val="single" w:sz="12"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387</w:t>
            </w:r>
          </w:p>
        </w:tc>
        <w:tc>
          <w:tcPr>
            <w:tcW w:w="1701" w:type="dxa"/>
            <w:tcBorders>
              <w:top w:val="single" w:sz="12"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339</w:t>
            </w:r>
          </w:p>
        </w:tc>
        <w:tc>
          <w:tcPr>
            <w:tcW w:w="1843" w:type="dxa"/>
            <w:tcBorders>
              <w:top w:val="single" w:sz="12"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1 127,3</w:t>
            </w:r>
          </w:p>
        </w:tc>
      </w:tr>
    </w:tbl>
    <w:p w:rsidR="00577229" w:rsidRDefault="00577229">
      <w:pPr>
        <w:pStyle w:val="Zarkazkladnhotextu3"/>
        <w:rPr>
          <w:rFonts w:ascii="Times New Roman" w:hAnsi="Times New Roman" w:cs="Times New Roman"/>
        </w:rPr>
      </w:pPr>
    </w:p>
    <w:p w:rsidR="00577229" w:rsidRDefault="00577229">
      <w:pPr>
        <w:pStyle w:val="Zarkazkladnhotextu3"/>
        <w:rPr>
          <w:rFonts w:ascii="Times New Roman" w:hAnsi="Times New Roman" w:cs="Times New Roman"/>
        </w:rPr>
      </w:pPr>
    </w:p>
    <w:p w:rsidR="00A40165" w:rsidRDefault="00A40165">
      <w:pPr>
        <w:pStyle w:val="Zarkazkladnhotextu3"/>
        <w:rPr>
          <w:rFonts w:ascii="Times New Roman" w:hAnsi="Times New Roman" w:cs="Times New Roman"/>
        </w:rPr>
      </w:pPr>
      <w:r>
        <w:rPr>
          <w:rFonts w:ascii="Times New Roman" w:hAnsi="Times New Roman" w:cs="Times New Roman"/>
        </w:rPr>
        <w:t xml:space="preserve">Osobitosťou riešenia odovzdávania lesných ciest je to, že ak cesta alebo jej časť prechádza cez pozemky viacerých vlastníkov, táto prechádza do ich podielového spoluvlastníctva podľa veľkosti podielu investičnej lesnej cesty na lesnom pozemku vlastníka. Vlastníci pozemkov, cez ktoré lesná cesta prechádza, môžu z dôvodu spravovania, udržiavania a opráv investičnej lesnej cesty vytvoriť združenie podľa osobitného predpisu. Vytváranie združení je problémom pri odovzdávaní lesných ciest pre neochotu vlastníkov vytvoriť združenie. Z tohto dôvodu ŠOLH odovzdávali v prvom rade lesné cesty, ktoré sa v celosti nachádzali na majetku vlastníka (mesto, obec, pozemkové spoločenstvo) alebo ktoré už za odovzdaným úsekom nesprístupňovali žiadne lesné pozemky obhospodarované touto ŠOLH. Bez vytvorenia združenia je právne riešenie užívania účelových lesných ciest problematické, čo môže výrazne ovplyvniť ich stav a spôsob ich využitia aj v prípade verejného záujmu. Príčinou nevybavenia žiadostí na odovzdanie lesných ciest je neochota združiť sa a nezdokladovanie vlastníctva k pozemkom pod cestami. </w:t>
      </w:r>
    </w:p>
    <w:p w:rsidR="00A40165" w:rsidRDefault="00A40165">
      <w:pPr>
        <w:spacing w:after="0" w:line="240" w:lineRule="auto"/>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sz w:val="24"/>
          <w:szCs w:val="24"/>
          <w:lang w:eastAsia="sk-SK"/>
        </w:rPr>
      </w:pPr>
      <w:r>
        <w:rPr>
          <w:rFonts w:ascii="Times New Roman" w:hAnsi="Times New Roman" w:cs="Times New Roman"/>
          <w:b/>
          <w:bCs/>
          <w:sz w:val="24"/>
          <w:szCs w:val="24"/>
          <w:lang w:eastAsia="sk-SK"/>
        </w:rPr>
        <w:t>1.4.</w:t>
      </w:r>
      <w:r>
        <w:rPr>
          <w:rFonts w:ascii="Times New Roman" w:hAnsi="Times New Roman" w:cs="Times New Roman"/>
          <w:sz w:val="24"/>
          <w:szCs w:val="24"/>
          <w:lang w:eastAsia="sk-SK"/>
        </w:rPr>
        <w:t xml:space="preserve"> </w:t>
      </w:r>
      <w:r>
        <w:rPr>
          <w:rFonts w:ascii="Times New Roman" w:hAnsi="Times New Roman" w:cs="Times New Roman"/>
          <w:b/>
          <w:bCs/>
          <w:sz w:val="24"/>
          <w:szCs w:val="24"/>
          <w:lang w:eastAsia="sk-SK"/>
        </w:rPr>
        <w:t>Náhrady podľa zákona č. 229/1991 Zb.</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Zákon č. 229/1991 Zb. ustanovuje, že oprávnené osoby majú právo od povinnej osoby požadovať nielen vydanie lesných pozemkov, ale za podmienok určených v zákone majú právo na náhradu za obytné budovy, hospodárske budovy a stavby, slúžiace lesnému hospodárstvu, ako aj za lesné porasty. Pritom sa postupuje diferencovane podľa toho, či ide o riešenie podľa druhej časti zákona, keď vlastníctvo prešlo na štát alebo podľa štvrtej časti zákona, keď vlastníctvo bolo zachované a bolo obmedzené ich užívanie.</w:t>
      </w:r>
    </w:p>
    <w:p w:rsidR="00A40165" w:rsidRPr="00DC49FE" w:rsidRDefault="00A40165">
      <w:pPr>
        <w:spacing w:after="0" w:line="240" w:lineRule="auto"/>
        <w:ind w:firstLine="708"/>
        <w:jc w:val="both"/>
        <w:rPr>
          <w:rFonts w:ascii="Times New Roman" w:hAnsi="Times New Roman" w:cs="Times New Roman"/>
          <w:sz w:val="16"/>
          <w:szCs w:val="16"/>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 xml:space="preserve">Podľa zákona č. 229/1991 Zb. si v rámci Slovenskej republiky uplatnilo žiadosť o náhradu 102 žiadateľov vo výške 1 891 746 €. </w:t>
      </w:r>
    </w:p>
    <w:p w:rsidR="00A40165" w:rsidRPr="00DC49FE" w:rsidRDefault="00A40165">
      <w:pPr>
        <w:spacing w:after="0" w:line="240" w:lineRule="auto"/>
        <w:ind w:firstLine="708"/>
        <w:jc w:val="both"/>
        <w:rPr>
          <w:rFonts w:ascii="Times New Roman" w:hAnsi="Times New Roman" w:cs="Times New Roman"/>
          <w:sz w:val="16"/>
          <w:szCs w:val="16"/>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Z toho podľa druhej časti zákona č. 229/1991 Zb. boli uplatnené náhrady v 69 prípadoch v hodnote 1 353 548 €, pričom bolo poskytnutých 29 náhrad v hodnote 649 407 €. Z toho za stavby bolo uplatnených 22 žiadostí s celkovou hodnotou 303 060 €, pričom bolo poskytnutých 10 náhrad v hodnote 164 443 €, za porovnateľné porasty bolo uplatnených 43 žiadostí v celkovej hodnote 1 024 398 € a poskytnutých bolo 16 náhrad v hodnote 465 844 € a na inventár a zásoby boli uplatnené 4 žiadosti v celkovej hodnote 26 090 € a poskytnuté boli 3 náhrady v hodnote 19 120 €.</w:t>
      </w:r>
    </w:p>
    <w:p w:rsidR="00A40165" w:rsidRDefault="00A40165">
      <w:pPr>
        <w:spacing w:after="0" w:line="240" w:lineRule="auto"/>
        <w:ind w:firstLine="708"/>
        <w:jc w:val="both"/>
        <w:rPr>
          <w:rFonts w:ascii="Times New Roman" w:hAnsi="Times New Roman" w:cs="Times New Roman"/>
          <w:sz w:val="16"/>
          <w:szCs w:val="16"/>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 xml:space="preserve">Podľa štvrtej časti zákona č. 229/1991 Zb. bolo uplatnených 33 náhrad v hodnote 538 198 €, pričom poskytnutých bolo 18 náhrad v hodnote 404 236 €, z toho náhrady </w:t>
      </w:r>
      <w:r w:rsidRPr="00DC49FE">
        <w:rPr>
          <w:rFonts w:ascii="Times New Roman" w:hAnsi="Times New Roman" w:cs="Times New Roman"/>
          <w:sz w:val="24"/>
          <w:szCs w:val="24"/>
          <w:lang w:eastAsia="sk-SK"/>
        </w:rPr>
        <w:lastRenderedPageBreak/>
        <w:t>za stavby boli uplatnené v 3 prípadoch v celkovej hodnote 85 906</w:t>
      </w:r>
      <w:r>
        <w:rPr>
          <w:rFonts w:ascii="Times New Roman" w:hAnsi="Times New Roman" w:cs="Times New Roman"/>
          <w:sz w:val="24"/>
          <w:szCs w:val="24"/>
          <w:lang w:eastAsia="sk-SK"/>
        </w:rPr>
        <w:t xml:space="preserve"> € a poskytnutá bola 1 náhrada v hodnote 82 852 €. Náhrady za porovnateľné porasty boli uplatnené v 23 prípadoch v celkovej hodnote 422 629 € a dosiaľ bola poskytnutých 8 náhrad vo výške 291 720 €. V deviatich prípadoch v hodnote 68 778 € bola požiadavka neopodstatnená, ostatné sú v riešení, keďže neboli predložené relevantné podklady. Žiadostí o náhradu za inventár a zásoby bolo uplatnených 7 v celkovej hodnote 29 663 € a poskytnutých bolo</w:t>
      </w:r>
      <w:r>
        <w:rPr>
          <w:rFonts w:ascii="Times New Roman" w:hAnsi="Times New Roman" w:cs="Times New Roman"/>
          <w:sz w:val="24"/>
          <w:szCs w:val="24"/>
          <w:lang w:eastAsia="sk-SK"/>
        </w:rPr>
        <w:br/>
        <w:t>6 náhrad v hodnote 29 664 €. Prehľad o uplatnených a poskytnutých náhradách je uvedený v prílohách č. 4a až 4f.</w:t>
      </w:r>
    </w:p>
    <w:p w:rsidR="00A40165" w:rsidRDefault="00A40165">
      <w:pPr>
        <w:spacing w:after="0" w:line="240" w:lineRule="auto"/>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1.5. Poskytovanie náhradných lesných pozemkov</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V osobitných prípadoch taxatívne vymenovaných v zákone č. 229/1991 Zb. a v zákone č. 503/2003 Z. z., keď pozemky nemožno vydať, oprávneným osobám sa prevedú bezodplatne do vlastníctva iné pozemky vo vlastníctve štátu v primeranej výmere a kvalite, ako boli pôvodné pozemky oprávnených osôb.</w:t>
      </w:r>
    </w:p>
    <w:p w:rsidR="00A40165" w:rsidRPr="00DC49FE" w:rsidRDefault="00A40165">
      <w:pPr>
        <w:spacing w:after="0" w:line="240" w:lineRule="auto"/>
        <w:ind w:firstLine="708"/>
        <w:jc w:val="both"/>
        <w:rPr>
          <w:rFonts w:ascii="Times New Roman" w:hAnsi="Times New Roman" w:cs="Times New Roman"/>
          <w:sz w:val="16"/>
          <w:szCs w:val="16"/>
          <w:lang w:eastAsia="sk-SK"/>
        </w:rPr>
      </w:pPr>
    </w:p>
    <w:p w:rsidR="00A40165" w:rsidRDefault="00A40165">
      <w:pPr>
        <w:pStyle w:val="Zarkazkladnhotextu3"/>
        <w:rPr>
          <w:rFonts w:ascii="Times New Roman" w:hAnsi="Times New Roman" w:cs="Times New Roman"/>
        </w:rPr>
      </w:pPr>
      <w:r>
        <w:rPr>
          <w:rFonts w:ascii="Times New Roman" w:hAnsi="Times New Roman" w:cs="Times New Roman"/>
        </w:rPr>
        <w:t xml:space="preserve">Podľa § 34 ods. 4 písm. a) zákona č. 330/1991 Zb. náhradné pozemky v nadväznosti na zákon č. 229/1991 Zb. poskytuje Slovenský pozemkový fond. S cieľom urýchlenia a sprehľadnenia poskytovania náhradných pozemkov bola medzi Slovenským pozemkovým fondom a LESMI SR, š. p. uzatvorená dohoda o spoločnom postupe pri aplikácii zákona č. 229/1991 Zb. a ministerstvo vydalo usmernenie č. 1548/2011-720, ktorým sa určuje postup Slovenského pozemkového fondu a správcov lesného majetku vo vlastníctve štátu pri riešení reštitučných náhrad za lesné pozemky podľa zákona č. 503/2003 Z. z. </w:t>
      </w:r>
    </w:p>
    <w:p w:rsidR="00A40165" w:rsidRPr="00DC49FE" w:rsidRDefault="00A40165">
      <w:pPr>
        <w:spacing w:after="0" w:line="240" w:lineRule="auto"/>
        <w:ind w:firstLine="708"/>
        <w:jc w:val="both"/>
        <w:rPr>
          <w:rFonts w:ascii="Times New Roman" w:hAnsi="Times New Roman" w:cs="Times New Roman"/>
          <w:sz w:val="16"/>
          <w:szCs w:val="16"/>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K 31. decembru 2014 požiadalo podľa zákona č. 229/1991 Zb. o poskytnutie náhrady </w:t>
      </w:r>
      <w:r w:rsidRPr="00DC49FE">
        <w:rPr>
          <w:rFonts w:ascii="Times New Roman" w:hAnsi="Times New Roman" w:cs="Times New Roman"/>
          <w:sz w:val="24"/>
          <w:szCs w:val="24"/>
          <w:lang w:eastAsia="sk-SK"/>
        </w:rPr>
        <w:t xml:space="preserve">za nevydané lesné pozemky formou bezodplatného prevodu iného lesného pozemku 40 oprávnených osôb na výmeru 228 ha. Z toho 20 oprávneným osobám už boli vyššie uvedeným postupom poskytnuté iné lesné pozemky o výmere 110 ha. Hodnota poskytnutých pozemkov bola stanovená znaleckými posudkami podľa vyhlášky č. 205/1988 Zb. o cenách stavieb, pozemkov, trvalých porastov, úhradách za zriadenie práva osobného užívania pozemkov </w:t>
      </w:r>
      <w:r w:rsidRPr="00DC49FE">
        <w:rPr>
          <w:rFonts w:ascii="Times New Roman" w:hAnsi="Times New Roman" w:cs="Times New Roman"/>
          <w:spacing w:val="-4"/>
          <w:sz w:val="24"/>
          <w:szCs w:val="24"/>
          <w:lang w:eastAsia="sk-SK"/>
        </w:rPr>
        <w:t xml:space="preserve">a o náhradách za dočasné užívanie pozemkov v znení vyhlášky č. 289/1990 Zb. a vyhlášky č. </w:t>
      </w:r>
      <w:r w:rsidRPr="00DC49FE">
        <w:rPr>
          <w:rFonts w:ascii="Times New Roman" w:hAnsi="Times New Roman" w:cs="Times New Roman"/>
          <w:sz w:val="24"/>
          <w:szCs w:val="24"/>
          <w:lang w:eastAsia="sk-SK"/>
        </w:rPr>
        <w:t xml:space="preserve">492/2004 Z. z. o stanovení všeobecnej hodnoty majetku </w:t>
      </w:r>
      <w:r w:rsidRPr="00DC49FE">
        <w:rPr>
          <w:rFonts w:ascii="Times New Roman" w:hAnsi="Times New Roman" w:cs="Times New Roman"/>
          <w:spacing w:val="-4"/>
          <w:sz w:val="24"/>
          <w:szCs w:val="24"/>
          <w:lang w:eastAsia="sk-SK"/>
        </w:rPr>
        <w:t>na sumu 253 376 € .</w:t>
      </w:r>
      <w:r w:rsidRPr="00DC49FE">
        <w:rPr>
          <w:rFonts w:ascii="Times New Roman" w:hAnsi="Times New Roman" w:cs="Times New Roman"/>
          <w:sz w:val="24"/>
          <w:szCs w:val="24"/>
          <w:lang w:eastAsia="sk-SK"/>
        </w:rPr>
        <w:t xml:space="preserve"> </w:t>
      </w:r>
    </w:p>
    <w:p w:rsidR="00A40165" w:rsidRPr="00DC49FE" w:rsidRDefault="00A40165">
      <w:pPr>
        <w:spacing w:after="0" w:line="240" w:lineRule="auto"/>
        <w:ind w:firstLine="708"/>
        <w:jc w:val="both"/>
        <w:rPr>
          <w:rFonts w:ascii="Times New Roman" w:hAnsi="Times New Roman" w:cs="Times New Roman"/>
          <w:sz w:val="16"/>
          <w:szCs w:val="16"/>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K 31. decembru 2014 bolo v rámci Slovenskej republiky u povinných osôb podľa zákona č. 503/2003 Z. z. uplatnených 103 žiadostí o poskytnutie náhradných lesných pozemkov za lesné pozemky, ktoré nebolo možné vydať o celkovej výmere 1 561 ha. Z toho bolo kladne vybavených 26 žiadostí o výmere 27 ha. Poskytnuté náhradné lesné pozemky boli ohodnotené na sumu 162 760 €.</w:t>
      </w:r>
    </w:p>
    <w:p w:rsidR="00A40165" w:rsidRPr="00DC49FE" w:rsidRDefault="00A40165">
      <w:pPr>
        <w:pStyle w:val="Zarkazkladnhotextu3"/>
        <w:rPr>
          <w:rFonts w:ascii="Times New Roman" w:hAnsi="Times New Roman" w:cs="Times New Roman"/>
          <w:sz w:val="16"/>
          <w:szCs w:val="16"/>
        </w:rPr>
      </w:pPr>
    </w:p>
    <w:p w:rsidR="00A40165" w:rsidRDefault="00A40165">
      <w:pPr>
        <w:pStyle w:val="Zarkazkladnhotextu3"/>
        <w:rPr>
          <w:rFonts w:ascii="Times New Roman" w:hAnsi="Times New Roman" w:cs="Times New Roman"/>
        </w:rPr>
      </w:pPr>
      <w:r>
        <w:rPr>
          <w:rFonts w:ascii="Times New Roman" w:hAnsi="Times New Roman" w:cs="Times New Roman"/>
        </w:rPr>
        <w:t>Žiadosti o vydanie náhradných lesných pozemkov – výzvy, boli uplatnené u LESOV SR, š. p. a u ŠL TANAP. U LPM Ulič, š. p. a VLM SR, š. p. ako povinnej osoby neboli uplatnené žiadosti o vydanie náhradných lesných pozemkov.</w:t>
      </w:r>
    </w:p>
    <w:p w:rsidR="00A40165" w:rsidRPr="00DC49FE" w:rsidRDefault="00A40165">
      <w:pPr>
        <w:spacing w:after="0" w:line="240" w:lineRule="auto"/>
        <w:ind w:firstLine="708"/>
        <w:jc w:val="both"/>
        <w:rPr>
          <w:rFonts w:ascii="Times New Roman" w:hAnsi="Times New Roman" w:cs="Times New Roman"/>
          <w:sz w:val="16"/>
          <w:szCs w:val="16"/>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Tabuľka uverejnená nižšie vyjadruje prehľad uplatnenia výziev na vydanie náhradných lesných pozemkov k 31. decembru 2014.</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p>
    <w:p w:rsidR="00577229" w:rsidRDefault="00577229">
      <w:pPr>
        <w:spacing w:after="0" w:line="240" w:lineRule="auto"/>
        <w:ind w:firstLine="708"/>
        <w:jc w:val="both"/>
        <w:rPr>
          <w:rFonts w:ascii="Times New Roman" w:hAnsi="Times New Roman" w:cs="Times New Roman"/>
          <w:sz w:val="24"/>
          <w:szCs w:val="24"/>
          <w:lang w:eastAsia="sk-SK"/>
        </w:rPr>
      </w:pPr>
    </w:p>
    <w:p w:rsidR="00577229" w:rsidRDefault="00577229">
      <w:pPr>
        <w:spacing w:after="0" w:line="240" w:lineRule="auto"/>
        <w:ind w:firstLine="708"/>
        <w:jc w:val="both"/>
        <w:rPr>
          <w:rFonts w:ascii="Times New Roman" w:hAnsi="Times New Roman" w:cs="Times New Roman"/>
          <w:sz w:val="24"/>
          <w:szCs w:val="24"/>
          <w:lang w:eastAsia="sk-SK"/>
        </w:rPr>
      </w:pPr>
    </w:p>
    <w:p w:rsidR="00577229" w:rsidRDefault="00577229">
      <w:pPr>
        <w:spacing w:after="0" w:line="240" w:lineRule="auto"/>
        <w:ind w:firstLine="708"/>
        <w:jc w:val="both"/>
        <w:rPr>
          <w:rFonts w:ascii="Times New Roman" w:hAnsi="Times New Roman" w:cs="Times New Roman"/>
          <w:sz w:val="24"/>
          <w:szCs w:val="24"/>
          <w:lang w:eastAsia="sk-SK"/>
        </w:rPr>
      </w:pPr>
    </w:p>
    <w:tbl>
      <w:tblPr>
        <w:tblW w:w="0" w:type="auto"/>
        <w:jc w:val="center"/>
        <w:tblLayout w:type="fixed"/>
        <w:tblCellMar>
          <w:left w:w="70" w:type="dxa"/>
          <w:right w:w="70" w:type="dxa"/>
        </w:tblCellMar>
        <w:tblLook w:val="0000" w:firstRow="0" w:lastRow="0" w:firstColumn="0" w:lastColumn="0" w:noHBand="0" w:noVBand="0"/>
      </w:tblPr>
      <w:tblGrid>
        <w:gridCol w:w="1981"/>
        <w:gridCol w:w="1099"/>
        <w:gridCol w:w="754"/>
        <w:gridCol w:w="931"/>
        <w:gridCol w:w="890"/>
        <w:gridCol w:w="978"/>
        <w:gridCol w:w="1104"/>
      </w:tblGrid>
      <w:tr w:rsidR="00A40165" w:rsidRPr="00E77046">
        <w:trPr>
          <w:trHeight w:hRule="exact" w:val="489"/>
          <w:jc w:val="center"/>
        </w:trPr>
        <w:tc>
          <w:tcPr>
            <w:tcW w:w="7737" w:type="dxa"/>
            <w:gridSpan w:val="7"/>
            <w:tcBorders>
              <w:top w:val="single" w:sz="8" w:space="0" w:color="auto"/>
              <w:left w:val="single" w:sz="8" w:space="0" w:color="auto"/>
              <w:bottom w:val="single" w:sz="4" w:space="0" w:color="000000"/>
              <w:right w:val="single" w:sz="8" w:space="0" w:color="000000"/>
            </w:tcBorders>
            <w:noWrap/>
            <w:vAlign w:val="center"/>
          </w:tcPr>
          <w:p w:rsidR="00A40165" w:rsidRPr="00E77046" w:rsidRDefault="00A40165">
            <w:pPr>
              <w:pStyle w:val="Nadpis2"/>
              <w:spacing w:before="0" w:line="240" w:lineRule="auto"/>
              <w:rPr>
                <w:rFonts w:ascii="Times New Roman" w:hAnsi="Times New Roman" w:cs="Times New Roman"/>
              </w:rPr>
            </w:pPr>
            <w:r w:rsidRPr="00E77046">
              <w:rPr>
                <w:rFonts w:ascii="Times New Roman" w:hAnsi="Times New Roman" w:cs="Times New Roman"/>
              </w:rPr>
              <w:lastRenderedPageBreak/>
              <w:t>Prehľad uplatnenia výziev na vydanie náhradných lesných pozemkov k 31.12.2014</w:t>
            </w:r>
          </w:p>
        </w:tc>
      </w:tr>
      <w:tr w:rsidR="00A40165" w:rsidRPr="00E77046" w:rsidTr="00C94751">
        <w:trPr>
          <w:cantSplit/>
          <w:trHeight w:hRule="exact" w:val="340"/>
          <w:jc w:val="center"/>
        </w:trPr>
        <w:tc>
          <w:tcPr>
            <w:tcW w:w="3080" w:type="dxa"/>
            <w:gridSpan w:val="2"/>
            <w:vMerge w:val="restart"/>
            <w:tcBorders>
              <w:top w:val="single" w:sz="12" w:space="0" w:color="auto"/>
              <w:left w:val="single" w:sz="8" w:space="0" w:color="auto"/>
              <w:bottom w:val="single" w:sz="4" w:space="0" w:color="000000"/>
              <w:right w:val="single" w:sz="4" w:space="0" w:color="000000"/>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bookmarkStart w:id="0" w:name="OLE_LINK1"/>
            <w:r w:rsidRPr="00E77046">
              <w:rPr>
                <w:rFonts w:ascii="Times New Roman" w:hAnsi="Times New Roman" w:cs="Times New Roman"/>
                <w:b/>
                <w:bCs/>
                <w:sz w:val="20"/>
                <w:szCs w:val="20"/>
                <w:lang w:eastAsia="sk-SK"/>
              </w:rPr>
              <w:t>LESY SR, š. p.</w:t>
            </w:r>
          </w:p>
        </w:tc>
        <w:tc>
          <w:tcPr>
            <w:tcW w:w="4657" w:type="dxa"/>
            <w:gridSpan w:val="5"/>
            <w:tcBorders>
              <w:top w:val="single" w:sz="12" w:space="0" w:color="auto"/>
              <w:left w:val="nil"/>
              <w:bottom w:val="nil"/>
              <w:right w:val="single" w:sz="8" w:space="0" w:color="000000"/>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Výzvy</w:t>
            </w:r>
          </w:p>
        </w:tc>
      </w:tr>
      <w:tr w:rsidR="00A40165" w:rsidRPr="00E77046" w:rsidTr="00C94751">
        <w:trPr>
          <w:cantSplit/>
          <w:trHeight w:hRule="exact" w:val="340"/>
          <w:jc w:val="center"/>
        </w:trPr>
        <w:tc>
          <w:tcPr>
            <w:tcW w:w="3080" w:type="dxa"/>
            <w:gridSpan w:val="2"/>
            <w:vMerge/>
            <w:tcBorders>
              <w:top w:val="single" w:sz="8" w:space="0" w:color="auto"/>
              <w:left w:val="single" w:sz="8" w:space="0" w:color="auto"/>
              <w:bottom w:val="single" w:sz="4" w:space="0" w:color="000000"/>
              <w:right w:val="single" w:sz="4" w:space="0" w:color="000000"/>
            </w:tcBorders>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p>
        </w:tc>
        <w:tc>
          <w:tcPr>
            <w:tcW w:w="1685" w:type="dxa"/>
            <w:gridSpan w:val="2"/>
            <w:tcBorders>
              <w:top w:val="single" w:sz="4" w:space="0" w:color="auto"/>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vybavené kladne</w:t>
            </w:r>
          </w:p>
        </w:tc>
      </w:tr>
      <w:tr w:rsidR="00A40165" w:rsidRPr="00E77046" w:rsidTr="00C94751">
        <w:trPr>
          <w:trHeight w:hRule="exact" w:val="340"/>
          <w:jc w:val="center"/>
        </w:trPr>
        <w:tc>
          <w:tcPr>
            <w:tcW w:w="3080" w:type="dxa"/>
            <w:gridSpan w:val="2"/>
            <w:tcBorders>
              <w:top w:val="single" w:sz="4" w:space="0" w:color="auto"/>
              <w:left w:val="single" w:sz="8" w:space="0" w:color="auto"/>
              <w:bottom w:val="single" w:sz="4" w:space="0" w:color="auto"/>
              <w:right w:val="single" w:sz="4" w:space="0" w:color="000000"/>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Zákon</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w:t>
            </w:r>
          </w:p>
        </w:tc>
      </w:tr>
      <w:tr w:rsidR="00A40165" w:rsidRPr="00E77046" w:rsidTr="00C94751">
        <w:trPr>
          <w:trHeight w:hRule="exact" w:val="340"/>
          <w:jc w:val="center"/>
        </w:trPr>
        <w:tc>
          <w:tcPr>
            <w:tcW w:w="1981" w:type="dxa"/>
            <w:tcBorders>
              <w:top w:val="nil"/>
              <w:left w:val="single" w:sz="8" w:space="0" w:color="auto"/>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229/1991 Zb.</w:t>
            </w:r>
          </w:p>
        </w:tc>
        <w:tc>
          <w:tcPr>
            <w:tcW w:w="1099"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11 ods. 2</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40</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228,17</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110,42</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253 376</w:t>
            </w:r>
          </w:p>
        </w:tc>
      </w:tr>
      <w:tr w:rsidR="00A40165" w:rsidRPr="00E77046" w:rsidTr="00C94751">
        <w:trPr>
          <w:trHeight w:hRule="exact" w:val="340"/>
          <w:jc w:val="center"/>
        </w:trPr>
        <w:tc>
          <w:tcPr>
            <w:tcW w:w="1981" w:type="dxa"/>
            <w:tcBorders>
              <w:top w:val="nil"/>
              <w:left w:val="single" w:sz="8" w:space="0" w:color="auto"/>
              <w:bottom w:val="nil"/>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p>
        </w:tc>
        <w:tc>
          <w:tcPr>
            <w:tcW w:w="1099"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6 ods. 2</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92</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124,02</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19</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17,73</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153 110</w:t>
            </w:r>
          </w:p>
        </w:tc>
      </w:tr>
      <w:tr w:rsidR="00A40165" w:rsidRPr="00E77046" w:rsidTr="00C94751">
        <w:trPr>
          <w:trHeight w:hRule="exact" w:val="340"/>
          <w:jc w:val="center"/>
        </w:trPr>
        <w:tc>
          <w:tcPr>
            <w:tcW w:w="1981" w:type="dxa"/>
            <w:tcBorders>
              <w:top w:val="nil"/>
              <w:left w:val="single" w:sz="8" w:space="0" w:color="auto"/>
              <w:bottom w:val="nil"/>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xml:space="preserve">503/2003 </w:t>
            </w:r>
            <w:proofErr w:type="spellStart"/>
            <w:r w:rsidRPr="00E77046">
              <w:rPr>
                <w:rFonts w:ascii="Times New Roman" w:hAnsi="Times New Roman" w:cs="Times New Roman"/>
                <w:sz w:val="20"/>
                <w:szCs w:val="20"/>
                <w:lang w:eastAsia="sk-SK"/>
              </w:rPr>
              <w:t>Z.z</w:t>
            </w:r>
            <w:proofErr w:type="spellEnd"/>
            <w:r w:rsidRPr="00E77046">
              <w:rPr>
                <w:rFonts w:ascii="Times New Roman" w:hAnsi="Times New Roman" w:cs="Times New Roman"/>
                <w:sz w:val="20"/>
                <w:szCs w:val="20"/>
                <w:lang w:eastAsia="sk-SK"/>
              </w:rPr>
              <w:t>.</w:t>
            </w:r>
          </w:p>
        </w:tc>
        <w:tc>
          <w:tcPr>
            <w:tcW w:w="1099"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6 ods. 3</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rsidTr="00C94751">
        <w:trPr>
          <w:trHeight w:hRule="exact" w:val="340"/>
          <w:jc w:val="center"/>
        </w:trPr>
        <w:tc>
          <w:tcPr>
            <w:tcW w:w="1981" w:type="dxa"/>
            <w:tcBorders>
              <w:top w:val="nil"/>
              <w:left w:val="single" w:sz="8" w:space="0" w:color="auto"/>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p>
        </w:tc>
        <w:tc>
          <w:tcPr>
            <w:tcW w:w="1099"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6 ods. 4</w:t>
            </w:r>
          </w:p>
        </w:tc>
        <w:tc>
          <w:tcPr>
            <w:tcW w:w="754"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w:t>
            </w:r>
          </w:p>
        </w:tc>
        <w:tc>
          <w:tcPr>
            <w:tcW w:w="931"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1 427,00</w:t>
            </w:r>
          </w:p>
        </w:tc>
        <w:tc>
          <w:tcPr>
            <w:tcW w:w="890"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78"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1104" w:type="dxa"/>
            <w:tcBorders>
              <w:top w:val="nil"/>
              <w:left w:val="nil"/>
              <w:bottom w:val="single" w:sz="8"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rsidTr="00C94751">
        <w:trPr>
          <w:cantSplit/>
          <w:trHeight w:hRule="exact" w:val="340"/>
          <w:jc w:val="center"/>
        </w:trPr>
        <w:tc>
          <w:tcPr>
            <w:tcW w:w="3080" w:type="dxa"/>
            <w:gridSpan w:val="2"/>
            <w:vMerge w:val="restart"/>
            <w:tcBorders>
              <w:top w:val="single" w:sz="12" w:space="0" w:color="auto"/>
              <w:left w:val="single" w:sz="8" w:space="0" w:color="auto"/>
              <w:bottom w:val="single" w:sz="4" w:space="0" w:color="000000"/>
              <w:right w:val="single" w:sz="4" w:space="0" w:color="000000"/>
            </w:tcBorders>
            <w:noWrap/>
            <w:vAlign w:val="center"/>
          </w:tcPr>
          <w:p w:rsidR="00A40165" w:rsidRPr="00E77046" w:rsidRDefault="00A40165" w:rsidP="00C94751">
            <w:pPr>
              <w:pStyle w:val="Nadpis2"/>
              <w:spacing w:before="0" w:line="240" w:lineRule="auto"/>
              <w:rPr>
                <w:rFonts w:ascii="Times New Roman" w:hAnsi="Times New Roman" w:cs="Times New Roman"/>
              </w:rPr>
            </w:pPr>
            <w:r w:rsidRPr="00E77046">
              <w:rPr>
                <w:rFonts w:ascii="Times New Roman" w:hAnsi="Times New Roman" w:cs="Times New Roman"/>
              </w:rPr>
              <w:t>ŠL TANAP</w:t>
            </w:r>
          </w:p>
        </w:tc>
        <w:tc>
          <w:tcPr>
            <w:tcW w:w="4657" w:type="dxa"/>
            <w:gridSpan w:val="5"/>
            <w:tcBorders>
              <w:top w:val="single" w:sz="12" w:space="0" w:color="auto"/>
              <w:left w:val="nil"/>
              <w:bottom w:val="nil"/>
              <w:right w:val="single" w:sz="8" w:space="0" w:color="000000"/>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Výzvy</w:t>
            </w:r>
          </w:p>
        </w:tc>
      </w:tr>
      <w:tr w:rsidR="00A40165" w:rsidRPr="00E77046" w:rsidTr="00C94751">
        <w:trPr>
          <w:cantSplit/>
          <w:trHeight w:hRule="exact" w:val="340"/>
          <w:jc w:val="center"/>
        </w:trPr>
        <w:tc>
          <w:tcPr>
            <w:tcW w:w="3080" w:type="dxa"/>
            <w:gridSpan w:val="2"/>
            <w:vMerge/>
            <w:tcBorders>
              <w:top w:val="nil"/>
              <w:left w:val="single" w:sz="8" w:space="0" w:color="auto"/>
              <w:bottom w:val="single" w:sz="4" w:space="0" w:color="000000"/>
              <w:right w:val="single" w:sz="4" w:space="0" w:color="000000"/>
            </w:tcBorders>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p>
        </w:tc>
        <w:tc>
          <w:tcPr>
            <w:tcW w:w="1685" w:type="dxa"/>
            <w:gridSpan w:val="2"/>
            <w:tcBorders>
              <w:top w:val="single" w:sz="4" w:space="0" w:color="auto"/>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vybavené kladne</w:t>
            </w:r>
          </w:p>
        </w:tc>
      </w:tr>
      <w:tr w:rsidR="00A40165" w:rsidRPr="00E77046" w:rsidTr="00C94751">
        <w:trPr>
          <w:trHeight w:hRule="exact" w:val="340"/>
          <w:jc w:val="center"/>
        </w:trPr>
        <w:tc>
          <w:tcPr>
            <w:tcW w:w="3080" w:type="dxa"/>
            <w:gridSpan w:val="2"/>
            <w:tcBorders>
              <w:top w:val="single" w:sz="4" w:space="0" w:color="auto"/>
              <w:left w:val="single" w:sz="8" w:space="0" w:color="auto"/>
              <w:bottom w:val="single" w:sz="4" w:space="0" w:color="auto"/>
              <w:right w:val="single" w:sz="4" w:space="0" w:color="000000"/>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Zákon</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w:t>
            </w:r>
          </w:p>
        </w:tc>
      </w:tr>
      <w:tr w:rsidR="00A40165" w:rsidRPr="00E77046" w:rsidTr="00C94751">
        <w:trPr>
          <w:trHeight w:hRule="exact" w:val="340"/>
          <w:jc w:val="center"/>
        </w:trPr>
        <w:tc>
          <w:tcPr>
            <w:tcW w:w="1981" w:type="dxa"/>
            <w:tcBorders>
              <w:top w:val="nil"/>
              <w:left w:val="single" w:sz="8" w:space="0" w:color="auto"/>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229/1991 Zb.</w:t>
            </w:r>
          </w:p>
        </w:tc>
        <w:tc>
          <w:tcPr>
            <w:tcW w:w="1099"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11 ods. 2</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rsidTr="00C94751">
        <w:trPr>
          <w:trHeight w:hRule="exact" w:val="340"/>
          <w:jc w:val="center"/>
        </w:trPr>
        <w:tc>
          <w:tcPr>
            <w:tcW w:w="1981" w:type="dxa"/>
            <w:tcBorders>
              <w:top w:val="single" w:sz="4" w:space="0" w:color="auto"/>
              <w:left w:val="single" w:sz="4" w:space="0" w:color="auto"/>
              <w:bottom w:val="nil"/>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p>
        </w:tc>
        <w:tc>
          <w:tcPr>
            <w:tcW w:w="1099"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6 ods. 2</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rsidTr="00C94751">
        <w:trPr>
          <w:trHeight w:hRule="exact" w:val="340"/>
          <w:jc w:val="center"/>
        </w:trPr>
        <w:tc>
          <w:tcPr>
            <w:tcW w:w="1981" w:type="dxa"/>
            <w:tcBorders>
              <w:top w:val="nil"/>
              <w:left w:val="single" w:sz="4" w:space="0" w:color="auto"/>
              <w:bottom w:val="nil"/>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xml:space="preserve">503/2003 </w:t>
            </w:r>
            <w:proofErr w:type="spellStart"/>
            <w:r w:rsidRPr="00E77046">
              <w:rPr>
                <w:rFonts w:ascii="Times New Roman" w:hAnsi="Times New Roman" w:cs="Times New Roman"/>
                <w:sz w:val="20"/>
                <w:szCs w:val="20"/>
                <w:lang w:eastAsia="sk-SK"/>
              </w:rPr>
              <w:t>Z.z</w:t>
            </w:r>
            <w:proofErr w:type="spellEnd"/>
            <w:r w:rsidRPr="00E77046">
              <w:rPr>
                <w:rFonts w:ascii="Times New Roman" w:hAnsi="Times New Roman" w:cs="Times New Roman"/>
                <w:sz w:val="20"/>
                <w:szCs w:val="20"/>
                <w:lang w:eastAsia="sk-SK"/>
              </w:rPr>
              <w:t>.</w:t>
            </w:r>
          </w:p>
        </w:tc>
        <w:tc>
          <w:tcPr>
            <w:tcW w:w="1099" w:type="dxa"/>
            <w:tcBorders>
              <w:top w:val="nil"/>
              <w:left w:val="single" w:sz="4" w:space="0" w:color="auto"/>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6 ods. 3</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10,23</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9,65</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9 650</w:t>
            </w:r>
          </w:p>
        </w:tc>
      </w:tr>
      <w:tr w:rsidR="00A40165" w:rsidRPr="00E77046" w:rsidTr="00C94751">
        <w:trPr>
          <w:trHeight w:hRule="exact" w:val="340"/>
          <w:jc w:val="center"/>
        </w:trPr>
        <w:tc>
          <w:tcPr>
            <w:tcW w:w="1981" w:type="dxa"/>
            <w:tcBorders>
              <w:top w:val="nil"/>
              <w:left w:val="single" w:sz="4" w:space="0" w:color="auto"/>
              <w:bottom w:val="single" w:sz="12"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p>
        </w:tc>
        <w:tc>
          <w:tcPr>
            <w:tcW w:w="1099" w:type="dxa"/>
            <w:tcBorders>
              <w:top w:val="single" w:sz="4" w:space="0" w:color="auto"/>
              <w:left w:val="nil"/>
              <w:bottom w:val="single" w:sz="12"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6 ods. 4</w:t>
            </w:r>
          </w:p>
        </w:tc>
        <w:tc>
          <w:tcPr>
            <w:tcW w:w="754" w:type="dxa"/>
            <w:tcBorders>
              <w:top w:val="single" w:sz="4" w:space="0" w:color="auto"/>
              <w:left w:val="nil"/>
              <w:bottom w:val="single" w:sz="12"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31" w:type="dxa"/>
            <w:tcBorders>
              <w:top w:val="single" w:sz="4" w:space="0" w:color="auto"/>
              <w:left w:val="nil"/>
              <w:bottom w:val="single" w:sz="12"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90" w:type="dxa"/>
            <w:tcBorders>
              <w:top w:val="single" w:sz="4" w:space="0" w:color="auto"/>
              <w:left w:val="nil"/>
              <w:bottom w:val="single" w:sz="12"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78" w:type="dxa"/>
            <w:tcBorders>
              <w:top w:val="single" w:sz="4" w:space="0" w:color="auto"/>
              <w:left w:val="nil"/>
              <w:bottom w:val="single" w:sz="12"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1104" w:type="dxa"/>
            <w:tcBorders>
              <w:top w:val="single" w:sz="4" w:space="0" w:color="auto"/>
              <w:left w:val="nil"/>
              <w:bottom w:val="single" w:sz="12"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rsidTr="00C94751">
        <w:trPr>
          <w:cantSplit/>
          <w:trHeight w:hRule="exact" w:val="340"/>
          <w:jc w:val="center"/>
        </w:trPr>
        <w:tc>
          <w:tcPr>
            <w:tcW w:w="3080" w:type="dxa"/>
            <w:gridSpan w:val="2"/>
            <w:vMerge w:val="restart"/>
            <w:tcBorders>
              <w:top w:val="single" w:sz="12" w:space="0" w:color="auto"/>
              <w:left w:val="single" w:sz="4" w:space="0" w:color="auto"/>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p>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S p o l u</w:t>
            </w:r>
          </w:p>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p>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p>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p>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p>
        </w:tc>
        <w:tc>
          <w:tcPr>
            <w:tcW w:w="4657" w:type="dxa"/>
            <w:gridSpan w:val="5"/>
            <w:tcBorders>
              <w:top w:val="single" w:sz="12" w:space="0" w:color="auto"/>
              <w:left w:val="single" w:sz="4" w:space="0" w:color="auto"/>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Výzvy</w:t>
            </w:r>
          </w:p>
        </w:tc>
      </w:tr>
      <w:tr w:rsidR="00A40165" w:rsidRPr="00E77046" w:rsidTr="00C94751">
        <w:trPr>
          <w:cantSplit/>
          <w:trHeight w:hRule="exact" w:val="340"/>
          <w:jc w:val="center"/>
        </w:trPr>
        <w:tc>
          <w:tcPr>
            <w:tcW w:w="3080" w:type="dxa"/>
            <w:gridSpan w:val="2"/>
            <w:vMerge/>
            <w:tcBorders>
              <w:top w:val="single" w:sz="4" w:space="0" w:color="auto"/>
              <w:left w:val="single" w:sz="4" w:space="0" w:color="auto"/>
              <w:bottom w:val="single" w:sz="4" w:space="0" w:color="auto"/>
              <w:right w:val="single" w:sz="4" w:space="0" w:color="auto"/>
            </w:tcBorders>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p>
        </w:tc>
        <w:tc>
          <w:tcPr>
            <w:tcW w:w="1685" w:type="dxa"/>
            <w:gridSpan w:val="2"/>
            <w:tcBorders>
              <w:top w:val="single" w:sz="4" w:space="0" w:color="auto"/>
              <w:left w:val="single" w:sz="4" w:space="0" w:color="auto"/>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uplatnené</w:t>
            </w:r>
          </w:p>
        </w:tc>
        <w:tc>
          <w:tcPr>
            <w:tcW w:w="2972" w:type="dxa"/>
            <w:gridSpan w:val="3"/>
            <w:tcBorders>
              <w:top w:val="single" w:sz="4" w:space="0" w:color="auto"/>
              <w:left w:val="nil"/>
              <w:bottom w:val="single" w:sz="4" w:space="0" w:color="auto"/>
              <w:right w:val="single" w:sz="8" w:space="0" w:color="000000"/>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vybavené kladne</w:t>
            </w:r>
          </w:p>
        </w:tc>
      </w:tr>
      <w:tr w:rsidR="00A40165" w:rsidRPr="00E77046" w:rsidTr="00C94751">
        <w:trPr>
          <w:trHeight w:hRule="exact" w:val="340"/>
          <w:jc w:val="center"/>
        </w:trPr>
        <w:tc>
          <w:tcPr>
            <w:tcW w:w="3080" w:type="dxa"/>
            <w:gridSpan w:val="2"/>
            <w:tcBorders>
              <w:top w:val="single" w:sz="4" w:space="0" w:color="auto"/>
              <w:left w:val="single" w:sz="8" w:space="0" w:color="auto"/>
              <w:bottom w:val="single" w:sz="4" w:space="0" w:color="auto"/>
              <w:right w:val="single" w:sz="4" w:space="0" w:color="000000"/>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Zákon</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počet</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ha</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počet</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ha</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w:t>
            </w:r>
          </w:p>
        </w:tc>
      </w:tr>
      <w:tr w:rsidR="00A40165" w:rsidRPr="00E77046" w:rsidTr="00C94751">
        <w:trPr>
          <w:trHeight w:hRule="exact" w:val="340"/>
          <w:jc w:val="center"/>
        </w:trPr>
        <w:tc>
          <w:tcPr>
            <w:tcW w:w="1981" w:type="dxa"/>
            <w:tcBorders>
              <w:top w:val="nil"/>
              <w:left w:val="single" w:sz="8" w:space="0" w:color="auto"/>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229/1991 Zb.</w:t>
            </w:r>
          </w:p>
        </w:tc>
        <w:tc>
          <w:tcPr>
            <w:tcW w:w="1099"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 11 ods. 2</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40</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228,17</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20</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110,42</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253 376</w:t>
            </w:r>
          </w:p>
        </w:tc>
      </w:tr>
      <w:tr w:rsidR="00A40165" w:rsidRPr="00E77046" w:rsidTr="00C94751">
        <w:trPr>
          <w:trHeight w:hRule="exact" w:val="340"/>
          <w:jc w:val="center"/>
        </w:trPr>
        <w:tc>
          <w:tcPr>
            <w:tcW w:w="1981" w:type="dxa"/>
            <w:tcBorders>
              <w:top w:val="nil"/>
              <w:left w:val="single" w:sz="8" w:space="0" w:color="auto"/>
              <w:bottom w:val="nil"/>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p>
        </w:tc>
        <w:tc>
          <w:tcPr>
            <w:tcW w:w="1099"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 6 ods. 2</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92</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124,02</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19</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17,73</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153 110</w:t>
            </w:r>
          </w:p>
        </w:tc>
      </w:tr>
      <w:tr w:rsidR="00A40165" w:rsidRPr="00E77046" w:rsidTr="00C94751">
        <w:trPr>
          <w:trHeight w:hRule="exact" w:val="340"/>
          <w:jc w:val="center"/>
        </w:trPr>
        <w:tc>
          <w:tcPr>
            <w:tcW w:w="1981" w:type="dxa"/>
            <w:tcBorders>
              <w:top w:val="nil"/>
              <w:left w:val="single" w:sz="8" w:space="0" w:color="auto"/>
              <w:bottom w:val="nil"/>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503/2003 Z.</w:t>
            </w:r>
            <w:r w:rsidR="00AB1715">
              <w:rPr>
                <w:rFonts w:ascii="Times New Roman" w:hAnsi="Times New Roman" w:cs="Times New Roman"/>
                <w:b/>
                <w:bCs/>
                <w:sz w:val="20"/>
                <w:szCs w:val="20"/>
                <w:lang w:eastAsia="sk-SK"/>
              </w:rPr>
              <w:t xml:space="preserve"> </w:t>
            </w:r>
            <w:r w:rsidRPr="00E77046">
              <w:rPr>
                <w:rFonts w:ascii="Times New Roman" w:hAnsi="Times New Roman" w:cs="Times New Roman"/>
                <w:b/>
                <w:bCs/>
                <w:sz w:val="20"/>
                <w:szCs w:val="20"/>
                <w:lang w:eastAsia="sk-SK"/>
              </w:rPr>
              <w:t>z.</w:t>
            </w:r>
          </w:p>
        </w:tc>
        <w:tc>
          <w:tcPr>
            <w:tcW w:w="1099"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 6 ods. 3</w:t>
            </w:r>
          </w:p>
        </w:tc>
        <w:tc>
          <w:tcPr>
            <w:tcW w:w="754"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10</w:t>
            </w:r>
          </w:p>
        </w:tc>
        <w:tc>
          <w:tcPr>
            <w:tcW w:w="931"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10,23</w:t>
            </w:r>
          </w:p>
        </w:tc>
        <w:tc>
          <w:tcPr>
            <w:tcW w:w="890"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7</w:t>
            </w:r>
          </w:p>
        </w:tc>
        <w:tc>
          <w:tcPr>
            <w:tcW w:w="978" w:type="dxa"/>
            <w:tcBorders>
              <w:top w:val="nil"/>
              <w:left w:val="nil"/>
              <w:bottom w:val="single" w:sz="4"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9,65</w:t>
            </w:r>
          </w:p>
        </w:tc>
        <w:tc>
          <w:tcPr>
            <w:tcW w:w="1104" w:type="dxa"/>
            <w:tcBorders>
              <w:top w:val="nil"/>
              <w:left w:val="nil"/>
              <w:bottom w:val="single" w:sz="4"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9 650</w:t>
            </w:r>
          </w:p>
        </w:tc>
      </w:tr>
      <w:tr w:rsidR="00A40165" w:rsidRPr="00E77046" w:rsidTr="00C94751">
        <w:trPr>
          <w:trHeight w:hRule="exact" w:val="340"/>
          <w:jc w:val="center"/>
        </w:trPr>
        <w:tc>
          <w:tcPr>
            <w:tcW w:w="1981" w:type="dxa"/>
            <w:tcBorders>
              <w:top w:val="nil"/>
              <w:left w:val="single" w:sz="8" w:space="0" w:color="auto"/>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p>
        </w:tc>
        <w:tc>
          <w:tcPr>
            <w:tcW w:w="1099"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 6 ods. 4</w:t>
            </w:r>
          </w:p>
        </w:tc>
        <w:tc>
          <w:tcPr>
            <w:tcW w:w="754"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w:t>
            </w:r>
          </w:p>
        </w:tc>
        <w:tc>
          <w:tcPr>
            <w:tcW w:w="931"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1 427,00</w:t>
            </w:r>
          </w:p>
        </w:tc>
        <w:tc>
          <w:tcPr>
            <w:tcW w:w="890"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0</w:t>
            </w:r>
          </w:p>
        </w:tc>
        <w:tc>
          <w:tcPr>
            <w:tcW w:w="978" w:type="dxa"/>
            <w:tcBorders>
              <w:top w:val="nil"/>
              <w:left w:val="nil"/>
              <w:bottom w:val="single" w:sz="8" w:space="0" w:color="auto"/>
              <w:right w:val="single" w:sz="4"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0</w:t>
            </w:r>
          </w:p>
        </w:tc>
        <w:tc>
          <w:tcPr>
            <w:tcW w:w="1104" w:type="dxa"/>
            <w:tcBorders>
              <w:top w:val="nil"/>
              <w:left w:val="nil"/>
              <w:bottom w:val="single" w:sz="8" w:space="0" w:color="auto"/>
              <w:right w:val="single" w:sz="8" w:space="0" w:color="auto"/>
            </w:tcBorders>
            <w:noWrap/>
            <w:vAlign w:val="center"/>
          </w:tcPr>
          <w:p w:rsidR="00A40165" w:rsidRPr="00E77046" w:rsidRDefault="00A40165" w:rsidP="00C94751">
            <w:pPr>
              <w:spacing w:before="120"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0</w:t>
            </w:r>
          </w:p>
        </w:tc>
      </w:tr>
      <w:bookmarkEnd w:id="0"/>
    </w:tbl>
    <w:p w:rsidR="00A40165" w:rsidRDefault="00A40165">
      <w:pPr>
        <w:pStyle w:val="Odsekzoznamu"/>
        <w:spacing w:after="0" w:line="240" w:lineRule="auto"/>
        <w:ind w:left="0" w:hanging="369"/>
        <w:jc w:val="both"/>
        <w:rPr>
          <w:rFonts w:ascii="Times New Roman" w:hAnsi="Times New Roman" w:cs="Times New Roman"/>
          <w:b/>
          <w:bCs/>
          <w:sz w:val="24"/>
          <w:szCs w:val="24"/>
          <w:lang w:eastAsia="sk-SK"/>
        </w:rPr>
      </w:pPr>
    </w:p>
    <w:p w:rsidR="00A40165" w:rsidRDefault="00A40165">
      <w:pPr>
        <w:pStyle w:val="Odsekzoznamu"/>
        <w:spacing w:after="0" w:line="240" w:lineRule="auto"/>
        <w:ind w:left="0" w:hanging="369"/>
        <w:jc w:val="both"/>
        <w:rPr>
          <w:rFonts w:ascii="Times New Roman" w:hAnsi="Times New Roman" w:cs="Times New Roman"/>
          <w:b/>
          <w:bCs/>
          <w:sz w:val="24"/>
          <w:szCs w:val="24"/>
          <w:lang w:eastAsia="sk-SK"/>
        </w:rPr>
      </w:pPr>
    </w:p>
    <w:p w:rsidR="00A40165" w:rsidRDefault="00A40165">
      <w:pPr>
        <w:pStyle w:val="Odsekzoznamu"/>
        <w:spacing w:after="0" w:line="240" w:lineRule="auto"/>
        <w:ind w:left="369" w:hanging="369"/>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2. Súčasný stav usporiadania vlastníckych a užívacích práv k lesným pozemkom  povinnými osobami</w:t>
      </w:r>
    </w:p>
    <w:p w:rsidR="00A40165" w:rsidRDefault="00A40165">
      <w:pPr>
        <w:pStyle w:val="Odsekzoznamu"/>
        <w:spacing w:after="0" w:line="240" w:lineRule="auto"/>
        <w:ind w:left="0" w:hanging="369"/>
        <w:jc w:val="both"/>
        <w:rPr>
          <w:rFonts w:ascii="Times New Roman" w:hAnsi="Times New Roman" w:cs="Times New Roman"/>
          <w:b/>
          <w:bCs/>
          <w:sz w:val="24"/>
          <w:szCs w:val="24"/>
          <w:lang w:eastAsia="sk-SK"/>
        </w:rPr>
      </w:pPr>
    </w:p>
    <w:p w:rsidR="00A40165" w:rsidRPr="00DC49FE" w:rsidRDefault="00A40165">
      <w:pPr>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Je možné konštatovať, že v súčasnosti sa riešenie žiadostí zameriava na usporiadanie užívacích vzťahov k lesným pozemkom po vydaní rozhodnutia o navrátení vlastníctva príslušným pozemkovým úradom a na riešenie žiadostí na usporiadanie užívacích vzťahov </w:t>
      </w:r>
      <w:r>
        <w:rPr>
          <w:rFonts w:ascii="Times New Roman" w:hAnsi="Times New Roman" w:cs="Times New Roman"/>
          <w:sz w:val="24"/>
          <w:szCs w:val="24"/>
          <w:lang w:eastAsia="sk-SK"/>
        </w:rPr>
        <w:br/>
        <w:t>na pozemkoch, kde vlastníctvo na štát v </w:t>
      </w:r>
      <w:r w:rsidRPr="00DC49FE">
        <w:rPr>
          <w:rFonts w:ascii="Times New Roman" w:hAnsi="Times New Roman" w:cs="Times New Roman"/>
          <w:sz w:val="24"/>
          <w:szCs w:val="24"/>
          <w:lang w:eastAsia="sk-SK"/>
        </w:rPr>
        <w:t xml:space="preserve">rozhodujúcom období neprešlo. Lesné pozemky </w:t>
      </w:r>
      <w:r w:rsidRPr="00DC49FE">
        <w:rPr>
          <w:rFonts w:ascii="Times New Roman" w:hAnsi="Times New Roman" w:cs="Times New Roman"/>
          <w:sz w:val="24"/>
          <w:szCs w:val="24"/>
          <w:lang w:eastAsia="sk-SK"/>
        </w:rPr>
        <w:br/>
        <w:t>vo vlastníctve fyzických osôb ostáva usporiadať na výmere 136 023 ha, lesné pozemky v spoluvlastníctve vlastníkov spoločnej nehnuteľnosti (pozemkové spoločenstvá) ostáva doriešiť na ploche o výmere 16 652 ha. Neodovzdaný majetok miest a obcí predstavuje výmeru 1 316 ha, majetok cirkví nie je odovzdaný na výmere 3 275 ha, výmera neriešeného iného vlastníctva je 19 454 ha. V tejto výmere sú zahrnuté aj lesné pozemky, ktoré z titulu druhu vlastníctva, nie je možné jednoznačne identifikovať. Celkom je potrebné usporiadať užívacie vzťahy k lesným pozemkom na výmere 176 720 ha. Prehľad o usporiadaní užívacích vzťahov podľa druhu vlastníctva je uvedený v prílohe č. 5.</w:t>
      </w:r>
    </w:p>
    <w:p w:rsidR="00A40165" w:rsidRDefault="00A40165">
      <w:pPr>
        <w:spacing w:after="0" w:line="240" w:lineRule="auto"/>
        <w:ind w:firstLine="709"/>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2.1. LESY SR, š. p.  </w:t>
      </w: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LESY SR, š. p. obhospodaroval 886 925 ha lesných pozemkov. Z celkovej výmery lesných pozemkov vo vlastníctve štátu, ktorá predstavuje 702 362 ha prenajal 10 958 ha iným</w:t>
      </w:r>
      <w:r>
        <w:rPr>
          <w:rFonts w:ascii="Times New Roman" w:hAnsi="Times New Roman" w:cs="Times New Roman"/>
          <w:sz w:val="24"/>
          <w:szCs w:val="24"/>
          <w:lang w:eastAsia="sk-SK"/>
        </w:rPr>
        <w:t xml:space="preserve"> </w:t>
      </w:r>
      <w:r w:rsidRPr="00DC49FE">
        <w:rPr>
          <w:rFonts w:ascii="Times New Roman" w:hAnsi="Times New Roman" w:cs="Times New Roman"/>
          <w:sz w:val="24"/>
          <w:szCs w:val="24"/>
          <w:lang w:eastAsia="sk-SK"/>
        </w:rPr>
        <w:lastRenderedPageBreak/>
        <w:t xml:space="preserve">subjektom. Z výmery obhospodarovaných lesných pozemkov je 677 061 ha vo vlastníctve štátu a 195 521 ha vo vlastníctve neštátnych subjektov. Obhospodarované pozemky neštátneho sektora pozostávajú z výmery lesných pozemkov, ktorú má štátny podnik v nájme, z výmery lesných pozemkov neštátnych subjektov, ktoré si svoje práva vo veci vlastníctva alebo odovzdania užívania uplatnili a sú v riešení a z výmery lesných pozemkov neštátnych subjektov, ktoré si svoje práva dosiaľ neuplatnili (údaje o obhospodarovaní lesných pozemkov sú uvedené v prílohe č. 2a). Od začiatku riešenia reštitučných nárokov prijal štátny podnik 96 178 žiadostí o usporiadanie vlastníckych a užívacích práv k pozemkom s požadovanou výmerou 947 818 ha. K 31. decembru 2014 LESY SR, š. p. kladne vybavil 63 161 žiadostí o usporiadanie vlastníckych a užívacích práv a fyzicky odovzdal lesné pozemky o výmere 878 076 ha. Z toho je 58 300 žiadostí súkromných vlastníkov lesných pozemkov (v prílohách uvádzaní ako súkromní </w:t>
      </w:r>
      <w:proofErr w:type="spellStart"/>
      <w:r w:rsidRPr="00DC49FE">
        <w:rPr>
          <w:rFonts w:ascii="Times New Roman" w:hAnsi="Times New Roman" w:cs="Times New Roman"/>
          <w:sz w:val="24"/>
          <w:szCs w:val="24"/>
          <w:lang w:eastAsia="sk-SK"/>
        </w:rPr>
        <w:t>lesomajitelia</w:t>
      </w:r>
      <w:proofErr w:type="spellEnd"/>
      <w:r w:rsidRPr="00DC49FE">
        <w:rPr>
          <w:rFonts w:ascii="Times New Roman" w:hAnsi="Times New Roman" w:cs="Times New Roman"/>
          <w:sz w:val="24"/>
          <w:szCs w:val="24"/>
          <w:lang w:eastAsia="sk-SK"/>
        </w:rPr>
        <w:t>), ktorým boli vrátené lesné pozemky s výmerou 172 418 ha. Z toho bolo vybavených 2 847 žiadostí s výmerou 55 202 ha podľa § 6 a § 9 zákona č. 229/1991 Zb., teda na základe rozhodnutia príslušného pozemkového úradu a 50 žiadostí o usporiadanie vlastníckych a užívacích práv k pozemkom o výmere 583 ha podľa § 3 zákona č. 503/2003 Z. z. Počet vybavených žiadostí o usporiadanie vlastníckych a užívacích práv spoluvlastníkov spoločnej nehnuteľnosti (pozemkové spoločenstvá) je 3 566 s výmerou 449 926 ha. Počet vybavených žiadostí miest a obcí je 473 s výmerou 178 973 ha. Vybavených žiadostí cirkví a náboženských spoločností je 678 s výmerou 69 583 ha. Vybavené žiadosti iných subjektov s počtom 144 predstavujú výmeru 7 176 ha. V tomto prípade ide o subjekty, ktoré boli riešené ako družstvá. LESY SR, š. p. k 31. decembru 2014 užíva lesné pozemky vo vlastníctve 7 497 neštátnych subjektov s výmerou 28 330 ha na základe zmlúv o nájme. Z uplatneného počtu žiadostí a požadovanej výmery k sledovanému obdobiu ostáva vybaviť 33 017 žiadostí s predpokladanou výmerou 69 742 ha. Prehľad o prijatých a vybavených žiadostiach je uvedený v prílohe č. 1a.</w:t>
      </w: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2.2. LPM Ulič, š. p. </w:t>
      </w: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LPM Ulič, š. p. obhospodaruje lesné pozemky o celkovej výmere 24 527 ha. Z tejto výmery je 19 393 ha vo vlastníctve štátu a 5 134 ha vo vlastníctve neštátneho sektora. Výmera lesných pozemkov neštátneho sektora je tvorená výmerou lesných pozemkov vlastníkov, ktorí si svoje </w:t>
      </w:r>
      <w:r w:rsidRPr="00DC49FE">
        <w:rPr>
          <w:rFonts w:ascii="Times New Roman" w:hAnsi="Times New Roman" w:cs="Times New Roman"/>
          <w:sz w:val="24"/>
          <w:szCs w:val="24"/>
          <w:lang w:eastAsia="sk-SK"/>
        </w:rPr>
        <w:t>práva vo veci vlastníctva a odovzdania užívania uplatnili</w:t>
      </w:r>
      <w:r w:rsidRPr="00DC49FE">
        <w:rPr>
          <w:rFonts w:ascii="Times New Roman" w:hAnsi="Times New Roman" w:cs="Times New Roman"/>
          <w:sz w:val="24"/>
          <w:szCs w:val="24"/>
          <w:lang w:eastAsia="sk-SK"/>
        </w:rPr>
        <w:br/>
        <w:t>a sú v riešení a výmerou lesných pozemkov neštátnych subjektov, ktorí si dosiaľ svoje práva neuplatnili (údaje o obhospodarovaní lesných pozemkov sú uvedené v prílohe č. 2b).</w:t>
      </w:r>
      <w:r w:rsidRPr="00DC49FE">
        <w:rPr>
          <w:rFonts w:ascii="Times New Roman" w:hAnsi="Times New Roman" w:cs="Times New Roman"/>
          <w:sz w:val="24"/>
          <w:szCs w:val="24"/>
          <w:lang w:eastAsia="sk-SK"/>
        </w:rPr>
        <w:br/>
        <w:t>Od začiatku riešenia reštitučných nárokov bolo prijatých 169 žiadostí o usporiadanie vlastníckych a užívacích práv s výmerou 16 279 ha. Kladne vybavených, fyzicky odovzdaných bolo 61 žiadostí s výmerou 16 202 ha. Z tohto množstva je</w:t>
      </w:r>
      <w:r>
        <w:rPr>
          <w:rFonts w:ascii="Times New Roman" w:hAnsi="Times New Roman" w:cs="Times New Roman"/>
          <w:sz w:val="24"/>
          <w:szCs w:val="24"/>
          <w:lang w:eastAsia="sk-SK"/>
        </w:rPr>
        <w:t xml:space="preserve"> doriešených</w:t>
      </w:r>
      <w:r>
        <w:rPr>
          <w:rFonts w:ascii="Times New Roman" w:hAnsi="Times New Roman" w:cs="Times New Roman"/>
          <w:sz w:val="24"/>
          <w:szCs w:val="24"/>
          <w:lang w:eastAsia="sk-SK"/>
        </w:rPr>
        <w:br/>
        <w:t>16 žiadostí súkromných vlastníkov lesných pozemkov s výmerou 3 376 ha podľa § 6 a § 9 zákona č. 229/1991 Zb. LPM Ulič, š. p. neprijal žiadnu žiadosť o vydanie vlastníctva k lesnému majetku, o ktorom bolo rozhodnuté podľa zákona č. 503/2003 Z. z. Počet vybavených žiadostí spoluvlastníkov spoločnej nehnuteľnosti (pozemkové spoločenstvá)</w:t>
      </w:r>
      <w:r>
        <w:rPr>
          <w:rFonts w:ascii="Times New Roman" w:hAnsi="Times New Roman" w:cs="Times New Roman"/>
          <w:sz w:val="24"/>
          <w:szCs w:val="24"/>
          <w:lang w:eastAsia="sk-SK"/>
        </w:rPr>
        <w:br/>
        <w:t>je 33 s výmerou 12 212 ha. Protokoly miest a obcí neboli štátnemu podniku predložené. Počet vybavených žiadostí cirkví a náboženských spolkov je 12 s výmerou 614 ha. Žiadosti iných subjektov neboli predložené. Ostáva vybaviť 108 žiadostí s predpokladanou výmerou 77 ha. Prehľad o prijatých a vybavených žiadostiach je uvedený v prílohe č. 1b.</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lastRenderedPageBreak/>
        <w:t xml:space="preserve">2.3. ŠL TANAP </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ŠL TANAP k sledovanému obdobiu obhospodarujú 44 034 ha lesných pozemkov a prenajímajú 49 ha lesných pozemkov vo vlastníctve štátu iným subjektom. Z tejto výmery je 41 512 ha vo vlastníctve štátu a 2 571 ha lesných pozemkov vo vlastníctve neštátneho sektora. Výmera neštátneho sektora je tvorená lesnými pozemkami, ktoré ŠL TANAP obhospodarujú na základe nájomných zmlúv a lesnými pozemkami neštátnych vlastníkov, ktorí si svoje práva uplatnili a sú v riešení (údaje o užívaní lesných pozemkov sú uvedené v prílohe č. 2c). V roku 2013 došlo k delimitácii lesných pozemkov z dôvodu zmeny hraníc ochranného pásma Tatranského národného parku a súvisiacej agendy na LESY SR, š. p. Z tohto dôvodu dochádza u ŠL TANAP nielen k zníženiu obhospodarovanej lesnej pôdy, ale aj k zníženiu žiadostí na vybavenie reštitučných nárokov. Od začiatku riešenia reštitučných nárokov bolo prijatých 2 444 žiadostí o usporiadanie vlastníckych a  užívacích vzťahov s požadovanou výmerou 49 846 ha. Kladne doriešených, fyzicky odovzdaných bolo 1 804 žiadostí s výmerou 47 555 ha. Z toho je 1 637 žiadostí súkromných vlastníkov lesných pozemkov, ktorým boli vrátené lesné pozemky o výmere 3 174 ha. Podľa § 6 a 9 zákona č. 229/1991 Zb. bolo ŠL TANAP vyhotovených 111 dohôd o vydaní vlastníctva s výmerou 525 ha. Podľa zákona č. 503/2003 Z. z. bolo doriešených 9 žiadostí s výmerou 12 ha. Počet vybavených žiadostí spoluvlastníkov spoločnej nehnuteľnosti (pozemkové spoločenstvá) je 105 s výmerou 34 286 ha. Žiadosti miest a obcí boli vybavené v počte 10 s výmerou 9 551 ha. Vybavených žiadostí cirkví a náboženských spoločností bolo 50 s výmerou 518 ha. Pre iných vlastníkov boli vybavené dve žiadosti s výmerou 26 ha. K sledovanému obdobiu ostáva doriešiť 640 uplatnených žiadostí s predpokladanou výmerou 2 291 ha. Prehľad o prijatých a vybavených žiadostiach je uvedený v prílohe č. 1c.</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2.4. VLM SR, š. p. </w:t>
      </w: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VLM SR, š. p. sú organizáciou v pôsobnosti MO SR. Tento podnik k sledovanému obdobiu obhospodaroval</w:t>
      </w:r>
      <w:r w:rsidR="00DC49FE">
        <w:rPr>
          <w:rFonts w:ascii="Times New Roman" w:hAnsi="Times New Roman" w:cs="Times New Roman"/>
          <w:sz w:val="24"/>
          <w:szCs w:val="24"/>
          <w:lang w:eastAsia="sk-SK"/>
        </w:rPr>
        <w:t xml:space="preserve"> </w:t>
      </w:r>
      <w:r w:rsidRPr="00DC49FE">
        <w:rPr>
          <w:rFonts w:ascii="Times New Roman" w:hAnsi="Times New Roman" w:cs="Times New Roman"/>
          <w:sz w:val="24"/>
          <w:szCs w:val="24"/>
          <w:lang w:eastAsia="sk-SK"/>
        </w:rPr>
        <w:t>65 279 ha lesných pozemkov. Z celkovej výmery lesných pozemkov vo vlastníctve štátu, ktorá predstavuje 61 263 ha prenajali 254 ha iným subjektom. Z výmery obhospodarovaných lesných pozemkov je 61 712 ha vo vlastníctve štátu a 3 567 ha</w:t>
      </w:r>
      <w:r w:rsidRPr="00DC49FE">
        <w:rPr>
          <w:rFonts w:ascii="Times New Roman" w:hAnsi="Times New Roman" w:cs="Times New Roman"/>
          <w:sz w:val="24"/>
          <w:szCs w:val="24"/>
          <w:lang w:eastAsia="sk-SK"/>
        </w:rPr>
        <w:br/>
        <w:t>vo vlastníctve neštátnych subjektov. Výmera neštátneho sektora je tvorená výmerou lesných pozemkov, ktoré podnik obhospodaruje na základe nájomných zmlúv, výmerou lesných pozemkov neštátnych subjektov, ktoré si svoje práva uplatnili a sú v riešení a výmerou lesných pozemkov neštátnych subjektov, ktoré si svoje práva dosiaľ neuplatnili (údaje o užívaní lesných pozemkov sú uvedené v prílohe č. 2e). K sledovanému obdobiu bolo prijatých 1 543 žiadostí o usporiadanie vlastníckych a užívacích vzťahov s požadovanou výmerou 31 383 ha. Kladne vybavených, fyzicky odovzdaných bolo 1 135 žiadostí s výmerou 30 817 ha. Z toho je 1 021 žiadostí súkromných vlastníkov lesných pozemkov, ktorým bola vrátená výmera 5 375 ha. Podľa § 6 a 9 zákona č. 229/1991 Zb. bolo vybavených 664</w:t>
      </w:r>
      <w:r>
        <w:rPr>
          <w:rFonts w:ascii="Times New Roman" w:hAnsi="Times New Roman" w:cs="Times New Roman"/>
          <w:sz w:val="24"/>
          <w:szCs w:val="24"/>
          <w:lang w:eastAsia="sk-SK"/>
        </w:rPr>
        <w:t xml:space="preserve"> žiadostí s výmerou 4 909 ha, podľa zákona č. 503/2003 Z. z. bolo vybavených 18 žiadostí s výmerou 23 ha. Počet vybavených žiadostí spoluvlastníkov spoločnej nehnuteľnosti (pozemkové spoločenstvá) je 63 s výmerou 12 673 ha. Žiadosti miest a obcí boli vybavené v počte 22 s výmerou 12 333 ha. Žiadostí cirkví a náboženských spoločností bolo vybavených 28 s výmerou 407 ha. Pre iných vlastníkov bola vybavená 1 žiadosť s výmerou 29 ha. K sledovanému obdobiu ostáva doriešiť 408 žiadostí s požadovanou výmerou 566 ha. Prehľad o prijatých a vybavených žiadostiach je uvedený v prílohe č. 1e.</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ind w:left="454" w:hanging="454"/>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lastRenderedPageBreak/>
        <w:t xml:space="preserve">3. Zabezpečenie obhospodarovania a ochrany neštátnych neodovzdaných lesov povinnými osobami </w:t>
      </w:r>
    </w:p>
    <w:p w:rsidR="00A40165" w:rsidRDefault="00A40165">
      <w:pPr>
        <w:spacing w:after="0" w:line="240" w:lineRule="auto"/>
        <w:ind w:hanging="454"/>
        <w:jc w:val="both"/>
        <w:rPr>
          <w:rFonts w:ascii="Times New Roman" w:hAnsi="Times New Roman" w:cs="Times New Roman"/>
          <w:b/>
          <w:bCs/>
          <w:sz w:val="24"/>
          <w:szCs w:val="24"/>
          <w:lang w:eastAsia="sk-SK"/>
        </w:rPr>
      </w:pPr>
    </w:p>
    <w:p w:rsidR="00A40165" w:rsidRPr="00DC49FE" w:rsidRDefault="00A40165">
      <w:pPr>
        <w:spacing w:after="0" w:line="240" w:lineRule="auto"/>
        <w:ind w:firstLine="708"/>
        <w:jc w:val="both"/>
        <w:rPr>
          <w:rFonts w:ascii="Times New Roman" w:hAnsi="Times New Roman" w:cs="Times New Roman"/>
          <w:sz w:val="24"/>
          <w:szCs w:val="24"/>
          <w:lang w:eastAsia="sk-SK"/>
        </w:rPr>
      </w:pPr>
      <w:r w:rsidRPr="00DC49FE">
        <w:rPr>
          <w:rFonts w:ascii="Times New Roman" w:hAnsi="Times New Roman" w:cs="Times New Roman"/>
          <w:sz w:val="24"/>
          <w:szCs w:val="24"/>
          <w:lang w:eastAsia="sk-SK"/>
        </w:rPr>
        <w:t>ŠOLH v pôsobnosti ministerstva a MO SR k 31. decembru 2014 obhospodarovali celkovo 1 020 765 ha lesných pozemkov. Z celkovej výmery lesných pozemkov</w:t>
      </w:r>
      <w:r w:rsidRPr="00DC49FE">
        <w:rPr>
          <w:rFonts w:ascii="Times New Roman" w:hAnsi="Times New Roman" w:cs="Times New Roman"/>
          <w:sz w:val="24"/>
          <w:szCs w:val="24"/>
          <w:lang w:eastAsia="sk-SK"/>
        </w:rPr>
        <w:br/>
        <w:t>vo vlastníctve štátu 825 233 ha prenajali 11 261 ha lesných pozemkov iným subjektom. Z výmery obhospodarovaných lesných pozemkov je 813 972 ha vo vlastníctve štátu</w:t>
      </w:r>
      <w:r w:rsidRPr="00DC49FE">
        <w:rPr>
          <w:rFonts w:ascii="Times New Roman" w:hAnsi="Times New Roman" w:cs="Times New Roman"/>
          <w:sz w:val="24"/>
          <w:szCs w:val="24"/>
          <w:lang w:eastAsia="sk-SK"/>
        </w:rPr>
        <w:br/>
        <w:t>a 206 793 ha lesných pozemkov vo vlastníctve neštátneho sektora. Výmera neštátneho sektora je tvorená výmerou lesných pozemkov, ktorú právnické osoby založené alebo zriadené ministerstvom a MO SR užívajú na základe nájomných zmlúv o výmere 30 073 ha, výmerou lesných pozemkov neštátnych subjektov, ktoré si svoje práva uplatnili a sú v riešení,</w:t>
      </w:r>
      <w:r w:rsidR="004542C4">
        <w:rPr>
          <w:rFonts w:ascii="Times New Roman" w:hAnsi="Times New Roman" w:cs="Times New Roman"/>
          <w:sz w:val="24"/>
          <w:szCs w:val="24"/>
          <w:lang w:eastAsia="sk-SK"/>
        </w:rPr>
        <w:br/>
        <w:t xml:space="preserve">ide </w:t>
      </w:r>
      <w:r w:rsidRPr="00DC49FE">
        <w:rPr>
          <w:rFonts w:ascii="Times New Roman" w:hAnsi="Times New Roman" w:cs="Times New Roman"/>
          <w:sz w:val="24"/>
          <w:szCs w:val="24"/>
          <w:lang w:eastAsia="sk-SK"/>
        </w:rPr>
        <w:t>o 74 380 ha a výmerou lesných pozemkov neštátnych subjektov, ktoré si svoje práva dosiaľ neuplatnili. Tieto lesné pozemky predstavujú výmeru 102 340 ha</w:t>
      </w:r>
      <w:r w:rsidR="00DC49FE">
        <w:rPr>
          <w:rFonts w:ascii="Times New Roman" w:hAnsi="Times New Roman" w:cs="Times New Roman"/>
          <w:sz w:val="24"/>
          <w:szCs w:val="24"/>
          <w:lang w:eastAsia="sk-SK"/>
        </w:rPr>
        <w:t>.</w:t>
      </w:r>
      <w:r w:rsidRPr="00DC49FE">
        <w:rPr>
          <w:rFonts w:ascii="Times New Roman" w:hAnsi="Times New Roman" w:cs="Times New Roman"/>
          <w:sz w:val="24"/>
          <w:szCs w:val="24"/>
          <w:lang w:eastAsia="sk-SK"/>
        </w:rPr>
        <w:t xml:space="preserve"> </w:t>
      </w:r>
      <w:r w:rsidR="00DC49FE">
        <w:rPr>
          <w:rFonts w:ascii="Times New Roman" w:hAnsi="Times New Roman" w:cs="Times New Roman"/>
          <w:sz w:val="24"/>
          <w:szCs w:val="24"/>
          <w:lang w:eastAsia="sk-SK"/>
        </w:rPr>
        <w:t>Ú</w:t>
      </w:r>
      <w:r w:rsidRPr="00DC49FE">
        <w:rPr>
          <w:rFonts w:ascii="Times New Roman" w:hAnsi="Times New Roman" w:cs="Times New Roman"/>
          <w:sz w:val="24"/>
          <w:szCs w:val="24"/>
          <w:lang w:eastAsia="sk-SK"/>
        </w:rPr>
        <w:t>daje o obhospodarovaní lesných pozemkov povinnými osobami za Slovenskú republiku udáva príloha č. 2f.</w:t>
      </w: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3.1. </w:t>
      </w:r>
      <w:r>
        <w:rPr>
          <w:rFonts w:ascii="Times New Roman" w:hAnsi="Times New Roman" w:cs="Times New Roman"/>
          <w:b/>
          <w:bCs/>
          <w:caps/>
          <w:sz w:val="24"/>
          <w:szCs w:val="24"/>
          <w:lang w:eastAsia="sk-SK"/>
        </w:rPr>
        <w:t>P</w:t>
      </w:r>
      <w:r>
        <w:rPr>
          <w:rFonts w:ascii="Times New Roman" w:hAnsi="Times New Roman" w:cs="Times New Roman"/>
          <w:b/>
          <w:bCs/>
          <w:sz w:val="24"/>
          <w:szCs w:val="24"/>
          <w:lang w:eastAsia="sk-SK"/>
        </w:rPr>
        <w:t>lánované a realizované úlohy povinnými osobami</w:t>
      </w:r>
    </w:p>
    <w:p w:rsidR="00A40165" w:rsidRDefault="00A40165">
      <w:pPr>
        <w:spacing w:after="0" w:line="240" w:lineRule="auto"/>
        <w:jc w:val="both"/>
        <w:rPr>
          <w:rFonts w:ascii="Times New Roman" w:hAnsi="Times New Roman" w:cs="Times New Roman"/>
          <w:sz w:val="24"/>
          <w:szCs w:val="24"/>
          <w:lang w:eastAsia="sk-SK"/>
        </w:rPr>
      </w:pPr>
    </w:p>
    <w:p w:rsidR="00A40165" w:rsidRDefault="00A40165">
      <w:pPr>
        <w:pStyle w:val="Zarkazkladnhotextu3"/>
        <w:ind w:firstLine="709"/>
        <w:rPr>
          <w:rFonts w:ascii="Times New Roman" w:hAnsi="Times New Roman" w:cs="Times New Roman"/>
        </w:rPr>
      </w:pPr>
      <w:r>
        <w:rPr>
          <w:rFonts w:ascii="Times New Roman" w:hAnsi="Times New Roman" w:cs="Times New Roman"/>
        </w:rPr>
        <w:t>Povinné osoby zabezpečovali obhospodarovanie neštátnych lesov v</w:t>
      </w:r>
      <w:r w:rsidR="00E8631D">
        <w:rPr>
          <w:rFonts w:ascii="Times New Roman" w:hAnsi="Times New Roman" w:cs="Times New Roman"/>
        </w:rPr>
        <w:t> </w:t>
      </w:r>
      <w:r>
        <w:rPr>
          <w:rFonts w:ascii="Times New Roman" w:hAnsi="Times New Roman" w:cs="Times New Roman"/>
        </w:rPr>
        <w:t>súlade</w:t>
      </w:r>
      <w:r w:rsidR="00E8631D">
        <w:rPr>
          <w:rFonts w:ascii="Times New Roman" w:hAnsi="Times New Roman" w:cs="Times New Roman"/>
        </w:rPr>
        <w:br/>
      </w:r>
      <w:r>
        <w:rPr>
          <w:rFonts w:ascii="Times New Roman" w:hAnsi="Times New Roman" w:cs="Times New Roman"/>
        </w:rPr>
        <w:t>s § 22 ods. 2 a ods. 6 zákona č. 229/1991 Zb. Zákon č. 504/2003 Z. z. o nájme poľnohospodárskych pozemkov, poľnohospodárskeho podniku a lesných pozemkov a o zmene niektorých zákonov v znení neskorších predpisov (ďalej len „zákon</w:t>
      </w:r>
      <w:r w:rsidR="00E8631D">
        <w:rPr>
          <w:rFonts w:ascii="Times New Roman" w:hAnsi="Times New Roman" w:cs="Times New Roman"/>
        </w:rPr>
        <w:br/>
      </w:r>
      <w:r>
        <w:rPr>
          <w:rFonts w:ascii="Times New Roman" w:hAnsi="Times New Roman" w:cs="Times New Roman"/>
        </w:rPr>
        <w:t>č. 504/2003 Z. z.“) s účinnosťou od 1. januára 2004 zrušil ustanovenie § 22 ods. 6 zákona</w:t>
      </w:r>
      <w:r w:rsidR="00E8631D">
        <w:rPr>
          <w:rFonts w:ascii="Times New Roman" w:hAnsi="Times New Roman" w:cs="Times New Roman"/>
        </w:rPr>
        <w:br/>
      </w:r>
      <w:r>
        <w:rPr>
          <w:rFonts w:ascii="Times New Roman" w:hAnsi="Times New Roman" w:cs="Times New Roman"/>
        </w:rPr>
        <w:t>č. 229/1991 Zb., podľa ktorého povinné osoby zabezpečovali starostlivosť</w:t>
      </w:r>
      <w:r w:rsidR="00E8631D">
        <w:rPr>
          <w:rFonts w:ascii="Times New Roman" w:hAnsi="Times New Roman" w:cs="Times New Roman"/>
        </w:rPr>
        <w:br/>
      </w:r>
      <w:r>
        <w:rPr>
          <w:rFonts w:ascii="Times New Roman" w:hAnsi="Times New Roman" w:cs="Times New Roman"/>
        </w:rPr>
        <w:t>a obhospodarovanie lesných pozemkov a porastov starostlivosťou riadneho hospodára a podľa § 23 sa ustanoveniami tohto zákona spravuje aj nájomný vzťah, ktorý vznikol na základe</w:t>
      </w:r>
      <w:r w:rsidR="00E8631D">
        <w:rPr>
          <w:rFonts w:ascii="Times New Roman" w:hAnsi="Times New Roman" w:cs="Times New Roman"/>
        </w:rPr>
        <w:br/>
      </w:r>
      <w:r>
        <w:rPr>
          <w:rFonts w:ascii="Times New Roman" w:hAnsi="Times New Roman" w:cs="Times New Roman"/>
        </w:rPr>
        <w:t xml:space="preserve">§ 22 ods. 2 zákona č. 229/1991 Zb. </w:t>
      </w:r>
    </w:p>
    <w:p w:rsidR="00A40165" w:rsidRDefault="00A40165">
      <w:pPr>
        <w:pStyle w:val="Zarkazkladnhotextu3"/>
        <w:ind w:firstLine="709"/>
        <w:rPr>
          <w:rFonts w:ascii="Times New Roman" w:hAnsi="Times New Roman" w:cs="Times New Roman"/>
          <w:sz w:val="12"/>
          <w:szCs w:val="12"/>
        </w:rPr>
      </w:pPr>
    </w:p>
    <w:p w:rsidR="00A40165" w:rsidRDefault="00A40165">
      <w:pPr>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Podrobnejšie informácie o postupe usporiadania nájomných vzťahov medzi ŠOLH a známymi vlastníkmi neodovzdaných lesných pozemkov podľa § 22 ods. 2 zákona č. 229/1991 Zb. a podľa § 23 zákona č. 504/2003 Z. z. sú uvedené </w:t>
      </w:r>
      <w:r w:rsidRPr="009C2CDE">
        <w:rPr>
          <w:rFonts w:ascii="Times New Roman" w:hAnsi="Times New Roman" w:cs="Times New Roman"/>
          <w:sz w:val="24"/>
          <w:szCs w:val="24"/>
          <w:lang w:eastAsia="sk-SK"/>
        </w:rPr>
        <w:t>v 4. kapitole v časti vyhodnotenie opatrenia  B.2. uznesenia vlády Slovenskej republiky č. 473/2008, opatrenia B.2. uznesenia vlády Slovenskej republiky č. 838/2009, opatrenia B.4. uznesenia vlády Slovenskej republiky č. 395/2012</w:t>
      </w:r>
      <w:r w:rsidR="009C2CDE">
        <w:rPr>
          <w:rFonts w:ascii="Times New Roman" w:hAnsi="Times New Roman" w:cs="Times New Roman"/>
          <w:sz w:val="24"/>
          <w:szCs w:val="24"/>
          <w:lang w:eastAsia="sk-SK"/>
        </w:rPr>
        <w:t>,</w:t>
      </w:r>
      <w:r w:rsidRPr="009C2CDE">
        <w:rPr>
          <w:rFonts w:ascii="Times New Roman" w:hAnsi="Times New Roman" w:cs="Times New Roman"/>
          <w:sz w:val="24"/>
          <w:szCs w:val="24"/>
          <w:lang w:eastAsia="sk-SK"/>
        </w:rPr>
        <w:t xml:space="preserve"> </w:t>
      </w:r>
      <w:r w:rsidR="009C2CDE" w:rsidRPr="009C2CDE">
        <w:rPr>
          <w:rFonts w:ascii="Times New Roman" w:hAnsi="Times New Roman" w:cs="Times New Roman"/>
          <w:sz w:val="24"/>
          <w:szCs w:val="24"/>
          <w:lang w:eastAsia="sk-SK"/>
        </w:rPr>
        <w:t xml:space="preserve">opatrenia </w:t>
      </w:r>
      <w:r w:rsidR="009C2CDE">
        <w:rPr>
          <w:rFonts w:ascii="Times New Roman" w:hAnsi="Times New Roman" w:cs="Times New Roman"/>
          <w:sz w:val="24"/>
          <w:szCs w:val="24"/>
          <w:lang w:eastAsia="sk-SK"/>
        </w:rPr>
        <w:t xml:space="preserve">B.3. </w:t>
      </w:r>
      <w:r w:rsidRPr="009C2CDE">
        <w:rPr>
          <w:rFonts w:ascii="Times New Roman" w:hAnsi="Times New Roman" w:cs="Times New Roman"/>
          <w:sz w:val="24"/>
          <w:szCs w:val="24"/>
          <w:lang w:eastAsia="sk-SK"/>
        </w:rPr>
        <w:t>uznesenia vlády Slovenskej republiky č.</w:t>
      </w:r>
      <w:r w:rsidRPr="009C2CDE">
        <w:rPr>
          <w:rFonts w:ascii="Times New Roman" w:hAnsi="Times New Roman" w:cs="Times New Roman"/>
        </w:rPr>
        <w:t> </w:t>
      </w:r>
      <w:r w:rsidRPr="009C2CDE">
        <w:rPr>
          <w:rFonts w:ascii="Times New Roman" w:hAnsi="Times New Roman" w:cs="Times New Roman"/>
          <w:sz w:val="24"/>
          <w:szCs w:val="24"/>
          <w:lang w:eastAsia="sk-SK"/>
        </w:rPr>
        <w:t>450/2013</w:t>
      </w:r>
      <w:r w:rsidR="009C2CDE">
        <w:rPr>
          <w:rFonts w:ascii="Times New Roman" w:hAnsi="Times New Roman" w:cs="Times New Roman"/>
          <w:sz w:val="24"/>
          <w:szCs w:val="24"/>
          <w:lang w:eastAsia="sk-SK"/>
        </w:rPr>
        <w:t xml:space="preserve"> a opatrenia C.2. uznesenia vlády </w:t>
      </w:r>
      <w:r w:rsidR="009C2CDE" w:rsidRPr="009C2CDE">
        <w:rPr>
          <w:rFonts w:ascii="Times New Roman" w:hAnsi="Times New Roman" w:cs="Times New Roman"/>
          <w:sz w:val="24"/>
          <w:szCs w:val="24"/>
          <w:lang w:eastAsia="sk-SK"/>
        </w:rPr>
        <w:t>Slovenskej republiky</w:t>
      </w:r>
      <w:r w:rsidR="009C2CDE">
        <w:rPr>
          <w:rFonts w:ascii="Times New Roman" w:hAnsi="Times New Roman" w:cs="Times New Roman"/>
          <w:sz w:val="24"/>
          <w:szCs w:val="24"/>
          <w:lang w:eastAsia="sk-SK"/>
        </w:rPr>
        <w:t xml:space="preserve"> č. 353/2014.</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Ekonomická efektívnosť</w:t>
      </w:r>
      <w:r>
        <w:rPr>
          <w:rFonts w:ascii="Times New Roman" w:hAnsi="Times New Roman" w:cs="Times New Roman"/>
          <w:b/>
          <w:bCs/>
          <w:sz w:val="24"/>
          <w:szCs w:val="24"/>
          <w:lang w:eastAsia="sk-SK"/>
        </w:rPr>
        <w:t xml:space="preserve"> </w:t>
      </w:r>
      <w:r>
        <w:rPr>
          <w:rFonts w:ascii="Times New Roman" w:hAnsi="Times New Roman" w:cs="Times New Roman"/>
          <w:sz w:val="24"/>
          <w:szCs w:val="24"/>
          <w:lang w:eastAsia="sk-SK"/>
        </w:rPr>
        <w:t>obhospodarovania neštátnych neodovzdaných lesov povinnými osobami je rozdielna vzhľadom na diferenciálnu a polohovú rentu. Celkovo možno konštatovať, že hospodárenie v takýchto lesoch nie je vždy pre ŠOLH ekonomicky výhodné.</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Default="00A40165">
      <w:pPr>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Závažným problémom s výrazným dosahom na ekonomiku ŠOLH sú aj dane z nehnuteľností, ktoré ŠOLH platia aj za neštátne neodovzdané lesné pozemky. Zákon č. 582/2004 Z. z. o miestnych daniach a miestnom poplatku za komunálne odpady a drobné stavebné odpady v znení neskorších predpisov umožňuje obciam pri dodržaní určitých zásad zvyšovať výšku dane všeobecne záväzným nariadením obce, pričom už sadzba okolo</w:t>
      </w:r>
      <w:r w:rsidR="001E3232">
        <w:rPr>
          <w:rFonts w:ascii="Times New Roman" w:hAnsi="Times New Roman" w:cs="Times New Roman"/>
          <w:sz w:val="24"/>
          <w:szCs w:val="24"/>
          <w:lang w:eastAsia="sk-SK"/>
        </w:rPr>
        <w:br/>
      </w:r>
      <w:r>
        <w:rPr>
          <w:rFonts w:ascii="Times New Roman" w:hAnsi="Times New Roman" w:cs="Times New Roman"/>
          <w:sz w:val="24"/>
          <w:szCs w:val="24"/>
          <w:lang w:eastAsia="sk-SK"/>
        </w:rPr>
        <w:t>1 % zo základu dane má podstatný vplyv na hospodársky výsledok ŠOLH v danom katastrálnom území (pri sadzbe dane za lesné pozemky 5,5 % sa za necelých 20 rokov v konkrétnom území zaplatí všeobecná hodnota tohto majetku na daniach). Stáva sa,</w:t>
      </w:r>
      <w:r w:rsidR="001E3232">
        <w:rPr>
          <w:rFonts w:ascii="Times New Roman" w:hAnsi="Times New Roman" w:cs="Times New Roman"/>
          <w:sz w:val="24"/>
          <w:szCs w:val="24"/>
          <w:lang w:eastAsia="sk-SK"/>
        </w:rPr>
        <w:br/>
      </w:r>
      <w:r>
        <w:rPr>
          <w:rFonts w:ascii="Times New Roman" w:hAnsi="Times New Roman" w:cs="Times New Roman"/>
          <w:sz w:val="24"/>
          <w:szCs w:val="24"/>
          <w:lang w:eastAsia="sk-SK"/>
        </w:rPr>
        <w:t xml:space="preserve">že zaplatená daň je vyššia ako výnos z hospodárenia na týchto pozemkoch. V tejto súvislosti </w:t>
      </w:r>
      <w:r>
        <w:rPr>
          <w:rFonts w:ascii="Times New Roman" w:hAnsi="Times New Roman" w:cs="Times New Roman"/>
          <w:sz w:val="24"/>
          <w:szCs w:val="24"/>
          <w:lang w:eastAsia="sk-SK"/>
        </w:rPr>
        <w:lastRenderedPageBreak/>
        <w:t>bol ministerstvom vypracovaný materiál „Analýza zdaňovania poľnohospodárskych a lesných pozemkov a návrh novelizácie príslušnej legislatívy“.</w:t>
      </w:r>
    </w:p>
    <w:p w:rsidR="00A40165" w:rsidRDefault="00A40165">
      <w:pPr>
        <w:spacing w:after="0" w:line="240" w:lineRule="auto"/>
        <w:ind w:firstLine="709"/>
        <w:jc w:val="both"/>
        <w:rPr>
          <w:rFonts w:ascii="Times New Roman" w:hAnsi="Times New Roman" w:cs="Times New Roman"/>
          <w:sz w:val="12"/>
          <w:szCs w:val="12"/>
          <w:lang w:eastAsia="sk-SK"/>
        </w:rPr>
      </w:pPr>
    </w:p>
    <w:p w:rsidR="00A40165" w:rsidRDefault="00A40165">
      <w:pPr>
        <w:pStyle w:val="Zarkazkladnhotextu2"/>
        <w:spacing w:before="0" w:after="0"/>
        <w:rPr>
          <w:rFonts w:ascii="Times New Roman" w:hAnsi="Times New Roman" w:cs="Times New Roman"/>
        </w:rPr>
      </w:pPr>
      <w:r>
        <w:rPr>
          <w:rFonts w:ascii="Times New Roman" w:hAnsi="Times New Roman" w:cs="Times New Roman"/>
        </w:rPr>
        <w:t>V prípade odovzdania lesných pozemkov neznámych vlastníkov v ucelených lesných častiach, postupom podľa § 22a ods. 1 zákona č. 229/1991 Zb., ŠOLH majú postupovať v súlade s § 34 zákona č. 330/1991 Zb. o pozemkových úpravách, usporiadaní pozemkového vlastníctva, pozemkových úradoch, pozemkovom fonde a o pozemkových spoločenstvách v znení neskorších predpisov a v súlade s § 18 zákona č. 229/1991 Zb. a obhospodarovanie týchto pozemkov neštátnymi subjektmi, ktorým boli odovzdané, zabezpečiť odplatnou formou, ktorá je príjmom ŠOLH, dovtedy než vlastník uplatní svoje práva k nehnuteľnosti.</w:t>
      </w:r>
    </w:p>
    <w:p w:rsidR="00A40165" w:rsidRDefault="00A40165">
      <w:pPr>
        <w:pStyle w:val="Zarkazkladnhotextu2"/>
        <w:spacing w:before="0" w:after="0"/>
        <w:rPr>
          <w:rFonts w:ascii="Times New Roman" w:hAnsi="Times New Roman" w:cs="Times New Roman"/>
        </w:rPr>
      </w:pPr>
    </w:p>
    <w:p w:rsidR="00A40165" w:rsidRDefault="00A40165">
      <w:pPr>
        <w:pStyle w:val="Zarkazkladnhotextu2"/>
        <w:spacing w:before="0" w:after="0"/>
        <w:rPr>
          <w:rFonts w:ascii="Times New Roman" w:hAnsi="Times New Roman" w:cs="Times New Roman"/>
        </w:rPr>
      </w:pPr>
    </w:p>
    <w:p w:rsidR="00A40165" w:rsidRDefault="00A40165">
      <w:pPr>
        <w:spacing w:after="0" w:line="240" w:lineRule="auto"/>
        <w:ind w:left="397" w:hanging="397"/>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4. Vyhodnotenie opatrení z uznesenia vlády Slovenskej republiky č. 473/2008, č. 838/2009, č. 395/2012 a č. 450/2013 a č. 353/2014</w:t>
      </w:r>
    </w:p>
    <w:p w:rsidR="00A40165" w:rsidRDefault="00A40165">
      <w:pPr>
        <w:spacing w:after="0" w:line="240" w:lineRule="auto"/>
        <w:ind w:hanging="397"/>
        <w:jc w:val="both"/>
        <w:rPr>
          <w:rFonts w:ascii="Times New Roman" w:hAnsi="Times New Roman" w:cs="Times New Roman"/>
          <w:b/>
          <w:bCs/>
          <w:sz w:val="24"/>
          <w:szCs w:val="24"/>
          <w:lang w:eastAsia="sk-SK"/>
        </w:rPr>
      </w:pPr>
    </w:p>
    <w:p w:rsidR="00A40165" w:rsidRDefault="00A40165">
      <w:pPr>
        <w:pStyle w:val="Zarkazkladnhotextu2"/>
        <w:spacing w:before="0" w:after="0"/>
        <w:rPr>
          <w:rFonts w:ascii="Times New Roman" w:hAnsi="Times New Roman" w:cs="Times New Roman"/>
        </w:rPr>
      </w:pPr>
      <w:r>
        <w:rPr>
          <w:rFonts w:ascii="Times New Roman" w:hAnsi="Times New Roman" w:cs="Times New Roman"/>
        </w:rPr>
        <w:t>ŠOLH na základe opatrenia B.1. uznesenia vlády Slovenskej republiky</w:t>
      </w:r>
      <w:r>
        <w:rPr>
          <w:rFonts w:ascii="Times New Roman" w:hAnsi="Times New Roman" w:cs="Times New Roman"/>
        </w:rPr>
        <w:br/>
        <w:t>č. 473/2008, opatrenia B.1. uznesenia vlády Slovenskej republiky č. 838/2009, opatrenia</w:t>
      </w:r>
      <w:r>
        <w:rPr>
          <w:rFonts w:ascii="Times New Roman" w:hAnsi="Times New Roman" w:cs="Times New Roman"/>
        </w:rPr>
        <w:br/>
        <w:t>B.3. uznesenia vlády Slovenskej republiky č. 395/2012, opatrenia B.2. uznesenia vlády Slovenskej republiky č. 450/2013 a opatrenia C.1. uznesenia vlády Slovenskej republiky</w:t>
      </w:r>
      <w:r>
        <w:rPr>
          <w:rFonts w:ascii="Times New Roman" w:hAnsi="Times New Roman" w:cs="Times New Roman"/>
        </w:rPr>
        <w:br/>
        <w:t xml:space="preserve">č. 353/2014, v spolupráci s Geodetickým a kartografickým ústavom v Bratislave, spracovali výstupy známych vlastníkov, ktorí o usporiadanie užívacích práv k lesným pozemkom podľa osobitných predpisov nepožiadali a tieto uverejnili na svojich webových sídlach. Zoznamy uverejnili aj na voľne prístupných miestach lesných správ (ochranných obvodov) a odštepných závodov. VLM SR, š. p. Pliešovce uverejnili zoznamy známych vlastníkov, ktorí o usporiadanie užívacích práv k lesným pozemkom podľa osobitných predpisov nepožiadali, na </w:t>
      </w:r>
      <w:r w:rsidR="00D3154C">
        <w:rPr>
          <w:rFonts w:ascii="Times New Roman" w:hAnsi="Times New Roman" w:cs="Times New Roman"/>
        </w:rPr>
        <w:t>webovom</w:t>
      </w:r>
      <w:r>
        <w:rPr>
          <w:rFonts w:ascii="Times New Roman" w:hAnsi="Times New Roman" w:cs="Times New Roman"/>
        </w:rPr>
        <w:t xml:space="preserve"> </w:t>
      </w:r>
      <w:r w:rsidR="00D3154C">
        <w:rPr>
          <w:rFonts w:ascii="Times New Roman" w:hAnsi="Times New Roman" w:cs="Times New Roman"/>
        </w:rPr>
        <w:t>sídle org</w:t>
      </w:r>
      <w:r>
        <w:rPr>
          <w:rFonts w:ascii="Times New Roman" w:hAnsi="Times New Roman" w:cs="Times New Roman"/>
        </w:rPr>
        <w:t xml:space="preserve">anizácie 4. apríla 2013. V predchádzajúcom období VLM SR, š. p. Pliešovce s cieľom urýchliť odovzdanie užívacích práv vlastníkom lesných pozemkov zasielali prehľady takzvaných „neprihlásených pôvodných vlastníkov“ na príslušné obecné úrady, kde boli aj zverejnené. Takéto prehľady, s cieľom zvýšiť podiel známych vlastníkov, zasielali aj na príslušné pozemkové spoločenstvá. </w:t>
      </w:r>
    </w:p>
    <w:p w:rsidR="00A40165" w:rsidRDefault="00A40165">
      <w:pPr>
        <w:spacing w:after="0" w:line="240" w:lineRule="auto"/>
        <w:ind w:firstLine="709"/>
        <w:jc w:val="both"/>
        <w:rPr>
          <w:rFonts w:ascii="Times New Roman" w:hAnsi="Times New Roman" w:cs="Times New Roman"/>
          <w:sz w:val="12"/>
          <w:szCs w:val="12"/>
          <w:lang w:eastAsia="sk-SK"/>
        </w:rPr>
      </w:pPr>
    </w:p>
    <w:p w:rsidR="00A40165" w:rsidRDefault="00A40165">
      <w:pPr>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Odozva na uverejnenie zoznamov bola v posledných rokoch pomerne nízka, údaje sú uvedené v nasledovnom tabuľkovom prehľade. </w:t>
      </w:r>
    </w:p>
    <w:p w:rsidR="00A40165" w:rsidRDefault="00A40165">
      <w:pPr>
        <w:spacing w:after="0" w:line="240" w:lineRule="auto"/>
        <w:ind w:firstLine="709"/>
        <w:jc w:val="both"/>
        <w:rPr>
          <w:rFonts w:ascii="Times New Roman" w:hAnsi="Times New Roman" w:cs="Times New Roman"/>
          <w:sz w:val="24"/>
          <w:szCs w:val="24"/>
          <w:lang w:eastAsia="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851"/>
        <w:gridCol w:w="851"/>
        <w:gridCol w:w="851"/>
        <w:gridCol w:w="851"/>
        <w:gridCol w:w="851"/>
        <w:gridCol w:w="851"/>
        <w:gridCol w:w="776"/>
      </w:tblGrid>
      <w:tr w:rsidR="00A40165" w:rsidRPr="00E77046">
        <w:trPr>
          <w:trHeight w:val="526"/>
          <w:jc w:val="center"/>
        </w:trPr>
        <w:tc>
          <w:tcPr>
            <w:tcW w:w="8355" w:type="dxa"/>
            <w:gridSpan w:val="8"/>
            <w:tcBorders>
              <w:bottom w:val="single" w:sz="12" w:space="0" w:color="auto"/>
            </w:tcBorders>
            <w:noWrap/>
            <w:vAlign w:val="center"/>
          </w:tcPr>
          <w:p w:rsidR="00A40165" w:rsidRPr="00E77046" w:rsidRDefault="00A40165">
            <w:pPr>
              <w:pStyle w:val="Nadpis2"/>
              <w:spacing w:before="0" w:line="240" w:lineRule="auto"/>
              <w:rPr>
                <w:rFonts w:ascii="Times New Roman" w:hAnsi="Times New Roman" w:cs="Times New Roman"/>
              </w:rPr>
            </w:pPr>
            <w:r w:rsidRPr="00E77046">
              <w:rPr>
                <w:rFonts w:ascii="Times New Roman" w:hAnsi="Times New Roman" w:cs="Times New Roman"/>
              </w:rPr>
              <w:t>Dopad zverejnenia prehľadu známych vlastníkov, ktorí o užívacie práva nepožiadali k 31.12.2014</w:t>
            </w:r>
          </w:p>
        </w:tc>
      </w:tr>
      <w:tr w:rsidR="00A40165" w:rsidRPr="00E77046">
        <w:trPr>
          <w:trHeight w:val="255"/>
          <w:jc w:val="center"/>
        </w:trPr>
        <w:tc>
          <w:tcPr>
            <w:tcW w:w="2473" w:type="dxa"/>
            <w:tcBorders>
              <w:top w:val="single" w:sz="12" w:space="0" w:color="auto"/>
              <w:bottom w:val="single" w:sz="12" w:space="0" w:color="auto"/>
            </w:tcBorders>
            <w:noWrap/>
            <w:vAlign w:val="center"/>
          </w:tcPr>
          <w:p w:rsidR="00A40165" w:rsidRPr="00E77046" w:rsidRDefault="00E76768">
            <w:pPr>
              <w:pStyle w:val="Hlavika"/>
              <w:tabs>
                <w:tab w:val="clear" w:pos="4536"/>
                <w:tab w:val="clear" w:pos="9072"/>
              </w:tabs>
              <w:spacing w:after="0"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A40165" w:rsidRPr="00E77046">
              <w:rPr>
                <w:rFonts w:ascii="Times New Roman" w:hAnsi="Times New Roman" w:cs="Times New Roman"/>
                <w:sz w:val="20"/>
                <w:szCs w:val="20"/>
                <w:lang w:eastAsia="sk-SK"/>
              </w:rPr>
              <w:t>ok</w:t>
            </w:r>
          </w:p>
        </w:tc>
        <w:tc>
          <w:tcPr>
            <w:tcW w:w="851" w:type="dxa"/>
            <w:tcBorders>
              <w:top w:val="single" w:sz="12" w:space="0" w:color="auto"/>
              <w:bottom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2008</w:t>
            </w:r>
          </w:p>
        </w:tc>
        <w:tc>
          <w:tcPr>
            <w:tcW w:w="851" w:type="dxa"/>
            <w:tcBorders>
              <w:top w:val="single" w:sz="12" w:space="0" w:color="auto"/>
              <w:bottom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2009</w:t>
            </w:r>
          </w:p>
        </w:tc>
        <w:tc>
          <w:tcPr>
            <w:tcW w:w="851" w:type="dxa"/>
            <w:tcBorders>
              <w:top w:val="single" w:sz="12" w:space="0" w:color="auto"/>
              <w:bottom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2010</w:t>
            </w:r>
          </w:p>
        </w:tc>
        <w:tc>
          <w:tcPr>
            <w:tcW w:w="851" w:type="dxa"/>
            <w:tcBorders>
              <w:top w:val="single" w:sz="12" w:space="0" w:color="auto"/>
              <w:bottom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2011</w:t>
            </w:r>
          </w:p>
        </w:tc>
        <w:tc>
          <w:tcPr>
            <w:tcW w:w="851" w:type="dxa"/>
            <w:tcBorders>
              <w:top w:val="single" w:sz="12" w:space="0" w:color="auto"/>
              <w:bottom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2012</w:t>
            </w:r>
          </w:p>
        </w:tc>
        <w:tc>
          <w:tcPr>
            <w:tcW w:w="851" w:type="dxa"/>
            <w:tcBorders>
              <w:top w:val="single" w:sz="12" w:space="0" w:color="auto"/>
              <w:bottom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2013</w:t>
            </w:r>
          </w:p>
        </w:tc>
        <w:tc>
          <w:tcPr>
            <w:tcW w:w="776" w:type="dxa"/>
            <w:tcBorders>
              <w:top w:val="single" w:sz="12" w:space="0" w:color="auto"/>
              <w:bottom w:val="single" w:sz="12"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2014</w:t>
            </w:r>
          </w:p>
        </w:tc>
      </w:tr>
      <w:tr w:rsidR="00A40165" w:rsidRPr="00E77046">
        <w:trPr>
          <w:trHeight w:val="255"/>
          <w:jc w:val="center"/>
        </w:trPr>
        <w:tc>
          <w:tcPr>
            <w:tcW w:w="2473" w:type="dxa"/>
            <w:tcBorders>
              <w:top w:val="single" w:sz="12" w:space="0" w:color="auto"/>
            </w:tcBorders>
            <w:noWrap/>
            <w:vAlign w:val="center"/>
          </w:tcPr>
          <w:p w:rsidR="00A40165" w:rsidRPr="00E77046" w:rsidRDefault="00A40165">
            <w:pPr>
              <w:spacing w:after="0" w:line="240" w:lineRule="auto"/>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 vlastníkov</w:t>
            </w:r>
          </w:p>
        </w:tc>
        <w:tc>
          <w:tcPr>
            <w:tcW w:w="851" w:type="dxa"/>
            <w:tcBorders>
              <w:top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3837</w:t>
            </w:r>
          </w:p>
        </w:tc>
        <w:tc>
          <w:tcPr>
            <w:tcW w:w="851" w:type="dxa"/>
            <w:tcBorders>
              <w:top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141</w:t>
            </w:r>
          </w:p>
        </w:tc>
        <w:tc>
          <w:tcPr>
            <w:tcW w:w="851" w:type="dxa"/>
            <w:tcBorders>
              <w:top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208</w:t>
            </w:r>
          </w:p>
        </w:tc>
        <w:tc>
          <w:tcPr>
            <w:tcW w:w="851" w:type="dxa"/>
            <w:tcBorders>
              <w:top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45</w:t>
            </w:r>
          </w:p>
        </w:tc>
        <w:tc>
          <w:tcPr>
            <w:tcW w:w="851" w:type="dxa"/>
            <w:tcBorders>
              <w:top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12</w:t>
            </w:r>
          </w:p>
        </w:tc>
        <w:tc>
          <w:tcPr>
            <w:tcW w:w="851" w:type="dxa"/>
            <w:tcBorders>
              <w:top w:val="single" w:sz="12"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w:t>
            </w:r>
          </w:p>
        </w:tc>
        <w:tc>
          <w:tcPr>
            <w:tcW w:w="776" w:type="dxa"/>
            <w:tcBorders>
              <w:top w:val="single" w:sz="12"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27</w:t>
            </w:r>
          </w:p>
        </w:tc>
      </w:tr>
      <w:tr w:rsidR="00A40165" w:rsidRPr="00E77046">
        <w:trPr>
          <w:trHeight w:val="255"/>
          <w:jc w:val="center"/>
        </w:trPr>
        <w:tc>
          <w:tcPr>
            <w:tcW w:w="2473" w:type="dxa"/>
            <w:noWrap/>
            <w:vAlign w:val="center"/>
          </w:tcPr>
          <w:p w:rsidR="00A40165" w:rsidRPr="00E77046" w:rsidRDefault="00A40165">
            <w:pPr>
              <w:pStyle w:val="Textkomentra"/>
              <w:rPr>
                <w:rFonts w:ascii="Times New Roman" w:hAnsi="Times New Roman" w:cs="Times New Roman"/>
              </w:rPr>
            </w:pPr>
            <w:r w:rsidRPr="00E77046">
              <w:rPr>
                <w:rFonts w:ascii="Times New Roman" w:hAnsi="Times New Roman" w:cs="Times New Roman"/>
              </w:rPr>
              <w:t>výmera pozemkov v ha</w:t>
            </w:r>
          </w:p>
        </w:tc>
        <w:tc>
          <w:tcPr>
            <w:tcW w:w="851" w:type="dxa"/>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778</w:t>
            </w:r>
          </w:p>
        </w:tc>
        <w:tc>
          <w:tcPr>
            <w:tcW w:w="851" w:type="dxa"/>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450</w:t>
            </w:r>
          </w:p>
        </w:tc>
        <w:tc>
          <w:tcPr>
            <w:tcW w:w="851" w:type="dxa"/>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131</w:t>
            </w:r>
          </w:p>
        </w:tc>
        <w:tc>
          <w:tcPr>
            <w:tcW w:w="851" w:type="dxa"/>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326</w:t>
            </w:r>
          </w:p>
        </w:tc>
        <w:tc>
          <w:tcPr>
            <w:tcW w:w="851" w:type="dxa"/>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37</w:t>
            </w:r>
          </w:p>
        </w:tc>
        <w:tc>
          <w:tcPr>
            <w:tcW w:w="851" w:type="dxa"/>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28</w:t>
            </w:r>
          </w:p>
        </w:tc>
        <w:tc>
          <w:tcPr>
            <w:tcW w:w="776" w:type="dxa"/>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208</w:t>
            </w:r>
          </w:p>
        </w:tc>
      </w:tr>
    </w:tbl>
    <w:p w:rsidR="00620154" w:rsidRDefault="00620154">
      <w:pPr>
        <w:spacing w:after="0" w:line="240" w:lineRule="auto"/>
        <w:ind w:firstLine="709"/>
        <w:jc w:val="both"/>
        <w:rPr>
          <w:rFonts w:ascii="Times New Roman" w:hAnsi="Times New Roman" w:cs="Times New Roman"/>
          <w:sz w:val="24"/>
          <w:szCs w:val="24"/>
          <w:lang w:eastAsia="sk-SK"/>
        </w:rPr>
      </w:pPr>
    </w:p>
    <w:p w:rsidR="00577229" w:rsidRDefault="00577229">
      <w:pPr>
        <w:spacing w:after="0" w:line="240" w:lineRule="auto"/>
        <w:ind w:firstLine="709"/>
        <w:jc w:val="both"/>
        <w:rPr>
          <w:rFonts w:ascii="Times New Roman" w:hAnsi="Times New Roman" w:cs="Times New Roman"/>
          <w:sz w:val="24"/>
          <w:szCs w:val="24"/>
          <w:lang w:eastAsia="sk-SK"/>
        </w:rPr>
      </w:pPr>
    </w:p>
    <w:p w:rsidR="00A40165" w:rsidRPr="00902526" w:rsidRDefault="00A40165">
      <w:pPr>
        <w:spacing w:after="0" w:line="240" w:lineRule="auto"/>
        <w:ind w:firstLine="709"/>
        <w:jc w:val="both"/>
        <w:rPr>
          <w:rFonts w:ascii="Times New Roman" w:hAnsi="Times New Roman" w:cs="Times New Roman"/>
          <w:sz w:val="24"/>
          <w:szCs w:val="24"/>
          <w:lang w:eastAsia="sk-SK"/>
        </w:rPr>
      </w:pPr>
      <w:r w:rsidRPr="00902526">
        <w:rPr>
          <w:rFonts w:ascii="Times New Roman" w:hAnsi="Times New Roman" w:cs="Times New Roman"/>
          <w:sz w:val="24"/>
          <w:szCs w:val="24"/>
          <w:lang w:eastAsia="sk-SK"/>
        </w:rPr>
        <w:t>ŠOLH na základe opatrenia B.2. uznesenia vlády Slovenskej republiky č. 473/2008 a opatrenia B.2. uznesenia vlády Slovenskej republiky  č. 838/2009 a opatrenia B.</w:t>
      </w:r>
      <w:r w:rsidR="00BC5877" w:rsidRPr="00902526">
        <w:rPr>
          <w:rFonts w:ascii="Times New Roman" w:hAnsi="Times New Roman" w:cs="Times New Roman"/>
          <w:sz w:val="24"/>
          <w:szCs w:val="24"/>
          <w:lang w:eastAsia="sk-SK"/>
        </w:rPr>
        <w:t>4</w:t>
      </w:r>
      <w:r w:rsidRPr="00902526">
        <w:rPr>
          <w:rFonts w:ascii="Times New Roman" w:hAnsi="Times New Roman" w:cs="Times New Roman"/>
          <w:sz w:val="24"/>
          <w:szCs w:val="24"/>
          <w:lang w:eastAsia="sk-SK"/>
        </w:rPr>
        <w:t>. uznesenia vlády Slovenskej republiky č. 395/2012</w:t>
      </w:r>
      <w:r w:rsidR="00BC5877" w:rsidRPr="00902526">
        <w:rPr>
          <w:rFonts w:ascii="Times New Roman" w:hAnsi="Times New Roman" w:cs="Times New Roman"/>
          <w:sz w:val="24"/>
          <w:szCs w:val="24"/>
          <w:lang w:eastAsia="sk-SK"/>
        </w:rPr>
        <w:t>,</w:t>
      </w:r>
      <w:r w:rsidRPr="00902526">
        <w:rPr>
          <w:rFonts w:ascii="Times New Roman" w:hAnsi="Times New Roman" w:cs="Times New Roman"/>
          <w:sz w:val="24"/>
          <w:szCs w:val="24"/>
          <w:lang w:eastAsia="sk-SK"/>
        </w:rPr>
        <w:t xml:space="preserve"> opatrenia B.3 uznesenia vlády Slovenskej republiky č. 450/2013 </w:t>
      </w:r>
      <w:r w:rsidR="00BC5877" w:rsidRPr="00902526">
        <w:rPr>
          <w:rFonts w:ascii="Times New Roman" w:hAnsi="Times New Roman" w:cs="Times New Roman"/>
          <w:sz w:val="24"/>
          <w:szCs w:val="24"/>
          <w:lang w:eastAsia="sk-SK"/>
        </w:rPr>
        <w:t xml:space="preserve">a opatrenia C.2. uznesenia </w:t>
      </w:r>
      <w:r w:rsidR="00987358" w:rsidRPr="00902526">
        <w:rPr>
          <w:rFonts w:ascii="Times New Roman" w:hAnsi="Times New Roman" w:cs="Times New Roman"/>
          <w:sz w:val="24"/>
          <w:szCs w:val="24"/>
          <w:lang w:eastAsia="sk-SK"/>
        </w:rPr>
        <w:t xml:space="preserve">vlády Slovenskej republiky č. 353/2014 </w:t>
      </w:r>
      <w:r w:rsidRPr="00902526">
        <w:rPr>
          <w:rFonts w:ascii="Times New Roman" w:hAnsi="Times New Roman" w:cs="Times New Roman"/>
          <w:sz w:val="24"/>
          <w:szCs w:val="24"/>
          <w:lang w:eastAsia="sk-SK"/>
        </w:rPr>
        <w:t>zabezpečujú zosúladenie nájomných vzťahov, ktoré vznikli na základe § 22</w:t>
      </w:r>
      <w:r w:rsidR="00987358" w:rsidRPr="00902526">
        <w:rPr>
          <w:rFonts w:ascii="Times New Roman" w:hAnsi="Times New Roman" w:cs="Times New Roman"/>
          <w:sz w:val="24"/>
          <w:szCs w:val="24"/>
          <w:lang w:eastAsia="sk-SK"/>
        </w:rPr>
        <w:t xml:space="preserve"> </w:t>
      </w:r>
      <w:r w:rsidRPr="00902526">
        <w:rPr>
          <w:rFonts w:ascii="Times New Roman" w:hAnsi="Times New Roman" w:cs="Times New Roman"/>
          <w:sz w:val="24"/>
          <w:szCs w:val="24"/>
          <w:lang w:eastAsia="sk-SK"/>
        </w:rPr>
        <w:t xml:space="preserve">ods. 2 zákona č. 229/1991 Zb. s ustanovením § 23 zákona č. 504/2003 Z. z. </w:t>
      </w:r>
    </w:p>
    <w:p w:rsidR="00A40165" w:rsidRDefault="00A40165">
      <w:pPr>
        <w:spacing w:after="0" w:line="240" w:lineRule="auto"/>
        <w:ind w:firstLine="708"/>
        <w:jc w:val="both"/>
        <w:rPr>
          <w:rFonts w:ascii="Times New Roman" w:hAnsi="Times New Roman" w:cs="Times New Roman"/>
          <w:sz w:val="12"/>
          <w:szCs w:val="12"/>
          <w:lang w:eastAsia="sk-SK"/>
        </w:rPr>
      </w:pPr>
    </w:p>
    <w:p w:rsidR="000010BD" w:rsidRDefault="00A40165">
      <w:pPr>
        <w:pStyle w:val="Zarkazkladnhotextu3"/>
        <w:ind w:firstLine="709"/>
        <w:rPr>
          <w:rFonts w:ascii="Times New Roman" w:hAnsi="Times New Roman" w:cs="Times New Roman"/>
        </w:rPr>
      </w:pPr>
      <w:r>
        <w:rPr>
          <w:rFonts w:ascii="Times New Roman" w:hAnsi="Times New Roman" w:cs="Times New Roman"/>
        </w:rPr>
        <w:t xml:space="preserve">ŠOLH v prípade hospodárenia (napríklad vykonávania ťažby drevnej hmoty) na neštátnych neodovzdaných lesných pozemkoch známych vlastníkov zasielajú návrhy nájomných zmlúv, ktoré niekedy ostávajú bez odozvy vlastníka alebo sa vracajú z titulu zmeny trvalého pobytu vlastníka, ktorý však v evidencii katastra nehnuteľností zmenený </w:t>
      </w:r>
      <w:r>
        <w:rPr>
          <w:rFonts w:ascii="Times New Roman" w:hAnsi="Times New Roman" w:cs="Times New Roman"/>
        </w:rPr>
        <w:lastRenderedPageBreak/>
        <w:t>nebol alebo z dôvodu, že vlastník zomrel a dedičské konanie ešte neprebehlo</w:t>
      </w:r>
      <w:r w:rsidR="00987358">
        <w:rPr>
          <w:rFonts w:ascii="Times New Roman" w:hAnsi="Times New Roman" w:cs="Times New Roman"/>
        </w:rPr>
        <w:t>, resp. nebol daný návrh na vklad do katastra nehnuteľností</w:t>
      </w:r>
      <w:r>
        <w:rPr>
          <w:rFonts w:ascii="Times New Roman" w:hAnsi="Times New Roman" w:cs="Times New Roman"/>
        </w:rPr>
        <w:t xml:space="preserve">. V územnej pôsobnosti LESOV SR, š. p. ostalo </w:t>
      </w:r>
      <w:r w:rsidR="00E133F5">
        <w:rPr>
          <w:rFonts w:ascii="Times New Roman" w:hAnsi="Times New Roman" w:cs="Times New Roman"/>
        </w:rPr>
        <w:t>v</w:t>
      </w:r>
      <w:r>
        <w:rPr>
          <w:rFonts w:ascii="Times New Roman" w:hAnsi="Times New Roman" w:cs="Times New Roman"/>
        </w:rPr>
        <w:t> roku 201</w:t>
      </w:r>
      <w:r w:rsidR="00987358">
        <w:rPr>
          <w:rFonts w:ascii="Times New Roman" w:hAnsi="Times New Roman" w:cs="Times New Roman"/>
        </w:rPr>
        <w:t>4</w:t>
      </w:r>
      <w:r>
        <w:rPr>
          <w:rFonts w:ascii="Times New Roman" w:hAnsi="Times New Roman" w:cs="Times New Roman"/>
        </w:rPr>
        <w:t xml:space="preserve"> nedoriešených </w:t>
      </w:r>
      <w:r w:rsidRPr="00E133F5">
        <w:rPr>
          <w:rFonts w:ascii="Times New Roman" w:hAnsi="Times New Roman" w:cs="Times New Roman"/>
        </w:rPr>
        <w:t>1</w:t>
      </w:r>
      <w:r w:rsidR="000B0E30" w:rsidRPr="00E133F5">
        <w:rPr>
          <w:rFonts w:ascii="Times New Roman" w:hAnsi="Times New Roman" w:cs="Times New Roman"/>
        </w:rPr>
        <w:t>6,2</w:t>
      </w:r>
      <w:r w:rsidRPr="00E133F5">
        <w:rPr>
          <w:rFonts w:ascii="Times New Roman" w:hAnsi="Times New Roman" w:cs="Times New Roman"/>
        </w:rPr>
        <w:t xml:space="preserve"> </w:t>
      </w:r>
      <w:r w:rsidR="007E3A94">
        <w:rPr>
          <w:rFonts w:ascii="Times New Roman" w:hAnsi="Times New Roman" w:cs="Times New Roman"/>
        </w:rPr>
        <w:t xml:space="preserve">% </w:t>
      </w:r>
      <w:r w:rsidR="000B0E30">
        <w:rPr>
          <w:rFonts w:ascii="Times New Roman" w:hAnsi="Times New Roman" w:cs="Times New Roman"/>
        </w:rPr>
        <w:t xml:space="preserve">z výmery </w:t>
      </w:r>
      <w:r>
        <w:rPr>
          <w:rFonts w:ascii="Times New Roman" w:hAnsi="Times New Roman" w:cs="Times New Roman"/>
        </w:rPr>
        <w:t xml:space="preserve">zaslaných nájomných zmlúv. </w:t>
      </w:r>
    </w:p>
    <w:p w:rsidR="000010BD" w:rsidRPr="000010BD" w:rsidRDefault="000010BD">
      <w:pPr>
        <w:pStyle w:val="Zarkazkladnhotextu3"/>
        <w:ind w:firstLine="709"/>
        <w:rPr>
          <w:rFonts w:ascii="Times New Roman" w:hAnsi="Times New Roman" w:cs="Times New Roman"/>
          <w:sz w:val="12"/>
          <w:szCs w:val="12"/>
        </w:rPr>
      </w:pPr>
    </w:p>
    <w:p w:rsidR="00A40165" w:rsidRDefault="00A40165">
      <w:pPr>
        <w:pStyle w:val="Zarkazkladnhotextu3"/>
        <w:ind w:firstLine="709"/>
        <w:rPr>
          <w:rFonts w:ascii="Times New Roman" w:hAnsi="Times New Roman" w:cs="Times New Roman"/>
        </w:rPr>
      </w:pPr>
      <w:r>
        <w:rPr>
          <w:rFonts w:ascii="Times New Roman" w:hAnsi="Times New Roman" w:cs="Times New Roman"/>
        </w:rPr>
        <w:t xml:space="preserve">Nasledujúca tabuľka vyjadruje prehľad postupu zosúladenia nájomného </w:t>
      </w:r>
      <w:r w:rsidR="000010BD">
        <w:rPr>
          <w:rFonts w:ascii="Times New Roman" w:hAnsi="Times New Roman" w:cs="Times New Roman"/>
        </w:rPr>
        <w:t xml:space="preserve">vzťahu, ktorý </w:t>
      </w:r>
      <w:r>
        <w:rPr>
          <w:rFonts w:ascii="Times New Roman" w:hAnsi="Times New Roman" w:cs="Times New Roman"/>
        </w:rPr>
        <w:t>vznikol na základe</w:t>
      </w:r>
      <w:r w:rsidR="000010BD">
        <w:rPr>
          <w:rFonts w:ascii="Times New Roman" w:hAnsi="Times New Roman" w:cs="Times New Roman"/>
        </w:rPr>
        <w:t xml:space="preserve"> </w:t>
      </w:r>
      <w:r>
        <w:rPr>
          <w:rFonts w:ascii="Times New Roman" w:hAnsi="Times New Roman" w:cs="Times New Roman"/>
        </w:rPr>
        <w:t xml:space="preserve">§ 22 ods. 2 zákona č. 229/1991 Zb. </w:t>
      </w:r>
      <w:r w:rsidR="00E133F5">
        <w:rPr>
          <w:rFonts w:ascii="Times New Roman" w:hAnsi="Times New Roman" w:cs="Times New Roman"/>
        </w:rPr>
        <w:t xml:space="preserve">v nadväznosti </w:t>
      </w:r>
      <w:r>
        <w:rPr>
          <w:rFonts w:ascii="Times New Roman" w:hAnsi="Times New Roman" w:cs="Times New Roman"/>
        </w:rPr>
        <w:t>s</w:t>
      </w:r>
      <w:r w:rsidR="0021065F">
        <w:rPr>
          <w:rFonts w:ascii="Times New Roman" w:hAnsi="Times New Roman" w:cs="Times New Roman"/>
        </w:rPr>
        <w:t> </w:t>
      </w:r>
      <w:r>
        <w:rPr>
          <w:rFonts w:ascii="Times New Roman" w:hAnsi="Times New Roman" w:cs="Times New Roman"/>
        </w:rPr>
        <w:t>ustanovením</w:t>
      </w:r>
      <w:r w:rsidR="0021065F">
        <w:rPr>
          <w:rFonts w:ascii="Times New Roman" w:hAnsi="Times New Roman" w:cs="Times New Roman"/>
        </w:rPr>
        <w:br/>
      </w:r>
      <w:r>
        <w:rPr>
          <w:rFonts w:ascii="Times New Roman" w:hAnsi="Times New Roman" w:cs="Times New Roman"/>
        </w:rPr>
        <w:t>§ 23 zákona</w:t>
      </w:r>
      <w:r w:rsidR="000010BD">
        <w:rPr>
          <w:rFonts w:ascii="Times New Roman" w:hAnsi="Times New Roman" w:cs="Times New Roman"/>
        </w:rPr>
        <w:t xml:space="preserve"> </w:t>
      </w:r>
      <w:r>
        <w:rPr>
          <w:rFonts w:ascii="Times New Roman" w:hAnsi="Times New Roman" w:cs="Times New Roman"/>
        </w:rPr>
        <w:t>č. 504/2003 Z. z. povinnými osobami.</w:t>
      </w:r>
    </w:p>
    <w:p w:rsidR="00A40165" w:rsidRDefault="00A40165">
      <w:pPr>
        <w:pStyle w:val="Zarkazkladnhotextu3"/>
        <w:ind w:firstLine="709"/>
        <w:rPr>
          <w:rFonts w:ascii="Times New Roman" w:hAnsi="Times New Roman" w:cs="Times New Roman"/>
        </w:rPr>
      </w:pPr>
    </w:p>
    <w:p w:rsidR="006B41F0" w:rsidRDefault="006B41F0">
      <w:pPr>
        <w:pStyle w:val="Zarkazkladnhotextu3"/>
        <w:ind w:firstLine="709"/>
        <w:rPr>
          <w:rFonts w:ascii="Times New Roman" w:hAnsi="Times New Roman" w:cs="Times New Roman"/>
        </w:rPr>
      </w:pPr>
    </w:p>
    <w:tbl>
      <w:tblPr>
        <w:tblW w:w="8755" w:type="dxa"/>
        <w:jc w:val="center"/>
        <w:tblCellMar>
          <w:left w:w="70" w:type="dxa"/>
          <w:right w:w="70" w:type="dxa"/>
        </w:tblCellMar>
        <w:tblLook w:val="0000" w:firstRow="0" w:lastRow="0" w:firstColumn="0" w:lastColumn="0" w:noHBand="0" w:noVBand="0"/>
      </w:tblPr>
      <w:tblGrid>
        <w:gridCol w:w="1418"/>
        <w:gridCol w:w="873"/>
        <w:gridCol w:w="720"/>
        <w:gridCol w:w="851"/>
        <w:gridCol w:w="851"/>
        <w:gridCol w:w="877"/>
        <w:gridCol w:w="851"/>
        <w:gridCol w:w="771"/>
        <w:gridCol w:w="771"/>
        <w:gridCol w:w="772"/>
      </w:tblGrid>
      <w:tr w:rsidR="00A40165" w:rsidRPr="00E77046">
        <w:trPr>
          <w:trHeight w:val="255"/>
          <w:jc w:val="center"/>
        </w:trPr>
        <w:tc>
          <w:tcPr>
            <w:tcW w:w="8755" w:type="dxa"/>
            <w:gridSpan w:val="10"/>
            <w:tcBorders>
              <w:top w:val="single" w:sz="8" w:space="0" w:color="auto"/>
              <w:left w:val="single" w:sz="8" w:space="0" w:color="auto"/>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p>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Zosúladenie nájomných vzťahov podľa zákona č. 229/1991 Zb. a zákona č. 504/2003 Z. z.</w:t>
            </w:r>
          </w:p>
          <w:p w:rsidR="00A40165" w:rsidRPr="00E77046" w:rsidRDefault="00A40165">
            <w:pPr>
              <w:spacing w:after="0" w:line="240" w:lineRule="auto"/>
              <w:jc w:val="center"/>
              <w:rPr>
                <w:rFonts w:ascii="Times New Roman" w:hAnsi="Times New Roman" w:cs="Times New Roman"/>
                <w:sz w:val="20"/>
                <w:szCs w:val="20"/>
                <w:lang w:eastAsia="sk-SK"/>
              </w:rPr>
            </w:pPr>
          </w:p>
        </w:tc>
      </w:tr>
      <w:tr w:rsidR="00A40165" w:rsidRPr="00E77046">
        <w:trPr>
          <w:cantSplit/>
          <w:trHeight w:val="255"/>
          <w:jc w:val="center"/>
        </w:trPr>
        <w:tc>
          <w:tcPr>
            <w:tcW w:w="3011" w:type="dxa"/>
            <w:gridSpan w:val="3"/>
            <w:tcBorders>
              <w:top w:val="single" w:sz="12" w:space="0" w:color="auto"/>
              <w:left w:val="single" w:sz="8" w:space="0" w:color="auto"/>
              <w:bottom w:val="single" w:sz="8" w:space="0" w:color="auto"/>
              <w:right w:val="single" w:sz="8" w:space="0" w:color="000000"/>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n á j o m n é   z m l u v y</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rok</w:t>
            </w:r>
          </w:p>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2008</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rok</w:t>
            </w:r>
          </w:p>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2009</w:t>
            </w:r>
          </w:p>
        </w:tc>
        <w:tc>
          <w:tcPr>
            <w:tcW w:w="877"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rok</w:t>
            </w:r>
          </w:p>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2010</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rok</w:t>
            </w:r>
          </w:p>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2011</w:t>
            </w:r>
          </w:p>
        </w:tc>
        <w:tc>
          <w:tcPr>
            <w:tcW w:w="771" w:type="dxa"/>
            <w:tcBorders>
              <w:top w:val="single" w:sz="12" w:space="0" w:color="auto"/>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rok 2012</w:t>
            </w:r>
          </w:p>
        </w:tc>
        <w:tc>
          <w:tcPr>
            <w:tcW w:w="771" w:type="dxa"/>
            <w:tcBorders>
              <w:top w:val="single" w:sz="12" w:space="0" w:color="auto"/>
              <w:left w:val="nil"/>
              <w:bottom w:val="single" w:sz="12"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rok 2013</w:t>
            </w:r>
          </w:p>
        </w:tc>
        <w:tc>
          <w:tcPr>
            <w:tcW w:w="772" w:type="dxa"/>
            <w:tcBorders>
              <w:top w:val="single" w:sz="12" w:space="0" w:color="auto"/>
              <w:left w:val="nil"/>
              <w:bottom w:val="single" w:sz="12"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rok 2014</w:t>
            </w:r>
          </w:p>
        </w:tc>
      </w:tr>
      <w:tr w:rsidR="00A40165" w:rsidRPr="00E77046">
        <w:trPr>
          <w:cantSplit/>
          <w:trHeight w:val="255"/>
          <w:jc w:val="center"/>
        </w:trPr>
        <w:tc>
          <w:tcPr>
            <w:tcW w:w="1418" w:type="dxa"/>
            <w:vMerge w:val="restart"/>
            <w:tcBorders>
              <w:top w:val="single" w:sz="12" w:space="0" w:color="auto"/>
              <w:left w:val="single" w:sz="8" w:space="0" w:color="auto"/>
              <w:bottom w:val="nil"/>
              <w:right w:val="single" w:sz="8" w:space="0" w:color="auto"/>
            </w:tcBorders>
            <w:vAlign w:val="center"/>
          </w:tcPr>
          <w:p w:rsidR="00A40165" w:rsidRPr="00E77046" w:rsidRDefault="00A40165">
            <w:pPr>
              <w:spacing w:after="0"/>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LESY SR, š. p.</w:t>
            </w:r>
          </w:p>
        </w:tc>
        <w:tc>
          <w:tcPr>
            <w:tcW w:w="873" w:type="dxa"/>
            <w:vMerge w:val="restart"/>
            <w:tcBorders>
              <w:top w:val="single" w:sz="12" w:space="0" w:color="auto"/>
              <w:left w:val="single" w:sz="8" w:space="0" w:color="auto"/>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zaslané</w:t>
            </w:r>
          </w:p>
        </w:tc>
        <w:tc>
          <w:tcPr>
            <w:tcW w:w="720"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7 875</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8 618</w:t>
            </w:r>
          </w:p>
        </w:tc>
        <w:tc>
          <w:tcPr>
            <w:tcW w:w="877"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9 456</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9 838</w:t>
            </w:r>
          </w:p>
        </w:tc>
        <w:tc>
          <w:tcPr>
            <w:tcW w:w="771" w:type="dxa"/>
            <w:tcBorders>
              <w:top w:val="single" w:sz="12" w:space="0" w:color="auto"/>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9 371</w:t>
            </w:r>
          </w:p>
        </w:tc>
        <w:tc>
          <w:tcPr>
            <w:tcW w:w="771" w:type="dxa"/>
            <w:tcBorders>
              <w:top w:val="single" w:sz="12"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3 624</w:t>
            </w:r>
          </w:p>
        </w:tc>
        <w:tc>
          <w:tcPr>
            <w:tcW w:w="772" w:type="dxa"/>
            <w:tcBorders>
              <w:top w:val="single" w:sz="12" w:space="0" w:color="auto"/>
              <w:left w:val="nil"/>
              <w:bottom w:val="single" w:sz="4" w:space="0" w:color="auto"/>
              <w:right w:val="single" w:sz="8" w:space="0" w:color="auto"/>
            </w:tcBorders>
            <w:vAlign w:val="center"/>
          </w:tcPr>
          <w:p w:rsidR="00A40165" w:rsidRPr="00E77046" w:rsidRDefault="0098735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4 488</w:t>
            </w:r>
          </w:p>
        </w:tc>
      </w:tr>
      <w:tr w:rsidR="00A40165" w:rsidRPr="00E77046">
        <w:trPr>
          <w:cantSplit/>
          <w:trHeight w:val="255"/>
          <w:jc w:val="center"/>
        </w:trPr>
        <w:tc>
          <w:tcPr>
            <w:tcW w:w="1418" w:type="dxa"/>
            <w:vMerge/>
            <w:tcBorders>
              <w:top w:val="nil"/>
              <w:left w:val="single" w:sz="8" w:space="0" w:color="auto"/>
              <w:bottom w:val="nil"/>
              <w:right w:val="single" w:sz="8" w:space="0" w:color="auto"/>
            </w:tcBorders>
            <w:vAlign w:val="center"/>
          </w:tcPr>
          <w:p w:rsidR="00A40165" w:rsidRPr="00E77046" w:rsidRDefault="00A40165">
            <w:pPr>
              <w:spacing w:after="0"/>
              <w:jc w:val="center"/>
              <w:rPr>
                <w:rFonts w:ascii="Times New Roman" w:hAnsi="Times New Roman" w:cs="Times New Roman"/>
                <w:sz w:val="20"/>
                <w:szCs w:val="20"/>
                <w:lang w:eastAsia="sk-SK"/>
              </w:rPr>
            </w:pPr>
          </w:p>
        </w:tc>
        <w:tc>
          <w:tcPr>
            <w:tcW w:w="873"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15 258</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16 200</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14 504</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13 630</w:t>
            </w:r>
          </w:p>
        </w:tc>
        <w:tc>
          <w:tcPr>
            <w:tcW w:w="771" w:type="dxa"/>
            <w:tcBorders>
              <w:top w:val="nil"/>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13 410</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6 017</w:t>
            </w:r>
          </w:p>
        </w:tc>
        <w:tc>
          <w:tcPr>
            <w:tcW w:w="772" w:type="dxa"/>
            <w:tcBorders>
              <w:top w:val="single" w:sz="4" w:space="0" w:color="auto"/>
              <w:left w:val="nil"/>
              <w:bottom w:val="single" w:sz="4" w:space="0" w:color="auto"/>
              <w:right w:val="single" w:sz="8" w:space="0" w:color="auto"/>
            </w:tcBorders>
            <w:vAlign w:val="center"/>
          </w:tcPr>
          <w:p w:rsidR="00A40165" w:rsidRPr="00E77046" w:rsidRDefault="0098735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3 678</w:t>
            </w:r>
          </w:p>
        </w:tc>
      </w:tr>
      <w:tr w:rsidR="00A40165" w:rsidRPr="00E77046">
        <w:trPr>
          <w:cantSplit/>
          <w:trHeight w:val="255"/>
          <w:jc w:val="center"/>
        </w:trPr>
        <w:tc>
          <w:tcPr>
            <w:tcW w:w="1418" w:type="dxa"/>
            <w:vMerge/>
            <w:tcBorders>
              <w:top w:val="nil"/>
              <w:left w:val="single" w:sz="8" w:space="0" w:color="auto"/>
              <w:bottom w:val="nil"/>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873" w:type="dxa"/>
            <w:vMerge w:val="restart"/>
            <w:tcBorders>
              <w:top w:val="nil"/>
              <w:left w:val="single" w:sz="8" w:space="0" w:color="auto"/>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uzavreté</w:t>
            </w: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6 056</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6 556</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7 282</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7 466</w:t>
            </w:r>
          </w:p>
        </w:tc>
        <w:tc>
          <w:tcPr>
            <w:tcW w:w="771" w:type="dxa"/>
            <w:tcBorders>
              <w:top w:val="nil"/>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6 674</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2 948</w:t>
            </w:r>
          </w:p>
        </w:tc>
        <w:tc>
          <w:tcPr>
            <w:tcW w:w="772" w:type="dxa"/>
            <w:tcBorders>
              <w:top w:val="single" w:sz="4" w:space="0" w:color="auto"/>
              <w:left w:val="nil"/>
              <w:bottom w:val="single" w:sz="4" w:space="0" w:color="auto"/>
              <w:right w:val="single" w:sz="8" w:space="0" w:color="auto"/>
            </w:tcBorders>
            <w:vAlign w:val="center"/>
          </w:tcPr>
          <w:p w:rsidR="00A40165" w:rsidRPr="00E77046" w:rsidRDefault="0098735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2 897</w:t>
            </w:r>
          </w:p>
        </w:tc>
      </w:tr>
      <w:tr w:rsidR="00A40165" w:rsidRPr="00E77046">
        <w:trPr>
          <w:cantSplit/>
          <w:trHeight w:val="255"/>
          <w:jc w:val="center"/>
        </w:trPr>
        <w:tc>
          <w:tcPr>
            <w:tcW w:w="1418"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Arial" w:hAnsi="Arial" w:cs="Arial"/>
                <w:sz w:val="20"/>
                <w:szCs w:val="20"/>
                <w:lang w:eastAsia="sk-SK"/>
              </w:rPr>
            </w:pPr>
          </w:p>
        </w:tc>
        <w:tc>
          <w:tcPr>
            <w:tcW w:w="873"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14 193</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15 046</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13 282</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13 881</w:t>
            </w:r>
          </w:p>
        </w:tc>
        <w:tc>
          <w:tcPr>
            <w:tcW w:w="771" w:type="dxa"/>
            <w:tcBorders>
              <w:top w:val="nil"/>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9 508</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5 383</w:t>
            </w:r>
          </w:p>
        </w:tc>
        <w:tc>
          <w:tcPr>
            <w:tcW w:w="772" w:type="dxa"/>
            <w:tcBorders>
              <w:top w:val="single" w:sz="4" w:space="0" w:color="auto"/>
              <w:left w:val="nil"/>
              <w:bottom w:val="single" w:sz="4" w:space="0" w:color="auto"/>
              <w:right w:val="single" w:sz="8" w:space="0" w:color="auto"/>
            </w:tcBorders>
            <w:vAlign w:val="center"/>
          </w:tcPr>
          <w:p w:rsidR="00A40165" w:rsidRPr="00E77046" w:rsidRDefault="0098735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3 083</w:t>
            </w:r>
          </w:p>
        </w:tc>
      </w:tr>
      <w:tr w:rsidR="00A40165" w:rsidRPr="00E77046">
        <w:trPr>
          <w:cantSplit/>
          <w:trHeight w:val="255"/>
          <w:jc w:val="center"/>
        </w:trPr>
        <w:tc>
          <w:tcPr>
            <w:tcW w:w="1418" w:type="dxa"/>
            <w:vMerge w:val="restart"/>
            <w:tcBorders>
              <w:top w:val="single" w:sz="12" w:space="0" w:color="auto"/>
              <w:left w:val="single" w:sz="8" w:space="0" w:color="000000"/>
              <w:bottom w:val="nil"/>
              <w:right w:val="single" w:sz="8" w:space="0" w:color="000000"/>
            </w:tcBorders>
            <w:vAlign w:val="center"/>
          </w:tcPr>
          <w:p w:rsidR="00A40165" w:rsidRPr="00E77046" w:rsidRDefault="00A40165">
            <w:pPr>
              <w:spacing w:after="0"/>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LPM Ulič, š. p.</w:t>
            </w:r>
          </w:p>
        </w:tc>
        <w:tc>
          <w:tcPr>
            <w:tcW w:w="873" w:type="dxa"/>
            <w:vMerge w:val="restart"/>
            <w:tcBorders>
              <w:top w:val="single" w:sz="12" w:space="0" w:color="auto"/>
              <w:left w:val="single" w:sz="8" w:space="0" w:color="000000"/>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zaslané</w:t>
            </w:r>
          </w:p>
        </w:tc>
        <w:tc>
          <w:tcPr>
            <w:tcW w:w="720"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758</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77" w:type="dxa"/>
            <w:tcBorders>
              <w:top w:val="single" w:sz="12" w:space="0" w:color="auto"/>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12" w:space="0" w:color="auto"/>
              <w:left w:val="nil"/>
              <w:bottom w:val="single" w:sz="8" w:space="0" w:color="auto"/>
              <w:right w:val="single" w:sz="8" w:space="0" w:color="auto"/>
            </w:tcBorders>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12" w:space="0" w:color="auto"/>
              <w:left w:val="nil"/>
              <w:bottom w:val="single" w:sz="4" w:space="0" w:color="auto"/>
              <w:right w:val="single" w:sz="8" w:space="0" w:color="auto"/>
            </w:tcBorders>
            <w:vAlign w:val="bottom"/>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2" w:type="dxa"/>
            <w:tcBorders>
              <w:top w:val="single" w:sz="12" w:space="0" w:color="auto"/>
              <w:left w:val="nil"/>
              <w:bottom w:val="single" w:sz="4"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cantSplit/>
          <w:trHeight w:val="255"/>
          <w:jc w:val="center"/>
        </w:trPr>
        <w:tc>
          <w:tcPr>
            <w:tcW w:w="1418" w:type="dxa"/>
            <w:vMerge/>
            <w:tcBorders>
              <w:top w:val="nil"/>
              <w:left w:val="single" w:sz="8" w:space="0" w:color="000000"/>
              <w:bottom w:val="nil"/>
              <w:right w:val="single" w:sz="8" w:space="0" w:color="000000"/>
            </w:tcBorders>
            <w:vAlign w:val="center"/>
          </w:tcPr>
          <w:p w:rsidR="00A40165" w:rsidRPr="00E77046" w:rsidRDefault="00A40165">
            <w:pPr>
              <w:spacing w:after="0"/>
              <w:jc w:val="center"/>
              <w:rPr>
                <w:rFonts w:ascii="Times New Roman" w:hAnsi="Times New Roman" w:cs="Times New Roman"/>
                <w:sz w:val="20"/>
                <w:szCs w:val="20"/>
                <w:lang w:eastAsia="sk-SK"/>
              </w:rPr>
            </w:pPr>
          </w:p>
        </w:tc>
        <w:tc>
          <w:tcPr>
            <w:tcW w:w="873" w:type="dxa"/>
            <w:vMerge/>
            <w:tcBorders>
              <w:top w:val="nil"/>
              <w:left w:val="single" w:sz="8" w:space="0" w:color="000000"/>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1 805</w:t>
            </w:r>
          </w:p>
        </w:tc>
        <w:tc>
          <w:tcPr>
            <w:tcW w:w="851"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77"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1"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nil"/>
              <w:left w:val="nil"/>
              <w:bottom w:val="single" w:sz="8" w:space="0" w:color="auto"/>
              <w:right w:val="single" w:sz="8" w:space="0" w:color="auto"/>
            </w:tcBorders>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4" w:space="0" w:color="auto"/>
              <w:left w:val="nil"/>
              <w:bottom w:val="single" w:sz="4" w:space="0" w:color="auto"/>
              <w:right w:val="single" w:sz="8" w:space="0" w:color="auto"/>
            </w:tcBorders>
            <w:vAlign w:val="bottom"/>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2" w:type="dxa"/>
            <w:tcBorders>
              <w:top w:val="single" w:sz="4" w:space="0" w:color="auto"/>
              <w:left w:val="nil"/>
              <w:bottom w:val="single" w:sz="4"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cantSplit/>
          <w:trHeight w:val="255"/>
          <w:jc w:val="center"/>
        </w:trPr>
        <w:tc>
          <w:tcPr>
            <w:tcW w:w="1418" w:type="dxa"/>
            <w:vMerge/>
            <w:tcBorders>
              <w:top w:val="nil"/>
              <w:left w:val="single" w:sz="8" w:space="0" w:color="000000"/>
              <w:bottom w:val="nil"/>
              <w:right w:val="single" w:sz="8" w:space="0" w:color="000000"/>
            </w:tcBorders>
            <w:noWrap/>
            <w:vAlign w:val="center"/>
          </w:tcPr>
          <w:p w:rsidR="00A40165" w:rsidRPr="00E77046" w:rsidRDefault="00A40165">
            <w:pPr>
              <w:spacing w:after="0" w:line="240" w:lineRule="auto"/>
              <w:jc w:val="center"/>
              <w:rPr>
                <w:rFonts w:ascii="Arial" w:hAnsi="Arial" w:cs="Arial"/>
                <w:sz w:val="20"/>
                <w:szCs w:val="20"/>
                <w:lang w:eastAsia="sk-SK"/>
              </w:rPr>
            </w:pPr>
          </w:p>
        </w:tc>
        <w:tc>
          <w:tcPr>
            <w:tcW w:w="873" w:type="dxa"/>
            <w:vMerge w:val="restart"/>
            <w:tcBorders>
              <w:top w:val="nil"/>
              <w:left w:val="single" w:sz="8" w:space="0" w:color="000000"/>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uzavreté</w:t>
            </w: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758</w:t>
            </w:r>
          </w:p>
        </w:tc>
        <w:tc>
          <w:tcPr>
            <w:tcW w:w="851"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77"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1"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nil"/>
              <w:left w:val="nil"/>
              <w:bottom w:val="single" w:sz="8" w:space="0" w:color="auto"/>
              <w:right w:val="single" w:sz="8" w:space="0" w:color="auto"/>
            </w:tcBorders>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4" w:space="0" w:color="auto"/>
              <w:left w:val="nil"/>
              <w:bottom w:val="single" w:sz="4" w:space="0" w:color="auto"/>
              <w:right w:val="single" w:sz="8" w:space="0" w:color="auto"/>
            </w:tcBorders>
            <w:vAlign w:val="bottom"/>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2" w:type="dxa"/>
            <w:tcBorders>
              <w:top w:val="single" w:sz="4" w:space="0" w:color="auto"/>
              <w:left w:val="nil"/>
              <w:bottom w:val="single" w:sz="4"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cantSplit/>
          <w:trHeight w:val="255"/>
          <w:jc w:val="center"/>
        </w:trPr>
        <w:tc>
          <w:tcPr>
            <w:tcW w:w="1418" w:type="dxa"/>
            <w:vMerge/>
            <w:tcBorders>
              <w:top w:val="nil"/>
              <w:left w:val="single" w:sz="8" w:space="0" w:color="000000"/>
              <w:bottom w:val="nil"/>
              <w:right w:val="single" w:sz="8" w:space="0" w:color="000000"/>
            </w:tcBorders>
            <w:vAlign w:val="center"/>
          </w:tcPr>
          <w:p w:rsidR="00A40165" w:rsidRPr="00E77046" w:rsidRDefault="00A40165">
            <w:pPr>
              <w:spacing w:after="0" w:line="240" w:lineRule="auto"/>
              <w:jc w:val="center"/>
              <w:rPr>
                <w:rFonts w:ascii="Arial" w:hAnsi="Arial" w:cs="Arial"/>
                <w:sz w:val="20"/>
                <w:szCs w:val="20"/>
                <w:lang w:eastAsia="sk-SK"/>
              </w:rPr>
            </w:pPr>
          </w:p>
        </w:tc>
        <w:tc>
          <w:tcPr>
            <w:tcW w:w="873" w:type="dxa"/>
            <w:vMerge/>
            <w:tcBorders>
              <w:top w:val="nil"/>
              <w:left w:val="single" w:sz="8" w:space="0" w:color="000000"/>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1 805</w:t>
            </w:r>
          </w:p>
        </w:tc>
        <w:tc>
          <w:tcPr>
            <w:tcW w:w="851"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77"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1" w:type="dxa"/>
            <w:tcBorders>
              <w:top w:val="nil"/>
              <w:left w:val="nil"/>
              <w:bottom w:val="single" w:sz="8" w:space="0" w:color="auto"/>
              <w:right w:val="single" w:sz="8" w:space="0" w:color="auto"/>
            </w:tcBorders>
            <w:noWrap/>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nil"/>
              <w:left w:val="nil"/>
              <w:bottom w:val="single" w:sz="8" w:space="0" w:color="auto"/>
              <w:right w:val="single" w:sz="8" w:space="0" w:color="auto"/>
            </w:tcBorders>
            <w:vAlign w:val="center"/>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4" w:space="0" w:color="auto"/>
              <w:left w:val="nil"/>
              <w:bottom w:val="single" w:sz="4" w:space="0" w:color="auto"/>
              <w:right w:val="single" w:sz="8" w:space="0" w:color="auto"/>
            </w:tcBorders>
            <w:vAlign w:val="bottom"/>
          </w:tcPr>
          <w:p w:rsidR="00A40165" w:rsidRPr="00E77046" w:rsidRDefault="000B0E30">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2" w:type="dxa"/>
            <w:tcBorders>
              <w:top w:val="single" w:sz="4" w:space="0" w:color="auto"/>
              <w:left w:val="nil"/>
              <w:bottom w:val="single" w:sz="4"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cantSplit/>
          <w:trHeight w:val="255"/>
          <w:jc w:val="center"/>
        </w:trPr>
        <w:tc>
          <w:tcPr>
            <w:tcW w:w="1418" w:type="dxa"/>
            <w:vMerge w:val="restart"/>
            <w:tcBorders>
              <w:top w:val="single" w:sz="12" w:space="0" w:color="auto"/>
              <w:left w:val="single" w:sz="8" w:space="0" w:color="auto"/>
              <w:bottom w:val="nil"/>
              <w:right w:val="single" w:sz="8" w:space="0" w:color="auto"/>
            </w:tcBorders>
            <w:noWrap/>
            <w:vAlign w:val="center"/>
          </w:tcPr>
          <w:p w:rsidR="00A40165" w:rsidRPr="00E77046" w:rsidRDefault="00A40165">
            <w:pPr>
              <w:spacing w:after="0"/>
              <w:jc w:val="center"/>
              <w:rPr>
                <w:rFonts w:ascii="Arial" w:hAnsi="Arial" w:cs="Arial"/>
                <w:sz w:val="20"/>
                <w:szCs w:val="20"/>
                <w:lang w:eastAsia="sk-SK"/>
              </w:rPr>
            </w:pPr>
            <w:r w:rsidRPr="00E77046">
              <w:rPr>
                <w:rFonts w:ascii="Times New Roman" w:hAnsi="Times New Roman" w:cs="Times New Roman"/>
                <w:sz w:val="20"/>
                <w:szCs w:val="20"/>
                <w:lang w:eastAsia="sk-SK"/>
              </w:rPr>
              <w:t>ŠL TANAP</w:t>
            </w:r>
          </w:p>
        </w:tc>
        <w:tc>
          <w:tcPr>
            <w:tcW w:w="873" w:type="dxa"/>
            <w:vMerge w:val="restart"/>
            <w:tcBorders>
              <w:top w:val="single" w:sz="12" w:space="0" w:color="auto"/>
              <w:left w:val="single" w:sz="8" w:space="0" w:color="auto"/>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zaslané</w:t>
            </w:r>
          </w:p>
        </w:tc>
        <w:tc>
          <w:tcPr>
            <w:tcW w:w="720"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11</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w:t>
            </w:r>
          </w:p>
        </w:tc>
        <w:tc>
          <w:tcPr>
            <w:tcW w:w="877"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17</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w:t>
            </w:r>
          </w:p>
        </w:tc>
        <w:tc>
          <w:tcPr>
            <w:tcW w:w="771" w:type="dxa"/>
            <w:tcBorders>
              <w:top w:val="single" w:sz="12" w:space="0" w:color="auto"/>
              <w:left w:val="nil"/>
              <w:bottom w:val="single" w:sz="8"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12"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43</w:t>
            </w:r>
          </w:p>
        </w:tc>
        <w:tc>
          <w:tcPr>
            <w:tcW w:w="772" w:type="dxa"/>
            <w:tcBorders>
              <w:top w:val="single" w:sz="12" w:space="0" w:color="auto"/>
              <w:left w:val="nil"/>
              <w:bottom w:val="single" w:sz="4"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cantSplit/>
          <w:trHeight w:val="255"/>
          <w:jc w:val="center"/>
        </w:trPr>
        <w:tc>
          <w:tcPr>
            <w:tcW w:w="1418" w:type="dxa"/>
            <w:vMerge/>
            <w:tcBorders>
              <w:top w:val="nil"/>
              <w:left w:val="single" w:sz="8" w:space="0" w:color="auto"/>
              <w:bottom w:val="nil"/>
              <w:right w:val="single" w:sz="8" w:space="0" w:color="auto"/>
            </w:tcBorders>
            <w:vAlign w:val="center"/>
          </w:tcPr>
          <w:p w:rsidR="00A40165" w:rsidRPr="00E77046" w:rsidRDefault="00A40165">
            <w:pPr>
              <w:spacing w:after="0" w:line="240" w:lineRule="auto"/>
              <w:jc w:val="center"/>
              <w:rPr>
                <w:rFonts w:ascii="Arial" w:hAnsi="Arial" w:cs="Arial"/>
                <w:sz w:val="20"/>
                <w:szCs w:val="20"/>
                <w:lang w:eastAsia="sk-SK"/>
              </w:rPr>
            </w:pPr>
          </w:p>
        </w:tc>
        <w:tc>
          <w:tcPr>
            <w:tcW w:w="873"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65</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22</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5</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147</w:t>
            </w:r>
          </w:p>
        </w:tc>
        <w:tc>
          <w:tcPr>
            <w:tcW w:w="771" w:type="dxa"/>
            <w:tcBorders>
              <w:top w:val="nil"/>
              <w:left w:val="nil"/>
              <w:bottom w:val="single" w:sz="8"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49</w:t>
            </w:r>
          </w:p>
        </w:tc>
        <w:tc>
          <w:tcPr>
            <w:tcW w:w="772" w:type="dxa"/>
            <w:tcBorders>
              <w:top w:val="single" w:sz="4" w:space="0" w:color="auto"/>
              <w:left w:val="nil"/>
              <w:bottom w:val="single" w:sz="4"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cantSplit/>
          <w:trHeight w:val="255"/>
          <w:jc w:val="center"/>
        </w:trPr>
        <w:tc>
          <w:tcPr>
            <w:tcW w:w="1418" w:type="dxa"/>
            <w:vMerge/>
            <w:tcBorders>
              <w:top w:val="nil"/>
              <w:left w:val="single" w:sz="8" w:space="0" w:color="auto"/>
              <w:bottom w:val="nil"/>
              <w:right w:val="single" w:sz="8" w:space="0" w:color="auto"/>
            </w:tcBorders>
            <w:vAlign w:val="center"/>
          </w:tcPr>
          <w:p w:rsidR="00A40165" w:rsidRPr="00E77046" w:rsidRDefault="00A40165">
            <w:pPr>
              <w:spacing w:after="0" w:line="240" w:lineRule="auto"/>
              <w:jc w:val="center"/>
              <w:rPr>
                <w:rFonts w:ascii="Arial" w:hAnsi="Arial" w:cs="Arial"/>
                <w:sz w:val="20"/>
                <w:szCs w:val="20"/>
                <w:lang w:eastAsia="sk-SK"/>
              </w:rPr>
            </w:pPr>
          </w:p>
        </w:tc>
        <w:tc>
          <w:tcPr>
            <w:tcW w:w="873" w:type="dxa"/>
            <w:vMerge w:val="restart"/>
            <w:tcBorders>
              <w:top w:val="nil"/>
              <w:left w:val="single" w:sz="8" w:space="0" w:color="auto"/>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uzavreté</w:t>
            </w: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11</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w:t>
            </w:r>
          </w:p>
        </w:tc>
        <w:tc>
          <w:tcPr>
            <w:tcW w:w="771" w:type="dxa"/>
            <w:tcBorders>
              <w:top w:val="nil"/>
              <w:left w:val="nil"/>
              <w:bottom w:val="single" w:sz="8"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43</w:t>
            </w:r>
          </w:p>
        </w:tc>
        <w:tc>
          <w:tcPr>
            <w:tcW w:w="772" w:type="dxa"/>
            <w:tcBorders>
              <w:top w:val="single" w:sz="4" w:space="0" w:color="auto"/>
              <w:left w:val="nil"/>
              <w:bottom w:val="single" w:sz="4"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cantSplit/>
          <w:trHeight w:val="255"/>
          <w:jc w:val="center"/>
        </w:trPr>
        <w:tc>
          <w:tcPr>
            <w:tcW w:w="1418" w:type="dxa"/>
            <w:vMerge/>
            <w:tcBorders>
              <w:top w:val="nil"/>
              <w:left w:val="single" w:sz="8" w:space="0" w:color="auto"/>
              <w:bottom w:val="single" w:sz="12" w:space="0" w:color="auto"/>
              <w:right w:val="single" w:sz="8" w:space="0" w:color="auto"/>
            </w:tcBorders>
            <w:vAlign w:val="center"/>
          </w:tcPr>
          <w:p w:rsidR="00A40165" w:rsidRPr="00E77046" w:rsidRDefault="00A40165">
            <w:pPr>
              <w:spacing w:after="0" w:line="240" w:lineRule="auto"/>
              <w:jc w:val="center"/>
              <w:rPr>
                <w:rFonts w:ascii="Arial" w:hAnsi="Arial" w:cs="Arial"/>
                <w:sz w:val="20"/>
                <w:szCs w:val="20"/>
                <w:lang w:eastAsia="sk-SK"/>
              </w:rPr>
            </w:pPr>
          </w:p>
        </w:tc>
        <w:tc>
          <w:tcPr>
            <w:tcW w:w="873" w:type="dxa"/>
            <w:vMerge/>
            <w:tcBorders>
              <w:top w:val="nil"/>
              <w:left w:val="single" w:sz="8" w:space="0" w:color="auto"/>
              <w:bottom w:val="single" w:sz="12"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720" w:type="dxa"/>
            <w:tcBorders>
              <w:top w:val="nil"/>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51" w:type="dxa"/>
            <w:tcBorders>
              <w:top w:val="nil"/>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65</w:t>
            </w:r>
          </w:p>
        </w:tc>
        <w:tc>
          <w:tcPr>
            <w:tcW w:w="851" w:type="dxa"/>
            <w:tcBorders>
              <w:top w:val="nil"/>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22</w:t>
            </w:r>
          </w:p>
        </w:tc>
        <w:tc>
          <w:tcPr>
            <w:tcW w:w="877" w:type="dxa"/>
            <w:tcBorders>
              <w:top w:val="nil"/>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0,4</w:t>
            </w:r>
          </w:p>
        </w:tc>
        <w:tc>
          <w:tcPr>
            <w:tcW w:w="851" w:type="dxa"/>
            <w:tcBorders>
              <w:top w:val="nil"/>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143</w:t>
            </w:r>
          </w:p>
        </w:tc>
        <w:tc>
          <w:tcPr>
            <w:tcW w:w="771" w:type="dxa"/>
            <w:tcBorders>
              <w:top w:val="nil"/>
              <w:left w:val="nil"/>
              <w:bottom w:val="single" w:sz="12"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49</w:t>
            </w:r>
          </w:p>
        </w:tc>
        <w:tc>
          <w:tcPr>
            <w:tcW w:w="772" w:type="dxa"/>
            <w:tcBorders>
              <w:top w:val="single" w:sz="4" w:space="0" w:color="auto"/>
              <w:left w:val="nil"/>
              <w:bottom w:val="single" w:sz="4" w:space="0" w:color="auto"/>
              <w:right w:val="single" w:sz="8" w:space="0" w:color="auto"/>
            </w:tcBorders>
            <w:vAlign w:val="center"/>
          </w:tcPr>
          <w:p w:rsidR="00A40165" w:rsidRPr="00E77046" w:rsidRDefault="00E133F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cantSplit/>
          <w:trHeight w:val="255"/>
          <w:jc w:val="center"/>
        </w:trPr>
        <w:tc>
          <w:tcPr>
            <w:tcW w:w="1418" w:type="dxa"/>
            <w:vMerge w:val="restart"/>
            <w:tcBorders>
              <w:top w:val="single" w:sz="12" w:space="0" w:color="auto"/>
              <w:left w:val="single" w:sz="4" w:space="0" w:color="auto"/>
              <w:bottom w:val="nil"/>
              <w:right w:val="single" w:sz="4" w:space="0" w:color="auto"/>
            </w:tcBorders>
            <w:vAlign w:val="center"/>
          </w:tcPr>
          <w:p w:rsidR="00A40165" w:rsidRPr="00E77046" w:rsidRDefault="00A40165">
            <w:pPr>
              <w:spacing w:after="0"/>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VLM SR, š. p.</w:t>
            </w:r>
          </w:p>
        </w:tc>
        <w:tc>
          <w:tcPr>
            <w:tcW w:w="873" w:type="dxa"/>
            <w:vMerge w:val="restart"/>
            <w:tcBorders>
              <w:top w:val="single" w:sz="12" w:space="0" w:color="auto"/>
              <w:left w:val="single" w:sz="4" w:space="0" w:color="auto"/>
              <w:bottom w:val="single" w:sz="4" w:space="0" w:color="auto"/>
              <w:right w:val="single" w:sz="4"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zaslané</w:t>
            </w:r>
          </w:p>
        </w:tc>
        <w:tc>
          <w:tcPr>
            <w:tcW w:w="720" w:type="dxa"/>
            <w:tcBorders>
              <w:top w:val="single" w:sz="12" w:space="0" w:color="auto"/>
              <w:left w:val="single" w:sz="4" w:space="0" w:color="auto"/>
              <w:bottom w:val="single" w:sz="4" w:space="0" w:color="auto"/>
              <w:right w:val="single" w:sz="4"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1" w:type="dxa"/>
            <w:tcBorders>
              <w:top w:val="single" w:sz="12" w:space="0" w:color="auto"/>
              <w:left w:val="single" w:sz="4" w:space="0" w:color="auto"/>
              <w:bottom w:val="single" w:sz="4" w:space="0" w:color="auto"/>
              <w:right w:val="single" w:sz="4"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208</w:t>
            </w:r>
          </w:p>
        </w:tc>
        <w:tc>
          <w:tcPr>
            <w:tcW w:w="851" w:type="dxa"/>
            <w:tcBorders>
              <w:top w:val="single" w:sz="12" w:space="0" w:color="auto"/>
              <w:left w:val="single" w:sz="4" w:space="0" w:color="auto"/>
              <w:bottom w:val="single" w:sz="4" w:space="0" w:color="auto"/>
              <w:right w:val="single" w:sz="4"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80</w:t>
            </w:r>
          </w:p>
        </w:tc>
        <w:tc>
          <w:tcPr>
            <w:tcW w:w="877" w:type="dxa"/>
            <w:tcBorders>
              <w:top w:val="single" w:sz="12" w:space="0" w:color="auto"/>
              <w:left w:val="single" w:sz="4" w:space="0" w:color="auto"/>
              <w:bottom w:val="single" w:sz="4" w:space="0" w:color="auto"/>
              <w:right w:val="single" w:sz="4"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85</w:t>
            </w:r>
          </w:p>
        </w:tc>
        <w:tc>
          <w:tcPr>
            <w:tcW w:w="851" w:type="dxa"/>
            <w:tcBorders>
              <w:top w:val="single" w:sz="12" w:space="0" w:color="auto"/>
              <w:left w:val="single" w:sz="4" w:space="0" w:color="auto"/>
              <w:bottom w:val="single" w:sz="4" w:space="0" w:color="auto"/>
              <w:right w:val="single" w:sz="4"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99</w:t>
            </w:r>
          </w:p>
        </w:tc>
        <w:tc>
          <w:tcPr>
            <w:tcW w:w="771" w:type="dxa"/>
            <w:tcBorders>
              <w:top w:val="single" w:sz="12" w:space="0" w:color="auto"/>
              <w:left w:val="single" w:sz="4" w:space="0" w:color="auto"/>
              <w:bottom w:val="single" w:sz="4" w:space="0" w:color="auto"/>
              <w:right w:val="single" w:sz="4"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110</w:t>
            </w:r>
          </w:p>
        </w:tc>
        <w:tc>
          <w:tcPr>
            <w:tcW w:w="771" w:type="dxa"/>
            <w:tcBorders>
              <w:top w:val="single" w:sz="12" w:space="0" w:color="auto"/>
              <w:left w:val="single" w:sz="4" w:space="0" w:color="auto"/>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121</w:t>
            </w:r>
          </w:p>
        </w:tc>
        <w:tc>
          <w:tcPr>
            <w:tcW w:w="772" w:type="dxa"/>
            <w:tcBorders>
              <w:top w:val="single" w:sz="12" w:space="0" w:color="auto"/>
              <w:left w:val="single" w:sz="4" w:space="0" w:color="auto"/>
              <w:bottom w:val="single" w:sz="4" w:space="0" w:color="auto"/>
              <w:right w:val="single" w:sz="8" w:space="0" w:color="auto"/>
            </w:tcBorders>
            <w:vAlign w:val="center"/>
          </w:tcPr>
          <w:p w:rsidR="00A40165" w:rsidRPr="00C859CD" w:rsidRDefault="003471B1">
            <w:pPr>
              <w:spacing w:after="0" w:line="240" w:lineRule="auto"/>
              <w:jc w:val="center"/>
              <w:rPr>
                <w:rFonts w:ascii="Times New Roman" w:hAnsi="Times New Roman" w:cs="Times New Roman"/>
                <w:sz w:val="20"/>
                <w:szCs w:val="20"/>
                <w:lang w:eastAsia="sk-SK"/>
              </w:rPr>
            </w:pPr>
            <w:r w:rsidRPr="00C859CD">
              <w:rPr>
                <w:rFonts w:ascii="Times New Roman" w:hAnsi="Times New Roman" w:cs="Times New Roman"/>
                <w:sz w:val="20"/>
                <w:szCs w:val="20"/>
                <w:lang w:eastAsia="sk-SK"/>
              </w:rPr>
              <w:t>144</w:t>
            </w:r>
          </w:p>
        </w:tc>
      </w:tr>
      <w:tr w:rsidR="00A40165" w:rsidRPr="00E77046">
        <w:trPr>
          <w:cantSplit/>
          <w:trHeight w:val="255"/>
          <w:jc w:val="center"/>
        </w:trPr>
        <w:tc>
          <w:tcPr>
            <w:tcW w:w="1418" w:type="dxa"/>
            <w:vMerge/>
            <w:tcBorders>
              <w:top w:val="nil"/>
              <w:left w:val="single" w:sz="4" w:space="0" w:color="auto"/>
              <w:bottom w:val="nil"/>
              <w:right w:val="single" w:sz="4" w:space="0" w:color="auto"/>
            </w:tcBorders>
            <w:noWrap/>
            <w:vAlign w:val="center"/>
          </w:tcPr>
          <w:p w:rsidR="00A40165" w:rsidRPr="00E77046" w:rsidRDefault="00A40165">
            <w:pPr>
              <w:jc w:val="center"/>
              <w:rPr>
                <w:rFonts w:ascii="Times New Roman" w:hAnsi="Times New Roman" w:cs="Times New Roman"/>
                <w:sz w:val="20"/>
                <w:szCs w:val="20"/>
                <w:lang w:eastAsia="sk-SK"/>
              </w:rPr>
            </w:pPr>
          </w:p>
        </w:tc>
        <w:tc>
          <w:tcPr>
            <w:tcW w:w="873" w:type="dxa"/>
            <w:vMerge/>
            <w:tcBorders>
              <w:top w:val="single" w:sz="8" w:space="0" w:color="000000"/>
              <w:left w:val="single" w:sz="4" w:space="0" w:color="auto"/>
              <w:bottom w:val="single" w:sz="4" w:space="0" w:color="auto"/>
              <w:right w:val="single" w:sz="4"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720" w:type="dxa"/>
            <w:tcBorders>
              <w:top w:val="single" w:sz="4" w:space="0" w:color="auto"/>
              <w:left w:val="single" w:sz="4" w:space="0" w:color="auto"/>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51" w:type="dxa"/>
            <w:tcBorders>
              <w:top w:val="single" w:sz="4"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745</w:t>
            </w:r>
          </w:p>
        </w:tc>
        <w:tc>
          <w:tcPr>
            <w:tcW w:w="851" w:type="dxa"/>
            <w:tcBorders>
              <w:top w:val="single" w:sz="4"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630</w:t>
            </w:r>
          </w:p>
        </w:tc>
        <w:tc>
          <w:tcPr>
            <w:tcW w:w="877" w:type="dxa"/>
            <w:tcBorders>
              <w:top w:val="single" w:sz="4"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634</w:t>
            </w:r>
          </w:p>
        </w:tc>
        <w:tc>
          <w:tcPr>
            <w:tcW w:w="851" w:type="dxa"/>
            <w:tcBorders>
              <w:top w:val="single" w:sz="4"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716</w:t>
            </w:r>
          </w:p>
        </w:tc>
        <w:tc>
          <w:tcPr>
            <w:tcW w:w="771" w:type="dxa"/>
            <w:tcBorders>
              <w:top w:val="single" w:sz="4" w:space="0" w:color="auto"/>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835</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862</w:t>
            </w:r>
          </w:p>
        </w:tc>
        <w:tc>
          <w:tcPr>
            <w:tcW w:w="772" w:type="dxa"/>
            <w:tcBorders>
              <w:top w:val="single" w:sz="4" w:space="0" w:color="auto"/>
              <w:left w:val="nil"/>
              <w:bottom w:val="single" w:sz="4" w:space="0" w:color="auto"/>
              <w:right w:val="single" w:sz="8" w:space="0" w:color="auto"/>
            </w:tcBorders>
            <w:vAlign w:val="center"/>
          </w:tcPr>
          <w:p w:rsidR="00A40165" w:rsidRPr="00C859CD" w:rsidRDefault="003471B1">
            <w:pPr>
              <w:spacing w:after="0" w:line="240" w:lineRule="auto"/>
              <w:jc w:val="center"/>
              <w:rPr>
                <w:rFonts w:ascii="Times New Roman" w:hAnsi="Times New Roman" w:cs="Times New Roman"/>
                <w:sz w:val="20"/>
                <w:szCs w:val="20"/>
                <w:lang w:eastAsia="sk-SK"/>
              </w:rPr>
            </w:pPr>
            <w:r w:rsidRPr="00C859CD">
              <w:rPr>
                <w:rFonts w:ascii="Times New Roman" w:hAnsi="Times New Roman" w:cs="Times New Roman"/>
                <w:sz w:val="20"/>
                <w:szCs w:val="20"/>
                <w:lang w:eastAsia="sk-SK"/>
              </w:rPr>
              <w:t>1 116</w:t>
            </w:r>
          </w:p>
        </w:tc>
      </w:tr>
      <w:tr w:rsidR="00A40165" w:rsidRPr="00E77046">
        <w:trPr>
          <w:cantSplit/>
          <w:trHeight w:val="255"/>
          <w:jc w:val="center"/>
        </w:trPr>
        <w:tc>
          <w:tcPr>
            <w:tcW w:w="1418" w:type="dxa"/>
            <w:vMerge/>
            <w:tcBorders>
              <w:top w:val="nil"/>
              <w:left w:val="single" w:sz="4" w:space="0" w:color="auto"/>
              <w:bottom w:val="nil"/>
              <w:right w:val="single" w:sz="4"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873" w:type="dxa"/>
            <w:vMerge w:val="restart"/>
            <w:tcBorders>
              <w:top w:val="single" w:sz="4" w:space="0" w:color="auto"/>
              <w:left w:val="single" w:sz="4" w:space="0" w:color="auto"/>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uzavreté</w:t>
            </w: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49</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62</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67</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50</w:t>
            </w:r>
          </w:p>
        </w:tc>
        <w:tc>
          <w:tcPr>
            <w:tcW w:w="771" w:type="dxa"/>
            <w:tcBorders>
              <w:top w:val="nil"/>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52</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80</w:t>
            </w:r>
          </w:p>
        </w:tc>
        <w:tc>
          <w:tcPr>
            <w:tcW w:w="772" w:type="dxa"/>
            <w:tcBorders>
              <w:top w:val="single" w:sz="4" w:space="0" w:color="auto"/>
              <w:left w:val="nil"/>
              <w:bottom w:val="single" w:sz="4" w:space="0" w:color="auto"/>
              <w:right w:val="single" w:sz="8" w:space="0" w:color="auto"/>
            </w:tcBorders>
            <w:vAlign w:val="center"/>
          </w:tcPr>
          <w:p w:rsidR="00A40165" w:rsidRPr="00C859CD" w:rsidRDefault="003471B1">
            <w:pPr>
              <w:spacing w:after="0" w:line="240" w:lineRule="auto"/>
              <w:jc w:val="center"/>
              <w:rPr>
                <w:rFonts w:ascii="Times New Roman" w:hAnsi="Times New Roman" w:cs="Times New Roman"/>
                <w:sz w:val="20"/>
                <w:szCs w:val="20"/>
                <w:lang w:eastAsia="sk-SK"/>
              </w:rPr>
            </w:pPr>
            <w:r w:rsidRPr="00C859CD">
              <w:rPr>
                <w:rFonts w:ascii="Times New Roman" w:hAnsi="Times New Roman" w:cs="Times New Roman"/>
                <w:sz w:val="20"/>
                <w:szCs w:val="20"/>
                <w:lang w:eastAsia="sk-SK"/>
              </w:rPr>
              <w:t>79</w:t>
            </w:r>
          </w:p>
        </w:tc>
      </w:tr>
      <w:tr w:rsidR="00A40165" w:rsidRPr="00E77046">
        <w:trPr>
          <w:cantSplit/>
          <w:trHeight w:val="255"/>
          <w:jc w:val="center"/>
        </w:trPr>
        <w:tc>
          <w:tcPr>
            <w:tcW w:w="1418" w:type="dxa"/>
            <w:vMerge/>
            <w:tcBorders>
              <w:top w:val="nil"/>
              <w:left w:val="single" w:sz="4" w:space="0" w:color="auto"/>
              <w:bottom w:val="single" w:sz="4" w:space="0" w:color="auto"/>
              <w:right w:val="single" w:sz="4"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873" w:type="dxa"/>
            <w:vMerge/>
            <w:tcBorders>
              <w:top w:val="nil"/>
              <w:left w:val="single" w:sz="4"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674</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626</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630</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688</w:t>
            </w:r>
          </w:p>
        </w:tc>
        <w:tc>
          <w:tcPr>
            <w:tcW w:w="771" w:type="dxa"/>
            <w:tcBorders>
              <w:top w:val="nil"/>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689</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716</w:t>
            </w:r>
          </w:p>
        </w:tc>
        <w:tc>
          <w:tcPr>
            <w:tcW w:w="772" w:type="dxa"/>
            <w:tcBorders>
              <w:top w:val="single" w:sz="4" w:space="0" w:color="auto"/>
              <w:left w:val="nil"/>
              <w:bottom w:val="single" w:sz="4" w:space="0" w:color="auto"/>
              <w:right w:val="single" w:sz="8" w:space="0" w:color="auto"/>
            </w:tcBorders>
            <w:vAlign w:val="center"/>
          </w:tcPr>
          <w:p w:rsidR="00A40165" w:rsidRPr="00C859CD" w:rsidRDefault="003471B1">
            <w:pPr>
              <w:spacing w:after="0" w:line="240" w:lineRule="auto"/>
              <w:jc w:val="center"/>
              <w:rPr>
                <w:rFonts w:ascii="Times New Roman" w:hAnsi="Times New Roman" w:cs="Times New Roman"/>
                <w:sz w:val="20"/>
                <w:szCs w:val="20"/>
                <w:lang w:eastAsia="sk-SK"/>
              </w:rPr>
            </w:pPr>
            <w:r w:rsidRPr="00C859CD">
              <w:rPr>
                <w:rFonts w:ascii="Times New Roman" w:hAnsi="Times New Roman" w:cs="Times New Roman"/>
                <w:sz w:val="20"/>
                <w:szCs w:val="20"/>
                <w:lang w:eastAsia="sk-SK"/>
              </w:rPr>
              <w:t>966</w:t>
            </w:r>
          </w:p>
        </w:tc>
      </w:tr>
      <w:tr w:rsidR="00A40165" w:rsidRPr="00E77046">
        <w:trPr>
          <w:cantSplit/>
          <w:trHeight w:val="255"/>
          <w:jc w:val="center"/>
        </w:trPr>
        <w:tc>
          <w:tcPr>
            <w:tcW w:w="1418" w:type="dxa"/>
            <w:vMerge w:val="restart"/>
            <w:tcBorders>
              <w:top w:val="single" w:sz="12" w:space="0" w:color="auto"/>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S p o l u</w:t>
            </w:r>
          </w:p>
        </w:tc>
        <w:tc>
          <w:tcPr>
            <w:tcW w:w="873" w:type="dxa"/>
            <w:vMerge w:val="restart"/>
            <w:tcBorders>
              <w:top w:val="single" w:sz="12" w:space="0" w:color="auto"/>
              <w:left w:val="single" w:sz="8" w:space="0" w:color="auto"/>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zaslané</w:t>
            </w:r>
          </w:p>
        </w:tc>
        <w:tc>
          <w:tcPr>
            <w:tcW w:w="720"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počet</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8 852</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8 707</w:t>
            </w:r>
          </w:p>
        </w:tc>
        <w:tc>
          <w:tcPr>
            <w:tcW w:w="877"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9 558</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9 940</w:t>
            </w:r>
          </w:p>
        </w:tc>
        <w:tc>
          <w:tcPr>
            <w:tcW w:w="771" w:type="dxa"/>
            <w:tcBorders>
              <w:top w:val="single" w:sz="12" w:space="0" w:color="auto"/>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9 481</w:t>
            </w:r>
          </w:p>
        </w:tc>
        <w:tc>
          <w:tcPr>
            <w:tcW w:w="771" w:type="dxa"/>
            <w:tcBorders>
              <w:top w:val="single" w:sz="12"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3 788</w:t>
            </w:r>
          </w:p>
        </w:tc>
        <w:tc>
          <w:tcPr>
            <w:tcW w:w="772" w:type="dxa"/>
            <w:tcBorders>
              <w:top w:val="single" w:sz="12" w:space="0" w:color="auto"/>
              <w:left w:val="nil"/>
              <w:bottom w:val="single" w:sz="4" w:space="0" w:color="auto"/>
              <w:right w:val="single" w:sz="8" w:space="0" w:color="auto"/>
            </w:tcBorders>
            <w:vAlign w:val="center"/>
          </w:tcPr>
          <w:p w:rsidR="00A40165" w:rsidRPr="00C859CD" w:rsidRDefault="00E133F5" w:rsidP="00F43E77">
            <w:pPr>
              <w:spacing w:after="0" w:line="240" w:lineRule="auto"/>
              <w:jc w:val="center"/>
              <w:rPr>
                <w:rFonts w:ascii="Times New Roman" w:hAnsi="Times New Roman" w:cs="Times New Roman"/>
                <w:b/>
                <w:bCs/>
                <w:sz w:val="20"/>
                <w:szCs w:val="20"/>
                <w:lang w:eastAsia="sk-SK"/>
              </w:rPr>
            </w:pPr>
            <w:r w:rsidRPr="00C859CD">
              <w:rPr>
                <w:rFonts w:ascii="Times New Roman" w:hAnsi="Times New Roman" w:cs="Times New Roman"/>
                <w:b/>
                <w:bCs/>
                <w:sz w:val="20"/>
                <w:szCs w:val="20"/>
                <w:lang w:eastAsia="sk-SK"/>
              </w:rPr>
              <w:t xml:space="preserve">4 </w:t>
            </w:r>
            <w:r w:rsidR="00F43E77" w:rsidRPr="00C859CD">
              <w:rPr>
                <w:rFonts w:ascii="Times New Roman" w:hAnsi="Times New Roman" w:cs="Times New Roman"/>
                <w:b/>
                <w:bCs/>
                <w:sz w:val="20"/>
                <w:szCs w:val="20"/>
                <w:lang w:eastAsia="sk-SK"/>
              </w:rPr>
              <w:t>632</w:t>
            </w:r>
          </w:p>
        </w:tc>
      </w:tr>
      <w:tr w:rsidR="00A40165" w:rsidRPr="00E77046">
        <w:trPr>
          <w:cantSplit/>
          <w:trHeight w:val="255"/>
          <w:jc w:val="center"/>
        </w:trPr>
        <w:tc>
          <w:tcPr>
            <w:tcW w:w="1418"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4"/>
                <w:szCs w:val="24"/>
                <w:lang w:eastAsia="sk-SK"/>
              </w:rPr>
            </w:pPr>
          </w:p>
        </w:tc>
        <w:tc>
          <w:tcPr>
            <w:tcW w:w="873"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ha</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17 873</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16 852</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15 143</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14 493</w:t>
            </w:r>
          </w:p>
        </w:tc>
        <w:tc>
          <w:tcPr>
            <w:tcW w:w="771" w:type="dxa"/>
            <w:tcBorders>
              <w:top w:val="nil"/>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14 245</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6 928</w:t>
            </w:r>
          </w:p>
        </w:tc>
        <w:tc>
          <w:tcPr>
            <w:tcW w:w="772" w:type="dxa"/>
            <w:tcBorders>
              <w:top w:val="single" w:sz="4" w:space="0" w:color="auto"/>
              <w:left w:val="nil"/>
              <w:bottom w:val="single" w:sz="4" w:space="0" w:color="auto"/>
              <w:right w:val="single" w:sz="8" w:space="0" w:color="auto"/>
            </w:tcBorders>
            <w:vAlign w:val="center"/>
          </w:tcPr>
          <w:p w:rsidR="00A40165" w:rsidRPr="00C859CD" w:rsidRDefault="00F43E77">
            <w:pPr>
              <w:spacing w:after="0" w:line="240" w:lineRule="auto"/>
              <w:jc w:val="center"/>
              <w:rPr>
                <w:rFonts w:ascii="Times New Roman" w:hAnsi="Times New Roman" w:cs="Times New Roman"/>
                <w:b/>
                <w:bCs/>
                <w:sz w:val="20"/>
                <w:szCs w:val="20"/>
                <w:lang w:eastAsia="sk-SK"/>
              </w:rPr>
            </w:pPr>
            <w:r w:rsidRPr="00C859CD">
              <w:rPr>
                <w:rFonts w:ascii="Times New Roman" w:hAnsi="Times New Roman" w:cs="Times New Roman"/>
                <w:b/>
                <w:bCs/>
                <w:sz w:val="20"/>
                <w:szCs w:val="20"/>
                <w:lang w:eastAsia="sk-SK"/>
              </w:rPr>
              <w:t>4 794</w:t>
            </w:r>
          </w:p>
        </w:tc>
      </w:tr>
      <w:tr w:rsidR="00A40165" w:rsidRPr="00E77046">
        <w:trPr>
          <w:cantSplit/>
          <w:trHeight w:val="255"/>
          <w:jc w:val="center"/>
        </w:trPr>
        <w:tc>
          <w:tcPr>
            <w:tcW w:w="1418"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4"/>
                <w:szCs w:val="24"/>
                <w:lang w:eastAsia="sk-SK"/>
              </w:rPr>
            </w:pPr>
          </w:p>
        </w:tc>
        <w:tc>
          <w:tcPr>
            <w:tcW w:w="873" w:type="dxa"/>
            <w:vMerge w:val="restart"/>
            <w:tcBorders>
              <w:top w:val="nil"/>
              <w:left w:val="single" w:sz="8" w:space="0" w:color="auto"/>
              <w:bottom w:val="single" w:sz="8" w:space="0" w:color="000000"/>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uzavreté</w:t>
            </w: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počet</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6 874</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6 627</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7 353</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7 518</w:t>
            </w:r>
          </w:p>
        </w:tc>
        <w:tc>
          <w:tcPr>
            <w:tcW w:w="771" w:type="dxa"/>
            <w:tcBorders>
              <w:top w:val="nil"/>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6 726</w:t>
            </w:r>
          </w:p>
        </w:tc>
        <w:tc>
          <w:tcPr>
            <w:tcW w:w="771" w:type="dxa"/>
            <w:tcBorders>
              <w:top w:val="single" w:sz="4" w:space="0" w:color="auto"/>
              <w:left w:val="nil"/>
              <w:bottom w:val="single" w:sz="4"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3 071</w:t>
            </w:r>
          </w:p>
        </w:tc>
        <w:tc>
          <w:tcPr>
            <w:tcW w:w="772" w:type="dxa"/>
            <w:tcBorders>
              <w:top w:val="single" w:sz="4" w:space="0" w:color="auto"/>
              <w:left w:val="nil"/>
              <w:bottom w:val="single" w:sz="4" w:space="0" w:color="auto"/>
              <w:right w:val="single" w:sz="8" w:space="0" w:color="auto"/>
            </w:tcBorders>
            <w:vAlign w:val="center"/>
          </w:tcPr>
          <w:p w:rsidR="00A40165" w:rsidRPr="00C859CD" w:rsidRDefault="00F43E77">
            <w:pPr>
              <w:spacing w:after="0" w:line="240" w:lineRule="auto"/>
              <w:jc w:val="center"/>
              <w:rPr>
                <w:rFonts w:ascii="Times New Roman" w:hAnsi="Times New Roman" w:cs="Times New Roman"/>
                <w:b/>
                <w:bCs/>
                <w:sz w:val="20"/>
                <w:szCs w:val="20"/>
                <w:lang w:eastAsia="sk-SK"/>
              </w:rPr>
            </w:pPr>
            <w:r w:rsidRPr="00C859CD">
              <w:rPr>
                <w:rFonts w:ascii="Times New Roman" w:hAnsi="Times New Roman" w:cs="Times New Roman"/>
                <w:b/>
                <w:bCs/>
                <w:sz w:val="20"/>
                <w:szCs w:val="20"/>
                <w:lang w:eastAsia="sk-SK"/>
              </w:rPr>
              <w:t>2 976</w:t>
            </w:r>
          </w:p>
        </w:tc>
      </w:tr>
      <w:tr w:rsidR="00A40165" w:rsidRPr="00E77046">
        <w:trPr>
          <w:cantSplit/>
          <w:trHeight w:val="255"/>
          <w:jc w:val="center"/>
        </w:trPr>
        <w:tc>
          <w:tcPr>
            <w:tcW w:w="1418"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4"/>
                <w:szCs w:val="24"/>
                <w:lang w:eastAsia="sk-SK"/>
              </w:rPr>
            </w:pPr>
          </w:p>
        </w:tc>
        <w:tc>
          <w:tcPr>
            <w:tcW w:w="873" w:type="dxa"/>
            <w:vMerge/>
            <w:tcBorders>
              <w:top w:val="nil"/>
              <w:left w:val="single" w:sz="8" w:space="0" w:color="auto"/>
              <w:bottom w:val="single" w:sz="8"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p>
        </w:tc>
        <w:tc>
          <w:tcPr>
            <w:tcW w:w="720"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ha</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16 737</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15 694</w:t>
            </w:r>
          </w:p>
        </w:tc>
        <w:tc>
          <w:tcPr>
            <w:tcW w:w="87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13 912,4</w:t>
            </w:r>
          </w:p>
        </w:tc>
        <w:tc>
          <w:tcPr>
            <w:tcW w:w="851"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14 712</w:t>
            </w:r>
          </w:p>
        </w:tc>
        <w:tc>
          <w:tcPr>
            <w:tcW w:w="771" w:type="dxa"/>
            <w:tcBorders>
              <w:top w:val="nil"/>
              <w:left w:val="nil"/>
              <w:bottom w:val="single" w:sz="8" w:space="0" w:color="auto"/>
              <w:right w:val="single" w:sz="8" w:space="0" w:color="auto"/>
            </w:tcBorders>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10 197</w:t>
            </w:r>
          </w:p>
        </w:tc>
        <w:tc>
          <w:tcPr>
            <w:tcW w:w="771" w:type="dxa"/>
            <w:tcBorders>
              <w:top w:val="single" w:sz="4" w:space="0" w:color="auto"/>
              <w:left w:val="nil"/>
              <w:bottom w:val="single" w:sz="8" w:space="0" w:color="auto"/>
              <w:right w:val="single" w:sz="8" w:space="0" w:color="auto"/>
            </w:tcBorders>
            <w:vAlign w:val="bottom"/>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6 148</w:t>
            </w:r>
          </w:p>
        </w:tc>
        <w:tc>
          <w:tcPr>
            <w:tcW w:w="772" w:type="dxa"/>
            <w:tcBorders>
              <w:top w:val="single" w:sz="4" w:space="0" w:color="auto"/>
              <w:left w:val="nil"/>
              <w:bottom w:val="single" w:sz="8" w:space="0" w:color="auto"/>
              <w:right w:val="single" w:sz="8" w:space="0" w:color="auto"/>
            </w:tcBorders>
            <w:vAlign w:val="center"/>
          </w:tcPr>
          <w:p w:rsidR="00A40165" w:rsidRPr="00C859CD" w:rsidRDefault="004F262D" w:rsidP="004F262D">
            <w:pPr>
              <w:spacing w:after="0" w:line="240" w:lineRule="auto"/>
              <w:jc w:val="center"/>
              <w:rPr>
                <w:rFonts w:ascii="Times New Roman" w:hAnsi="Times New Roman" w:cs="Times New Roman"/>
                <w:b/>
                <w:bCs/>
                <w:sz w:val="20"/>
                <w:szCs w:val="20"/>
                <w:lang w:eastAsia="sk-SK"/>
              </w:rPr>
            </w:pPr>
            <w:r w:rsidRPr="00C859CD">
              <w:rPr>
                <w:rFonts w:ascii="Times New Roman" w:hAnsi="Times New Roman" w:cs="Times New Roman"/>
                <w:b/>
                <w:bCs/>
                <w:sz w:val="20"/>
                <w:szCs w:val="20"/>
                <w:lang w:eastAsia="sk-SK"/>
              </w:rPr>
              <w:t>4</w:t>
            </w:r>
            <w:r w:rsidR="00E133F5" w:rsidRPr="00C859CD">
              <w:rPr>
                <w:rFonts w:ascii="Times New Roman" w:hAnsi="Times New Roman" w:cs="Times New Roman"/>
                <w:b/>
                <w:bCs/>
                <w:sz w:val="20"/>
                <w:szCs w:val="20"/>
                <w:lang w:eastAsia="sk-SK"/>
              </w:rPr>
              <w:t xml:space="preserve"> </w:t>
            </w:r>
            <w:r w:rsidRPr="00C859CD">
              <w:rPr>
                <w:rFonts w:ascii="Times New Roman" w:hAnsi="Times New Roman" w:cs="Times New Roman"/>
                <w:b/>
                <w:bCs/>
                <w:sz w:val="20"/>
                <w:szCs w:val="20"/>
                <w:lang w:eastAsia="sk-SK"/>
              </w:rPr>
              <w:t>049</w:t>
            </w:r>
          </w:p>
        </w:tc>
      </w:tr>
    </w:tbl>
    <w:p w:rsidR="00A40165" w:rsidRDefault="00A40165">
      <w:pPr>
        <w:pStyle w:val="Odsekzoznamu"/>
        <w:spacing w:after="0" w:line="240" w:lineRule="auto"/>
        <w:ind w:left="0" w:firstLine="709"/>
        <w:jc w:val="both"/>
        <w:rPr>
          <w:rFonts w:ascii="Times New Roman" w:hAnsi="Times New Roman" w:cs="Times New Roman"/>
          <w:sz w:val="24"/>
          <w:szCs w:val="24"/>
          <w:lang w:eastAsia="sk-SK"/>
        </w:rPr>
      </w:pPr>
    </w:p>
    <w:p w:rsidR="00A40165" w:rsidRDefault="00A40165">
      <w:pPr>
        <w:pStyle w:val="Odsekzoznamu"/>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prípade, že známi vlastníci odmietajú uzavrieť predložené nájomné zmluvy, niektoré ŠOLH v súlade s platnými právnymi predpismi pristupujú k odovzdaniu lesných pozemkov, resp. im doručia výpoveď z nájmu k 1. októbru bežného roka, podľa § 22 ods. 2 zákona č. 229/1991 Zb. </w:t>
      </w:r>
    </w:p>
    <w:p w:rsidR="00A40165" w:rsidRDefault="00A40165">
      <w:pPr>
        <w:spacing w:after="0" w:line="240" w:lineRule="auto"/>
        <w:jc w:val="both"/>
        <w:rPr>
          <w:rFonts w:ascii="Times New Roman" w:hAnsi="Times New Roman" w:cs="Times New Roman"/>
          <w:b/>
          <w:bCs/>
          <w:sz w:val="24"/>
          <w:szCs w:val="24"/>
          <w:lang w:eastAsia="sk-SK"/>
        </w:rPr>
      </w:pPr>
    </w:p>
    <w:p w:rsidR="00A40165" w:rsidRDefault="00A40165">
      <w:pPr>
        <w:spacing w:after="0" w:line="240" w:lineRule="auto"/>
        <w:jc w:val="both"/>
        <w:rPr>
          <w:rFonts w:ascii="Times New Roman" w:hAnsi="Times New Roman" w:cs="Times New Roman"/>
          <w:b/>
          <w:bCs/>
          <w:sz w:val="24"/>
          <w:szCs w:val="24"/>
          <w:lang w:eastAsia="sk-SK"/>
        </w:rPr>
      </w:pPr>
      <w:bookmarkStart w:id="1" w:name="_GoBack"/>
      <w:bookmarkEnd w:id="1"/>
    </w:p>
    <w:p w:rsidR="00A40165" w:rsidRDefault="00A40165">
      <w:pPr>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5.  Záver </w:t>
      </w:r>
    </w:p>
    <w:p w:rsidR="00A40165" w:rsidRDefault="00A40165">
      <w:pPr>
        <w:spacing w:after="0" w:line="240" w:lineRule="auto"/>
        <w:jc w:val="both"/>
        <w:rPr>
          <w:rFonts w:ascii="Times New Roman" w:hAnsi="Times New Roman" w:cs="Times New Roman"/>
          <w:b/>
          <w:bCs/>
          <w:sz w:val="24"/>
          <w:szCs w:val="24"/>
          <w:lang w:eastAsia="sk-SK"/>
        </w:rPr>
      </w:pPr>
    </w:p>
    <w:p w:rsidR="00A40165" w:rsidRPr="00902526" w:rsidRDefault="00A40165">
      <w:pPr>
        <w:spacing w:after="0" w:line="240" w:lineRule="auto"/>
        <w:ind w:firstLine="708"/>
        <w:jc w:val="both"/>
        <w:rPr>
          <w:rFonts w:ascii="Times New Roman" w:hAnsi="Times New Roman" w:cs="Times New Roman"/>
          <w:sz w:val="24"/>
          <w:szCs w:val="24"/>
          <w:lang w:eastAsia="sk-SK"/>
        </w:rPr>
      </w:pPr>
      <w:r w:rsidRPr="00902526">
        <w:rPr>
          <w:rFonts w:ascii="Times New Roman" w:hAnsi="Times New Roman" w:cs="Times New Roman"/>
          <w:sz w:val="24"/>
          <w:szCs w:val="24"/>
          <w:lang w:eastAsia="sk-SK"/>
        </w:rPr>
        <w:t xml:space="preserve">Zo správy vyplýva, že </w:t>
      </w:r>
      <w:r w:rsidR="00E133F5" w:rsidRPr="00902526">
        <w:rPr>
          <w:rFonts w:ascii="Times New Roman" w:hAnsi="Times New Roman" w:cs="Times New Roman"/>
          <w:sz w:val="24"/>
          <w:szCs w:val="24"/>
          <w:lang w:eastAsia="sk-SK"/>
        </w:rPr>
        <w:t xml:space="preserve">od účinnosti reštitučných zákonov k 31.12.2014 </w:t>
      </w:r>
      <w:r w:rsidRPr="00902526">
        <w:rPr>
          <w:rFonts w:ascii="Times New Roman" w:hAnsi="Times New Roman" w:cs="Times New Roman"/>
          <w:sz w:val="24"/>
          <w:szCs w:val="24"/>
          <w:lang w:eastAsia="sk-SK"/>
        </w:rPr>
        <w:t>ostáva nevybavených 3</w:t>
      </w:r>
      <w:r w:rsidR="00E133F5" w:rsidRPr="00902526">
        <w:rPr>
          <w:rFonts w:ascii="Times New Roman" w:hAnsi="Times New Roman" w:cs="Times New Roman"/>
          <w:sz w:val="24"/>
          <w:szCs w:val="24"/>
          <w:lang w:eastAsia="sk-SK"/>
        </w:rPr>
        <w:t>4</w:t>
      </w:r>
      <w:r w:rsidRPr="00902526">
        <w:rPr>
          <w:rFonts w:ascii="Times New Roman" w:hAnsi="Times New Roman" w:cs="Times New Roman"/>
          <w:sz w:val="24"/>
          <w:szCs w:val="24"/>
          <w:lang w:eastAsia="sk-SK"/>
        </w:rPr>
        <w:t xml:space="preserve"> </w:t>
      </w:r>
      <w:r w:rsidR="00E133F5" w:rsidRPr="00902526">
        <w:rPr>
          <w:rFonts w:ascii="Times New Roman" w:hAnsi="Times New Roman" w:cs="Times New Roman"/>
          <w:sz w:val="24"/>
          <w:szCs w:val="24"/>
          <w:lang w:eastAsia="sk-SK"/>
        </w:rPr>
        <w:t>173</w:t>
      </w:r>
      <w:r w:rsidRPr="00902526">
        <w:rPr>
          <w:rFonts w:ascii="Times New Roman" w:hAnsi="Times New Roman" w:cs="Times New Roman"/>
          <w:sz w:val="24"/>
          <w:szCs w:val="24"/>
          <w:lang w:eastAsia="sk-SK"/>
        </w:rPr>
        <w:t xml:space="preserve"> žiadostí, čo predstavuje 34,</w:t>
      </w:r>
      <w:r w:rsidR="00E133F5" w:rsidRPr="00902526">
        <w:rPr>
          <w:rFonts w:ascii="Times New Roman" w:hAnsi="Times New Roman" w:cs="Times New Roman"/>
          <w:sz w:val="24"/>
          <w:szCs w:val="24"/>
          <w:lang w:eastAsia="sk-SK"/>
        </w:rPr>
        <w:t>0</w:t>
      </w:r>
      <w:r w:rsidRPr="00902526">
        <w:rPr>
          <w:rFonts w:ascii="Times New Roman" w:hAnsi="Times New Roman" w:cs="Times New Roman"/>
          <w:sz w:val="24"/>
          <w:szCs w:val="24"/>
          <w:lang w:eastAsia="sk-SK"/>
        </w:rPr>
        <w:t>6 % z celkového počtu prijatých žiadostí s požadovanou výmerou 7</w:t>
      </w:r>
      <w:r w:rsidR="007E7E57" w:rsidRPr="00902526">
        <w:rPr>
          <w:rFonts w:ascii="Times New Roman" w:hAnsi="Times New Roman" w:cs="Times New Roman"/>
          <w:sz w:val="24"/>
          <w:szCs w:val="24"/>
          <w:lang w:eastAsia="sk-SK"/>
        </w:rPr>
        <w:t>2</w:t>
      </w:r>
      <w:r w:rsidRPr="00902526">
        <w:rPr>
          <w:rFonts w:ascii="Times New Roman" w:hAnsi="Times New Roman" w:cs="Times New Roman"/>
          <w:sz w:val="24"/>
          <w:szCs w:val="24"/>
          <w:lang w:eastAsia="sk-SK"/>
        </w:rPr>
        <w:t xml:space="preserve"> </w:t>
      </w:r>
      <w:r w:rsidR="007E7E57" w:rsidRPr="00902526">
        <w:rPr>
          <w:rFonts w:ascii="Times New Roman" w:hAnsi="Times New Roman" w:cs="Times New Roman"/>
          <w:sz w:val="24"/>
          <w:szCs w:val="24"/>
          <w:lang w:eastAsia="sk-SK"/>
        </w:rPr>
        <w:t>676</w:t>
      </w:r>
      <w:r w:rsidRPr="00902526">
        <w:rPr>
          <w:rFonts w:ascii="Times New Roman" w:hAnsi="Times New Roman" w:cs="Times New Roman"/>
          <w:sz w:val="24"/>
          <w:szCs w:val="24"/>
          <w:lang w:eastAsia="sk-SK"/>
        </w:rPr>
        <w:t xml:space="preserve"> ha, čo tvorí </w:t>
      </w:r>
      <w:r w:rsidR="00C42907" w:rsidRPr="00902526">
        <w:rPr>
          <w:rFonts w:ascii="Times New Roman" w:hAnsi="Times New Roman" w:cs="Times New Roman"/>
          <w:sz w:val="24"/>
          <w:szCs w:val="24"/>
          <w:lang w:eastAsia="sk-SK"/>
        </w:rPr>
        <w:t>6</w:t>
      </w:r>
      <w:r w:rsidRPr="00902526">
        <w:rPr>
          <w:rFonts w:ascii="Times New Roman" w:hAnsi="Times New Roman" w:cs="Times New Roman"/>
          <w:sz w:val="24"/>
          <w:szCs w:val="24"/>
          <w:lang w:eastAsia="sk-SK"/>
        </w:rPr>
        <w:t>,</w:t>
      </w:r>
      <w:r w:rsidR="00C42907" w:rsidRPr="00902526">
        <w:rPr>
          <w:rFonts w:ascii="Times New Roman" w:hAnsi="Times New Roman" w:cs="Times New Roman"/>
          <w:sz w:val="24"/>
          <w:szCs w:val="24"/>
          <w:lang w:eastAsia="sk-SK"/>
        </w:rPr>
        <w:t xml:space="preserve">95 </w:t>
      </w:r>
      <w:r w:rsidRPr="00902526">
        <w:rPr>
          <w:rFonts w:ascii="Times New Roman" w:hAnsi="Times New Roman" w:cs="Times New Roman"/>
          <w:sz w:val="24"/>
          <w:szCs w:val="24"/>
          <w:lang w:eastAsia="sk-SK"/>
        </w:rPr>
        <w:t xml:space="preserve">% z požadovanej výmery. </w:t>
      </w:r>
    </w:p>
    <w:p w:rsidR="00A40165" w:rsidRPr="00902526" w:rsidRDefault="00A40165">
      <w:pPr>
        <w:spacing w:after="0" w:line="240" w:lineRule="auto"/>
        <w:ind w:firstLine="708"/>
        <w:jc w:val="both"/>
        <w:rPr>
          <w:rFonts w:ascii="Times New Roman" w:hAnsi="Times New Roman" w:cs="Times New Roman"/>
          <w:sz w:val="12"/>
          <w:szCs w:val="12"/>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sidRPr="00902526">
        <w:rPr>
          <w:rFonts w:ascii="Times New Roman" w:hAnsi="Times New Roman" w:cs="Times New Roman"/>
          <w:sz w:val="24"/>
          <w:szCs w:val="24"/>
          <w:lang w:eastAsia="sk-SK"/>
        </w:rPr>
        <w:t xml:space="preserve">Medzi nevybavené žiadosti sú započítané aj tie žiadosti vlastníkov, s ktorými ŠOLH upravili nájomný vzťah ustanovený zákonom č. 229/1991 Zb. </w:t>
      </w:r>
      <w:r w:rsidR="00B30442" w:rsidRPr="00902526">
        <w:rPr>
          <w:rFonts w:ascii="Times New Roman" w:hAnsi="Times New Roman" w:cs="Times New Roman"/>
          <w:sz w:val="24"/>
          <w:szCs w:val="24"/>
          <w:lang w:eastAsia="sk-SK"/>
        </w:rPr>
        <w:t xml:space="preserve">a zákonom </w:t>
      </w:r>
      <w:r w:rsidRPr="00902526">
        <w:rPr>
          <w:rFonts w:ascii="Times New Roman" w:hAnsi="Times New Roman" w:cs="Times New Roman"/>
          <w:sz w:val="24"/>
          <w:szCs w:val="24"/>
          <w:lang w:eastAsia="sk-SK"/>
        </w:rPr>
        <w:t>č. 504/2003 Z. z. Tieto pozemky je však naďalej potrebné odovzdať vlastníkom do užívania</w:t>
      </w:r>
      <w:r>
        <w:rPr>
          <w:rFonts w:ascii="Times New Roman" w:hAnsi="Times New Roman" w:cs="Times New Roman"/>
          <w:sz w:val="24"/>
          <w:szCs w:val="24"/>
          <w:lang w:eastAsia="sk-SK"/>
        </w:rPr>
        <w:t>.</w:t>
      </w:r>
    </w:p>
    <w:p w:rsidR="00A40165" w:rsidRDefault="00A40165">
      <w:pPr>
        <w:spacing w:after="0" w:line="240" w:lineRule="auto"/>
        <w:ind w:firstLine="708"/>
        <w:jc w:val="both"/>
        <w:rPr>
          <w:rFonts w:ascii="Times New Roman" w:hAnsi="Times New Roman" w:cs="Times New Roman"/>
          <w:sz w:val="12"/>
          <w:szCs w:val="12"/>
          <w:lang w:eastAsia="sk-SK"/>
        </w:rPr>
      </w:pPr>
    </w:p>
    <w:p w:rsidR="00D9220B" w:rsidRDefault="00D9220B">
      <w:pPr>
        <w:spacing w:after="0" w:line="240" w:lineRule="auto"/>
        <w:ind w:firstLine="360"/>
        <w:jc w:val="both"/>
        <w:rPr>
          <w:rFonts w:ascii="Times New Roman" w:hAnsi="Times New Roman" w:cs="Times New Roman"/>
          <w:sz w:val="24"/>
          <w:szCs w:val="24"/>
          <w:lang w:eastAsia="sk-SK"/>
        </w:rPr>
      </w:pPr>
    </w:p>
    <w:p w:rsidR="00A40165" w:rsidRDefault="00A40165">
      <w:pPr>
        <w:spacing w:after="0" w:line="240" w:lineRule="auto"/>
        <w:ind w:firstLine="360"/>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Za sledované obdobie boli kladne vybavené hlavne žiadosti:</w:t>
      </w:r>
    </w:p>
    <w:p w:rsidR="00A40165" w:rsidRDefault="00A40165">
      <w:pPr>
        <w:numPr>
          <w:ilvl w:val="0"/>
          <w:numId w:val="1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kde neboli problémy s identifikáciou pozemkov, vo väčšine prípadov išlo o identický stav, ktorý si nevyžadoval geometrické zameranie</w:t>
      </w:r>
      <w:r w:rsidR="00450B95">
        <w:rPr>
          <w:rFonts w:ascii="Times New Roman" w:hAnsi="Times New Roman" w:cs="Times New Roman"/>
          <w:sz w:val="24"/>
          <w:szCs w:val="24"/>
          <w:lang w:eastAsia="sk-SK"/>
        </w:rPr>
        <w:t>,</w:t>
      </w:r>
    </w:p>
    <w:p w:rsidR="00A40165" w:rsidRDefault="00A40165">
      <w:pPr>
        <w:numPr>
          <w:ilvl w:val="0"/>
          <w:numId w:val="1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s vyššou výmerou, tvoriace ucelený vlastnícky komplex</w:t>
      </w:r>
      <w:r w:rsidR="00450B95">
        <w:rPr>
          <w:rFonts w:ascii="Times New Roman" w:hAnsi="Times New Roman" w:cs="Times New Roman"/>
          <w:sz w:val="24"/>
          <w:szCs w:val="24"/>
          <w:lang w:eastAsia="sk-SK"/>
        </w:rPr>
        <w:t>,</w:t>
      </w:r>
    </w:p>
    <w:p w:rsidR="00A40165" w:rsidRDefault="00A40165">
      <w:pPr>
        <w:numPr>
          <w:ilvl w:val="0"/>
          <w:numId w:val="12"/>
        </w:num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kde predmetom riešenia boli lesné pozemky s ekonomicky zaujímavými lesnými porastmi.</w:t>
      </w:r>
    </w:p>
    <w:p w:rsidR="00A40165" w:rsidRDefault="00A40165">
      <w:pPr>
        <w:pStyle w:val="Zarkazkladnhotextu2"/>
        <w:spacing w:before="0" w:after="0"/>
        <w:rPr>
          <w:rFonts w:ascii="Times New Roman" w:hAnsi="Times New Roman" w:cs="Times New Roman"/>
          <w:sz w:val="12"/>
          <w:szCs w:val="12"/>
        </w:rPr>
      </w:pPr>
    </w:p>
    <w:p w:rsidR="00A40165" w:rsidRDefault="00A40165" w:rsidP="00B30442">
      <w:pPr>
        <w:pStyle w:val="Zarkazkladnhotextu2"/>
        <w:spacing w:before="0" w:after="0"/>
        <w:rPr>
          <w:rFonts w:ascii="Times New Roman" w:hAnsi="Times New Roman" w:cs="Times New Roman"/>
          <w:sz w:val="12"/>
          <w:szCs w:val="12"/>
        </w:rPr>
      </w:pPr>
      <w:r>
        <w:rPr>
          <w:rFonts w:ascii="Times New Roman" w:hAnsi="Times New Roman" w:cs="Times New Roman"/>
        </w:rPr>
        <w:t>Podľa údajov ŠOLH najvyšší podiel nedoriešených žiadostí je spôsobený nezáujmom oprávnených osôb zdokladovať svoje žiadosti aj napriek tomu, že zo strany povinných osôb boli vyzývané na doplnenie žiadostí o relevantné doklady, ktoré by preukázali oprávnenosť žiadosti, ako je napr. doklad o vlastníctve, rozhodnutie o dedičskom konaní a podobne.</w:t>
      </w:r>
      <w:r>
        <w:rPr>
          <w:rFonts w:ascii="Times New Roman" w:hAnsi="Times New Roman" w:cs="Times New Roman"/>
        </w:rPr>
        <w:br/>
      </w:r>
    </w:p>
    <w:p w:rsidR="00A40165" w:rsidRDefault="00A40165">
      <w:pPr>
        <w:pStyle w:val="Zarkazkladnhotextu3"/>
        <w:ind w:firstLine="709"/>
        <w:rPr>
          <w:rFonts w:ascii="Times New Roman" w:hAnsi="Times New Roman" w:cs="Times New Roman"/>
        </w:rPr>
      </w:pPr>
      <w:r>
        <w:rPr>
          <w:rFonts w:ascii="Times New Roman" w:hAnsi="Times New Roman" w:cs="Times New Roman"/>
        </w:rPr>
        <w:t xml:space="preserve">Vysoké percento nevybavených žiadostí je aj z dôvodu, že vlastníci lesných pozemkov, ktorí požadujú odovzdanie majetku, majú menší podiel ako 50 % z výmery pozemku a tento nie je identický. Postup riešenia podielového spoluvlastníctva musí byť v súlade s § 139 </w:t>
      </w:r>
      <w:r w:rsidR="0086219C">
        <w:rPr>
          <w:rFonts w:ascii="Times New Roman" w:hAnsi="Times New Roman" w:cs="Times New Roman"/>
        </w:rPr>
        <w:t xml:space="preserve">ods. 2 </w:t>
      </w:r>
      <w:r>
        <w:rPr>
          <w:rFonts w:ascii="Times New Roman" w:hAnsi="Times New Roman" w:cs="Times New Roman"/>
        </w:rPr>
        <w:t>Občiansk</w:t>
      </w:r>
      <w:r w:rsidR="0086219C">
        <w:rPr>
          <w:rFonts w:ascii="Times New Roman" w:hAnsi="Times New Roman" w:cs="Times New Roman"/>
        </w:rPr>
        <w:t>eho</w:t>
      </w:r>
      <w:r>
        <w:rPr>
          <w:rFonts w:ascii="Times New Roman" w:hAnsi="Times New Roman" w:cs="Times New Roman"/>
        </w:rPr>
        <w:t xml:space="preserve"> zákonník</w:t>
      </w:r>
      <w:r w:rsidR="0086219C">
        <w:rPr>
          <w:rFonts w:ascii="Times New Roman" w:hAnsi="Times New Roman" w:cs="Times New Roman"/>
        </w:rPr>
        <w:t>a</w:t>
      </w:r>
      <w:r>
        <w:rPr>
          <w:rFonts w:ascii="Times New Roman" w:hAnsi="Times New Roman" w:cs="Times New Roman"/>
        </w:rPr>
        <w:t xml:space="preserve">. </w:t>
      </w:r>
    </w:p>
    <w:p w:rsidR="00A40165" w:rsidRDefault="00A40165">
      <w:pPr>
        <w:shd w:val="clear" w:color="auto" w:fill="FFFFFF"/>
        <w:spacing w:after="0" w:line="240" w:lineRule="auto"/>
        <w:ind w:firstLine="709"/>
        <w:jc w:val="both"/>
        <w:rPr>
          <w:rFonts w:ascii="Times New Roman" w:hAnsi="Times New Roman" w:cs="Times New Roman"/>
          <w:sz w:val="12"/>
          <w:szCs w:val="12"/>
          <w:lang w:eastAsia="sk-SK"/>
        </w:rPr>
      </w:pPr>
    </w:p>
    <w:p w:rsidR="00A40165" w:rsidRDefault="00A40165">
      <w:pPr>
        <w:shd w:val="clear" w:color="auto" w:fill="FFFFFF"/>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Problémy pri odovzdávaní lesných pozemkov vznikajú aj v tých prípadoch, keď odovzdávaný majetok nie je identický</w:t>
      </w:r>
      <w:r w:rsidR="0086219C">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so stavom evidovaným v katastri nehnuteľností, ktorý je záväzný pre konkrétny druh pozemku. Hranice pôvodných pozemkov nie sú v teréne jednoznačne identifikovateľné, čo je spôsobené historickým vývojom v období rokov 1948</w:t>
      </w:r>
      <w:r w:rsidR="0086219C">
        <w:rPr>
          <w:rFonts w:ascii="Times New Roman" w:hAnsi="Times New Roman" w:cs="Times New Roman"/>
          <w:sz w:val="24"/>
          <w:szCs w:val="24"/>
          <w:lang w:eastAsia="sk-SK"/>
        </w:rPr>
        <w:br/>
      </w:r>
      <w:r>
        <w:rPr>
          <w:rFonts w:ascii="Times New Roman" w:hAnsi="Times New Roman" w:cs="Times New Roman"/>
          <w:sz w:val="24"/>
          <w:szCs w:val="24"/>
          <w:lang w:eastAsia="sk-SK"/>
        </w:rPr>
        <w:t xml:space="preserve">až 1989, keď sa vytvárali lesohospodárske celky a neskôr jednotky plošného rozdelenia lesa s osobitným hospodárením na nich. Hranice pôvodných lesných pozemkov, ktoré rešpektovali vlastníctvo zanikali. Jednotky plošného rozdelenia lesa rešpektujú prirodzené hranice porastov (napríklad po lesných cestách, hrebeňoch alebo dolinách). </w:t>
      </w:r>
    </w:p>
    <w:p w:rsidR="00A40165" w:rsidRDefault="00A40165">
      <w:pPr>
        <w:shd w:val="clear" w:color="auto" w:fill="FFFFFF"/>
        <w:spacing w:after="0" w:line="240" w:lineRule="auto"/>
        <w:ind w:firstLine="709"/>
        <w:jc w:val="both"/>
        <w:rPr>
          <w:rFonts w:ascii="Times New Roman" w:hAnsi="Times New Roman" w:cs="Times New Roman"/>
          <w:sz w:val="12"/>
          <w:szCs w:val="12"/>
          <w:lang w:eastAsia="sk-SK"/>
        </w:rPr>
      </w:pPr>
    </w:p>
    <w:p w:rsidR="00A40165" w:rsidRDefault="00A40165">
      <w:pPr>
        <w:shd w:val="clear" w:color="auto" w:fill="FFFFFF"/>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Neidentický majetok je možné odovzdať vlastníkovi až po zosúladení </w:t>
      </w:r>
      <w:r w:rsidR="00833A82">
        <w:rPr>
          <w:rFonts w:ascii="Times New Roman" w:hAnsi="Times New Roman" w:cs="Times New Roman"/>
          <w:sz w:val="24"/>
          <w:szCs w:val="24"/>
          <w:lang w:eastAsia="sk-SK"/>
        </w:rPr>
        <w:t xml:space="preserve">hraníc </w:t>
      </w:r>
      <w:r>
        <w:rPr>
          <w:rFonts w:ascii="Times New Roman" w:hAnsi="Times New Roman" w:cs="Times New Roman"/>
          <w:sz w:val="24"/>
          <w:szCs w:val="24"/>
          <w:lang w:eastAsia="sk-SK"/>
        </w:rPr>
        <w:t xml:space="preserve"> v katastri nehnuteľností, t. j. po doložení geometrického plánu. Podľa § 21a zákona</w:t>
      </w:r>
      <w:r w:rsidR="00833A82">
        <w:rPr>
          <w:rFonts w:ascii="Times New Roman" w:hAnsi="Times New Roman" w:cs="Times New Roman"/>
          <w:sz w:val="24"/>
          <w:szCs w:val="24"/>
          <w:lang w:eastAsia="sk-SK"/>
        </w:rPr>
        <w:br/>
      </w:r>
      <w:r>
        <w:rPr>
          <w:rFonts w:ascii="Times New Roman" w:hAnsi="Times New Roman" w:cs="Times New Roman"/>
          <w:sz w:val="24"/>
          <w:szCs w:val="24"/>
          <w:lang w:eastAsia="sk-SK"/>
        </w:rPr>
        <w:t xml:space="preserve">č. 229/1991 Zb. náklady súvisiace so zameraním vlastníckych hraníc a ich vytýčením v teréne nesie štát. </w:t>
      </w:r>
      <w:r>
        <w:rPr>
          <w:rFonts w:ascii="Times New Roman" w:hAnsi="Times New Roman" w:cs="Times New Roman"/>
          <w:spacing w:val="-6"/>
          <w:sz w:val="24"/>
          <w:szCs w:val="24"/>
          <w:lang w:eastAsia="sk-SK"/>
        </w:rPr>
        <w:t>Zákonom č. 571/2007 Z</w:t>
      </w:r>
      <w:r>
        <w:rPr>
          <w:rFonts w:ascii="Times New Roman" w:hAnsi="Times New Roman" w:cs="Times New Roman"/>
          <w:sz w:val="24"/>
          <w:szCs w:val="24"/>
          <w:lang w:eastAsia="sk-SK"/>
        </w:rPr>
        <w:t>. z., ktorým sa mení a dopĺňa zákon Slovenskej národnej rady č. 330/1991 Zb. bolo však zrušené us</w:t>
      </w:r>
      <w:r>
        <w:rPr>
          <w:rFonts w:ascii="Times New Roman" w:hAnsi="Times New Roman" w:cs="Times New Roman"/>
          <w:spacing w:val="-6"/>
          <w:sz w:val="24"/>
          <w:szCs w:val="24"/>
          <w:lang w:eastAsia="sk-SK"/>
        </w:rPr>
        <w:t xml:space="preserve">tanovenie § 15, v rámci ktorého vytýčenie neidentických hraníc zabezpečoval štát prostredníctvom príslušných obvodných pozemkových úradov. </w:t>
      </w:r>
    </w:p>
    <w:p w:rsidR="00A40165" w:rsidRDefault="00A40165">
      <w:pPr>
        <w:spacing w:after="0" w:line="240" w:lineRule="auto"/>
        <w:ind w:firstLine="708"/>
        <w:jc w:val="both"/>
        <w:rPr>
          <w:rFonts w:ascii="Times New Roman" w:hAnsi="Times New Roman" w:cs="Times New Roman"/>
          <w:sz w:val="12"/>
          <w:szCs w:val="12"/>
          <w:lang w:eastAsia="sk-SK"/>
        </w:rPr>
      </w:pPr>
    </w:p>
    <w:p w:rsidR="00A40165" w:rsidRDefault="00A40165" w:rsidP="00002E19">
      <w:pPr>
        <w:pStyle w:val="Zarkazkladnhotextu3"/>
        <w:rPr>
          <w:rFonts w:ascii="Times New Roman" w:hAnsi="Times New Roman" w:cs="Times New Roman"/>
        </w:rPr>
      </w:pPr>
      <w:r>
        <w:rPr>
          <w:rFonts w:ascii="Times New Roman" w:hAnsi="Times New Roman" w:cs="Times New Roman"/>
        </w:rPr>
        <w:t>Dôvod</w:t>
      </w:r>
      <w:r w:rsidR="00002E19">
        <w:rPr>
          <w:rFonts w:ascii="Times New Roman" w:hAnsi="Times New Roman" w:cs="Times New Roman"/>
        </w:rPr>
        <w:t>om nevybavenia žiadostí je</w:t>
      </w:r>
      <w:r>
        <w:rPr>
          <w:rFonts w:ascii="Times New Roman" w:hAnsi="Times New Roman" w:cs="Times New Roman"/>
        </w:rPr>
        <w:t xml:space="preserve">, že vlastníci </w:t>
      </w:r>
      <w:r w:rsidR="00002E19">
        <w:rPr>
          <w:rFonts w:ascii="Times New Roman" w:hAnsi="Times New Roman" w:cs="Times New Roman"/>
        </w:rPr>
        <w:t xml:space="preserve">sa </w:t>
      </w:r>
      <w:r>
        <w:rPr>
          <w:rFonts w:ascii="Times New Roman" w:hAnsi="Times New Roman" w:cs="Times New Roman"/>
        </w:rPr>
        <w:t>nezdružili s cieľom odovzdania lesných pozemkov v ucelen</w:t>
      </w:r>
      <w:r w:rsidR="00002E19">
        <w:rPr>
          <w:rFonts w:ascii="Times New Roman" w:hAnsi="Times New Roman" w:cs="Times New Roman"/>
        </w:rPr>
        <w:t>ej</w:t>
      </w:r>
      <w:r>
        <w:rPr>
          <w:rFonts w:ascii="Times New Roman" w:hAnsi="Times New Roman" w:cs="Times New Roman"/>
        </w:rPr>
        <w:t xml:space="preserve"> lesn</w:t>
      </w:r>
      <w:r w:rsidR="00002E19">
        <w:rPr>
          <w:rFonts w:ascii="Times New Roman" w:hAnsi="Times New Roman" w:cs="Times New Roman"/>
        </w:rPr>
        <w:t>ej</w:t>
      </w:r>
      <w:r>
        <w:rPr>
          <w:rFonts w:ascii="Times New Roman" w:hAnsi="Times New Roman" w:cs="Times New Roman"/>
        </w:rPr>
        <w:t xml:space="preserve"> časti, bez vytyčovania jednotlivých pozemkov</w:t>
      </w:r>
      <w:r w:rsidR="00002E19">
        <w:rPr>
          <w:rFonts w:ascii="Times New Roman" w:hAnsi="Times New Roman" w:cs="Times New Roman"/>
        </w:rPr>
        <w:t xml:space="preserve">, ako aj  </w:t>
      </w:r>
      <w:r>
        <w:rPr>
          <w:rFonts w:ascii="Times New Roman" w:hAnsi="Times New Roman" w:cs="Times New Roman"/>
        </w:rPr>
        <w:t xml:space="preserve"> neochot</w:t>
      </w:r>
      <w:r w:rsidR="00002E19">
        <w:rPr>
          <w:rFonts w:ascii="Times New Roman" w:hAnsi="Times New Roman" w:cs="Times New Roman"/>
        </w:rPr>
        <w:t>a</w:t>
      </w:r>
      <w:r>
        <w:rPr>
          <w:rFonts w:ascii="Times New Roman" w:hAnsi="Times New Roman" w:cs="Times New Roman"/>
        </w:rPr>
        <w:t xml:space="preserve"> oprávnených osôb prevziať užívacie práva napriek tomu, že svoju žiadosť majú zdokladovanú a spĺňajú aj ďalšie podmienky na odovzdanie (pozemky sú identické a nie</w:t>
      </w:r>
      <w:r>
        <w:rPr>
          <w:rFonts w:ascii="Times New Roman" w:hAnsi="Times New Roman" w:cs="Times New Roman"/>
        </w:rPr>
        <w:br/>
        <w:t>je potrebné ich zamerať). Žiadosti neboli vybavené aj z iných dôvodov, napríklad, keď žiadateľ zomrel alebo o reštitučnom nároku nebolo dosiaľ rozhodnuté. Mnohé žiadosti vykazujú viac ako jeden dôvod, pre ktoré neboli vybavené.</w:t>
      </w:r>
    </w:p>
    <w:p w:rsidR="00A40165" w:rsidRDefault="00A40165">
      <w:pPr>
        <w:pStyle w:val="Zarkazkladnhotextu2"/>
        <w:spacing w:before="0" w:after="0"/>
        <w:rPr>
          <w:rFonts w:ascii="Times New Roman" w:hAnsi="Times New Roman" w:cs="Times New Roman"/>
          <w:sz w:val="12"/>
          <w:szCs w:val="12"/>
        </w:rPr>
      </w:pPr>
    </w:p>
    <w:p w:rsidR="00A40165" w:rsidRDefault="00A40165">
      <w:pPr>
        <w:pStyle w:val="Zarkazkladnhotextu3"/>
        <w:ind w:firstLine="709"/>
        <w:rPr>
          <w:rFonts w:ascii="Times New Roman" w:hAnsi="Times New Roman" w:cs="Times New Roman"/>
        </w:rPr>
      </w:pPr>
      <w:r>
        <w:rPr>
          <w:rFonts w:ascii="Times New Roman" w:hAnsi="Times New Roman" w:cs="Times New Roman"/>
        </w:rPr>
        <w:t>Riešenie žiadostí oprávnených osôb je mimoriadne zložité a náročné. Zložitosť a náročnosť je daná predovšetkým počtom žiadostí</w:t>
      </w:r>
      <w:r w:rsidR="00002E19">
        <w:rPr>
          <w:rFonts w:ascii="Times New Roman" w:hAnsi="Times New Roman" w:cs="Times New Roman"/>
        </w:rPr>
        <w:t xml:space="preserve"> o malej výmere</w:t>
      </w:r>
      <w:r>
        <w:rPr>
          <w:rFonts w:ascii="Times New Roman" w:hAnsi="Times New Roman" w:cs="Times New Roman"/>
        </w:rPr>
        <w:t>, ktoré ostáva ešte vybaviť. Možno konštatovať, že tempo riešenia žiadostí vlastníkov sa spomalilo nielen v dôsledku vyššie uvedených skutočností, ale aj v dôsledku toho, že ostáva riešiť prevažne drobné individuálne vlastníctvo lesných nehnuteľností, ktoré nie je možné v teréne identifikovať. Uvedené skutočnosti spomaľujú priebeh riešenia žiadostí a v niektorých prípadoch znemožňujú ich riešenie.</w:t>
      </w:r>
    </w:p>
    <w:p w:rsidR="00A40165" w:rsidRDefault="00A40165">
      <w:pPr>
        <w:pStyle w:val="Zarkazkladnhotextu3"/>
        <w:ind w:firstLine="709"/>
        <w:rPr>
          <w:rFonts w:ascii="Times New Roman" w:hAnsi="Times New Roman" w:cs="Times New Roman"/>
          <w:sz w:val="12"/>
          <w:szCs w:val="12"/>
        </w:rPr>
      </w:pPr>
    </w:p>
    <w:p w:rsidR="00A40165" w:rsidRPr="00DB1F5C" w:rsidRDefault="00A40165">
      <w:pPr>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Závažný vplyv na vybavovanie žiadostí má sporný majetok, ktorý je v súdnom konaní. K 31. decembru 201</w:t>
      </w:r>
      <w:r w:rsidR="00002E19">
        <w:rPr>
          <w:rFonts w:ascii="Times New Roman" w:hAnsi="Times New Roman" w:cs="Times New Roman"/>
          <w:sz w:val="24"/>
          <w:szCs w:val="24"/>
          <w:lang w:eastAsia="sk-SK"/>
        </w:rPr>
        <w:t>4</w:t>
      </w:r>
      <w:r>
        <w:rPr>
          <w:rFonts w:ascii="Times New Roman" w:hAnsi="Times New Roman" w:cs="Times New Roman"/>
          <w:sz w:val="24"/>
          <w:szCs w:val="24"/>
          <w:lang w:eastAsia="sk-SK"/>
        </w:rPr>
        <w:t xml:space="preserve"> v rámci Slovenskej republiky bolo </w:t>
      </w:r>
      <w:r w:rsidRPr="00DB1F5C">
        <w:rPr>
          <w:rFonts w:ascii="Times New Roman" w:hAnsi="Times New Roman" w:cs="Times New Roman"/>
          <w:sz w:val="24"/>
          <w:szCs w:val="24"/>
          <w:lang w:eastAsia="sk-SK"/>
        </w:rPr>
        <w:t>podaných 64 návrhov na začatie súdneho konania na určenie vlastníctva s výmerou pozemkov 1</w:t>
      </w:r>
      <w:r w:rsidR="009076CB" w:rsidRPr="00DB1F5C">
        <w:rPr>
          <w:rFonts w:ascii="Times New Roman" w:hAnsi="Times New Roman" w:cs="Times New Roman"/>
          <w:sz w:val="24"/>
          <w:szCs w:val="24"/>
          <w:lang w:eastAsia="sk-SK"/>
        </w:rPr>
        <w:t>5</w:t>
      </w:r>
      <w:r w:rsidRPr="00DB1F5C">
        <w:rPr>
          <w:rFonts w:ascii="Times New Roman" w:hAnsi="Times New Roman" w:cs="Times New Roman"/>
          <w:sz w:val="24"/>
          <w:szCs w:val="24"/>
          <w:lang w:eastAsia="sk-SK"/>
        </w:rPr>
        <w:t xml:space="preserve"> </w:t>
      </w:r>
      <w:r w:rsidR="009076CB" w:rsidRPr="00DB1F5C">
        <w:rPr>
          <w:rFonts w:ascii="Times New Roman" w:hAnsi="Times New Roman" w:cs="Times New Roman"/>
          <w:sz w:val="24"/>
          <w:szCs w:val="24"/>
          <w:lang w:eastAsia="sk-SK"/>
        </w:rPr>
        <w:t>838</w:t>
      </w:r>
      <w:r w:rsidRPr="00DB1F5C">
        <w:rPr>
          <w:rFonts w:ascii="Times New Roman" w:hAnsi="Times New Roman" w:cs="Times New Roman"/>
          <w:sz w:val="24"/>
          <w:szCs w:val="24"/>
          <w:lang w:eastAsia="sk-SK"/>
        </w:rPr>
        <w:t xml:space="preserve"> ha.</w:t>
      </w:r>
    </w:p>
    <w:p w:rsidR="00A40165" w:rsidRDefault="00A40165">
      <w:pPr>
        <w:spacing w:after="0" w:line="240" w:lineRule="auto"/>
        <w:ind w:firstLine="709"/>
        <w:jc w:val="both"/>
        <w:rPr>
          <w:rFonts w:ascii="Times New Roman" w:hAnsi="Times New Roman" w:cs="Times New Roman"/>
          <w:sz w:val="12"/>
          <w:szCs w:val="12"/>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Aktualizovaný prehľad o súdnych sporoch vo veci vlastníctva štátu k lesným pozemkom podľa zákona č. 99/1963 Zb. Občiansky súdny poriadok, so stavom k 31. decembru 201</w:t>
      </w:r>
      <w:r w:rsidR="00CB59BE">
        <w:rPr>
          <w:rFonts w:ascii="Times New Roman" w:hAnsi="Times New Roman" w:cs="Times New Roman"/>
          <w:sz w:val="24"/>
          <w:szCs w:val="24"/>
          <w:lang w:eastAsia="sk-SK"/>
        </w:rPr>
        <w:t>4</w:t>
      </w:r>
      <w:r>
        <w:rPr>
          <w:rFonts w:ascii="Times New Roman" w:hAnsi="Times New Roman" w:cs="Times New Roman"/>
          <w:sz w:val="24"/>
          <w:szCs w:val="24"/>
          <w:lang w:eastAsia="sk-SK"/>
        </w:rPr>
        <w:t>, podľa ŠOLH uvádza tabuľka.</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spacing w:after="0" w:line="240" w:lineRule="auto"/>
        <w:ind w:firstLine="708"/>
        <w:jc w:val="both"/>
        <w:rPr>
          <w:rFonts w:ascii="Times New Roman" w:hAnsi="Times New Roman" w:cs="Times New Roman"/>
          <w:sz w:val="24"/>
          <w:szCs w:val="24"/>
          <w:lang w:eastAsia="sk-SK"/>
        </w:rPr>
      </w:pPr>
    </w:p>
    <w:tbl>
      <w:tblPr>
        <w:tblW w:w="9087" w:type="dxa"/>
        <w:tblInd w:w="2" w:type="dxa"/>
        <w:tblLayout w:type="fixed"/>
        <w:tblCellMar>
          <w:left w:w="70" w:type="dxa"/>
          <w:right w:w="70" w:type="dxa"/>
        </w:tblCellMar>
        <w:tblLook w:val="0000" w:firstRow="0" w:lastRow="0" w:firstColumn="0" w:lastColumn="0" w:noHBand="0" w:noVBand="0"/>
      </w:tblPr>
      <w:tblGrid>
        <w:gridCol w:w="2530"/>
        <w:gridCol w:w="737"/>
        <w:gridCol w:w="859"/>
        <w:gridCol w:w="851"/>
        <w:gridCol w:w="992"/>
        <w:gridCol w:w="709"/>
        <w:gridCol w:w="850"/>
        <w:gridCol w:w="709"/>
        <w:gridCol w:w="850"/>
      </w:tblGrid>
      <w:tr w:rsidR="00A40165" w:rsidRPr="00E77046">
        <w:trPr>
          <w:trHeight w:val="195"/>
        </w:trPr>
        <w:tc>
          <w:tcPr>
            <w:tcW w:w="9087" w:type="dxa"/>
            <w:gridSpan w:val="9"/>
            <w:tcBorders>
              <w:top w:val="single" w:sz="8" w:space="0" w:color="auto"/>
              <w:left w:val="single" w:sz="8" w:space="0" w:color="auto"/>
              <w:bottom w:val="single" w:sz="12" w:space="0" w:color="000000"/>
              <w:right w:val="single" w:sz="8" w:space="0" w:color="000000"/>
            </w:tcBorders>
            <w:vAlign w:val="center"/>
          </w:tcPr>
          <w:p w:rsidR="00A40165" w:rsidRPr="00E77046" w:rsidRDefault="00A40165">
            <w:pPr>
              <w:spacing w:after="0" w:line="240" w:lineRule="auto"/>
              <w:jc w:val="center"/>
              <w:rPr>
                <w:rFonts w:ascii="Times New Roman" w:hAnsi="Times New Roman" w:cs="Times New Roman"/>
                <w:sz w:val="10"/>
                <w:szCs w:val="10"/>
                <w:lang w:eastAsia="sk-SK"/>
              </w:rPr>
            </w:pPr>
            <w:r w:rsidRPr="00E77046">
              <w:rPr>
                <w:rFonts w:ascii="Times New Roman" w:hAnsi="Times New Roman" w:cs="Times New Roman"/>
                <w:sz w:val="24"/>
                <w:szCs w:val="24"/>
                <w:lang w:eastAsia="sk-SK"/>
              </w:rPr>
              <w:br w:type="page"/>
            </w:r>
          </w:p>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Prehľad o súdnych sporoch vo veci vlastníctva štátu k lesným pozemkom aktuálny k 31.12.2014</w:t>
            </w:r>
          </w:p>
          <w:p w:rsidR="00A40165" w:rsidRPr="00E77046" w:rsidRDefault="00A40165">
            <w:pPr>
              <w:spacing w:after="0" w:line="240" w:lineRule="auto"/>
              <w:jc w:val="center"/>
              <w:rPr>
                <w:rFonts w:ascii="Times New Roman" w:hAnsi="Times New Roman" w:cs="Times New Roman"/>
                <w:b/>
                <w:bCs/>
                <w:sz w:val="10"/>
                <w:szCs w:val="10"/>
                <w:lang w:eastAsia="sk-SK"/>
              </w:rPr>
            </w:pPr>
          </w:p>
        </w:tc>
      </w:tr>
      <w:tr w:rsidR="00A40165" w:rsidRPr="00E77046" w:rsidTr="00641ACD">
        <w:trPr>
          <w:cantSplit/>
          <w:trHeight w:val="195"/>
        </w:trPr>
        <w:tc>
          <w:tcPr>
            <w:tcW w:w="2530" w:type="dxa"/>
            <w:vMerge w:val="restart"/>
            <w:tcBorders>
              <w:top w:val="single" w:sz="8" w:space="0" w:color="auto"/>
              <w:left w:val="single" w:sz="8" w:space="0" w:color="auto"/>
              <w:bottom w:val="single" w:sz="12" w:space="0" w:color="000000"/>
              <w:right w:val="single" w:sz="8" w:space="0" w:color="auto"/>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4"/>
                <w:szCs w:val="24"/>
                <w:lang w:eastAsia="sk-SK"/>
              </w:rPr>
              <w:br w:type="page"/>
            </w:r>
            <w:r w:rsidRPr="00E77046">
              <w:rPr>
                <w:rFonts w:ascii="Times New Roman" w:hAnsi="Times New Roman" w:cs="Times New Roman"/>
                <w:sz w:val="20"/>
                <w:szCs w:val="20"/>
                <w:lang w:eastAsia="sk-SK"/>
              </w:rPr>
              <w:t>žalobca</w:t>
            </w:r>
          </w:p>
        </w:tc>
        <w:tc>
          <w:tcPr>
            <w:tcW w:w="1596" w:type="dxa"/>
            <w:gridSpan w:val="2"/>
            <w:vMerge w:val="restart"/>
            <w:tcBorders>
              <w:top w:val="single" w:sz="8" w:space="0" w:color="auto"/>
              <w:left w:val="single" w:sz="8" w:space="0" w:color="auto"/>
              <w:bottom w:val="single" w:sz="8" w:space="0" w:color="000000"/>
              <w:right w:val="single" w:sz="8" w:space="0" w:color="000000"/>
            </w:tcBorders>
            <w:vAlign w:val="center"/>
          </w:tcPr>
          <w:p w:rsidR="00A40165" w:rsidRPr="00E77046" w:rsidRDefault="00D3154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N</w:t>
            </w:r>
            <w:r w:rsidR="00A40165" w:rsidRPr="00E77046">
              <w:rPr>
                <w:rFonts w:ascii="Times New Roman" w:hAnsi="Times New Roman" w:cs="Times New Roman"/>
                <w:sz w:val="20"/>
                <w:szCs w:val="20"/>
                <w:lang w:eastAsia="sk-SK"/>
              </w:rPr>
              <w:t>ávrhy</w:t>
            </w:r>
          </w:p>
        </w:tc>
        <w:tc>
          <w:tcPr>
            <w:tcW w:w="1843" w:type="dxa"/>
            <w:gridSpan w:val="2"/>
            <w:vMerge w:val="restart"/>
            <w:tcBorders>
              <w:top w:val="single" w:sz="8" w:space="0" w:color="auto"/>
              <w:left w:val="single" w:sz="8" w:space="0" w:color="auto"/>
              <w:bottom w:val="single" w:sz="8" w:space="0" w:color="000000"/>
              <w:right w:val="single" w:sz="8" w:space="0" w:color="000000"/>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konania zastavené</w:t>
            </w:r>
          </w:p>
        </w:tc>
        <w:tc>
          <w:tcPr>
            <w:tcW w:w="3118" w:type="dxa"/>
            <w:gridSpan w:val="4"/>
            <w:tcBorders>
              <w:top w:val="single" w:sz="8" w:space="0" w:color="auto"/>
              <w:left w:val="nil"/>
              <w:bottom w:val="single" w:sz="8" w:space="0" w:color="auto"/>
              <w:right w:val="single" w:sz="8" w:space="0" w:color="000000"/>
            </w:tcBorders>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rozhodnutia o veci samej</w:t>
            </w:r>
          </w:p>
        </w:tc>
      </w:tr>
      <w:tr w:rsidR="00A40165" w:rsidRPr="00E77046" w:rsidTr="00641ACD">
        <w:trPr>
          <w:cantSplit/>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A40165" w:rsidRPr="00E77046" w:rsidRDefault="00A40165">
            <w:pPr>
              <w:spacing w:after="0" w:line="240" w:lineRule="auto"/>
              <w:rPr>
                <w:rFonts w:ascii="Times New Roman" w:hAnsi="Times New Roman" w:cs="Times New Roman"/>
                <w:sz w:val="20"/>
                <w:szCs w:val="20"/>
                <w:lang w:eastAsia="sk-SK"/>
              </w:rPr>
            </w:pPr>
          </w:p>
        </w:tc>
        <w:tc>
          <w:tcPr>
            <w:tcW w:w="1596" w:type="dxa"/>
            <w:gridSpan w:val="2"/>
            <w:vMerge/>
            <w:tcBorders>
              <w:top w:val="single" w:sz="8" w:space="0" w:color="auto"/>
              <w:left w:val="single" w:sz="8" w:space="0" w:color="auto"/>
              <w:bottom w:val="single" w:sz="8" w:space="0" w:color="000000"/>
              <w:right w:val="single" w:sz="8" w:space="0" w:color="000000"/>
            </w:tcBorders>
            <w:vAlign w:val="center"/>
          </w:tcPr>
          <w:p w:rsidR="00A40165" w:rsidRPr="00E77046" w:rsidRDefault="00A40165">
            <w:pPr>
              <w:spacing w:after="0" w:line="240" w:lineRule="auto"/>
              <w:rPr>
                <w:rFonts w:ascii="Times New Roman" w:hAnsi="Times New Roman" w:cs="Times New Roman"/>
                <w:sz w:val="20"/>
                <w:szCs w:val="20"/>
                <w:lang w:eastAsia="sk-SK"/>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tcPr>
          <w:p w:rsidR="00A40165" w:rsidRPr="00E77046" w:rsidRDefault="00A40165">
            <w:pPr>
              <w:spacing w:after="0" w:line="240" w:lineRule="auto"/>
              <w:rPr>
                <w:rFonts w:ascii="Times New Roman" w:hAnsi="Times New Roman" w:cs="Times New Roman"/>
                <w:sz w:val="20"/>
                <w:szCs w:val="20"/>
                <w:lang w:eastAsia="sk-SK"/>
              </w:rPr>
            </w:pPr>
          </w:p>
        </w:tc>
        <w:tc>
          <w:tcPr>
            <w:tcW w:w="3118" w:type="dxa"/>
            <w:gridSpan w:val="4"/>
            <w:tcBorders>
              <w:top w:val="single" w:sz="8" w:space="0" w:color="auto"/>
              <w:left w:val="nil"/>
              <w:bottom w:val="single" w:sz="4" w:space="0" w:color="auto"/>
              <w:right w:val="single" w:sz="8" w:space="0" w:color="000000"/>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vlastníctvo štátu</w:t>
            </w:r>
          </w:p>
        </w:tc>
      </w:tr>
      <w:tr w:rsidR="00A40165" w:rsidRPr="00E77046" w:rsidTr="00641ACD">
        <w:trPr>
          <w:cantSplit/>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A40165" w:rsidRPr="00E77046" w:rsidRDefault="00A40165">
            <w:pPr>
              <w:spacing w:after="0" w:line="240" w:lineRule="auto"/>
              <w:rPr>
                <w:rFonts w:ascii="Times New Roman" w:hAnsi="Times New Roman" w:cs="Times New Roman"/>
                <w:sz w:val="20"/>
                <w:szCs w:val="20"/>
                <w:lang w:eastAsia="sk-SK"/>
              </w:rPr>
            </w:pPr>
          </w:p>
        </w:tc>
        <w:tc>
          <w:tcPr>
            <w:tcW w:w="1596" w:type="dxa"/>
            <w:gridSpan w:val="2"/>
            <w:vMerge/>
            <w:tcBorders>
              <w:top w:val="single" w:sz="8" w:space="0" w:color="auto"/>
              <w:left w:val="single" w:sz="8" w:space="0" w:color="auto"/>
              <w:bottom w:val="single" w:sz="8" w:space="0" w:color="000000"/>
              <w:right w:val="single" w:sz="8" w:space="0" w:color="000000"/>
            </w:tcBorders>
            <w:vAlign w:val="center"/>
          </w:tcPr>
          <w:p w:rsidR="00A40165" w:rsidRPr="00E77046" w:rsidRDefault="00A40165">
            <w:pPr>
              <w:spacing w:after="0" w:line="240" w:lineRule="auto"/>
              <w:rPr>
                <w:rFonts w:ascii="Times New Roman" w:hAnsi="Times New Roman" w:cs="Times New Roman"/>
                <w:sz w:val="20"/>
                <w:szCs w:val="20"/>
                <w:lang w:eastAsia="sk-SK"/>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tcPr>
          <w:p w:rsidR="00A40165" w:rsidRPr="00E77046" w:rsidRDefault="00A40165">
            <w:pPr>
              <w:spacing w:after="0" w:line="240" w:lineRule="auto"/>
              <w:rPr>
                <w:rFonts w:ascii="Times New Roman" w:hAnsi="Times New Roman" w:cs="Times New Roman"/>
                <w:sz w:val="20"/>
                <w:szCs w:val="20"/>
                <w:lang w:eastAsia="sk-SK"/>
              </w:rPr>
            </w:pPr>
          </w:p>
        </w:tc>
        <w:tc>
          <w:tcPr>
            <w:tcW w:w="1559" w:type="dxa"/>
            <w:gridSpan w:val="2"/>
            <w:tcBorders>
              <w:top w:val="single" w:sz="4" w:space="0" w:color="auto"/>
              <w:left w:val="nil"/>
              <w:bottom w:val="single" w:sz="8" w:space="0" w:color="auto"/>
              <w:right w:val="single" w:sz="8" w:space="0" w:color="000000"/>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xml:space="preserve">potvrdené </w:t>
            </w:r>
          </w:p>
        </w:tc>
        <w:tc>
          <w:tcPr>
            <w:tcW w:w="1559" w:type="dxa"/>
            <w:gridSpan w:val="2"/>
            <w:tcBorders>
              <w:top w:val="single" w:sz="4" w:space="0" w:color="auto"/>
              <w:left w:val="nil"/>
              <w:bottom w:val="single" w:sz="8" w:space="0" w:color="auto"/>
              <w:right w:val="single" w:sz="8" w:space="0" w:color="000000"/>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 xml:space="preserve">nepotvrdené </w:t>
            </w:r>
          </w:p>
        </w:tc>
      </w:tr>
      <w:tr w:rsidR="00A40165" w:rsidRPr="00E77046">
        <w:trPr>
          <w:cantSplit/>
          <w:trHeight w:val="195"/>
        </w:trPr>
        <w:tc>
          <w:tcPr>
            <w:tcW w:w="2530" w:type="dxa"/>
            <w:vMerge/>
            <w:tcBorders>
              <w:top w:val="single" w:sz="8" w:space="0" w:color="auto"/>
              <w:left w:val="single" w:sz="8" w:space="0" w:color="auto"/>
              <w:bottom w:val="single" w:sz="12" w:space="0" w:color="000000"/>
              <w:right w:val="single" w:sz="8" w:space="0" w:color="auto"/>
            </w:tcBorders>
            <w:vAlign w:val="center"/>
          </w:tcPr>
          <w:p w:rsidR="00A40165" w:rsidRPr="00E77046" w:rsidRDefault="00A40165">
            <w:pPr>
              <w:spacing w:after="0" w:line="240" w:lineRule="auto"/>
              <w:rPr>
                <w:rFonts w:ascii="Times New Roman" w:hAnsi="Times New Roman" w:cs="Times New Roman"/>
                <w:sz w:val="20"/>
                <w:szCs w:val="20"/>
                <w:lang w:eastAsia="sk-SK"/>
              </w:rPr>
            </w:pPr>
          </w:p>
        </w:tc>
        <w:tc>
          <w:tcPr>
            <w:tcW w:w="737"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9" w:type="dxa"/>
            <w:tcBorders>
              <w:top w:val="nil"/>
              <w:left w:val="nil"/>
              <w:bottom w:val="nil"/>
              <w:right w:val="single" w:sz="8" w:space="0" w:color="auto"/>
            </w:tcBorders>
            <w:noWrap/>
            <w:vAlign w:val="center"/>
          </w:tcPr>
          <w:p w:rsidR="00A40165" w:rsidRPr="00E77046" w:rsidRDefault="000F4FB3">
            <w:pPr>
              <w:spacing w:after="0"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w:t>
            </w:r>
            <w:r w:rsidR="00A40165" w:rsidRPr="00E77046">
              <w:rPr>
                <w:rFonts w:ascii="Times New Roman" w:hAnsi="Times New Roman" w:cs="Times New Roman"/>
                <w:sz w:val="20"/>
                <w:szCs w:val="20"/>
                <w:lang w:eastAsia="sk-SK"/>
              </w:rPr>
              <w:t>a</w:t>
            </w:r>
          </w:p>
        </w:tc>
        <w:tc>
          <w:tcPr>
            <w:tcW w:w="851"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992"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709"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0"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c>
          <w:tcPr>
            <w:tcW w:w="709"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počet</w:t>
            </w:r>
          </w:p>
        </w:tc>
        <w:tc>
          <w:tcPr>
            <w:tcW w:w="850"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ha</w:t>
            </w:r>
          </w:p>
        </w:tc>
      </w:tr>
      <w:tr w:rsidR="00A40165" w:rsidRPr="00E77046">
        <w:trPr>
          <w:trHeight w:val="240"/>
        </w:trPr>
        <w:tc>
          <w:tcPr>
            <w:tcW w:w="2530" w:type="dxa"/>
            <w:tcBorders>
              <w:top w:val="nil"/>
              <w:left w:val="single" w:sz="8" w:space="0" w:color="auto"/>
              <w:bottom w:val="single" w:sz="8" w:space="0" w:color="auto"/>
              <w:right w:val="single" w:sz="8" w:space="0" w:color="auto"/>
            </w:tcBorders>
            <w:noWrap/>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LESY SR, š. p.</w:t>
            </w:r>
          </w:p>
        </w:tc>
        <w:tc>
          <w:tcPr>
            <w:tcW w:w="737" w:type="dxa"/>
            <w:tcBorders>
              <w:top w:val="single" w:sz="12" w:space="0" w:color="auto"/>
              <w:left w:val="nil"/>
              <w:bottom w:val="single" w:sz="8"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20</w:t>
            </w:r>
          </w:p>
        </w:tc>
        <w:tc>
          <w:tcPr>
            <w:tcW w:w="859" w:type="dxa"/>
            <w:tcBorders>
              <w:top w:val="single" w:sz="12" w:space="0" w:color="auto"/>
              <w:left w:val="nil"/>
              <w:bottom w:val="single" w:sz="8" w:space="0" w:color="auto"/>
              <w:right w:val="single" w:sz="8" w:space="0" w:color="auto"/>
            </w:tcBorders>
            <w:noWrap/>
            <w:vAlign w:val="center"/>
          </w:tcPr>
          <w:p w:rsidR="00A40165" w:rsidRPr="00E77046" w:rsidRDefault="002B1928" w:rsidP="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w:t>
            </w:r>
            <w:r w:rsidR="00A40165" w:rsidRPr="00E77046">
              <w:rPr>
                <w:rFonts w:ascii="Times New Roman" w:hAnsi="Times New Roman" w:cs="Times New Roman"/>
                <w:sz w:val="20"/>
                <w:szCs w:val="20"/>
                <w:lang w:eastAsia="sk-SK"/>
              </w:rPr>
              <w:t> </w:t>
            </w:r>
            <w:r w:rsidRPr="00E77046">
              <w:rPr>
                <w:rFonts w:ascii="Times New Roman" w:hAnsi="Times New Roman" w:cs="Times New Roman"/>
                <w:sz w:val="20"/>
                <w:szCs w:val="20"/>
                <w:lang w:eastAsia="sk-SK"/>
              </w:rPr>
              <w:t>312</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92"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single" w:sz="12" w:space="0" w:color="auto"/>
              <w:left w:val="nil"/>
              <w:bottom w:val="single" w:sz="8"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single" w:sz="12" w:space="0" w:color="auto"/>
              <w:left w:val="nil"/>
              <w:bottom w:val="single" w:sz="8"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single" w:sz="12" w:space="0" w:color="auto"/>
              <w:left w:val="nil"/>
              <w:bottom w:val="single" w:sz="8"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w:t>
            </w:r>
          </w:p>
        </w:tc>
        <w:tc>
          <w:tcPr>
            <w:tcW w:w="850" w:type="dxa"/>
            <w:tcBorders>
              <w:top w:val="single" w:sz="12" w:space="0" w:color="auto"/>
              <w:left w:val="nil"/>
              <w:bottom w:val="single" w:sz="8"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506</w:t>
            </w:r>
          </w:p>
        </w:tc>
      </w:tr>
      <w:tr w:rsidR="00A40165" w:rsidRPr="00E77046">
        <w:trPr>
          <w:trHeight w:val="240"/>
        </w:trPr>
        <w:tc>
          <w:tcPr>
            <w:tcW w:w="2530" w:type="dxa"/>
            <w:tcBorders>
              <w:top w:val="nil"/>
              <w:left w:val="single" w:sz="8" w:space="0" w:color="auto"/>
              <w:bottom w:val="single" w:sz="12" w:space="0" w:color="auto"/>
              <w:right w:val="single" w:sz="8" w:space="0" w:color="auto"/>
            </w:tcBorders>
            <w:noWrap/>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iné fyz. alebo práv. osoby</w:t>
            </w:r>
          </w:p>
        </w:tc>
        <w:tc>
          <w:tcPr>
            <w:tcW w:w="737" w:type="dxa"/>
            <w:tcBorders>
              <w:top w:val="nil"/>
              <w:left w:val="nil"/>
              <w:bottom w:val="single" w:sz="12" w:space="0" w:color="auto"/>
              <w:right w:val="single" w:sz="8" w:space="0" w:color="auto"/>
            </w:tcBorders>
            <w:noWrap/>
            <w:vAlign w:val="center"/>
          </w:tcPr>
          <w:p w:rsidR="00A40165" w:rsidRPr="00E77046" w:rsidRDefault="00A40165" w:rsidP="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w:t>
            </w:r>
            <w:r w:rsidR="002B1928" w:rsidRPr="00E77046">
              <w:rPr>
                <w:rFonts w:ascii="Times New Roman" w:hAnsi="Times New Roman" w:cs="Times New Roman"/>
                <w:sz w:val="20"/>
                <w:szCs w:val="20"/>
                <w:lang w:eastAsia="sk-SK"/>
              </w:rPr>
              <w:t>2</w:t>
            </w:r>
          </w:p>
        </w:tc>
        <w:tc>
          <w:tcPr>
            <w:tcW w:w="859" w:type="dxa"/>
            <w:tcBorders>
              <w:top w:val="nil"/>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7 343</w:t>
            </w:r>
          </w:p>
        </w:tc>
        <w:tc>
          <w:tcPr>
            <w:tcW w:w="851" w:type="dxa"/>
            <w:tcBorders>
              <w:top w:val="nil"/>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92" w:type="dxa"/>
            <w:tcBorders>
              <w:top w:val="nil"/>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nil"/>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4</w:t>
            </w:r>
          </w:p>
        </w:tc>
        <w:tc>
          <w:tcPr>
            <w:tcW w:w="850" w:type="dxa"/>
            <w:tcBorders>
              <w:top w:val="nil"/>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121</w:t>
            </w:r>
          </w:p>
        </w:tc>
        <w:tc>
          <w:tcPr>
            <w:tcW w:w="709" w:type="dxa"/>
            <w:tcBorders>
              <w:top w:val="nil"/>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w:t>
            </w:r>
          </w:p>
        </w:tc>
        <w:tc>
          <w:tcPr>
            <w:tcW w:w="850" w:type="dxa"/>
            <w:tcBorders>
              <w:top w:val="nil"/>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600</w:t>
            </w:r>
          </w:p>
        </w:tc>
      </w:tr>
      <w:tr w:rsidR="00A40165" w:rsidRPr="00E77046">
        <w:trPr>
          <w:trHeight w:val="240"/>
        </w:trPr>
        <w:tc>
          <w:tcPr>
            <w:tcW w:w="2530" w:type="dxa"/>
            <w:tcBorders>
              <w:top w:val="nil"/>
              <w:left w:val="single" w:sz="8" w:space="0" w:color="auto"/>
              <w:bottom w:val="single" w:sz="8" w:space="0" w:color="auto"/>
              <w:right w:val="single" w:sz="8" w:space="0" w:color="auto"/>
            </w:tcBorders>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LPM Ulič, š. p.</w:t>
            </w:r>
          </w:p>
        </w:tc>
        <w:tc>
          <w:tcPr>
            <w:tcW w:w="737"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w:t>
            </w:r>
          </w:p>
        </w:tc>
        <w:tc>
          <w:tcPr>
            <w:tcW w:w="859" w:type="dxa"/>
            <w:tcBorders>
              <w:top w:val="nil"/>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1 356</w:t>
            </w:r>
          </w:p>
        </w:tc>
        <w:tc>
          <w:tcPr>
            <w:tcW w:w="851" w:type="dxa"/>
            <w:tcBorders>
              <w:top w:val="nil"/>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92" w:type="dxa"/>
            <w:tcBorders>
              <w:top w:val="nil"/>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nil"/>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nil"/>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nil"/>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nil"/>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trHeight w:val="240"/>
        </w:trPr>
        <w:tc>
          <w:tcPr>
            <w:tcW w:w="2530" w:type="dxa"/>
            <w:tcBorders>
              <w:top w:val="nil"/>
              <w:left w:val="single" w:sz="8" w:space="0" w:color="auto"/>
              <w:bottom w:val="nil"/>
              <w:right w:val="single" w:sz="8" w:space="0" w:color="auto"/>
            </w:tcBorders>
            <w:noWrap/>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iné fyz. alebo práv. osoby</w:t>
            </w:r>
          </w:p>
        </w:tc>
        <w:tc>
          <w:tcPr>
            <w:tcW w:w="737" w:type="dxa"/>
            <w:tcBorders>
              <w:top w:val="nil"/>
              <w:left w:val="nil"/>
              <w:bottom w:val="nil"/>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9" w:type="dxa"/>
            <w:tcBorders>
              <w:top w:val="nil"/>
              <w:left w:val="nil"/>
              <w:bottom w:val="nil"/>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1" w:type="dxa"/>
            <w:tcBorders>
              <w:top w:val="nil"/>
              <w:left w:val="nil"/>
              <w:bottom w:val="nil"/>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92" w:type="dxa"/>
            <w:tcBorders>
              <w:top w:val="nil"/>
              <w:left w:val="nil"/>
              <w:bottom w:val="nil"/>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nil"/>
              <w:left w:val="nil"/>
              <w:bottom w:val="nil"/>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nil"/>
              <w:left w:val="nil"/>
              <w:bottom w:val="nil"/>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nil"/>
              <w:left w:val="nil"/>
              <w:bottom w:val="nil"/>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nil"/>
              <w:left w:val="nil"/>
              <w:bottom w:val="nil"/>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trHeight w:val="240"/>
        </w:trPr>
        <w:tc>
          <w:tcPr>
            <w:tcW w:w="2530" w:type="dxa"/>
            <w:tcBorders>
              <w:top w:val="single" w:sz="12" w:space="0" w:color="auto"/>
              <w:left w:val="single" w:sz="8" w:space="0" w:color="auto"/>
              <w:bottom w:val="single" w:sz="8" w:space="0" w:color="auto"/>
              <w:right w:val="single" w:sz="8" w:space="0" w:color="auto"/>
            </w:tcBorders>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ŠL TANAP</w:t>
            </w:r>
          </w:p>
        </w:tc>
        <w:tc>
          <w:tcPr>
            <w:tcW w:w="737"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5</w:t>
            </w:r>
          </w:p>
        </w:tc>
        <w:tc>
          <w:tcPr>
            <w:tcW w:w="859"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833</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92" w:type="dxa"/>
            <w:tcBorders>
              <w:top w:val="single" w:sz="12" w:space="0" w:color="auto"/>
              <w:left w:val="nil"/>
              <w:bottom w:val="single" w:sz="8"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w:t>
            </w:r>
          </w:p>
        </w:tc>
        <w:tc>
          <w:tcPr>
            <w:tcW w:w="850" w:type="dxa"/>
            <w:tcBorders>
              <w:top w:val="single" w:sz="12" w:space="0" w:color="auto"/>
              <w:left w:val="nil"/>
              <w:bottom w:val="single" w:sz="8"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w:t>
            </w:r>
          </w:p>
        </w:tc>
        <w:tc>
          <w:tcPr>
            <w:tcW w:w="709"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w:t>
            </w:r>
          </w:p>
        </w:tc>
        <w:tc>
          <w:tcPr>
            <w:tcW w:w="850"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331</w:t>
            </w:r>
          </w:p>
        </w:tc>
      </w:tr>
      <w:tr w:rsidR="00A40165" w:rsidRPr="00E77046">
        <w:trPr>
          <w:trHeight w:val="240"/>
        </w:trPr>
        <w:tc>
          <w:tcPr>
            <w:tcW w:w="2530" w:type="dxa"/>
            <w:tcBorders>
              <w:top w:val="nil"/>
              <w:left w:val="single" w:sz="8" w:space="0" w:color="auto"/>
              <w:bottom w:val="single" w:sz="12" w:space="0" w:color="auto"/>
              <w:right w:val="single" w:sz="8" w:space="0" w:color="auto"/>
            </w:tcBorders>
            <w:noWrap/>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iné fyz. alebo práv. osoby</w:t>
            </w:r>
          </w:p>
        </w:tc>
        <w:tc>
          <w:tcPr>
            <w:tcW w:w="737" w:type="dxa"/>
            <w:tcBorders>
              <w:top w:val="nil"/>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9" w:type="dxa"/>
            <w:tcBorders>
              <w:top w:val="nil"/>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1" w:type="dxa"/>
            <w:tcBorders>
              <w:top w:val="nil"/>
              <w:left w:val="nil"/>
              <w:bottom w:val="single" w:sz="12"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992" w:type="dxa"/>
            <w:tcBorders>
              <w:top w:val="nil"/>
              <w:left w:val="nil"/>
              <w:bottom w:val="single" w:sz="12"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nil"/>
              <w:left w:val="nil"/>
              <w:bottom w:val="single" w:sz="12"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nil"/>
              <w:left w:val="nil"/>
              <w:bottom w:val="single" w:sz="12"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nil"/>
              <w:left w:val="nil"/>
              <w:bottom w:val="single" w:sz="12"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nil"/>
              <w:left w:val="nil"/>
              <w:bottom w:val="single" w:sz="12" w:space="0" w:color="auto"/>
              <w:right w:val="single" w:sz="8" w:space="0" w:color="auto"/>
            </w:tcBorders>
            <w:noWrap/>
            <w:vAlign w:val="center"/>
          </w:tcPr>
          <w:p w:rsidR="00A40165" w:rsidRPr="00E77046" w:rsidRDefault="0043488C">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trHeight w:val="240"/>
        </w:trPr>
        <w:tc>
          <w:tcPr>
            <w:tcW w:w="2530" w:type="dxa"/>
            <w:tcBorders>
              <w:top w:val="nil"/>
              <w:left w:val="single" w:sz="8" w:space="0" w:color="auto"/>
              <w:bottom w:val="nil"/>
              <w:right w:val="single" w:sz="8" w:space="0" w:color="auto"/>
            </w:tcBorders>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VLM SR, š. p.</w:t>
            </w:r>
          </w:p>
        </w:tc>
        <w:tc>
          <w:tcPr>
            <w:tcW w:w="737"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w:t>
            </w:r>
          </w:p>
        </w:tc>
        <w:tc>
          <w:tcPr>
            <w:tcW w:w="859"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3 350</w:t>
            </w:r>
          </w:p>
        </w:tc>
        <w:tc>
          <w:tcPr>
            <w:tcW w:w="851"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w:t>
            </w:r>
          </w:p>
        </w:tc>
        <w:tc>
          <w:tcPr>
            <w:tcW w:w="992" w:type="dxa"/>
            <w:tcBorders>
              <w:top w:val="nil"/>
              <w:left w:val="nil"/>
              <w:bottom w:val="nil"/>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3 102</w:t>
            </w:r>
          </w:p>
        </w:tc>
        <w:tc>
          <w:tcPr>
            <w:tcW w:w="709" w:type="dxa"/>
            <w:tcBorders>
              <w:top w:val="nil"/>
              <w:left w:val="nil"/>
              <w:bottom w:val="nil"/>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nil"/>
              <w:left w:val="nil"/>
              <w:bottom w:val="nil"/>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nil"/>
              <w:left w:val="nil"/>
              <w:bottom w:val="nil"/>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nil"/>
              <w:left w:val="nil"/>
              <w:bottom w:val="nil"/>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trHeight w:val="240"/>
        </w:trPr>
        <w:tc>
          <w:tcPr>
            <w:tcW w:w="2530" w:type="dxa"/>
            <w:tcBorders>
              <w:top w:val="single" w:sz="8" w:space="0" w:color="auto"/>
              <w:left w:val="single" w:sz="8" w:space="0" w:color="auto"/>
              <w:bottom w:val="single" w:sz="12" w:space="0" w:color="auto"/>
              <w:right w:val="single" w:sz="8" w:space="0" w:color="auto"/>
            </w:tcBorders>
            <w:noWrap/>
            <w:vAlign w:val="bottom"/>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iné fyz. alebo práv. osoby</w:t>
            </w:r>
          </w:p>
        </w:tc>
        <w:tc>
          <w:tcPr>
            <w:tcW w:w="737" w:type="dxa"/>
            <w:tcBorders>
              <w:top w:val="single" w:sz="8" w:space="0" w:color="auto"/>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2</w:t>
            </w:r>
          </w:p>
        </w:tc>
        <w:tc>
          <w:tcPr>
            <w:tcW w:w="859" w:type="dxa"/>
            <w:tcBorders>
              <w:top w:val="single" w:sz="8" w:space="0" w:color="auto"/>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644</w:t>
            </w:r>
          </w:p>
        </w:tc>
        <w:tc>
          <w:tcPr>
            <w:tcW w:w="851" w:type="dxa"/>
            <w:tcBorders>
              <w:top w:val="single" w:sz="8" w:space="0" w:color="auto"/>
              <w:left w:val="nil"/>
              <w:bottom w:val="single" w:sz="12"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w:t>
            </w:r>
          </w:p>
        </w:tc>
        <w:tc>
          <w:tcPr>
            <w:tcW w:w="992" w:type="dxa"/>
            <w:tcBorders>
              <w:top w:val="single" w:sz="8" w:space="0" w:color="auto"/>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1</w:t>
            </w:r>
          </w:p>
        </w:tc>
        <w:tc>
          <w:tcPr>
            <w:tcW w:w="709" w:type="dxa"/>
            <w:tcBorders>
              <w:top w:val="single" w:sz="8" w:space="0" w:color="auto"/>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single" w:sz="8" w:space="0" w:color="auto"/>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709" w:type="dxa"/>
            <w:tcBorders>
              <w:top w:val="single" w:sz="8" w:space="0" w:color="auto"/>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c>
          <w:tcPr>
            <w:tcW w:w="850" w:type="dxa"/>
            <w:tcBorders>
              <w:top w:val="single" w:sz="8" w:space="0" w:color="auto"/>
              <w:left w:val="nil"/>
              <w:bottom w:val="single" w:sz="12" w:space="0" w:color="auto"/>
              <w:right w:val="single" w:sz="8" w:space="0" w:color="auto"/>
            </w:tcBorders>
            <w:noWrap/>
            <w:vAlign w:val="center"/>
          </w:tcPr>
          <w:p w:rsidR="00A40165" w:rsidRPr="00E77046" w:rsidRDefault="002B1928">
            <w:pPr>
              <w:spacing w:after="0" w:line="240" w:lineRule="auto"/>
              <w:jc w:val="center"/>
              <w:rPr>
                <w:rFonts w:ascii="Times New Roman" w:hAnsi="Times New Roman" w:cs="Times New Roman"/>
                <w:sz w:val="20"/>
                <w:szCs w:val="20"/>
                <w:lang w:eastAsia="sk-SK"/>
              </w:rPr>
            </w:pPr>
            <w:r w:rsidRPr="00E77046">
              <w:rPr>
                <w:rFonts w:ascii="Times New Roman" w:hAnsi="Times New Roman" w:cs="Times New Roman"/>
                <w:sz w:val="20"/>
                <w:szCs w:val="20"/>
                <w:lang w:eastAsia="sk-SK"/>
              </w:rPr>
              <w:t>0</w:t>
            </w:r>
          </w:p>
        </w:tc>
      </w:tr>
      <w:tr w:rsidR="00A40165" w:rsidRPr="00E77046">
        <w:trPr>
          <w:trHeight w:val="240"/>
        </w:trPr>
        <w:tc>
          <w:tcPr>
            <w:tcW w:w="2530" w:type="dxa"/>
            <w:tcBorders>
              <w:top w:val="single" w:sz="12" w:space="0" w:color="auto"/>
              <w:left w:val="single" w:sz="8" w:space="0" w:color="auto"/>
              <w:bottom w:val="single" w:sz="8" w:space="0" w:color="auto"/>
              <w:right w:val="single" w:sz="8" w:space="0" w:color="auto"/>
            </w:tcBorders>
          </w:tcPr>
          <w:p w:rsidR="00A40165" w:rsidRPr="00E77046" w:rsidRDefault="00C969E2">
            <w:pPr>
              <w:spacing w:after="0" w:line="240" w:lineRule="auto"/>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S</w:t>
            </w:r>
            <w:r w:rsidR="00A40165" w:rsidRPr="00E77046">
              <w:rPr>
                <w:rFonts w:ascii="Times New Roman" w:hAnsi="Times New Roman" w:cs="Times New Roman"/>
                <w:b/>
                <w:bCs/>
                <w:sz w:val="20"/>
                <w:szCs w:val="20"/>
                <w:lang w:eastAsia="sk-SK"/>
              </w:rPr>
              <w:t>polu ŠOLH</w:t>
            </w:r>
          </w:p>
        </w:tc>
        <w:tc>
          <w:tcPr>
            <w:tcW w:w="737" w:type="dxa"/>
            <w:tcBorders>
              <w:top w:val="single" w:sz="12"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30</w:t>
            </w:r>
          </w:p>
        </w:tc>
        <w:tc>
          <w:tcPr>
            <w:tcW w:w="859" w:type="dxa"/>
            <w:tcBorders>
              <w:top w:val="single" w:sz="12" w:space="0" w:color="auto"/>
              <w:left w:val="nil"/>
              <w:bottom w:val="single" w:sz="8" w:space="0" w:color="auto"/>
              <w:right w:val="single" w:sz="8" w:space="0" w:color="auto"/>
            </w:tcBorders>
            <w:noWrap/>
            <w:vAlign w:val="center"/>
          </w:tcPr>
          <w:p w:rsidR="00A40165" w:rsidRPr="00E77046" w:rsidRDefault="00DF2F3B" w:rsidP="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7 851</w:t>
            </w:r>
          </w:p>
        </w:tc>
        <w:tc>
          <w:tcPr>
            <w:tcW w:w="851"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2</w:t>
            </w:r>
          </w:p>
        </w:tc>
        <w:tc>
          <w:tcPr>
            <w:tcW w:w="992" w:type="dxa"/>
            <w:tcBorders>
              <w:top w:val="single" w:sz="12"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3 102</w:t>
            </w:r>
          </w:p>
        </w:tc>
        <w:tc>
          <w:tcPr>
            <w:tcW w:w="709" w:type="dxa"/>
            <w:tcBorders>
              <w:top w:val="single" w:sz="12"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w:t>
            </w:r>
          </w:p>
        </w:tc>
        <w:tc>
          <w:tcPr>
            <w:tcW w:w="850" w:type="dxa"/>
            <w:tcBorders>
              <w:top w:val="single" w:sz="12"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w:t>
            </w:r>
          </w:p>
        </w:tc>
        <w:tc>
          <w:tcPr>
            <w:tcW w:w="709" w:type="dxa"/>
            <w:tcBorders>
              <w:top w:val="single" w:sz="12"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3</w:t>
            </w:r>
          </w:p>
        </w:tc>
        <w:tc>
          <w:tcPr>
            <w:tcW w:w="850" w:type="dxa"/>
            <w:tcBorders>
              <w:top w:val="single" w:sz="12"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837</w:t>
            </w:r>
          </w:p>
        </w:tc>
      </w:tr>
      <w:tr w:rsidR="00A40165" w:rsidRPr="00E77046">
        <w:trPr>
          <w:trHeight w:val="240"/>
        </w:trPr>
        <w:tc>
          <w:tcPr>
            <w:tcW w:w="2530" w:type="dxa"/>
            <w:tcBorders>
              <w:top w:val="single" w:sz="8" w:space="0" w:color="auto"/>
              <w:left w:val="single" w:sz="8" w:space="0" w:color="auto"/>
              <w:bottom w:val="single" w:sz="8" w:space="0" w:color="auto"/>
              <w:right w:val="single" w:sz="8" w:space="0" w:color="auto"/>
            </w:tcBorders>
            <w:noWrap/>
            <w:vAlign w:val="bottom"/>
          </w:tcPr>
          <w:p w:rsidR="00A40165" w:rsidRPr="00E77046" w:rsidRDefault="00C969E2" w:rsidP="00F74A59">
            <w:pPr>
              <w:spacing w:after="0" w:line="240" w:lineRule="auto"/>
              <w:jc w:val="center"/>
              <w:rPr>
                <w:rFonts w:ascii="Times New Roman" w:hAnsi="Times New Roman" w:cs="Times New Roman"/>
                <w:b/>
                <w:bCs/>
                <w:sz w:val="20"/>
                <w:szCs w:val="20"/>
                <w:lang w:eastAsia="sk-SK"/>
              </w:rPr>
            </w:pPr>
            <w:r>
              <w:rPr>
                <w:rFonts w:ascii="Times New Roman" w:hAnsi="Times New Roman" w:cs="Times New Roman"/>
                <w:b/>
                <w:bCs/>
                <w:sz w:val="20"/>
                <w:szCs w:val="20"/>
                <w:lang w:eastAsia="sk-SK"/>
              </w:rPr>
              <w:t>S</w:t>
            </w:r>
            <w:r w:rsidR="00A40165" w:rsidRPr="00E77046">
              <w:rPr>
                <w:rFonts w:ascii="Times New Roman" w:hAnsi="Times New Roman" w:cs="Times New Roman"/>
                <w:b/>
                <w:bCs/>
                <w:sz w:val="20"/>
                <w:szCs w:val="20"/>
                <w:lang w:eastAsia="sk-SK"/>
              </w:rPr>
              <w:t xml:space="preserve">polu iné fyz. </w:t>
            </w:r>
            <w:r w:rsidR="00F74A59">
              <w:rPr>
                <w:rFonts w:ascii="Times New Roman" w:hAnsi="Times New Roman" w:cs="Times New Roman"/>
                <w:b/>
                <w:bCs/>
                <w:sz w:val="20"/>
                <w:szCs w:val="20"/>
                <w:lang w:eastAsia="sk-SK"/>
              </w:rPr>
              <w:t xml:space="preserve">alebo </w:t>
            </w:r>
            <w:r w:rsidR="00A40165" w:rsidRPr="00E77046">
              <w:rPr>
                <w:rFonts w:ascii="Times New Roman" w:hAnsi="Times New Roman" w:cs="Times New Roman"/>
                <w:b/>
                <w:bCs/>
                <w:sz w:val="20"/>
                <w:szCs w:val="20"/>
                <w:lang w:eastAsia="sk-SK"/>
              </w:rPr>
              <w:t>práv. osoby</w:t>
            </w:r>
          </w:p>
        </w:tc>
        <w:tc>
          <w:tcPr>
            <w:tcW w:w="737" w:type="dxa"/>
            <w:tcBorders>
              <w:top w:val="single" w:sz="8"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34</w:t>
            </w:r>
          </w:p>
        </w:tc>
        <w:tc>
          <w:tcPr>
            <w:tcW w:w="859" w:type="dxa"/>
            <w:tcBorders>
              <w:top w:val="single" w:sz="8"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7 987</w:t>
            </w:r>
          </w:p>
        </w:tc>
        <w:tc>
          <w:tcPr>
            <w:tcW w:w="851" w:type="dxa"/>
            <w:tcBorders>
              <w:top w:val="single" w:sz="8"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w:t>
            </w:r>
          </w:p>
        </w:tc>
        <w:tc>
          <w:tcPr>
            <w:tcW w:w="992" w:type="dxa"/>
            <w:tcBorders>
              <w:top w:val="single" w:sz="8"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w:t>
            </w:r>
          </w:p>
        </w:tc>
        <w:tc>
          <w:tcPr>
            <w:tcW w:w="709" w:type="dxa"/>
            <w:tcBorders>
              <w:top w:val="single" w:sz="8"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4</w:t>
            </w:r>
          </w:p>
        </w:tc>
        <w:tc>
          <w:tcPr>
            <w:tcW w:w="850" w:type="dxa"/>
            <w:tcBorders>
              <w:top w:val="single" w:sz="8"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12</w:t>
            </w:r>
            <w:r w:rsidR="00DF2F3B" w:rsidRPr="00E77046">
              <w:rPr>
                <w:rFonts w:ascii="Times New Roman" w:hAnsi="Times New Roman" w:cs="Times New Roman"/>
                <w:b/>
                <w:bCs/>
                <w:sz w:val="20"/>
                <w:szCs w:val="20"/>
                <w:lang w:eastAsia="sk-SK"/>
              </w:rPr>
              <w:t>1</w:t>
            </w:r>
          </w:p>
        </w:tc>
        <w:tc>
          <w:tcPr>
            <w:tcW w:w="709" w:type="dxa"/>
            <w:tcBorders>
              <w:top w:val="single" w:sz="8" w:space="0" w:color="auto"/>
              <w:left w:val="nil"/>
              <w:bottom w:val="single" w:sz="8" w:space="0" w:color="auto"/>
              <w:right w:val="single" w:sz="8" w:space="0" w:color="auto"/>
            </w:tcBorders>
            <w:noWrap/>
            <w:vAlign w:val="center"/>
          </w:tcPr>
          <w:p w:rsidR="00A40165" w:rsidRPr="00E77046" w:rsidRDefault="00A40165">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1</w:t>
            </w:r>
          </w:p>
        </w:tc>
        <w:tc>
          <w:tcPr>
            <w:tcW w:w="850" w:type="dxa"/>
            <w:tcBorders>
              <w:top w:val="single" w:sz="8" w:space="0" w:color="auto"/>
              <w:left w:val="nil"/>
              <w:bottom w:val="single" w:sz="8" w:space="0" w:color="auto"/>
              <w:right w:val="single" w:sz="8" w:space="0" w:color="auto"/>
            </w:tcBorders>
            <w:noWrap/>
            <w:vAlign w:val="center"/>
          </w:tcPr>
          <w:p w:rsidR="00A40165" w:rsidRPr="00E77046" w:rsidRDefault="00DF2F3B">
            <w:pPr>
              <w:spacing w:after="0" w:line="240" w:lineRule="auto"/>
              <w:jc w:val="center"/>
              <w:rPr>
                <w:rFonts w:ascii="Times New Roman" w:hAnsi="Times New Roman" w:cs="Times New Roman"/>
                <w:b/>
                <w:bCs/>
                <w:sz w:val="20"/>
                <w:szCs w:val="20"/>
                <w:lang w:eastAsia="sk-SK"/>
              </w:rPr>
            </w:pPr>
            <w:r w:rsidRPr="00E77046">
              <w:rPr>
                <w:rFonts w:ascii="Times New Roman" w:hAnsi="Times New Roman" w:cs="Times New Roman"/>
                <w:b/>
                <w:bCs/>
                <w:sz w:val="20"/>
                <w:szCs w:val="20"/>
                <w:lang w:eastAsia="sk-SK"/>
              </w:rPr>
              <w:t>600</w:t>
            </w:r>
          </w:p>
        </w:tc>
      </w:tr>
    </w:tbl>
    <w:p w:rsidR="00A40165" w:rsidRDefault="00A40165">
      <w:pPr>
        <w:spacing w:after="0" w:line="240" w:lineRule="auto"/>
        <w:ind w:firstLine="709"/>
        <w:jc w:val="both"/>
        <w:rPr>
          <w:rFonts w:ascii="Times New Roman" w:hAnsi="Times New Roman" w:cs="Times New Roman"/>
          <w:sz w:val="24"/>
          <w:szCs w:val="24"/>
          <w:lang w:eastAsia="sk-SK"/>
        </w:rPr>
      </w:pPr>
    </w:p>
    <w:p w:rsidR="00A40165" w:rsidRDefault="00A40165">
      <w:pPr>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Výmery pozemkov v jednotlivých súdnych sporoch sú orientačné, pretože vychádzajú aj z evidencie vedenej v pozemkovoknižných vložkách, ktorá je v katastrálnych jutrách a štvorcových siahach. V niektorých súdnych sporoch nie sú výmery zo strany žalujúceho uvedené vôbec.</w:t>
      </w:r>
    </w:p>
    <w:p w:rsidR="00A40165" w:rsidRDefault="00A40165">
      <w:pPr>
        <w:spacing w:after="0" w:line="240" w:lineRule="auto"/>
        <w:ind w:firstLine="709"/>
        <w:jc w:val="both"/>
        <w:rPr>
          <w:rFonts w:ascii="Times New Roman" w:hAnsi="Times New Roman" w:cs="Times New Roman"/>
          <w:sz w:val="12"/>
          <w:szCs w:val="12"/>
          <w:lang w:eastAsia="sk-SK"/>
        </w:rPr>
      </w:pPr>
    </w:p>
    <w:p w:rsidR="00A40165" w:rsidRDefault="00A40165">
      <w:pPr>
        <w:pStyle w:val="Zarkazkladnhotextu2"/>
        <w:spacing w:before="0" w:after="0"/>
        <w:rPr>
          <w:rFonts w:ascii="Times New Roman" w:hAnsi="Times New Roman" w:cs="Times New Roman"/>
        </w:rPr>
      </w:pPr>
      <w:r>
        <w:rPr>
          <w:rFonts w:ascii="Times New Roman" w:hAnsi="Times New Roman" w:cs="Times New Roman"/>
        </w:rPr>
        <w:t xml:space="preserve">Na odstránenie nedostatku právnej úpravy aktívnej legitimácie ŠOLH pri podaní žaloby o určenie vlastníckeho práva evidovaného v katastri nehnuteľností na iného vlastníka, ako je Slovenská republika, pri ktorom ŠOLH tvrdí, že ide o vlastníctvo štátu, došlo v roku 2008 k novelizácii Občianskeho súdneho poriadku a zákonom č. 499/2009 Z. z., ktorým sa mení a dopĺňa zákon Slovenskej národnej rady č. 330/1991 Zb. bola uskutočnená úprava § 50 ods. 6 zákona č. 326/2005 Z. z. o lesoch v znení </w:t>
      </w:r>
      <w:r w:rsidR="005056A9">
        <w:rPr>
          <w:rFonts w:ascii="Times New Roman" w:hAnsi="Times New Roman" w:cs="Times New Roman"/>
        </w:rPr>
        <w:t>n</w:t>
      </w:r>
      <w:r>
        <w:rPr>
          <w:rFonts w:ascii="Times New Roman" w:hAnsi="Times New Roman" w:cs="Times New Roman"/>
        </w:rPr>
        <w:t xml:space="preserve">eskorších predpisov. Dosah tejto úpravy na súdnu prax ukáže nasledujúce obdobie. </w:t>
      </w:r>
    </w:p>
    <w:p w:rsidR="00A40165" w:rsidRDefault="00A40165">
      <w:pPr>
        <w:spacing w:after="0" w:line="240" w:lineRule="auto"/>
        <w:jc w:val="both"/>
        <w:rPr>
          <w:rFonts w:ascii="Times New Roman" w:hAnsi="Times New Roman" w:cs="Times New Roman"/>
          <w:sz w:val="24"/>
          <w:szCs w:val="24"/>
          <w:lang w:eastAsia="sk-SK"/>
        </w:rPr>
      </w:pPr>
    </w:p>
    <w:p w:rsidR="00BA6607" w:rsidRDefault="00BA6607">
      <w:pPr>
        <w:spacing w:after="0" w:line="240" w:lineRule="auto"/>
        <w:jc w:val="both"/>
        <w:rPr>
          <w:rFonts w:ascii="Times New Roman" w:hAnsi="Times New Roman" w:cs="Times New Roman"/>
          <w:sz w:val="24"/>
          <w:szCs w:val="24"/>
          <w:lang w:eastAsia="sk-SK"/>
        </w:rPr>
      </w:pPr>
    </w:p>
    <w:p w:rsidR="00A40165" w:rsidRDefault="00A40165">
      <w:pPr>
        <w:pStyle w:val="Odsekzoznamu"/>
        <w:spacing w:after="0" w:line="240" w:lineRule="auto"/>
        <w:ind w:left="0"/>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6. Návrh opatrení</w:t>
      </w:r>
    </w:p>
    <w:p w:rsidR="00A40165" w:rsidRDefault="00A40165">
      <w:pPr>
        <w:pStyle w:val="Odsekzoznamu"/>
        <w:spacing w:after="0" w:line="240" w:lineRule="auto"/>
        <w:ind w:left="0"/>
        <w:jc w:val="both"/>
        <w:rPr>
          <w:rFonts w:ascii="Times New Roman" w:hAnsi="Times New Roman" w:cs="Times New Roman"/>
          <w:b/>
          <w:bCs/>
          <w:sz w:val="24"/>
          <w:szCs w:val="24"/>
          <w:lang w:eastAsia="sk-SK"/>
        </w:rPr>
      </w:pPr>
    </w:p>
    <w:p w:rsidR="00A40165" w:rsidRDefault="00A40165">
      <w:pPr>
        <w:pStyle w:val="Zkladntext"/>
        <w:rPr>
          <w:rFonts w:ascii="Times New Roman" w:hAnsi="Times New Roman" w:cs="Times New Roman"/>
        </w:rPr>
      </w:pPr>
      <w:r>
        <w:rPr>
          <w:rFonts w:ascii="Times New Roman" w:hAnsi="Times New Roman" w:cs="Times New Roman"/>
        </w:rPr>
        <w:t>6.1. Aktualizovať prehľad známych vlastníkov lesných pozemkov, ktorí o usporiadanie užívacích práv nepožiadali na základe schválených ROEP. Prehľad zverejniť na internetových stránkach organizácií.</w:t>
      </w:r>
    </w:p>
    <w:p w:rsidR="00A40165" w:rsidRDefault="00A40165">
      <w:pPr>
        <w:spacing w:after="0" w:line="240" w:lineRule="auto"/>
        <w:jc w:val="both"/>
        <w:rPr>
          <w:rFonts w:ascii="Times New Roman" w:hAnsi="Times New Roman" w:cs="Times New Roman"/>
          <w:sz w:val="12"/>
          <w:szCs w:val="12"/>
          <w:lang w:eastAsia="sk-SK"/>
        </w:rPr>
      </w:pPr>
    </w:p>
    <w:p w:rsidR="00A40165" w:rsidRDefault="00A40165">
      <w:pPr>
        <w:spacing w:after="0" w:line="240" w:lineRule="auto"/>
        <w:ind w:left="4956"/>
        <w:jc w:val="both"/>
        <w:rPr>
          <w:rFonts w:ascii="Times New Roman" w:hAnsi="Times New Roman" w:cs="Times New Roman"/>
          <w:sz w:val="24"/>
          <w:szCs w:val="24"/>
          <w:lang w:eastAsia="sk-SK"/>
        </w:rPr>
      </w:pPr>
      <w:r>
        <w:rPr>
          <w:rFonts w:ascii="Times New Roman" w:hAnsi="Times New Roman" w:cs="Times New Roman"/>
          <w:sz w:val="24"/>
          <w:szCs w:val="24"/>
          <w:lang w:eastAsia="sk-SK"/>
        </w:rPr>
        <w:t>Termín: do 31</w:t>
      </w:r>
      <w:r w:rsidR="00DB1F5C">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decembra 2015</w:t>
      </w:r>
    </w:p>
    <w:p w:rsidR="00A40165" w:rsidRDefault="00A40165">
      <w:pPr>
        <w:tabs>
          <w:tab w:val="left" w:pos="3912"/>
        </w:tabs>
        <w:spacing w:after="0" w:line="240" w:lineRule="auto"/>
        <w:ind w:left="4956"/>
        <w:jc w:val="both"/>
        <w:rPr>
          <w:rFonts w:ascii="Times New Roman" w:hAnsi="Times New Roman" w:cs="Times New Roman"/>
          <w:sz w:val="24"/>
          <w:szCs w:val="24"/>
          <w:lang w:eastAsia="sk-SK"/>
        </w:rPr>
      </w:pPr>
      <w:r>
        <w:rPr>
          <w:rFonts w:ascii="Times New Roman" w:hAnsi="Times New Roman" w:cs="Times New Roman"/>
          <w:sz w:val="24"/>
          <w:szCs w:val="24"/>
          <w:lang w:eastAsia="sk-SK"/>
        </w:rPr>
        <w:t>Zodpovední: riaditelia ŠOLH</w:t>
      </w:r>
      <w:r>
        <w:rPr>
          <w:rFonts w:ascii="Times New Roman" w:hAnsi="Times New Roman" w:cs="Times New Roman"/>
          <w:sz w:val="24"/>
          <w:szCs w:val="24"/>
          <w:lang w:eastAsia="sk-SK"/>
        </w:rPr>
        <w:tab/>
      </w:r>
    </w:p>
    <w:p w:rsidR="00A40165" w:rsidRDefault="00A40165">
      <w:pPr>
        <w:tabs>
          <w:tab w:val="left" w:pos="3912"/>
        </w:tabs>
        <w:spacing w:after="0" w:line="240" w:lineRule="auto"/>
        <w:ind w:left="5664"/>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6.2. Pokračovať v zosúlaďovaní nájomných vzťahov, ktoré vznikli na základe § 22 ods. 2 zákona č. 229/1991 Zb. s ustanovením § 23 zákona č. 504/2003 Z. z. </w:t>
      </w:r>
    </w:p>
    <w:p w:rsidR="00A40165" w:rsidRDefault="00A40165">
      <w:pPr>
        <w:spacing w:after="0" w:line="240" w:lineRule="auto"/>
        <w:jc w:val="both"/>
        <w:rPr>
          <w:rFonts w:ascii="Times New Roman" w:hAnsi="Times New Roman" w:cs="Times New Roman"/>
          <w:sz w:val="12"/>
          <w:szCs w:val="12"/>
          <w:lang w:eastAsia="sk-SK"/>
        </w:rPr>
      </w:pPr>
    </w:p>
    <w:p w:rsidR="00A40165" w:rsidRDefault="00A40165">
      <w:pPr>
        <w:spacing w:after="0" w:line="240" w:lineRule="auto"/>
        <w:ind w:left="4956"/>
        <w:jc w:val="both"/>
        <w:rPr>
          <w:rFonts w:ascii="Times New Roman" w:hAnsi="Times New Roman" w:cs="Times New Roman"/>
          <w:sz w:val="24"/>
          <w:szCs w:val="24"/>
          <w:lang w:eastAsia="sk-SK"/>
        </w:rPr>
      </w:pPr>
      <w:r>
        <w:rPr>
          <w:rFonts w:ascii="Times New Roman" w:hAnsi="Times New Roman" w:cs="Times New Roman"/>
          <w:sz w:val="24"/>
          <w:szCs w:val="24"/>
          <w:lang w:eastAsia="sk-SK"/>
        </w:rPr>
        <w:t>Termín: do 31</w:t>
      </w:r>
      <w:r w:rsidR="00DB1F5C">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decembra 2015</w:t>
      </w:r>
    </w:p>
    <w:p w:rsidR="00A40165" w:rsidRDefault="00A40165">
      <w:pPr>
        <w:spacing w:after="0" w:line="240" w:lineRule="auto"/>
        <w:ind w:left="4956"/>
        <w:jc w:val="both"/>
        <w:rPr>
          <w:rFonts w:ascii="Times New Roman" w:hAnsi="Times New Roman" w:cs="Times New Roman"/>
          <w:sz w:val="24"/>
          <w:szCs w:val="24"/>
          <w:lang w:eastAsia="sk-SK"/>
        </w:rPr>
      </w:pPr>
      <w:r>
        <w:rPr>
          <w:rFonts w:ascii="Times New Roman" w:hAnsi="Times New Roman" w:cs="Times New Roman"/>
          <w:sz w:val="24"/>
          <w:szCs w:val="24"/>
          <w:lang w:eastAsia="sk-SK"/>
        </w:rPr>
        <w:t>Zodpovední: riaditelia ŠOLH</w:t>
      </w:r>
    </w:p>
    <w:p w:rsidR="00A40165" w:rsidRDefault="00A40165">
      <w:pPr>
        <w:spacing w:after="0" w:line="240" w:lineRule="auto"/>
        <w:ind w:firstLine="708"/>
        <w:jc w:val="both"/>
        <w:rPr>
          <w:rFonts w:ascii="Times New Roman" w:hAnsi="Times New Roman" w:cs="Times New Roman"/>
          <w:sz w:val="24"/>
          <w:szCs w:val="24"/>
          <w:lang w:eastAsia="sk-SK"/>
        </w:rPr>
      </w:pPr>
    </w:p>
    <w:p w:rsidR="00A40165" w:rsidRDefault="00A40165">
      <w:pPr>
        <w:pStyle w:val="Zkladntext"/>
        <w:rPr>
          <w:rFonts w:ascii="Times New Roman" w:hAnsi="Times New Roman" w:cs="Times New Roman"/>
        </w:rPr>
      </w:pPr>
      <w:r>
        <w:rPr>
          <w:rFonts w:ascii="Times New Roman" w:hAnsi="Times New Roman" w:cs="Times New Roman"/>
        </w:rPr>
        <w:lastRenderedPageBreak/>
        <w:t>6.3. Zosúladiť obhospodarovanie pozemkov neznámych vlastníkov, ktoré boli podľa § 22a ods. 1 zákona č. 229/1991 Zb. odovzdané v ucelených lesných častiach s § 34 zákona č. 330/1991 Zb. a s § 18 zákona č. 229/1991 Zb.</w:t>
      </w:r>
    </w:p>
    <w:p w:rsidR="00A40165" w:rsidRDefault="00A40165">
      <w:pPr>
        <w:spacing w:after="0" w:line="240" w:lineRule="auto"/>
        <w:ind w:left="4248" w:firstLine="708"/>
        <w:jc w:val="both"/>
        <w:rPr>
          <w:rFonts w:ascii="Times New Roman" w:hAnsi="Times New Roman" w:cs="Times New Roman"/>
          <w:sz w:val="12"/>
          <w:szCs w:val="12"/>
          <w:lang w:eastAsia="sk-SK"/>
        </w:rPr>
      </w:pPr>
    </w:p>
    <w:p w:rsidR="00A40165" w:rsidRDefault="00A40165">
      <w:pPr>
        <w:spacing w:after="0" w:line="240" w:lineRule="auto"/>
        <w:ind w:left="4248"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Termín: do 31. decembra 2015</w:t>
      </w:r>
    </w:p>
    <w:p w:rsidR="00A40165" w:rsidRDefault="00A40165">
      <w:pPr>
        <w:spacing w:after="0" w:line="240" w:lineRule="auto"/>
        <w:ind w:left="4956"/>
        <w:jc w:val="both"/>
        <w:rPr>
          <w:rFonts w:ascii="Times New Roman" w:hAnsi="Times New Roman" w:cs="Times New Roman"/>
          <w:sz w:val="24"/>
          <w:szCs w:val="24"/>
          <w:lang w:eastAsia="sk-SK"/>
        </w:rPr>
      </w:pPr>
      <w:r>
        <w:rPr>
          <w:rFonts w:ascii="Times New Roman" w:hAnsi="Times New Roman" w:cs="Times New Roman"/>
          <w:sz w:val="24"/>
          <w:szCs w:val="24"/>
          <w:lang w:eastAsia="sk-SK"/>
        </w:rPr>
        <w:t>Zodpovední: riaditelia ŠOLH</w:t>
      </w:r>
    </w:p>
    <w:p w:rsidR="00C751DA" w:rsidRDefault="00C751DA">
      <w:pPr>
        <w:spacing w:after="0" w:line="240" w:lineRule="auto"/>
        <w:ind w:left="4956"/>
        <w:jc w:val="both"/>
        <w:rPr>
          <w:rFonts w:ascii="Times New Roman" w:hAnsi="Times New Roman" w:cs="Times New Roman"/>
          <w:sz w:val="24"/>
          <w:szCs w:val="24"/>
          <w:lang w:eastAsia="sk-SK"/>
        </w:rPr>
      </w:pPr>
    </w:p>
    <w:p w:rsidR="00A40165" w:rsidRDefault="00A40165">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6.4. Vykonať štátny dozor na úseku transformácie vlastníckych vzťahov k lesným pozemkom v LPM Ulič, š. p., ŠL TANAP a v </w:t>
      </w:r>
      <w:r w:rsidR="00A64E0F">
        <w:rPr>
          <w:rFonts w:ascii="Times New Roman" w:hAnsi="Times New Roman" w:cs="Times New Roman"/>
          <w:sz w:val="24"/>
          <w:szCs w:val="24"/>
          <w:lang w:eastAsia="sk-SK"/>
        </w:rPr>
        <w:t>štyroch</w:t>
      </w:r>
      <w:r>
        <w:rPr>
          <w:rFonts w:ascii="Times New Roman" w:hAnsi="Times New Roman" w:cs="Times New Roman"/>
          <w:sz w:val="24"/>
          <w:szCs w:val="24"/>
          <w:lang w:eastAsia="sk-SK"/>
        </w:rPr>
        <w:t xml:space="preserve"> odštepných závodoch LES</w:t>
      </w:r>
      <w:r w:rsidR="003B34F9">
        <w:rPr>
          <w:rFonts w:ascii="Times New Roman" w:hAnsi="Times New Roman" w:cs="Times New Roman"/>
          <w:sz w:val="24"/>
          <w:szCs w:val="24"/>
          <w:lang w:eastAsia="sk-SK"/>
        </w:rPr>
        <w:t>Y</w:t>
      </w:r>
      <w:r>
        <w:rPr>
          <w:rFonts w:ascii="Times New Roman" w:hAnsi="Times New Roman" w:cs="Times New Roman"/>
          <w:sz w:val="24"/>
          <w:szCs w:val="24"/>
          <w:lang w:eastAsia="sk-SK"/>
        </w:rPr>
        <w:t xml:space="preserve"> SR, š. p.</w:t>
      </w:r>
    </w:p>
    <w:p w:rsidR="00A40165" w:rsidRDefault="00A40165">
      <w:pPr>
        <w:spacing w:after="0" w:line="240" w:lineRule="auto"/>
        <w:jc w:val="both"/>
        <w:rPr>
          <w:rFonts w:ascii="Times New Roman" w:hAnsi="Times New Roman" w:cs="Times New Roman"/>
          <w:sz w:val="12"/>
          <w:szCs w:val="12"/>
          <w:lang w:eastAsia="sk-SK"/>
        </w:rPr>
      </w:pPr>
    </w:p>
    <w:p w:rsidR="00A40165" w:rsidRDefault="00A40165">
      <w:pPr>
        <w:spacing w:after="0" w:line="240" w:lineRule="auto"/>
        <w:ind w:left="4956"/>
        <w:jc w:val="both"/>
        <w:rPr>
          <w:rFonts w:ascii="Times New Roman" w:hAnsi="Times New Roman" w:cs="Times New Roman"/>
          <w:sz w:val="24"/>
          <w:szCs w:val="24"/>
          <w:lang w:eastAsia="sk-SK"/>
        </w:rPr>
      </w:pPr>
      <w:r>
        <w:rPr>
          <w:rFonts w:ascii="Times New Roman" w:hAnsi="Times New Roman" w:cs="Times New Roman"/>
          <w:sz w:val="24"/>
          <w:szCs w:val="24"/>
          <w:lang w:eastAsia="sk-SK"/>
        </w:rPr>
        <w:t>Termín: do 31. decembra 201</w:t>
      </w:r>
      <w:r w:rsidR="00A64E0F">
        <w:rPr>
          <w:rFonts w:ascii="Times New Roman" w:hAnsi="Times New Roman" w:cs="Times New Roman"/>
          <w:sz w:val="24"/>
          <w:szCs w:val="24"/>
          <w:lang w:eastAsia="sk-SK"/>
        </w:rPr>
        <w:t>5</w:t>
      </w:r>
    </w:p>
    <w:p w:rsidR="00A40165" w:rsidRDefault="00A40165">
      <w:pPr>
        <w:spacing w:after="0" w:line="240" w:lineRule="auto"/>
        <w:ind w:left="4956"/>
        <w:jc w:val="both"/>
        <w:rPr>
          <w:rFonts w:ascii="Times New Roman" w:hAnsi="Times New Roman" w:cs="Times New Roman"/>
          <w:sz w:val="24"/>
          <w:szCs w:val="24"/>
          <w:lang w:eastAsia="sk-SK"/>
        </w:rPr>
      </w:pPr>
      <w:r>
        <w:rPr>
          <w:rFonts w:ascii="Times New Roman" w:hAnsi="Times New Roman" w:cs="Times New Roman"/>
          <w:sz w:val="24"/>
          <w:szCs w:val="24"/>
          <w:lang w:eastAsia="sk-SK"/>
        </w:rPr>
        <w:t>Zodpovedný: generálny riaditeľ sekcie lesného hospodárstva a spracovania dreva</w:t>
      </w:r>
    </w:p>
    <w:p w:rsidR="00A40165" w:rsidRDefault="00A40165">
      <w:pPr>
        <w:spacing w:after="0" w:line="240" w:lineRule="auto"/>
        <w:jc w:val="both"/>
        <w:rPr>
          <w:rFonts w:ascii="Times New Roman" w:hAnsi="Times New Roman" w:cs="Times New Roman"/>
          <w:sz w:val="24"/>
          <w:szCs w:val="24"/>
          <w:lang w:eastAsia="sk-SK"/>
        </w:rPr>
      </w:pPr>
    </w:p>
    <w:p w:rsidR="00C8506E" w:rsidRPr="000634E8" w:rsidRDefault="00A40165">
      <w:pPr>
        <w:pStyle w:val="Zkladntext"/>
        <w:rPr>
          <w:rFonts w:ascii="Times New Roman" w:hAnsi="Times New Roman" w:cs="Times New Roman"/>
        </w:rPr>
      </w:pPr>
      <w:r w:rsidRPr="00A97C97">
        <w:rPr>
          <w:rFonts w:ascii="Times New Roman" w:hAnsi="Times New Roman" w:cs="Times New Roman"/>
        </w:rPr>
        <w:t xml:space="preserve">6.5. </w:t>
      </w:r>
      <w:r w:rsidRPr="00322CE2">
        <w:rPr>
          <w:rFonts w:ascii="Times New Roman" w:hAnsi="Times New Roman" w:cs="Times New Roman"/>
        </w:rPr>
        <w:t xml:space="preserve">Zrušiť </w:t>
      </w:r>
      <w:r w:rsidR="004413D3" w:rsidRPr="00322CE2">
        <w:rPr>
          <w:rFonts w:ascii="Times New Roman" w:hAnsi="Times New Roman" w:cs="Times New Roman"/>
        </w:rPr>
        <w:t xml:space="preserve">opatrenie </w:t>
      </w:r>
      <w:r w:rsidRPr="00322CE2">
        <w:rPr>
          <w:rFonts w:ascii="Times New Roman" w:hAnsi="Times New Roman" w:cs="Times New Roman"/>
        </w:rPr>
        <w:t>B.4. uznesenia vlády Slovenskej republiky č. 395 z 1. augusta 2012</w:t>
      </w:r>
      <w:r w:rsidR="00C8506E" w:rsidRPr="00322CE2">
        <w:rPr>
          <w:rFonts w:ascii="Times New Roman" w:hAnsi="Times New Roman" w:cs="Times New Roman"/>
        </w:rPr>
        <w:t xml:space="preserve">, </w:t>
      </w:r>
      <w:r w:rsidR="004413D3" w:rsidRPr="00322CE2">
        <w:rPr>
          <w:rFonts w:ascii="Times New Roman" w:hAnsi="Times New Roman" w:cs="Times New Roman"/>
        </w:rPr>
        <w:t>ktorým bola uložená rovnaká povinnosť s plnením ako v návrhu opatren</w:t>
      </w:r>
      <w:r w:rsidR="00C8506E" w:rsidRPr="00322CE2">
        <w:rPr>
          <w:rFonts w:ascii="Times New Roman" w:hAnsi="Times New Roman" w:cs="Times New Roman"/>
        </w:rPr>
        <w:t>ia</w:t>
      </w:r>
      <w:r w:rsidR="004413D3" w:rsidRPr="00322CE2">
        <w:rPr>
          <w:rFonts w:ascii="Times New Roman" w:hAnsi="Times New Roman" w:cs="Times New Roman"/>
        </w:rPr>
        <w:t xml:space="preserve"> uveden</w:t>
      </w:r>
      <w:r w:rsidR="00C8506E" w:rsidRPr="00322CE2">
        <w:rPr>
          <w:rFonts w:ascii="Times New Roman" w:hAnsi="Times New Roman" w:cs="Times New Roman"/>
        </w:rPr>
        <w:t>om</w:t>
      </w:r>
      <w:r w:rsidR="004413D3" w:rsidRPr="00322CE2">
        <w:rPr>
          <w:rFonts w:ascii="Times New Roman" w:hAnsi="Times New Roman" w:cs="Times New Roman"/>
        </w:rPr>
        <w:t xml:space="preserve"> v tejto správe</w:t>
      </w:r>
      <w:r w:rsidR="002A2BCF">
        <w:rPr>
          <w:rFonts w:ascii="Times New Roman" w:hAnsi="Times New Roman" w:cs="Times New Roman"/>
        </w:rPr>
        <w:t xml:space="preserve"> </w:t>
      </w:r>
      <w:r w:rsidR="004413D3" w:rsidRPr="00322CE2">
        <w:rPr>
          <w:rFonts w:ascii="Times New Roman" w:hAnsi="Times New Roman" w:cs="Times New Roman"/>
        </w:rPr>
        <w:t>pod</w:t>
      </w:r>
      <w:r w:rsidR="00935CC1" w:rsidRPr="00322CE2">
        <w:rPr>
          <w:rFonts w:ascii="Times New Roman" w:hAnsi="Times New Roman" w:cs="Times New Roman"/>
        </w:rPr>
        <w:t xml:space="preserve"> bodom</w:t>
      </w:r>
      <w:r w:rsidR="004413D3" w:rsidRPr="00322CE2">
        <w:rPr>
          <w:rFonts w:ascii="Times New Roman" w:hAnsi="Times New Roman" w:cs="Times New Roman"/>
        </w:rPr>
        <w:t xml:space="preserve"> 6.2.</w:t>
      </w:r>
      <w:r w:rsidR="000634E8">
        <w:rPr>
          <w:rFonts w:ascii="Times New Roman" w:hAnsi="Times New Roman" w:cs="Times New Roman"/>
        </w:rPr>
        <w:t>,</w:t>
      </w:r>
      <w:r w:rsidR="004413D3" w:rsidRPr="00322CE2">
        <w:rPr>
          <w:rFonts w:ascii="Times New Roman" w:hAnsi="Times New Roman" w:cs="Times New Roman"/>
        </w:rPr>
        <w:t xml:space="preserve"> </w:t>
      </w:r>
      <w:r w:rsidR="00C8506E" w:rsidRPr="00322CE2">
        <w:rPr>
          <w:rFonts w:ascii="Times New Roman" w:hAnsi="Times New Roman" w:cs="Times New Roman"/>
        </w:rPr>
        <w:t xml:space="preserve">zrušiť </w:t>
      </w:r>
      <w:r w:rsidRPr="00322CE2">
        <w:rPr>
          <w:rFonts w:ascii="Times New Roman" w:hAnsi="Times New Roman" w:cs="Times New Roman"/>
        </w:rPr>
        <w:t>opatreni</w:t>
      </w:r>
      <w:r w:rsidR="00A64E0F" w:rsidRPr="00322CE2">
        <w:rPr>
          <w:rFonts w:ascii="Times New Roman" w:hAnsi="Times New Roman" w:cs="Times New Roman"/>
        </w:rPr>
        <w:t>e</w:t>
      </w:r>
      <w:r w:rsidR="00C8506E" w:rsidRPr="00322CE2">
        <w:rPr>
          <w:rFonts w:ascii="Times New Roman" w:hAnsi="Times New Roman" w:cs="Times New Roman"/>
        </w:rPr>
        <w:t xml:space="preserve"> </w:t>
      </w:r>
      <w:r w:rsidR="00A64E0F" w:rsidRPr="00322CE2">
        <w:rPr>
          <w:rFonts w:ascii="Times New Roman" w:hAnsi="Times New Roman" w:cs="Times New Roman"/>
        </w:rPr>
        <w:t xml:space="preserve">B.1. </w:t>
      </w:r>
      <w:r w:rsidRPr="00322CE2">
        <w:rPr>
          <w:rFonts w:ascii="Times New Roman" w:hAnsi="Times New Roman" w:cs="Times New Roman"/>
        </w:rPr>
        <w:t>uznesenia vlády Slovenskej republiky</w:t>
      </w:r>
      <w:r w:rsidR="002A2BCF">
        <w:rPr>
          <w:rFonts w:ascii="Times New Roman" w:hAnsi="Times New Roman" w:cs="Times New Roman"/>
        </w:rPr>
        <w:br/>
      </w:r>
      <w:r w:rsidRPr="00322CE2">
        <w:rPr>
          <w:rFonts w:ascii="Times New Roman" w:hAnsi="Times New Roman" w:cs="Times New Roman"/>
        </w:rPr>
        <w:t>č. 450</w:t>
      </w:r>
      <w:r w:rsidR="002A2BCF">
        <w:rPr>
          <w:rFonts w:ascii="Times New Roman" w:hAnsi="Times New Roman" w:cs="Times New Roman"/>
        </w:rPr>
        <w:t xml:space="preserve"> </w:t>
      </w:r>
      <w:r w:rsidRPr="00322CE2">
        <w:rPr>
          <w:rFonts w:ascii="Times New Roman" w:hAnsi="Times New Roman" w:cs="Times New Roman"/>
        </w:rPr>
        <w:t>z 21. augusta 2013</w:t>
      </w:r>
      <w:r w:rsidR="000634E8">
        <w:rPr>
          <w:rFonts w:ascii="Times New Roman" w:hAnsi="Times New Roman" w:cs="Times New Roman"/>
        </w:rPr>
        <w:t xml:space="preserve"> </w:t>
      </w:r>
      <w:r w:rsidR="000634E8" w:rsidRPr="000634E8">
        <w:rPr>
          <w:rFonts w:ascii="Times New Roman" w:hAnsi="Times New Roman" w:cs="Times New Roman"/>
        </w:rPr>
        <w:t xml:space="preserve">a zrušiť opatrenie </w:t>
      </w:r>
      <w:r w:rsidRPr="000634E8">
        <w:rPr>
          <w:rFonts w:ascii="Times New Roman" w:hAnsi="Times New Roman" w:cs="Times New Roman"/>
        </w:rPr>
        <w:t xml:space="preserve"> </w:t>
      </w:r>
      <w:r w:rsidR="000634E8" w:rsidRPr="000634E8">
        <w:rPr>
          <w:rFonts w:ascii="Times New Roman" w:hAnsi="Times New Roman" w:cs="Times New Roman"/>
        </w:rPr>
        <w:t>C.5. uznesenia vlády Slovenskej republiky</w:t>
      </w:r>
      <w:r w:rsidR="000634E8">
        <w:rPr>
          <w:rFonts w:ascii="Times New Roman" w:hAnsi="Times New Roman" w:cs="Times New Roman"/>
        </w:rPr>
        <w:br/>
      </w:r>
      <w:r w:rsidR="000634E8" w:rsidRPr="000634E8">
        <w:rPr>
          <w:rFonts w:ascii="Times New Roman" w:hAnsi="Times New Roman" w:cs="Times New Roman"/>
        </w:rPr>
        <w:t>č. 353 z 9. júla 2014.</w:t>
      </w:r>
    </w:p>
    <w:sectPr w:rsidR="00C8506E" w:rsidRPr="000634E8" w:rsidSect="00A40165">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F8" w:rsidRDefault="00333CF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33CF8" w:rsidRDefault="00333CF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29" w:rsidRDefault="00577229">
    <w:pPr>
      <w:pStyle w:val="Pta"/>
      <w:framePr w:wrap="auto" w:vAnchor="text" w:hAnchor="margin" w:xAlign="center" w:y="1"/>
      <w:rPr>
        <w:rStyle w:val="slostrany"/>
        <w:sz w:val="18"/>
        <w:szCs w:val="18"/>
      </w:rPr>
    </w:pPr>
    <w:r>
      <w:rPr>
        <w:rStyle w:val="slostrany"/>
        <w:sz w:val="18"/>
        <w:szCs w:val="18"/>
      </w:rPr>
      <w:fldChar w:fldCharType="begin"/>
    </w:r>
    <w:r>
      <w:rPr>
        <w:rStyle w:val="slostrany"/>
        <w:sz w:val="18"/>
        <w:szCs w:val="18"/>
      </w:rPr>
      <w:instrText xml:space="preserve">PAGE  </w:instrText>
    </w:r>
    <w:r>
      <w:rPr>
        <w:rStyle w:val="slostrany"/>
        <w:sz w:val="18"/>
        <w:szCs w:val="18"/>
      </w:rPr>
      <w:fldChar w:fldCharType="separate"/>
    </w:r>
    <w:r w:rsidR="00C859CD">
      <w:rPr>
        <w:rStyle w:val="slostrany"/>
        <w:noProof/>
        <w:sz w:val="18"/>
        <w:szCs w:val="18"/>
      </w:rPr>
      <w:t>14</w:t>
    </w:r>
    <w:r>
      <w:rPr>
        <w:rStyle w:val="slostrany"/>
        <w:sz w:val="18"/>
        <w:szCs w:val="18"/>
      </w:rPr>
      <w:fldChar w:fldCharType="end"/>
    </w:r>
  </w:p>
  <w:p w:rsidR="00577229" w:rsidRDefault="00577229">
    <w:pPr>
      <w:pStyle w:val="Pta"/>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F8" w:rsidRDefault="00333CF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33CF8" w:rsidRDefault="00333CF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27D8E"/>
    <w:lvl w:ilvl="0">
      <w:numFmt w:val="bullet"/>
      <w:lvlText w:val="*"/>
      <w:lvlJc w:val="left"/>
    </w:lvl>
  </w:abstractNum>
  <w:abstractNum w:abstractNumId="1">
    <w:nsid w:val="06CF70B8"/>
    <w:multiLevelType w:val="multilevel"/>
    <w:tmpl w:val="E148287C"/>
    <w:lvl w:ilvl="0">
      <w:start w:val="1"/>
      <w:numFmt w:val="decimal"/>
      <w:lvlText w:val="%1."/>
      <w:lvlJc w:val="left"/>
      <w:pPr>
        <w:ind w:left="360" w:hanging="360"/>
      </w:pPr>
      <w:rPr>
        <w:rFonts w:ascii="Times New Roman" w:hAnsi="Times New Roman" w:cs="Times New Roman"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nsid w:val="1553390C"/>
    <w:multiLevelType w:val="hybridMultilevel"/>
    <w:tmpl w:val="738E856E"/>
    <w:lvl w:ilvl="0" w:tplc="041B0001">
      <w:start w:val="1"/>
      <w:numFmt w:val="bullet"/>
      <w:lvlText w:val=""/>
      <w:lvlJc w:val="left"/>
      <w:pPr>
        <w:tabs>
          <w:tab w:val="num" w:pos="1428"/>
        </w:tabs>
        <w:ind w:left="1428" w:hanging="360"/>
      </w:pPr>
      <w:rPr>
        <w:rFonts w:ascii="Symbol" w:hAnsi="Symbol" w:cs="Symbol" w:hint="default"/>
      </w:rPr>
    </w:lvl>
    <w:lvl w:ilvl="1" w:tplc="041B0003">
      <w:start w:val="1"/>
      <w:numFmt w:val="bullet"/>
      <w:lvlText w:val="o"/>
      <w:lvlJc w:val="left"/>
      <w:pPr>
        <w:tabs>
          <w:tab w:val="num" w:pos="2148"/>
        </w:tabs>
        <w:ind w:left="2148" w:hanging="360"/>
      </w:pPr>
      <w:rPr>
        <w:rFonts w:ascii="Courier New" w:hAnsi="Courier New" w:cs="Courier New" w:hint="default"/>
      </w:rPr>
    </w:lvl>
    <w:lvl w:ilvl="2" w:tplc="041B0005">
      <w:start w:val="1"/>
      <w:numFmt w:val="bullet"/>
      <w:lvlText w:val=""/>
      <w:lvlJc w:val="left"/>
      <w:pPr>
        <w:tabs>
          <w:tab w:val="num" w:pos="2868"/>
        </w:tabs>
        <w:ind w:left="2868" w:hanging="360"/>
      </w:pPr>
      <w:rPr>
        <w:rFonts w:ascii="Wingdings" w:hAnsi="Wingdings" w:cs="Wingdings" w:hint="default"/>
      </w:rPr>
    </w:lvl>
    <w:lvl w:ilvl="3" w:tplc="041B0001">
      <w:start w:val="1"/>
      <w:numFmt w:val="bullet"/>
      <w:lvlText w:val=""/>
      <w:lvlJc w:val="left"/>
      <w:pPr>
        <w:tabs>
          <w:tab w:val="num" w:pos="3588"/>
        </w:tabs>
        <w:ind w:left="3588" w:hanging="360"/>
      </w:pPr>
      <w:rPr>
        <w:rFonts w:ascii="Symbol" w:hAnsi="Symbol" w:cs="Symbol" w:hint="default"/>
      </w:rPr>
    </w:lvl>
    <w:lvl w:ilvl="4" w:tplc="041B0003">
      <w:start w:val="1"/>
      <w:numFmt w:val="bullet"/>
      <w:lvlText w:val="o"/>
      <w:lvlJc w:val="left"/>
      <w:pPr>
        <w:tabs>
          <w:tab w:val="num" w:pos="4308"/>
        </w:tabs>
        <w:ind w:left="4308" w:hanging="360"/>
      </w:pPr>
      <w:rPr>
        <w:rFonts w:ascii="Courier New" w:hAnsi="Courier New" w:cs="Courier New" w:hint="default"/>
      </w:rPr>
    </w:lvl>
    <w:lvl w:ilvl="5" w:tplc="041B0005">
      <w:start w:val="1"/>
      <w:numFmt w:val="bullet"/>
      <w:lvlText w:val=""/>
      <w:lvlJc w:val="left"/>
      <w:pPr>
        <w:tabs>
          <w:tab w:val="num" w:pos="5028"/>
        </w:tabs>
        <w:ind w:left="5028" w:hanging="360"/>
      </w:pPr>
      <w:rPr>
        <w:rFonts w:ascii="Wingdings" w:hAnsi="Wingdings" w:cs="Wingdings" w:hint="default"/>
      </w:rPr>
    </w:lvl>
    <w:lvl w:ilvl="6" w:tplc="041B0001">
      <w:start w:val="1"/>
      <w:numFmt w:val="bullet"/>
      <w:lvlText w:val=""/>
      <w:lvlJc w:val="left"/>
      <w:pPr>
        <w:tabs>
          <w:tab w:val="num" w:pos="5748"/>
        </w:tabs>
        <w:ind w:left="5748" w:hanging="360"/>
      </w:pPr>
      <w:rPr>
        <w:rFonts w:ascii="Symbol" w:hAnsi="Symbol" w:cs="Symbol" w:hint="default"/>
      </w:rPr>
    </w:lvl>
    <w:lvl w:ilvl="7" w:tplc="041B0003">
      <w:start w:val="1"/>
      <w:numFmt w:val="bullet"/>
      <w:lvlText w:val="o"/>
      <w:lvlJc w:val="left"/>
      <w:pPr>
        <w:tabs>
          <w:tab w:val="num" w:pos="6468"/>
        </w:tabs>
        <w:ind w:left="6468" w:hanging="360"/>
      </w:pPr>
      <w:rPr>
        <w:rFonts w:ascii="Courier New" w:hAnsi="Courier New" w:cs="Courier New" w:hint="default"/>
      </w:rPr>
    </w:lvl>
    <w:lvl w:ilvl="8" w:tplc="041B0005">
      <w:start w:val="1"/>
      <w:numFmt w:val="bullet"/>
      <w:lvlText w:val=""/>
      <w:lvlJc w:val="left"/>
      <w:pPr>
        <w:tabs>
          <w:tab w:val="num" w:pos="7188"/>
        </w:tabs>
        <w:ind w:left="7188" w:hanging="360"/>
      </w:pPr>
      <w:rPr>
        <w:rFonts w:ascii="Wingdings" w:hAnsi="Wingdings" w:cs="Wingdings" w:hint="default"/>
      </w:rPr>
    </w:lvl>
  </w:abstractNum>
  <w:abstractNum w:abstractNumId="3">
    <w:nsid w:val="1737404E"/>
    <w:multiLevelType w:val="hybridMultilevel"/>
    <w:tmpl w:val="015C950A"/>
    <w:lvl w:ilvl="0" w:tplc="041B0001">
      <w:numFmt w:val="bullet"/>
      <w:lvlText w:val=""/>
      <w:lvlJc w:val="left"/>
      <w:pPr>
        <w:tabs>
          <w:tab w:val="num" w:pos="540"/>
        </w:tabs>
        <w:ind w:left="54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2E32622C"/>
    <w:multiLevelType w:val="hybridMultilevel"/>
    <w:tmpl w:val="FAB8FF50"/>
    <w:lvl w:ilvl="0" w:tplc="041B0001">
      <w:start w:val="1"/>
      <w:numFmt w:val="bullet"/>
      <w:lvlText w:val=""/>
      <w:lvlJc w:val="left"/>
      <w:pPr>
        <w:tabs>
          <w:tab w:val="num" w:pos="1428"/>
        </w:tabs>
        <w:ind w:left="1428" w:hanging="360"/>
      </w:pPr>
      <w:rPr>
        <w:rFonts w:ascii="Symbol" w:hAnsi="Symbol" w:cs="Symbol" w:hint="default"/>
      </w:rPr>
    </w:lvl>
    <w:lvl w:ilvl="1" w:tplc="041B0003">
      <w:start w:val="1"/>
      <w:numFmt w:val="bullet"/>
      <w:lvlText w:val="o"/>
      <w:lvlJc w:val="left"/>
      <w:pPr>
        <w:tabs>
          <w:tab w:val="num" w:pos="2148"/>
        </w:tabs>
        <w:ind w:left="2148" w:hanging="360"/>
      </w:pPr>
      <w:rPr>
        <w:rFonts w:ascii="Courier New" w:hAnsi="Courier New" w:cs="Courier New" w:hint="default"/>
      </w:rPr>
    </w:lvl>
    <w:lvl w:ilvl="2" w:tplc="041B0005">
      <w:start w:val="1"/>
      <w:numFmt w:val="bullet"/>
      <w:lvlText w:val=""/>
      <w:lvlJc w:val="left"/>
      <w:pPr>
        <w:tabs>
          <w:tab w:val="num" w:pos="2868"/>
        </w:tabs>
        <w:ind w:left="2868" w:hanging="360"/>
      </w:pPr>
      <w:rPr>
        <w:rFonts w:ascii="Wingdings" w:hAnsi="Wingdings" w:cs="Wingdings" w:hint="default"/>
      </w:rPr>
    </w:lvl>
    <w:lvl w:ilvl="3" w:tplc="041B0001">
      <w:start w:val="1"/>
      <w:numFmt w:val="bullet"/>
      <w:lvlText w:val=""/>
      <w:lvlJc w:val="left"/>
      <w:pPr>
        <w:tabs>
          <w:tab w:val="num" w:pos="3588"/>
        </w:tabs>
        <w:ind w:left="3588" w:hanging="360"/>
      </w:pPr>
      <w:rPr>
        <w:rFonts w:ascii="Symbol" w:hAnsi="Symbol" w:cs="Symbol" w:hint="default"/>
      </w:rPr>
    </w:lvl>
    <w:lvl w:ilvl="4" w:tplc="041B0003">
      <w:start w:val="1"/>
      <w:numFmt w:val="bullet"/>
      <w:lvlText w:val="o"/>
      <w:lvlJc w:val="left"/>
      <w:pPr>
        <w:tabs>
          <w:tab w:val="num" w:pos="4308"/>
        </w:tabs>
        <w:ind w:left="4308" w:hanging="360"/>
      </w:pPr>
      <w:rPr>
        <w:rFonts w:ascii="Courier New" w:hAnsi="Courier New" w:cs="Courier New" w:hint="default"/>
      </w:rPr>
    </w:lvl>
    <w:lvl w:ilvl="5" w:tplc="041B0005">
      <w:start w:val="1"/>
      <w:numFmt w:val="bullet"/>
      <w:lvlText w:val=""/>
      <w:lvlJc w:val="left"/>
      <w:pPr>
        <w:tabs>
          <w:tab w:val="num" w:pos="5028"/>
        </w:tabs>
        <w:ind w:left="5028" w:hanging="360"/>
      </w:pPr>
      <w:rPr>
        <w:rFonts w:ascii="Wingdings" w:hAnsi="Wingdings" w:cs="Wingdings" w:hint="default"/>
      </w:rPr>
    </w:lvl>
    <w:lvl w:ilvl="6" w:tplc="041B0001">
      <w:start w:val="1"/>
      <w:numFmt w:val="bullet"/>
      <w:lvlText w:val=""/>
      <w:lvlJc w:val="left"/>
      <w:pPr>
        <w:tabs>
          <w:tab w:val="num" w:pos="5748"/>
        </w:tabs>
        <w:ind w:left="5748" w:hanging="360"/>
      </w:pPr>
      <w:rPr>
        <w:rFonts w:ascii="Symbol" w:hAnsi="Symbol" w:cs="Symbol" w:hint="default"/>
      </w:rPr>
    </w:lvl>
    <w:lvl w:ilvl="7" w:tplc="041B0003">
      <w:start w:val="1"/>
      <w:numFmt w:val="bullet"/>
      <w:lvlText w:val="o"/>
      <w:lvlJc w:val="left"/>
      <w:pPr>
        <w:tabs>
          <w:tab w:val="num" w:pos="6468"/>
        </w:tabs>
        <w:ind w:left="6468" w:hanging="360"/>
      </w:pPr>
      <w:rPr>
        <w:rFonts w:ascii="Courier New" w:hAnsi="Courier New" w:cs="Courier New" w:hint="default"/>
      </w:rPr>
    </w:lvl>
    <w:lvl w:ilvl="8" w:tplc="041B0005">
      <w:start w:val="1"/>
      <w:numFmt w:val="bullet"/>
      <w:lvlText w:val=""/>
      <w:lvlJc w:val="left"/>
      <w:pPr>
        <w:tabs>
          <w:tab w:val="num" w:pos="7188"/>
        </w:tabs>
        <w:ind w:left="7188" w:hanging="360"/>
      </w:pPr>
      <w:rPr>
        <w:rFonts w:ascii="Wingdings" w:hAnsi="Wingdings" w:cs="Wingdings" w:hint="default"/>
      </w:rPr>
    </w:lvl>
  </w:abstractNum>
  <w:abstractNum w:abstractNumId="5">
    <w:nsid w:val="2F051AE4"/>
    <w:multiLevelType w:val="hybridMultilevel"/>
    <w:tmpl w:val="87FC3DD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400712D3"/>
    <w:multiLevelType w:val="multilevel"/>
    <w:tmpl w:val="B87A9A7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1488"/>
        </w:tabs>
        <w:ind w:left="1488" w:hanging="420"/>
      </w:pPr>
      <w:rPr>
        <w:rFonts w:ascii="Times New Roman" w:hAnsi="Times New Roman" w:cs="Times New Roman" w:hint="default"/>
      </w:rPr>
    </w:lvl>
    <w:lvl w:ilvl="2">
      <w:start w:val="1"/>
      <w:numFmt w:val="decimal"/>
      <w:isLgl/>
      <w:lvlText w:val="%1.%2.%3."/>
      <w:lvlJc w:val="left"/>
      <w:pPr>
        <w:tabs>
          <w:tab w:val="num" w:pos="1788"/>
        </w:tabs>
        <w:ind w:left="1788" w:hanging="720"/>
      </w:pPr>
      <w:rPr>
        <w:rFonts w:ascii="Times New Roman" w:hAnsi="Times New Roman" w:cs="Times New Roman" w:hint="default"/>
      </w:rPr>
    </w:lvl>
    <w:lvl w:ilvl="3">
      <w:start w:val="1"/>
      <w:numFmt w:val="decimal"/>
      <w:isLgl/>
      <w:lvlText w:val="%1.%2.%3.%4."/>
      <w:lvlJc w:val="left"/>
      <w:pPr>
        <w:tabs>
          <w:tab w:val="num" w:pos="1788"/>
        </w:tabs>
        <w:ind w:left="1788" w:hanging="720"/>
      </w:pPr>
      <w:rPr>
        <w:rFonts w:ascii="Times New Roman" w:hAnsi="Times New Roman" w:cs="Times New Roman" w:hint="default"/>
      </w:rPr>
    </w:lvl>
    <w:lvl w:ilvl="4">
      <w:start w:val="1"/>
      <w:numFmt w:val="decimal"/>
      <w:isLgl/>
      <w:lvlText w:val="%1.%2.%3.%4.%5."/>
      <w:lvlJc w:val="left"/>
      <w:pPr>
        <w:tabs>
          <w:tab w:val="num" w:pos="2148"/>
        </w:tabs>
        <w:ind w:left="2148" w:hanging="1080"/>
      </w:pPr>
      <w:rPr>
        <w:rFonts w:ascii="Times New Roman" w:hAnsi="Times New Roman" w:cs="Times New Roman" w:hint="default"/>
      </w:rPr>
    </w:lvl>
    <w:lvl w:ilvl="5">
      <w:start w:val="1"/>
      <w:numFmt w:val="decimal"/>
      <w:isLgl/>
      <w:lvlText w:val="%1.%2.%3.%4.%5.%6."/>
      <w:lvlJc w:val="left"/>
      <w:pPr>
        <w:tabs>
          <w:tab w:val="num" w:pos="2148"/>
        </w:tabs>
        <w:ind w:left="2148" w:hanging="1080"/>
      </w:pPr>
      <w:rPr>
        <w:rFonts w:ascii="Times New Roman" w:hAnsi="Times New Roman" w:cs="Times New Roman" w:hint="default"/>
      </w:rPr>
    </w:lvl>
    <w:lvl w:ilvl="6">
      <w:start w:val="1"/>
      <w:numFmt w:val="decimal"/>
      <w:isLgl/>
      <w:lvlText w:val="%1.%2.%3.%4.%5.%6.%7."/>
      <w:lvlJc w:val="left"/>
      <w:pPr>
        <w:tabs>
          <w:tab w:val="num" w:pos="2508"/>
        </w:tabs>
        <w:ind w:left="2508" w:hanging="1440"/>
      </w:pPr>
      <w:rPr>
        <w:rFonts w:ascii="Times New Roman" w:hAnsi="Times New Roman" w:cs="Times New Roman" w:hint="default"/>
      </w:rPr>
    </w:lvl>
    <w:lvl w:ilvl="7">
      <w:start w:val="1"/>
      <w:numFmt w:val="decimal"/>
      <w:isLgl/>
      <w:lvlText w:val="%1.%2.%3.%4.%5.%6.%7.%8."/>
      <w:lvlJc w:val="left"/>
      <w:pPr>
        <w:tabs>
          <w:tab w:val="num" w:pos="2508"/>
        </w:tabs>
        <w:ind w:left="2508" w:hanging="1440"/>
      </w:pPr>
      <w:rPr>
        <w:rFonts w:ascii="Times New Roman" w:hAnsi="Times New Roman" w:cs="Times New Roman" w:hint="default"/>
      </w:rPr>
    </w:lvl>
    <w:lvl w:ilvl="8">
      <w:start w:val="1"/>
      <w:numFmt w:val="decimal"/>
      <w:isLgl/>
      <w:lvlText w:val="%1.%2.%3.%4.%5.%6.%7.%8.%9."/>
      <w:lvlJc w:val="left"/>
      <w:pPr>
        <w:tabs>
          <w:tab w:val="num" w:pos="2868"/>
        </w:tabs>
        <w:ind w:left="2868" w:hanging="1800"/>
      </w:pPr>
      <w:rPr>
        <w:rFonts w:ascii="Times New Roman" w:hAnsi="Times New Roman" w:cs="Times New Roman" w:hint="default"/>
      </w:rPr>
    </w:lvl>
  </w:abstractNum>
  <w:abstractNum w:abstractNumId="7">
    <w:nsid w:val="49BA1FA2"/>
    <w:multiLevelType w:val="hybridMultilevel"/>
    <w:tmpl w:val="99CE0C40"/>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
    <w:nsid w:val="55185284"/>
    <w:multiLevelType w:val="hybridMultilevel"/>
    <w:tmpl w:val="C8A61D66"/>
    <w:lvl w:ilvl="0" w:tplc="041B0001">
      <w:start w:val="1"/>
      <w:numFmt w:val="bullet"/>
      <w:lvlText w:val=""/>
      <w:lvlJc w:val="left"/>
      <w:pPr>
        <w:tabs>
          <w:tab w:val="num" w:pos="1428"/>
        </w:tabs>
        <w:ind w:left="1428" w:hanging="360"/>
      </w:pPr>
      <w:rPr>
        <w:rFonts w:ascii="Symbol" w:hAnsi="Symbol" w:cs="Symbol" w:hint="default"/>
      </w:rPr>
    </w:lvl>
    <w:lvl w:ilvl="1" w:tplc="041B0003">
      <w:start w:val="1"/>
      <w:numFmt w:val="bullet"/>
      <w:lvlText w:val="o"/>
      <w:lvlJc w:val="left"/>
      <w:pPr>
        <w:tabs>
          <w:tab w:val="num" w:pos="2148"/>
        </w:tabs>
        <w:ind w:left="2148" w:hanging="360"/>
      </w:pPr>
      <w:rPr>
        <w:rFonts w:ascii="Courier New" w:hAnsi="Courier New" w:cs="Courier New" w:hint="default"/>
      </w:rPr>
    </w:lvl>
    <w:lvl w:ilvl="2" w:tplc="041B0005">
      <w:start w:val="1"/>
      <w:numFmt w:val="bullet"/>
      <w:lvlText w:val=""/>
      <w:lvlJc w:val="left"/>
      <w:pPr>
        <w:tabs>
          <w:tab w:val="num" w:pos="2868"/>
        </w:tabs>
        <w:ind w:left="2868" w:hanging="360"/>
      </w:pPr>
      <w:rPr>
        <w:rFonts w:ascii="Wingdings" w:hAnsi="Wingdings" w:cs="Wingdings" w:hint="default"/>
      </w:rPr>
    </w:lvl>
    <w:lvl w:ilvl="3" w:tplc="041B0001">
      <w:start w:val="1"/>
      <w:numFmt w:val="bullet"/>
      <w:lvlText w:val=""/>
      <w:lvlJc w:val="left"/>
      <w:pPr>
        <w:tabs>
          <w:tab w:val="num" w:pos="3588"/>
        </w:tabs>
        <w:ind w:left="3588" w:hanging="360"/>
      </w:pPr>
      <w:rPr>
        <w:rFonts w:ascii="Symbol" w:hAnsi="Symbol" w:cs="Symbol" w:hint="default"/>
      </w:rPr>
    </w:lvl>
    <w:lvl w:ilvl="4" w:tplc="041B0003">
      <w:start w:val="1"/>
      <w:numFmt w:val="bullet"/>
      <w:lvlText w:val="o"/>
      <w:lvlJc w:val="left"/>
      <w:pPr>
        <w:tabs>
          <w:tab w:val="num" w:pos="4308"/>
        </w:tabs>
        <w:ind w:left="4308" w:hanging="360"/>
      </w:pPr>
      <w:rPr>
        <w:rFonts w:ascii="Courier New" w:hAnsi="Courier New" w:cs="Courier New" w:hint="default"/>
      </w:rPr>
    </w:lvl>
    <w:lvl w:ilvl="5" w:tplc="041B0005">
      <w:start w:val="1"/>
      <w:numFmt w:val="bullet"/>
      <w:lvlText w:val=""/>
      <w:lvlJc w:val="left"/>
      <w:pPr>
        <w:tabs>
          <w:tab w:val="num" w:pos="5028"/>
        </w:tabs>
        <w:ind w:left="5028" w:hanging="360"/>
      </w:pPr>
      <w:rPr>
        <w:rFonts w:ascii="Wingdings" w:hAnsi="Wingdings" w:cs="Wingdings" w:hint="default"/>
      </w:rPr>
    </w:lvl>
    <w:lvl w:ilvl="6" w:tplc="041B0001">
      <w:start w:val="1"/>
      <w:numFmt w:val="bullet"/>
      <w:lvlText w:val=""/>
      <w:lvlJc w:val="left"/>
      <w:pPr>
        <w:tabs>
          <w:tab w:val="num" w:pos="5748"/>
        </w:tabs>
        <w:ind w:left="5748" w:hanging="360"/>
      </w:pPr>
      <w:rPr>
        <w:rFonts w:ascii="Symbol" w:hAnsi="Symbol" w:cs="Symbol" w:hint="default"/>
      </w:rPr>
    </w:lvl>
    <w:lvl w:ilvl="7" w:tplc="041B0003">
      <w:start w:val="1"/>
      <w:numFmt w:val="bullet"/>
      <w:lvlText w:val="o"/>
      <w:lvlJc w:val="left"/>
      <w:pPr>
        <w:tabs>
          <w:tab w:val="num" w:pos="6468"/>
        </w:tabs>
        <w:ind w:left="6468" w:hanging="360"/>
      </w:pPr>
      <w:rPr>
        <w:rFonts w:ascii="Courier New" w:hAnsi="Courier New" w:cs="Courier New" w:hint="default"/>
      </w:rPr>
    </w:lvl>
    <w:lvl w:ilvl="8" w:tplc="041B0005">
      <w:start w:val="1"/>
      <w:numFmt w:val="bullet"/>
      <w:lvlText w:val=""/>
      <w:lvlJc w:val="left"/>
      <w:pPr>
        <w:tabs>
          <w:tab w:val="num" w:pos="7188"/>
        </w:tabs>
        <w:ind w:left="7188" w:hanging="360"/>
      </w:pPr>
      <w:rPr>
        <w:rFonts w:ascii="Wingdings" w:hAnsi="Wingdings" w:cs="Wingdings" w:hint="default"/>
      </w:rPr>
    </w:lvl>
  </w:abstractNum>
  <w:abstractNum w:abstractNumId="9">
    <w:nsid w:val="57A82015"/>
    <w:multiLevelType w:val="hybridMultilevel"/>
    <w:tmpl w:val="FC725562"/>
    <w:lvl w:ilvl="0" w:tplc="041B0001">
      <w:start w:val="1"/>
      <w:numFmt w:val="bullet"/>
      <w:lvlText w:val=""/>
      <w:lvlJc w:val="left"/>
      <w:pPr>
        <w:tabs>
          <w:tab w:val="num" w:pos="1080"/>
        </w:tabs>
        <w:ind w:left="1080" w:hanging="360"/>
      </w:pPr>
      <w:rPr>
        <w:rFonts w:ascii="Symbol" w:hAnsi="Symbol" w:cs="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0">
    <w:nsid w:val="664D77AD"/>
    <w:multiLevelType w:val="hybridMultilevel"/>
    <w:tmpl w:val="F8044B56"/>
    <w:lvl w:ilvl="0" w:tplc="041B0001">
      <w:start w:val="1"/>
      <w:numFmt w:val="bullet"/>
      <w:lvlText w:val=""/>
      <w:lvlJc w:val="left"/>
      <w:pPr>
        <w:tabs>
          <w:tab w:val="num" w:pos="1428"/>
        </w:tabs>
        <w:ind w:left="1428" w:hanging="360"/>
      </w:pPr>
      <w:rPr>
        <w:rFonts w:ascii="Symbol" w:hAnsi="Symbol" w:cs="Symbol" w:hint="default"/>
      </w:rPr>
    </w:lvl>
    <w:lvl w:ilvl="1" w:tplc="041B0003">
      <w:start w:val="1"/>
      <w:numFmt w:val="bullet"/>
      <w:lvlText w:val="o"/>
      <w:lvlJc w:val="left"/>
      <w:pPr>
        <w:tabs>
          <w:tab w:val="num" w:pos="2148"/>
        </w:tabs>
        <w:ind w:left="2148" w:hanging="360"/>
      </w:pPr>
      <w:rPr>
        <w:rFonts w:ascii="Courier New" w:hAnsi="Courier New" w:cs="Courier New" w:hint="default"/>
      </w:rPr>
    </w:lvl>
    <w:lvl w:ilvl="2" w:tplc="041B0005">
      <w:start w:val="1"/>
      <w:numFmt w:val="bullet"/>
      <w:lvlText w:val=""/>
      <w:lvlJc w:val="left"/>
      <w:pPr>
        <w:tabs>
          <w:tab w:val="num" w:pos="2868"/>
        </w:tabs>
        <w:ind w:left="2868" w:hanging="360"/>
      </w:pPr>
      <w:rPr>
        <w:rFonts w:ascii="Wingdings" w:hAnsi="Wingdings" w:cs="Wingdings" w:hint="default"/>
      </w:rPr>
    </w:lvl>
    <w:lvl w:ilvl="3" w:tplc="041B0001">
      <w:start w:val="1"/>
      <w:numFmt w:val="bullet"/>
      <w:lvlText w:val=""/>
      <w:lvlJc w:val="left"/>
      <w:pPr>
        <w:tabs>
          <w:tab w:val="num" w:pos="3588"/>
        </w:tabs>
        <w:ind w:left="3588" w:hanging="360"/>
      </w:pPr>
      <w:rPr>
        <w:rFonts w:ascii="Symbol" w:hAnsi="Symbol" w:cs="Symbol" w:hint="default"/>
      </w:rPr>
    </w:lvl>
    <w:lvl w:ilvl="4" w:tplc="041B0003">
      <w:start w:val="1"/>
      <w:numFmt w:val="bullet"/>
      <w:lvlText w:val="o"/>
      <w:lvlJc w:val="left"/>
      <w:pPr>
        <w:tabs>
          <w:tab w:val="num" w:pos="4308"/>
        </w:tabs>
        <w:ind w:left="4308" w:hanging="360"/>
      </w:pPr>
      <w:rPr>
        <w:rFonts w:ascii="Courier New" w:hAnsi="Courier New" w:cs="Courier New" w:hint="default"/>
      </w:rPr>
    </w:lvl>
    <w:lvl w:ilvl="5" w:tplc="041B0005">
      <w:start w:val="1"/>
      <w:numFmt w:val="bullet"/>
      <w:lvlText w:val=""/>
      <w:lvlJc w:val="left"/>
      <w:pPr>
        <w:tabs>
          <w:tab w:val="num" w:pos="5028"/>
        </w:tabs>
        <w:ind w:left="5028" w:hanging="360"/>
      </w:pPr>
      <w:rPr>
        <w:rFonts w:ascii="Wingdings" w:hAnsi="Wingdings" w:cs="Wingdings" w:hint="default"/>
      </w:rPr>
    </w:lvl>
    <w:lvl w:ilvl="6" w:tplc="041B0001">
      <w:start w:val="1"/>
      <w:numFmt w:val="bullet"/>
      <w:lvlText w:val=""/>
      <w:lvlJc w:val="left"/>
      <w:pPr>
        <w:tabs>
          <w:tab w:val="num" w:pos="5748"/>
        </w:tabs>
        <w:ind w:left="5748" w:hanging="360"/>
      </w:pPr>
      <w:rPr>
        <w:rFonts w:ascii="Symbol" w:hAnsi="Symbol" w:cs="Symbol" w:hint="default"/>
      </w:rPr>
    </w:lvl>
    <w:lvl w:ilvl="7" w:tplc="041B0003">
      <w:start w:val="1"/>
      <w:numFmt w:val="bullet"/>
      <w:lvlText w:val="o"/>
      <w:lvlJc w:val="left"/>
      <w:pPr>
        <w:tabs>
          <w:tab w:val="num" w:pos="6468"/>
        </w:tabs>
        <w:ind w:left="6468" w:hanging="360"/>
      </w:pPr>
      <w:rPr>
        <w:rFonts w:ascii="Courier New" w:hAnsi="Courier New" w:cs="Courier New" w:hint="default"/>
      </w:rPr>
    </w:lvl>
    <w:lvl w:ilvl="8" w:tplc="041B0005">
      <w:start w:val="1"/>
      <w:numFmt w:val="bullet"/>
      <w:lvlText w:val=""/>
      <w:lvlJc w:val="left"/>
      <w:pPr>
        <w:tabs>
          <w:tab w:val="num" w:pos="7188"/>
        </w:tabs>
        <w:ind w:left="7188" w:hanging="360"/>
      </w:pPr>
      <w:rPr>
        <w:rFonts w:ascii="Wingdings" w:hAnsi="Wingdings" w:cs="Wingdings" w:hint="default"/>
      </w:rPr>
    </w:lvl>
  </w:abstractNum>
  <w:abstractNum w:abstractNumId="11">
    <w:nsid w:val="67242002"/>
    <w:multiLevelType w:val="hybridMultilevel"/>
    <w:tmpl w:val="A4B0912C"/>
    <w:lvl w:ilvl="0" w:tplc="041B0001">
      <w:start w:val="1"/>
      <w:numFmt w:val="bullet"/>
      <w:lvlText w:val=""/>
      <w:lvlJc w:val="left"/>
      <w:pPr>
        <w:tabs>
          <w:tab w:val="num" w:pos="1560"/>
        </w:tabs>
        <w:ind w:left="1560" w:hanging="360"/>
      </w:pPr>
      <w:rPr>
        <w:rFonts w:ascii="Symbol" w:hAnsi="Symbol" w:cs="Symbol" w:hint="default"/>
      </w:rPr>
    </w:lvl>
    <w:lvl w:ilvl="1" w:tplc="041B0003">
      <w:start w:val="1"/>
      <w:numFmt w:val="bullet"/>
      <w:lvlText w:val="o"/>
      <w:lvlJc w:val="left"/>
      <w:pPr>
        <w:tabs>
          <w:tab w:val="num" w:pos="2280"/>
        </w:tabs>
        <w:ind w:left="2280" w:hanging="360"/>
      </w:pPr>
      <w:rPr>
        <w:rFonts w:ascii="Courier New" w:hAnsi="Courier New" w:cs="Courier New" w:hint="default"/>
      </w:rPr>
    </w:lvl>
    <w:lvl w:ilvl="2" w:tplc="041B0005">
      <w:start w:val="1"/>
      <w:numFmt w:val="bullet"/>
      <w:lvlText w:val=""/>
      <w:lvlJc w:val="left"/>
      <w:pPr>
        <w:tabs>
          <w:tab w:val="num" w:pos="3000"/>
        </w:tabs>
        <w:ind w:left="3000" w:hanging="360"/>
      </w:pPr>
      <w:rPr>
        <w:rFonts w:ascii="Wingdings" w:hAnsi="Wingdings" w:cs="Wingdings" w:hint="default"/>
      </w:rPr>
    </w:lvl>
    <w:lvl w:ilvl="3" w:tplc="041B0001">
      <w:start w:val="1"/>
      <w:numFmt w:val="bullet"/>
      <w:lvlText w:val=""/>
      <w:lvlJc w:val="left"/>
      <w:pPr>
        <w:tabs>
          <w:tab w:val="num" w:pos="3720"/>
        </w:tabs>
        <w:ind w:left="3720" w:hanging="360"/>
      </w:pPr>
      <w:rPr>
        <w:rFonts w:ascii="Symbol" w:hAnsi="Symbol" w:cs="Symbol" w:hint="default"/>
      </w:rPr>
    </w:lvl>
    <w:lvl w:ilvl="4" w:tplc="041B0003">
      <w:start w:val="1"/>
      <w:numFmt w:val="bullet"/>
      <w:lvlText w:val="o"/>
      <w:lvlJc w:val="left"/>
      <w:pPr>
        <w:tabs>
          <w:tab w:val="num" w:pos="4440"/>
        </w:tabs>
        <w:ind w:left="4440" w:hanging="360"/>
      </w:pPr>
      <w:rPr>
        <w:rFonts w:ascii="Courier New" w:hAnsi="Courier New" w:cs="Courier New" w:hint="default"/>
      </w:rPr>
    </w:lvl>
    <w:lvl w:ilvl="5" w:tplc="041B0005">
      <w:start w:val="1"/>
      <w:numFmt w:val="bullet"/>
      <w:lvlText w:val=""/>
      <w:lvlJc w:val="left"/>
      <w:pPr>
        <w:tabs>
          <w:tab w:val="num" w:pos="5160"/>
        </w:tabs>
        <w:ind w:left="5160" w:hanging="360"/>
      </w:pPr>
      <w:rPr>
        <w:rFonts w:ascii="Wingdings" w:hAnsi="Wingdings" w:cs="Wingdings" w:hint="default"/>
      </w:rPr>
    </w:lvl>
    <w:lvl w:ilvl="6" w:tplc="041B0001">
      <w:start w:val="1"/>
      <w:numFmt w:val="bullet"/>
      <w:lvlText w:val=""/>
      <w:lvlJc w:val="left"/>
      <w:pPr>
        <w:tabs>
          <w:tab w:val="num" w:pos="5880"/>
        </w:tabs>
        <w:ind w:left="5880" w:hanging="360"/>
      </w:pPr>
      <w:rPr>
        <w:rFonts w:ascii="Symbol" w:hAnsi="Symbol" w:cs="Symbol" w:hint="default"/>
      </w:rPr>
    </w:lvl>
    <w:lvl w:ilvl="7" w:tplc="041B0003">
      <w:start w:val="1"/>
      <w:numFmt w:val="bullet"/>
      <w:lvlText w:val="o"/>
      <w:lvlJc w:val="left"/>
      <w:pPr>
        <w:tabs>
          <w:tab w:val="num" w:pos="6600"/>
        </w:tabs>
        <w:ind w:left="6600" w:hanging="360"/>
      </w:pPr>
      <w:rPr>
        <w:rFonts w:ascii="Courier New" w:hAnsi="Courier New" w:cs="Courier New" w:hint="default"/>
      </w:rPr>
    </w:lvl>
    <w:lvl w:ilvl="8" w:tplc="041B0005">
      <w:start w:val="1"/>
      <w:numFmt w:val="bullet"/>
      <w:lvlText w:val=""/>
      <w:lvlJc w:val="left"/>
      <w:pPr>
        <w:tabs>
          <w:tab w:val="num" w:pos="7320"/>
        </w:tabs>
        <w:ind w:left="7320" w:hanging="360"/>
      </w:pPr>
      <w:rPr>
        <w:rFonts w:ascii="Wingdings" w:hAnsi="Wingdings" w:cs="Wingdings" w:hint="default"/>
      </w:rPr>
    </w:lvl>
  </w:abstractNum>
  <w:num w:numId="1">
    <w:abstractNumId w:val="6"/>
  </w:num>
  <w:num w:numId="2">
    <w:abstractNumId w:val="5"/>
  </w:num>
  <w:num w:numId="3">
    <w:abstractNumId w:val="9"/>
  </w:num>
  <w:num w:numId="4">
    <w:abstractNumId w:val="4"/>
  </w:num>
  <w:num w:numId="5">
    <w:abstractNumId w:val="11"/>
  </w:num>
  <w:num w:numId="6">
    <w:abstractNumId w:val="10"/>
  </w:num>
  <w:num w:numId="7">
    <w:abstractNumId w:val="8"/>
  </w:num>
  <w:num w:numId="8">
    <w:abstractNumId w:val="2"/>
  </w:num>
  <w:num w:numId="9">
    <w:abstractNumId w:val="0"/>
    <w:lvlOverride w:ilvl="0">
      <w:lvl w:ilvl="0">
        <w:numFmt w:val="bullet"/>
        <w:lvlText w:val="-"/>
        <w:legacy w:legacy="1" w:legacySpace="0" w:legacyIndent="331"/>
        <w:lvlJc w:val="left"/>
        <w:rPr>
          <w:rFonts w:ascii="Times New Roman" w:hAnsi="Times New Roman" w:cs="Times New Roman" w:hint="default"/>
        </w:rPr>
      </w:lvl>
    </w:lvlOverride>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165"/>
    <w:rsid w:val="000010BD"/>
    <w:rsid w:val="00002E19"/>
    <w:rsid w:val="000634E8"/>
    <w:rsid w:val="00074E82"/>
    <w:rsid w:val="000B0E30"/>
    <w:rsid w:val="000C0A4A"/>
    <w:rsid w:val="000E484D"/>
    <w:rsid w:val="000F4FB3"/>
    <w:rsid w:val="001312F8"/>
    <w:rsid w:val="00167525"/>
    <w:rsid w:val="001E3232"/>
    <w:rsid w:val="001F0A62"/>
    <w:rsid w:val="0021065F"/>
    <w:rsid w:val="002823F6"/>
    <w:rsid w:val="002A2BCF"/>
    <w:rsid w:val="002B1928"/>
    <w:rsid w:val="002B49BB"/>
    <w:rsid w:val="00322CE2"/>
    <w:rsid w:val="00333CF8"/>
    <w:rsid w:val="003471B1"/>
    <w:rsid w:val="0036162B"/>
    <w:rsid w:val="003918DC"/>
    <w:rsid w:val="003B34F9"/>
    <w:rsid w:val="0043488C"/>
    <w:rsid w:val="004413D3"/>
    <w:rsid w:val="00450B95"/>
    <w:rsid w:val="004542C4"/>
    <w:rsid w:val="004B7317"/>
    <w:rsid w:val="004F262D"/>
    <w:rsid w:val="005056A9"/>
    <w:rsid w:val="005200B9"/>
    <w:rsid w:val="00565681"/>
    <w:rsid w:val="00577229"/>
    <w:rsid w:val="005C1DCA"/>
    <w:rsid w:val="00620154"/>
    <w:rsid w:val="00641ACD"/>
    <w:rsid w:val="006458BB"/>
    <w:rsid w:val="006B41F0"/>
    <w:rsid w:val="006C5ACA"/>
    <w:rsid w:val="00711483"/>
    <w:rsid w:val="007449FC"/>
    <w:rsid w:val="007643E8"/>
    <w:rsid w:val="007B65DF"/>
    <w:rsid w:val="007E3A94"/>
    <w:rsid w:val="007E7E57"/>
    <w:rsid w:val="007F2AD7"/>
    <w:rsid w:val="008148BB"/>
    <w:rsid w:val="00833A82"/>
    <w:rsid w:val="0086219C"/>
    <w:rsid w:val="008A12D4"/>
    <w:rsid w:val="008A229F"/>
    <w:rsid w:val="00902526"/>
    <w:rsid w:val="009076CB"/>
    <w:rsid w:val="009333D3"/>
    <w:rsid w:val="00935CC1"/>
    <w:rsid w:val="00987358"/>
    <w:rsid w:val="009B4220"/>
    <w:rsid w:val="009B60D0"/>
    <w:rsid w:val="009C2CDE"/>
    <w:rsid w:val="009E1C0F"/>
    <w:rsid w:val="009E7F86"/>
    <w:rsid w:val="009F62BF"/>
    <w:rsid w:val="00A105EE"/>
    <w:rsid w:val="00A40165"/>
    <w:rsid w:val="00A64E0F"/>
    <w:rsid w:val="00A801C9"/>
    <w:rsid w:val="00A97C97"/>
    <w:rsid w:val="00AA4164"/>
    <w:rsid w:val="00AB1715"/>
    <w:rsid w:val="00AB3762"/>
    <w:rsid w:val="00B15314"/>
    <w:rsid w:val="00B30442"/>
    <w:rsid w:val="00B463BC"/>
    <w:rsid w:val="00B932D0"/>
    <w:rsid w:val="00BA6607"/>
    <w:rsid w:val="00BB7170"/>
    <w:rsid w:val="00BC5877"/>
    <w:rsid w:val="00C14F85"/>
    <w:rsid w:val="00C42907"/>
    <w:rsid w:val="00C751DA"/>
    <w:rsid w:val="00C8506E"/>
    <w:rsid w:val="00C859CD"/>
    <w:rsid w:val="00C94751"/>
    <w:rsid w:val="00C969E2"/>
    <w:rsid w:val="00CB59BE"/>
    <w:rsid w:val="00CD2089"/>
    <w:rsid w:val="00CD64DD"/>
    <w:rsid w:val="00CF1602"/>
    <w:rsid w:val="00D21F1D"/>
    <w:rsid w:val="00D3154C"/>
    <w:rsid w:val="00D65552"/>
    <w:rsid w:val="00D9220B"/>
    <w:rsid w:val="00DB1F5C"/>
    <w:rsid w:val="00DC49FE"/>
    <w:rsid w:val="00DF2F3B"/>
    <w:rsid w:val="00E133F5"/>
    <w:rsid w:val="00E4675A"/>
    <w:rsid w:val="00E7134B"/>
    <w:rsid w:val="00E76768"/>
    <w:rsid w:val="00E77046"/>
    <w:rsid w:val="00E8631D"/>
    <w:rsid w:val="00EF24A7"/>
    <w:rsid w:val="00F43E77"/>
    <w:rsid w:val="00F74A59"/>
    <w:rsid w:val="00F934A9"/>
    <w:rsid w:val="00FB4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Calibri"/>
      <w:sz w:val="22"/>
      <w:szCs w:val="22"/>
      <w:lang w:eastAsia="en-US"/>
    </w:rPr>
  </w:style>
  <w:style w:type="paragraph" w:styleId="Nadpis1">
    <w:name w:val="heading 1"/>
    <w:basedOn w:val="Normlny"/>
    <w:next w:val="Normlny"/>
    <w:link w:val="Nadpis1Char"/>
    <w:uiPriority w:val="99"/>
    <w:qFormat/>
    <w:pPr>
      <w:keepNext/>
      <w:spacing w:before="240" w:after="240" w:line="240" w:lineRule="auto"/>
      <w:jc w:val="both"/>
      <w:outlineLvl w:val="0"/>
    </w:pPr>
    <w:rPr>
      <w:b/>
      <w:bCs/>
      <w:sz w:val="24"/>
      <w:szCs w:val="24"/>
      <w:lang w:eastAsia="sk-SK"/>
    </w:rPr>
  </w:style>
  <w:style w:type="paragraph" w:styleId="Nadpis2">
    <w:name w:val="heading 2"/>
    <w:basedOn w:val="Normlny"/>
    <w:next w:val="Normlny"/>
    <w:link w:val="Nadpis2Char"/>
    <w:uiPriority w:val="99"/>
    <w:qFormat/>
    <w:pPr>
      <w:keepNext/>
      <w:spacing w:before="120" w:after="0" w:line="70" w:lineRule="atLeast"/>
      <w:jc w:val="center"/>
      <w:outlineLvl w:val="1"/>
    </w:pPr>
    <w:rPr>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Pr>
      <w:rFonts w:ascii="Cambria" w:hAnsi="Cambria" w:cs="Cambria"/>
      <w:b/>
      <w:bCs/>
      <w:kern w:val="32"/>
      <w:sz w:val="32"/>
      <w:szCs w:val="32"/>
      <w:lang w:eastAsia="en-US"/>
    </w:rPr>
  </w:style>
  <w:style w:type="character" w:customStyle="1" w:styleId="Nadpis2Char">
    <w:name w:val="Nadpis 2 Char"/>
    <w:link w:val="Nadpis2"/>
    <w:uiPriority w:val="99"/>
    <w:rPr>
      <w:rFonts w:ascii="Cambria" w:hAnsi="Cambria" w:cs="Cambria"/>
      <w:b/>
      <w:bCs/>
      <w:i/>
      <w:iCs/>
      <w:sz w:val="28"/>
      <w:szCs w:val="28"/>
      <w:lang w:eastAsia="en-US"/>
    </w:rPr>
  </w:style>
  <w:style w:type="paragraph" w:styleId="Pta">
    <w:name w:val="footer"/>
    <w:basedOn w:val="Normlny"/>
    <w:link w:val="PtaChar"/>
    <w:uiPriority w:val="99"/>
    <w:pPr>
      <w:tabs>
        <w:tab w:val="center" w:pos="4536"/>
        <w:tab w:val="right" w:pos="9072"/>
      </w:tabs>
      <w:spacing w:after="0" w:line="240" w:lineRule="auto"/>
    </w:pPr>
    <w:rPr>
      <w:sz w:val="24"/>
      <w:szCs w:val="24"/>
      <w:lang w:eastAsia="sk-SK"/>
    </w:rPr>
  </w:style>
  <w:style w:type="character" w:customStyle="1" w:styleId="PtaChar">
    <w:name w:val="Päta Char"/>
    <w:link w:val="Pta"/>
    <w:uiPriority w:val="99"/>
    <w:rPr>
      <w:rFonts w:ascii="Times New Roman" w:hAnsi="Times New Roman" w:cs="Times New Roman"/>
      <w:sz w:val="24"/>
      <w:szCs w:val="24"/>
      <w:lang w:eastAsia="sk-SK"/>
    </w:rPr>
  </w:style>
  <w:style w:type="character" w:styleId="slostrany">
    <w:name w:val="page number"/>
    <w:uiPriority w:val="99"/>
    <w:rPr>
      <w:rFonts w:ascii="Times New Roman" w:hAnsi="Times New Roman" w:cs="Times New Roman"/>
    </w:rPr>
  </w:style>
  <w:style w:type="paragraph" w:customStyle="1" w:styleId="CharChar">
    <w:name w:val="Char Char"/>
    <w:basedOn w:val="Normlny"/>
    <w:uiPriority w:val="99"/>
    <w:pPr>
      <w:spacing w:after="160" w:line="240" w:lineRule="exact"/>
    </w:pPr>
    <w:rPr>
      <w:rFonts w:ascii="Tahoma" w:hAnsi="Tahoma" w:cs="Tahoma"/>
      <w:sz w:val="20"/>
      <w:szCs w:val="20"/>
      <w:lang w:val="en-US"/>
    </w:rPr>
  </w:style>
  <w:style w:type="character" w:customStyle="1" w:styleId="ra">
    <w:name w:val="ra"/>
    <w:uiPriority w:val="99"/>
    <w:rPr>
      <w:rFonts w:ascii="Times New Roman" w:hAnsi="Times New Roman" w:cs="Times New Roman"/>
    </w:rPr>
  </w:style>
  <w:style w:type="paragraph" w:styleId="Textbubliny">
    <w:name w:val="Balloon Text"/>
    <w:basedOn w:val="Normlny"/>
    <w:link w:val="TextbublinyChar"/>
    <w:uiPriority w:val="99"/>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rPr>
      <w:rFonts w:ascii="Tahoma" w:hAnsi="Tahoma" w:cs="Tahoma"/>
      <w:sz w:val="16"/>
      <w:szCs w:val="16"/>
      <w:lang w:eastAsia="sk-SK"/>
    </w:rPr>
  </w:style>
  <w:style w:type="character" w:styleId="Odkaznakomentr">
    <w:name w:val="annotation reference"/>
    <w:uiPriority w:val="99"/>
    <w:rPr>
      <w:rFonts w:ascii="Times New Roman" w:hAnsi="Times New Roman" w:cs="Times New Roman"/>
      <w:sz w:val="16"/>
      <w:szCs w:val="16"/>
    </w:rPr>
  </w:style>
  <w:style w:type="paragraph" w:styleId="Textkomentra">
    <w:name w:val="annotation text"/>
    <w:basedOn w:val="Normlny"/>
    <w:link w:val="TextkomentraChar"/>
    <w:uiPriority w:val="99"/>
    <w:pPr>
      <w:spacing w:after="0" w:line="240" w:lineRule="auto"/>
    </w:pPr>
    <w:rPr>
      <w:sz w:val="20"/>
      <w:szCs w:val="20"/>
      <w:lang w:eastAsia="sk-SK"/>
    </w:rPr>
  </w:style>
  <w:style w:type="character" w:customStyle="1" w:styleId="TextkomentraChar">
    <w:name w:val="Text komentára Char"/>
    <w:link w:val="Textkomentra"/>
    <w:uiPriority w:val="99"/>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Times New Roman" w:hAnsi="Times New Roman" w:cs="Times New Roman"/>
      <w:b/>
      <w:bCs/>
      <w:sz w:val="20"/>
      <w:szCs w:val="20"/>
      <w:lang w:eastAsia="sk-SK"/>
    </w:rPr>
  </w:style>
  <w:style w:type="paragraph" w:styleId="Odsekzoznamu">
    <w:name w:val="List Paragraph"/>
    <w:basedOn w:val="Normlny"/>
    <w:uiPriority w:val="99"/>
    <w:qFormat/>
    <w:pPr>
      <w:ind w:left="720"/>
    </w:pPr>
  </w:style>
  <w:style w:type="paragraph" w:styleId="Nzov">
    <w:name w:val="Title"/>
    <w:basedOn w:val="Normlny"/>
    <w:link w:val="NzovChar"/>
    <w:uiPriority w:val="99"/>
    <w:qFormat/>
    <w:pPr>
      <w:spacing w:after="0" w:line="240" w:lineRule="auto"/>
      <w:jc w:val="center"/>
    </w:pPr>
    <w:rPr>
      <w:b/>
      <w:bCs/>
      <w:sz w:val="24"/>
      <w:szCs w:val="24"/>
      <w:lang w:eastAsia="sk-SK"/>
    </w:rPr>
  </w:style>
  <w:style w:type="character" w:customStyle="1" w:styleId="NzovChar">
    <w:name w:val="Názov Char"/>
    <w:link w:val="Nzov"/>
    <w:uiPriority w:val="99"/>
    <w:rPr>
      <w:rFonts w:ascii="Cambria" w:hAnsi="Cambria" w:cs="Cambria"/>
      <w:b/>
      <w:bCs/>
      <w:kern w:val="28"/>
      <w:sz w:val="32"/>
      <w:szCs w:val="32"/>
      <w:lang w:eastAsia="en-US"/>
    </w:rPr>
  </w:style>
  <w:style w:type="paragraph" w:styleId="Zkladntext2">
    <w:name w:val="Body Text 2"/>
    <w:basedOn w:val="Normlny"/>
    <w:link w:val="Zkladntext2Char"/>
    <w:uiPriority w:val="99"/>
    <w:pPr>
      <w:spacing w:before="240" w:after="240" w:line="240" w:lineRule="auto"/>
      <w:ind w:firstLine="708"/>
      <w:jc w:val="both"/>
    </w:pPr>
    <w:rPr>
      <w:i/>
      <w:iCs/>
      <w:sz w:val="24"/>
      <w:szCs w:val="24"/>
      <w:lang w:eastAsia="sk-SK"/>
    </w:rPr>
  </w:style>
  <w:style w:type="character" w:customStyle="1" w:styleId="Zkladntext2Char">
    <w:name w:val="Základný text 2 Char"/>
    <w:link w:val="Zkladntext2"/>
    <w:uiPriority w:val="99"/>
    <w:rPr>
      <w:rFonts w:ascii="Calibri" w:hAnsi="Calibri" w:cs="Calibri"/>
      <w:lang w:eastAsia="en-US"/>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rPr>
      <w:rFonts w:ascii="Calibri" w:hAnsi="Calibri" w:cs="Calibri"/>
      <w:lang w:eastAsia="en-US"/>
    </w:rPr>
  </w:style>
  <w:style w:type="paragraph" w:styleId="Zarkazkladnhotextu2">
    <w:name w:val="Body Text Indent 2"/>
    <w:basedOn w:val="Normlny"/>
    <w:link w:val="Zarkazkladnhotextu2Char"/>
    <w:uiPriority w:val="99"/>
    <w:pPr>
      <w:spacing w:before="240" w:after="240" w:line="240" w:lineRule="auto"/>
      <w:ind w:firstLine="709"/>
      <w:jc w:val="both"/>
    </w:pPr>
    <w:rPr>
      <w:sz w:val="24"/>
      <w:szCs w:val="24"/>
      <w:lang w:eastAsia="sk-SK"/>
    </w:rPr>
  </w:style>
  <w:style w:type="character" w:customStyle="1" w:styleId="Zarkazkladnhotextu2Char">
    <w:name w:val="Zarážka základného textu 2 Char"/>
    <w:link w:val="Zarkazkladnhotextu2"/>
    <w:uiPriority w:val="99"/>
    <w:rPr>
      <w:rFonts w:ascii="Calibri" w:hAnsi="Calibri" w:cs="Calibri"/>
      <w:lang w:eastAsia="en-US"/>
    </w:rPr>
  </w:style>
  <w:style w:type="paragraph" w:styleId="Zarkazkladnhotextu3">
    <w:name w:val="Body Text Indent 3"/>
    <w:basedOn w:val="Normlny"/>
    <w:link w:val="Zarkazkladnhotextu3Char"/>
    <w:uiPriority w:val="99"/>
    <w:pPr>
      <w:spacing w:after="0" w:line="240" w:lineRule="auto"/>
      <w:ind w:firstLine="708"/>
      <w:jc w:val="both"/>
    </w:pPr>
    <w:rPr>
      <w:sz w:val="24"/>
      <w:szCs w:val="24"/>
      <w:lang w:eastAsia="sk-SK"/>
    </w:rPr>
  </w:style>
  <w:style w:type="character" w:customStyle="1" w:styleId="Zarkazkladnhotextu3Char">
    <w:name w:val="Zarážka základného textu 3 Char"/>
    <w:link w:val="Zarkazkladnhotextu3"/>
    <w:uiPriority w:val="99"/>
    <w:rPr>
      <w:rFonts w:ascii="Calibri" w:hAnsi="Calibri" w:cs="Calibri"/>
      <w:sz w:val="16"/>
      <w:szCs w:val="16"/>
      <w:lang w:eastAsia="en-US"/>
    </w:rPr>
  </w:style>
  <w:style w:type="paragraph" w:styleId="Zkladntext">
    <w:name w:val="Body Text"/>
    <w:basedOn w:val="Normlny"/>
    <w:link w:val="ZkladntextChar"/>
    <w:uiPriority w:val="99"/>
    <w:pPr>
      <w:spacing w:after="0" w:line="240" w:lineRule="auto"/>
      <w:jc w:val="both"/>
    </w:pPr>
    <w:rPr>
      <w:sz w:val="24"/>
      <w:szCs w:val="24"/>
      <w:lang w:eastAsia="sk-SK"/>
    </w:rPr>
  </w:style>
  <w:style w:type="character" w:customStyle="1" w:styleId="ZkladntextChar">
    <w:name w:val="Základný text Char"/>
    <w:link w:val="Zkladntext"/>
    <w:uiPriority w:val="99"/>
    <w:rPr>
      <w:rFonts w:ascii="Calibri" w:hAnsi="Calibri" w:cs="Calibri"/>
      <w:lang w:eastAsia="en-US"/>
    </w:rPr>
  </w:style>
  <w:style w:type="table" w:styleId="Mriekatabuky">
    <w:name w:val="Table Grid"/>
    <w:basedOn w:val="Normlnatabuka"/>
    <w:uiPriority w:val="59"/>
    <w:rsid w:val="00C1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4C37-F5DD-4670-AF7B-BB991323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15</Pages>
  <Words>6506</Words>
  <Characters>37087</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Správa</vt:lpstr>
    </vt:vector>
  </TitlesOfParts>
  <Company>HP</Company>
  <LinksUpToDate>false</LinksUpToDate>
  <CharactersWithSpaces>43506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subject/>
  <dc:creator>Hušťáková Eva</dc:creator>
  <cp:keywords/>
  <dc:description/>
  <cp:lastModifiedBy>Bernadovičová Slávka</cp:lastModifiedBy>
  <cp:revision>202</cp:revision>
  <cp:lastPrinted>2015-05-14T07:51:00Z</cp:lastPrinted>
  <dcterms:created xsi:type="dcterms:W3CDTF">2015-05-02T10:03:00Z</dcterms:created>
  <dcterms:modified xsi:type="dcterms:W3CDTF">2015-06-04T07:06:00Z</dcterms:modified>
</cp:coreProperties>
</file>