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1.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drawings/drawing2.xml" ContentType="application/vnd.openxmlformats-officedocument.drawingml.chartshapes+xml"/>
  <Override PartName="/word/header15.xml" ContentType="application/vnd.openxmlformats-officedocument.wordprocessingml.header+xml"/>
  <Override PartName="/word/footer5.xml" ContentType="application/vnd.openxmlformats-officedocument.wordprocessingml.footer+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charts/chart50.xml" ContentType="application/vnd.openxmlformats-officedocument.drawingml.chart+xml"/>
  <Override PartName="/word/charts/chart51.xml" ContentType="application/vnd.openxmlformats-officedocument.drawingml.chart+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9A1" w:rsidRPr="004C5551" w:rsidRDefault="00B76F56" w:rsidP="008C302F">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r w:rsidRPr="004C5551">
        <w:rPr>
          <w:b/>
          <w:sz w:val="28"/>
          <w:szCs w:val="28"/>
        </w:rPr>
        <w:t xml:space="preserve">MINISTERSTVO </w:t>
      </w:r>
      <w:r w:rsidR="002275F2" w:rsidRPr="004C5551">
        <w:rPr>
          <w:b/>
          <w:sz w:val="28"/>
          <w:szCs w:val="28"/>
        </w:rPr>
        <w:t>PRÁCE, SOCIÁLNYCH VECÍ A RODINY</w:t>
      </w:r>
      <w:bookmarkEnd w:id="0"/>
      <w:bookmarkEnd w:id="1"/>
      <w:bookmarkEnd w:id="2"/>
      <w:bookmarkEnd w:id="3"/>
      <w:bookmarkEnd w:id="4"/>
      <w:bookmarkEnd w:id="5"/>
      <w:bookmarkEnd w:id="6"/>
      <w:bookmarkEnd w:id="7"/>
      <w:bookmarkEnd w:id="8"/>
      <w:bookmarkEnd w:id="9"/>
      <w:bookmarkEnd w:id="10"/>
      <w:bookmarkEnd w:id="11"/>
    </w:p>
    <w:p w:rsidR="007A29A1" w:rsidRPr="004C5551" w:rsidRDefault="002275F2" w:rsidP="008C302F">
      <w:pPr>
        <w:jc w:val="center"/>
        <w:rPr>
          <w:b/>
          <w:sz w:val="28"/>
          <w:szCs w:val="28"/>
        </w:rPr>
      </w:pPr>
      <w:bookmarkStart w:id="12" w:name="_Toc293169728"/>
      <w:bookmarkStart w:id="13" w:name="_Toc293171572"/>
      <w:bookmarkStart w:id="14" w:name="_Toc293171789"/>
      <w:bookmarkStart w:id="15" w:name="_Toc293171964"/>
      <w:bookmarkStart w:id="16" w:name="_Toc293172078"/>
      <w:bookmarkStart w:id="17" w:name="_Toc294016295"/>
      <w:bookmarkStart w:id="18" w:name="_Toc294018424"/>
      <w:bookmarkStart w:id="19" w:name="_Toc294021228"/>
      <w:bookmarkStart w:id="20" w:name="_Toc294027941"/>
      <w:bookmarkStart w:id="21" w:name="_Toc313877432"/>
      <w:bookmarkStart w:id="22" w:name="_Toc325438096"/>
      <w:bookmarkStart w:id="23" w:name="_Toc325440870"/>
      <w:bookmarkStart w:id="24" w:name="_Toc325626683"/>
      <w:bookmarkStart w:id="25" w:name="_Toc326216944"/>
      <w:r w:rsidRPr="004C5551">
        <w:rPr>
          <w:b/>
          <w:sz w:val="28"/>
          <w:szCs w:val="28"/>
        </w:rPr>
        <w:t>SLOVENSKEJ REPUBLIKY</w:t>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275F2" w:rsidRPr="004C5551" w:rsidRDefault="002275F2" w:rsidP="00D36FB8">
      <w:pPr>
        <w:rPr>
          <w:color w:val="000000" w:themeColor="text1"/>
        </w:rPr>
      </w:pPr>
      <w:r w:rsidRPr="004C5551">
        <w:rPr>
          <w:color w:val="000000" w:themeColor="text1"/>
        </w:rPr>
        <w:t>___________________________________________________________________________</w:t>
      </w:r>
    </w:p>
    <w:p w:rsidR="002275F2" w:rsidRPr="004C5551" w:rsidRDefault="002275F2" w:rsidP="00D36FB8">
      <w:pPr>
        <w:rPr>
          <w:color w:val="000000" w:themeColor="text1"/>
        </w:rPr>
      </w:pPr>
    </w:p>
    <w:p w:rsidR="002275F2" w:rsidRPr="004C5551" w:rsidRDefault="002275F2" w:rsidP="00D36FB8">
      <w:pPr>
        <w:rPr>
          <w:color w:val="000000" w:themeColor="text1"/>
        </w:rPr>
      </w:pPr>
    </w:p>
    <w:p w:rsidR="00F412F0" w:rsidRPr="004C5551" w:rsidRDefault="00F412F0" w:rsidP="00D36FB8">
      <w:pPr>
        <w:rPr>
          <w:color w:val="000000" w:themeColor="text1"/>
        </w:rPr>
      </w:pPr>
    </w:p>
    <w:p w:rsidR="002275F2" w:rsidRPr="004C5551" w:rsidRDefault="002275F2" w:rsidP="00D36FB8">
      <w:pPr>
        <w:rPr>
          <w:color w:val="000000" w:themeColor="text1"/>
        </w:rPr>
      </w:pPr>
    </w:p>
    <w:p w:rsidR="002275F2" w:rsidRPr="004C5551" w:rsidRDefault="002275F2" w:rsidP="00D36FB8">
      <w:pPr>
        <w:rPr>
          <w:color w:val="000000" w:themeColor="text1"/>
        </w:rPr>
      </w:pPr>
    </w:p>
    <w:p w:rsidR="00137571" w:rsidRPr="004C5551" w:rsidRDefault="00137571" w:rsidP="00137571">
      <w:pPr>
        <w:rPr>
          <w:color w:val="000000" w:themeColor="text1"/>
        </w:rPr>
      </w:pPr>
    </w:p>
    <w:p w:rsidR="001467EB" w:rsidRPr="004C5551" w:rsidRDefault="001467EB" w:rsidP="00D36FB8">
      <w:pPr>
        <w:rPr>
          <w:color w:val="000000" w:themeColor="text1"/>
        </w:rPr>
      </w:pPr>
    </w:p>
    <w:p w:rsidR="001467EB" w:rsidRPr="004C5551" w:rsidRDefault="001467EB" w:rsidP="00D36FB8">
      <w:pPr>
        <w:rPr>
          <w:color w:val="000000" w:themeColor="text1"/>
        </w:rPr>
      </w:pPr>
    </w:p>
    <w:p w:rsidR="001467EB" w:rsidRPr="004C5551" w:rsidRDefault="001467EB"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490821" w:rsidRPr="004C5551" w:rsidRDefault="00490821" w:rsidP="00D36FB8">
      <w:pPr>
        <w:rPr>
          <w:color w:val="000000" w:themeColor="text1"/>
        </w:rPr>
      </w:pPr>
    </w:p>
    <w:p w:rsidR="002275F2" w:rsidRPr="004C5551" w:rsidRDefault="002275F2" w:rsidP="00D36FB8">
      <w:pPr>
        <w:rPr>
          <w:color w:val="000000" w:themeColor="text1"/>
        </w:rPr>
      </w:pPr>
    </w:p>
    <w:p w:rsidR="007E7529" w:rsidRPr="004C5551" w:rsidRDefault="007E7529" w:rsidP="00EA40A8">
      <w:pPr>
        <w:jc w:val="center"/>
        <w:rPr>
          <w:b/>
          <w:sz w:val="28"/>
          <w:szCs w:val="28"/>
        </w:rPr>
      </w:pPr>
    </w:p>
    <w:p w:rsidR="007E7529" w:rsidRPr="004C5551" w:rsidRDefault="007E7529" w:rsidP="00EA40A8">
      <w:pPr>
        <w:jc w:val="center"/>
        <w:rPr>
          <w:b/>
          <w:sz w:val="28"/>
          <w:szCs w:val="28"/>
        </w:rPr>
      </w:pPr>
    </w:p>
    <w:p w:rsidR="00EA40A8" w:rsidRPr="004C5551" w:rsidRDefault="006D07E5" w:rsidP="00EA40A8">
      <w:pPr>
        <w:jc w:val="center"/>
        <w:rPr>
          <w:b/>
          <w:sz w:val="28"/>
          <w:szCs w:val="28"/>
        </w:rPr>
      </w:pPr>
      <w:r w:rsidRPr="004C5551">
        <w:rPr>
          <w:b/>
          <w:sz w:val="28"/>
          <w:szCs w:val="28"/>
        </w:rPr>
        <w:t>Sp</w:t>
      </w:r>
      <w:r w:rsidR="00EA40A8" w:rsidRPr="004C5551">
        <w:rPr>
          <w:b/>
          <w:sz w:val="28"/>
          <w:szCs w:val="28"/>
        </w:rPr>
        <w:t>ráva</w:t>
      </w:r>
    </w:p>
    <w:p w:rsidR="002275F2" w:rsidRPr="004C5551" w:rsidRDefault="00B27EA8" w:rsidP="00D36FB8">
      <w:pPr>
        <w:rPr>
          <w:color w:val="000000" w:themeColor="text1"/>
        </w:rPr>
      </w:pPr>
      <w:r w:rsidRPr="004C5551">
        <w:rPr>
          <w:color w:val="000000" w:themeColor="text1"/>
        </w:rPr>
        <w:tab/>
      </w:r>
    </w:p>
    <w:p w:rsidR="002275F2" w:rsidRPr="004C5551" w:rsidRDefault="002275F2" w:rsidP="00331E2B">
      <w:pPr>
        <w:jc w:val="center"/>
        <w:rPr>
          <w:b/>
        </w:rPr>
      </w:pPr>
      <w:r w:rsidRPr="004C5551">
        <w:rPr>
          <w:b/>
        </w:rPr>
        <w:t>o sociálnej situácii obyvateľstva Slovenskej republiky</w:t>
      </w:r>
      <w:r w:rsidR="002271D4" w:rsidRPr="004C5551">
        <w:rPr>
          <w:b/>
        </w:rPr>
        <w:t xml:space="preserve"> </w:t>
      </w:r>
      <w:r w:rsidRPr="004C5551">
        <w:rPr>
          <w:b/>
        </w:rPr>
        <w:t>za rok</w:t>
      </w:r>
      <w:r w:rsidR="002271D4" w:rsidRPr="004C5551">
        <w:rPr>
          <w:b/>
        </w:rPr>
        <w:t xml:space="preserve"> </w:t>
      </w:r>
      <w:r w:rsidRPr="004C5551">
        <w:rPr>
          <w:b/>
        </w:rPr>
        <w:t>20</w:t>
      </w:r>
      <w:r w:rsidR="00D95415" w:rsidRPr="004C5551">
        <w:rPr>
          <w:b/>
        </w:rPr>
        <w:t>1</w:t>
      </w:r>
      <w:r w:rsidR="00C46F26" w:rsidRPr="004C5551">
        <w:rPr>
          <w:b/>
        </w:rPr>
        <w:t>4</w:t>
      </w:r>
    </w:p>
    <w:p w:rsidR="002275F2" w:rsidRPr="004C5551" w:rsidRDefault="002275F2" w:rsidP="00D36FB8">
      <w:pPr>
        <w:pStyle w:val="Zkladntext"/>
        <w:rPr>
          <w:b/>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8541A3" w:rsidRPr="004C5551" w:rsidRDefault="008541A3" w:rsidP="00D36FB8">
      <w:pPr>
        <w:pStyle w:val="Zkladntext"/>
        <w:rPr>
          <w:color w:val="000000" w:themeColor="text1"/>
        </w:rPr>
      </w:pPr>
    </w:p>
    <w:p w:rsidR="002275F2" w:rsidRPr="004C5551" w:rsidRDefault="002275F2" w:rsidP="00D36FB8">
      <w:pPr>
        <w:pStyle w:val="Zkladntext"/>
        <w:rPr>
          <w:color w:val="000000" w:themeColor="text1"/>
        </w:rPr>
      </w:pPr>
    </w:p>
    <w:p w:rsidR="002275F2" w:rsidRPr="004C5551" w:rsidRDefault="002275F2" w:rsidP="005E7C8D">
      <w:pPr>
        <w:pStyle w:val="Zkladntext"/>
        <w:jc w:val="center"/>
        <w:rPr>
          <w:color w:val="000000" w:themeColor="text1"/>
        </w:rPr>
      </w:pPr>
    </w:p>
    <w:p w:rsidR="002275F2" w:rsidRPr="004C5551" w:rsidRDefault="002275F2" w:rsidP="00D36FB8">
      <w:pPr>
        <w:pStyle w:val="Zkladntext"/>
        <w:rPr>
          <w:color w:val="000000" w:themeColor="text1"/>
        </w:rPr>
      </w:pPr>
    </w:p>
    <w:p w:rsidR="002275F2" w:rsidRPr="004C5551" w:rsidRDefault="002275F2" w:rsidP="00D36FB8">
      <w:pPr>
        <w:pStyle w:val="Zkladntext"/>
        <w:rPr>
          <w:color w:val="000000" w:themeColor="text1"/>
        </w:rPr>
      </w:pPr>
    </w:p>
    <w:p w:rsidR="009B1737" w:rsidRPr="004C5551" w:rsidRDefault="009B1737" w:rsidP="00D36FB8">
      <w:pPr>
        <w:pStyle w:val="Zkladntext"/>
        <w:rPr>
          <w:color w:val="000000" w:themeColor="text1"/>
        </w:rPr>
      </w:pPr>
    </w:p>
    <w:p w:rsidR="009B1737" w:rsidRPr="004C5551" w:rsidRDefault="009B1737" w:rsidP="00D36FB8">
      <w:pPr>
        <w:pStyle w:val="Zkladntext"/>
        <w:rPr>
          <w:color w:val="000000" w:themeColor="text1"/>
        </w:rPr>
      </w:pPr>
    </w:p>
    <w:p w:rsidR="009B1737" w:rsidRPr="004C5551" w:rsidRDefault="009B1737" w:rsidP="00D36FB8">
      <w:pPr>
        <w:pStyle w:val="Zkladntext"/>
        <w:rPr>
          <w:color w:val="000000" w:themeColor="text1"/>
        </w:rPr>
      </w:pPr>
    </w:p>
    <w:p w:rsidR="009B1737" w:rsidRPr="004C5551" w:rsidRDefault="009B1737" w:rsidP="00D36FB8">
      <w:pPr>
        <w:pStyle w:val="Zkladntext"/>
        <w:rPr>
          <w:color w:val="000000" w:themeColor="text1"/>
        </w:rPr>
      </w:pPr>
    </w:p>
    <w:p w:rsidR="002275F2" w:rsidRPr="004C5551" w:rsidRDefault="002275F2" w:rsidP="00D36FB8">
      <w:pPr>
        <w:pStyle w:val="Zkladntext"/>
        <w:rPr>
          <w:color w:val="000000" w:themeColor="text1"/>
        </w:rPr>
      </w:pPr>
    </w:p>
    <w:p w:rsidR="00E92749" w:rsidRPr="004C5551" w:rsidRDefault="002275F2" w:rsidP="00D36FB8">
      <w:pPr>
        <w:pStyle w:val="Zkladntext"/>
        <w:jc w:val="center"/>
        <w:rPr>
          <w:color w:val="000000" w:themeColor="text1"/>
        </w:rPr>
        <w:sectPr w:rsidR="00E92749" w:rsidRPr="004C5551" w:rsidSect="004F3C97">
          <w:headerReference w:type="even" r:id="rId9"/>
          <w:headerReference w:type="default" r:id="rId10"/>
          <w:pgSz w:w="11906" w:h="16838" w:code="9"/>
          <w:pgMar w:top="1417" w:right="1417" w:bottom="1417" w:left="1417" w:header="709" w:footer="709" w:gutter="0"/>
          <w:pgNumType w:start="1"/>
          <w:cols w:space="708"/>
          <w:titlePg/>
          <w:docGrid w:linePitch="360"/>
        </w:sectPr>
      </w:pPr>
      <w:r w:rsidRPr="004C5551">
        <w:rPr>
          <w:color w:val="000000" w:themeColor="text1"/>
        </w:rPr>
        <w:t>Bratislava 20</w:t>
      </w:r>
      <w:bookmarkStart w:id="26" w:name="_Toc294016297"/>
      <w:bookmarkStart w:id="27" w:name="_Toc294018426"/>
      <w:bookmarkStart w:id="28" w:name="_Toc294027943"/>
      <w:r w:rsidR="00D95415" w:rsidRPr="004C5551">
        <w:rPr>
          <w:color w:val="000000" w:themeColor="text1"/>
        </w:rPr>
        <w:t>1</w:t>
      </w:r>
      <w:r w:rsidR="00C46F26" w:rsidRPr="004C5551">
        <w:rPr>
          <w:color w:val="000000" w:themeColor="text1"/>
        </w:rPr>
        <w:t>5</w:t>
      </w:r>
    </w:p>
    <w:p w:rsidR="004572FF" w:rsidRPr="004C5551" w:rsidRDefault="004572FF" w:rsidP="00D36FB8">
      <w:pPr>
        <w:pStyle w:val="Zkladntext"/>
        <w:jc w:val="center"/>
        <w:rPr>
          <w:b/>
        </w:rPr>
      </w:pPr>
    </w:p>
    <w:p w:rsidR="005C0A61" w:rsidRPr="004C5551" w:rsidRDefault="005C0A61" w:rsidP="001C751A">
      <w:pPr>
        <w:pStyle w:val="Nadpis1"/>
        <w:numPr>
          <w:ilvl w:val="0"/>
          <w:numId w:val="0"/>
        </w:numPr>
        <w:ind w:left="432" w:hanging="432"/>
      </w:pPr>
      <w:bookmarkStart w:id="29" w:name="_Toc388534183"/>
      <w:bookmarkStart w:id="30" w:name="_Toc389646805"/>
      <w:bookmarkStart w:id="31" w:name="_Toc394061414"/>
      <w:bookmarkStart w:id="32" w:name="_Toc394062007"/>
      <w:bookmarkStart w:id="33" w:name="_Toc394062183"/>
      <w:bookmarkStart w:id="34" w:name="_Toc418672226"/>
      <w:bookmarkStart w:id="35" w:name="_Toc419355212"/>
      <w:bookmarkStart w:id="36" w:name="_Toc419457175"/>
      <w:bookmarkStart w:id="37" w:name="_Toc419795335"/>
      <w:bookmarkStart w:id="38" w:name="_Toc422150956"/>
      <w:bookmarkStart w:id="39" w:name="_Toc422233396"/>
      <w:bookmarkEnd w:id="26"/>
      <w:bookmarkEnd w:id="27"/>
      <w:bookmarkEnd w:id="28"/>
      <w:r w:rsidRPr="004C5551">
        <w:t>OBSAH</w:t>
      </w:r>
      <w:bookmarkEnd w:id="29"/>
      <w:bookmarkEnd w:id="30"/>
      <w:bookmarkEnd w:id="31"/>
      <w:bookmarkEnd w:id="32"/>
      <w:bookmarkEnd w:id="33"/>
      <w:bookmarkEnd w:id="34"/>
      <w:bookmarkEnd w:id="35"/>
      <w:bookmarkEnd w:id="36"/>
      <w:bookmarkEnd w:id="37"/>
      <w:bookmarkEnd w:id="38"/>
      <w:bookmarkEnd w:id="39"/>
    </w:p>
    <w:p w:rsidR="002A027D" w:rsidRPr="002A027D" w:rsidRDefault="00F23A64">
      <w:pPr>
        <w:pStyle w:val="Obsah1"/>
        <w:rPr>
          <w:rFonts w:asciiTheme="minorHAnsi" w:eastAsiaTheme="minorEastAsia" w:hAnsiTheme="minorHAnsi" w:cstheme="minorBidi"/>
          <w:b w:val="0"/>
          <w:color w:val="auto"/>
          <w:szCs w:val="22"/>
        </w:rPr>
      </w:pPr>
      <w:r w:rsidRPr="004C5551">
        <w:rPr>
          <w:color w:val="auto"/>
        </w:rPr>
        <w:fldChar w:fldCharType="begin"/>
      </w:r>
      <w:r w:rsidR="00B14385" w:rsidRPr="004C5551">
        <w:rPr>
          <w:color w:val="auto"/>
        </w:rPr>
        <w:instrText xml:space="preserve"> TOC \o "1-6" \h \z \u </w:instrText>
      </w:r>
      <w:r w:rsidRPr="004C5551">
        <w:rPr>
          <w:color w:val="auto"/>
        </w:rPr>
        <w:fldChar w:fldCharType="separate"/>
      </w:r>
      <w:hyperlink w:anchor="_Toc422233398" w:history="1">
        <w:r w:rsidR="002A027D" w:rsidRPr="002A027D">
          <w:rPr>
            <w:rStyle w:val="Hypertextovprepojenie"/>
            <w:color w:val="auto"/>
          </w:rPr>
          <w:t>Ú</w:t>
        </w:r>
        <w:r w:rsidR="002A027D" w:rsidRPr="002A027D">
          <w:rPr>
            <w:rStyle w:val="Hypertextovprepojenie"/>
            <w:color w:val="auto"/>
          </w:rPr>
          <w:t>V</w:t>
        </w:r>
        <w:r w:rsidR="002A027D" w:rsidRPr="002A027D">
          <w:rPr>
            <w:rStyle w:val="Hypertextovprepojenie"/>
            <w:color w:val="auto"/>
          </w:rPr>
          <w:t>OD</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_Toc422233398 \h </w:instrText>
        </w:r>
        <w:r w:rsidR="002A027D" w:rsidRPr="002A027D">
          <w:rPr>
            <w:webHidden/>
            <w:color w:val="auto"/>
          </w:rPr>
        </w:r>
        <w:r w:rsidR="002A027D" w:rsidRPr="002A027D">
          <w:rPr>
            <w:webHidden/>
            <w:color w:val="auto"/>
          </w:rPr>
          <w:fldChar w:fldCharType="separate"/>
        </w:r>
        <w:r w:rsidR="00E53062">
          <w:rPr>
            <w:webHidden/>
            <w:color w:val="auto"/>
          </w:rPr>
          <w:t>5</w:t>
        </w:r>
        <w:r w:rsidR="002A027D" w:rsidRPr="002A027D">
          <w:rPr>
            <w:webHidden/>
            <w:color w:val="auto"/>
          </w:rPr>
          <w:fldChar w:fldCharType="end"/>
        </w:r>
      </w:hyperlink>
    </w:p>
    <w:p w:rsidR="002A027D" w:rsidRPr="002A027D" w:rsidRDefault="008B18CB">
      <w:pPr>
        <w:pStyle w:val="Obsah1"/>
        <w:rPr>
          <w:rFonts w:asciiTheme="minorHAnsi" w:eastAsiaTheme="minorEastAsia" w:hAnsiTheme="minorHAnsi" w:cstheme="minorBidi"/>
          <w:b w:val="0"/>
          <w:color w:val="auto"/>
          <w:szCs w:val="22"/>
        </w:rPr>
      </w:pPr>
      <w:hyperlink w:anchor="_Toc422233399" w:history="1">
        <w:r w:rsidR="002A027D" w:rsidRPr="002A027D">
          <w:rPr>
            <w:rStyle w:val="Hypertextovprepojenie"/>
            <w:color w:val="auto"/>
          </w:rPr>
          <w:t>1</w:t>
        </w:r>
        <w:r w:rsidR="002A027D" w:rsidRPr="002A027D">
          <w:rPr>
            <w:rFonts w:asciiTheme="minorHAnsi" w:eastAsiaTheme="minorEastAsia" w:hAnsiTheme="minorHAnsi" w:cstheme="minorBidi"/>
            <w:b w:val="0"/>
            <w:color w:val="auto"/>
            <w:szCs w:val="22"/>
          </w:rPr>
          <w:tab/>
        </w:r>
        <w:r w:rsidR="002A027D" w:rsidRPr="002A027D">
          <w:rPr>
            <w:rStyle w:val="Hypertextovprepojenie"/>
            <w:color w:val="auto"/>
          </w:rPr>
          <w:t>HLAVNÉ MAKROEKONOMICKO-DEMOGRAFICKÉ UKAZOVATELE V PODMIENKACH SLOVENSKEJ REPUBLIKY</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_Toc422233399 \h </w:instrText>
        </w:r>
        <w:r w:rsidR="002A027D" w:rsidRPr="002A027D">
          <w:rPr>
            <w:webHidden/>
            <w:color w:val="auto"/>
          </w:rPr>
        </w:r>
        <w:r w:rsidR="002A027D" w:rsidRPr="002A027D">
          <w:rPr>
            <w:webHidden/>
            <w:color w:val="auto"/>
          </w:rPr>
          <w:fldChar w:fldCharType="separate"/>
        </w:r>
        <w:r w:rsidR="00E53062">
          <w:rPr>
            <w:webHidden/>
            <w:color w:val="auto"/>
          </w:rPr>
          <w:t>7</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00" w:history="1">
        <w:r w:rsidR="002A027D" w:rsidRPr="002A027D">
          <w:rPr>
            <w:rStyle w:val="Hypertextovprepojenie"/>
            <w:color w:val="auto"/>
          </w:rPr>
          <w:t>1.1</w:t>
        </w:r>
        <w:r w:rsidR="002A027D" w:rsidRPr="002A027D">
          <w:rPr>
            <w:rFonts w:asciiTheme="minorHAnsi" w:eastAsiaTheme="minorEastAsia" w:hAnsiTheme="minorHAnsi" w:cstheme="minorBidi"/>
            <w:szCs w:val="22"/>
          </w:rPr>
          <w:tab/>
        </w:r>
        <w:r w:rsidR="002A027D" w:rsidRPr="002A027D">
          <w:rPr>
            <w:rStyle w:val="Hypertextovprepojenie"/>
            <w:color w:val="auto"/>
          </w:rPr>
          <w:t>Základné makroekonomické charakteristiky</w:t>
        </w:r>
        <w:r w:rsidR="002A027D" w:rsidRPr="002A027D">
          <w:rPr>
            <w:webHidden/>
          </w:rPr>
          <w:tab/>
        </w:r>
        <w:r w:rsidR="002A027D" w:rsidRPr="002A027D">
          <w:rPr>
            <w:webHidden/>
          </w:rPr>
          <w:fldChar w:fldCharType="begin"/>
        </w:r>
        <w:r w:rsidR="002A027D" w:rsidRPr="002A027D">
          <w:rPr>
            <w:webHidden/>
          </w:rPr>
          <w:instrText xml:space="preserve"> PAGEREF _Toc422233400 \h </w:instrText>
        </w:r>
        <w:r w:rsidR="002A027D" w:rsidRPr="002A027D">
          <w:rPr>
            <w:webHidden/>
          </w:rPr>
        </w:r>
        <w:r w:rsidR="002A027D" w:rsidRPr="002A027D">
          <w:rPr>
            <w:webHidden/>
          </w:rPr>
          <w:fldChar w:fldCharType="separate"/>
        </w:r>
        <w:r w:rsidR="00E53062">
          <w:rPr>
            <w:webHidden/>
          </w:rPr>
          <w:t>7</w:t>
        </w:r>
        <w:r w:rsidR="002A027D" w:rsidRPr="002A027D">
          <w:rPr>
            <w:webHidden/>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01" w:history="1">
        <w:r w:rsidR="002A027D" w:rsidRPr="002A027D">
          <w:rPr>
            <w:rStyle w:val="Hypertextovprepojenie"/>
            <w:color w:val="auto"/>
          </w:rPr>
          <w:t>1.2</w:t>
        </w:r>
        <w:r w:rsidR="002A027D" w:rsidRPr="002A027D">
          <w:rPr>
            <w:rFonts w:asciiTheme="minorHAnsi" w:eastAsiaTheme="minorEastAsia" w:hAnsiTheme="minorHAnsi" w:cstheme="minorBidi"/>
            <w:szCs w:val="22"/>
          </w:rPr>
          <w:tab/>
        </w:r>
        <w:r w:rsidR="002A027D" w:rsidRPr="002A027D">
          <w:rPr>
            <w:rStyle w:val="Hypertextovprepojenie"/>
            <w:color w:val="auto"/>
          </w:rPr>
          <w:t>Vybrané demografické ukazovatele</w:t>
        </w:r>
        <w:r w:rsidR="002A027D" w:rsidRPr="002A027D">
          <w:rPr>
            <w:webHidden/>
          </w:rPr>
          <w:tab/>
        </w:r>
        <w:r w:rsidR="002A027D" w:rsidRPr="002A027D">
          <w:rPr>
            <w:webHidden/>
          </w:rPr>
          <w:fldChar w:fldCharType="begin"/>
        </w:r>
        <w:r w:rsidR="002A027D" w:rsidRPr="002A027D">
          <w:rPr>
            <w:webHidden/>
          </w:rPr>
          <w:instrText xml:space="preserve"> PAGEREF _Toc422233401 \h </w:instrText>
        </w:r>
        <w:r w:rsidR="002A027D" w:rsidRPr="002A027D">
          <w:rPr>
            <w:webHidden/>
          </w:rPr>
        </w:r>
        <w:r w:rsidR="002A027D" w:rsidRPr="002A027D">
          <w:rPr>
            <w:webHidden/>
          </w:rPr>
          <w:fldChar w:fldCharType="separate"/>
        </w:r>
        <w:r w:rsidR="00E53062">
          <w:rPr>
            <w:webHidden/>
          </w:rPr>
          <w:t>9</w:t>
        </w:r>
        <w:r w:rsidR="002A027D" w:rsidRPr="002A027D">
          <w:rPr>
            <w:webHidden/>
          </w:rPr>
          <w:fldChar w:fldCharType="end"/>
        </w:r>
      </w:hyperlink>
    </w:p>
    <w:p w:rsidR="002A027D" w:rsidRPr="002A027D" w:rsidRDefault="008B18CB">
      <w:pPr>
        <w:pStyle w:val="Obsah1"/>
        <w:rPr>
          <w:rFonts w:asciiTheme="minorHAnsi" w:eastAsiaTheme="minorEastAsia" w:hAnsiTheme="minorHAnsi" w:cstheme="minorBidi"/>
          <w:b w:val="0"/>
          <w:color w:val="auto"/>
          <w:szCs w:val="22"/>
        </w:rPr>
      </w:pPr>
      <w:hyperlink w:anchor="_Toc422233402" w:history="1">
        <w:r w:rsidR="002A027D" w:rsidRPr="002A027D">
          <w:rPr>
            <w:rStyle w:val="Hypertextovprepojenie"/>
            <w:color w:val="auto"/>
          </w:rPr>
          <w:t>2</w:t>
        </w:r>
        <w:r w:rsidR="002A027D" w:rsidRPr="002A027D">
          <w:rPr>
            <w:rFonts w:asciiTheme="minorHAnsi" w:eastAsiaTheme="minorEastAsia" w:hAnsiTheme="minorHAnsi" w:cstheme="minorBidi"/>
            <w:b w:val="0"/>
            <w:color w:val="auto"/>
            <w:szCs w:val="22"/>
          </w:rPr>
          <w:tab/>
        </w:r>
        <w:r w:rsidR="002A027D" w:rsidRPr="002A027D">
          <w:rPr>
            <w:rStyle w:val="Hypertextovprepojenie"/>
            <w:color w:val="auto"/>
          </w:rPr>
          <w:t>TRH PRÁCE, MZDY A PRACOVNÉ PODMIENKY</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_Toc422233402 \h </w:instrText>
        </w:r>
        <w:r w:rsidR="002A027D" w:rsidRPr="002A027D">
          <w:rPr>
            <w:webHidden/>
            <w:color w:val="auto"/>
          </w:rPr>
        </w:r>
        <w:r w:rsidR="002A027D" w:rsidRPr="002A027D">
          <w:rPr>
            <w:webHidden/>
            <w:color w:val="auto"/>
          </w:rPr>
          <w:fldChar w:fldCharType="separate"/>
        </w:r>
        <w:r w:rsidR="00E53062">
          <w:rPr>
            <w:webHidden/>
            <w:color w:val="auto"/>
          </w:rPr>
          <w:t>11</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03" w:history="1">
        <w:r w:rsidR="002A027D" w:rsidRPr="002A027D">
          <w:rPr>
            <w:rStyle w:val="Hypertextovprepojenie"/>
            <w:color w:val="auto"/>
          </w:rPr>
          <w:t>2.1</w:t>
        </w:r>
        <w:r w:rsidR="002A027D" w:rsidRPr="002A027D">
          <w:rPr>
            <w:rFonts w:asciiTheme="minorHAnsi" w:eastAsiaTheme="minorEastAsia" w:hAnsiTheme="minorHAnsi" w:cstheme="minorBidi"/>
            <w:szCs w:val="22"/>
          </w:rPr>
          <w:tab/>
        </w:r>
        <w:r w:rsidR="002A027D" w:rsidRPr="002A027D">
          <w:rPr>
            <w:rStyle w:val="Hypertextovprepojenie"/>
            <w:color w:val="auto"/>
          </w:rPr>
          <w:t>Trh práce</w:t>
        </w:r>
        <w:r w:rsidR="002A027D" w:rsidRPr="002A027D">
          <w:rPr>
            <w:webHidden/>
          </w:rPr>
          <w:tab/>
        </w:r>
        <w:r w:rsidR="002A027D" w:rsidRPr="002A027D">
          <w:rPr>
            <w:webHidden/>
          </w:rPr>
          <w:fldChar w:fldCharType="begin"/>
        </w:r>
        <w:r w:rsidR="002A027D" w:rsidRPr="002A027D">
          <w:rPr>
            <w:webHidden/>
          </w:rPr>
          <w:instrText xml:space="preserve"> PAGEREF _Toc422233403 \h </w:instrText>
        </w:r>
        <w:r w:rsidR="002A027D" w:rsidRPr="002A027D">
          <w:rPr>
            <w:webHidden/>
          </w:rPr>
        </w:r>
        <w:r w:rsidR="002A027D" w:rsidRPr="002A027D">
          <w:rPr>
            <w:webHidden/>
          </w:rPr>
          <w:fldChar w:fldCharType="separate"/>
        </w:r>
        <w:r w:rsidR="00E53062">
          <w:rPr>
            <w:webHidden/>
          </w:rPr>
          <w:t>11</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04" w:history="1">
        <w:r w:rsidR="002A027D" w:rsidRPr="002A027D">
          <w:rPr>
            <w:rStyle w:val="Hypertextovprepojenie"/>
            <w:color w:val="auto"/>
          </w:rPr>
          <w:t>2.1.1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Vývoj ekonomickej aktivity obyvateľstva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_Toc422233404 \h </w:instrText>
        </w:r>
        <w:r w:rsidR="002A027D" w:rsidRPr="002A027D">
          <w:rPr>
            <w:webHidden/>
            <w:color w:val="auto"/>
          </w:rPr>
        </w:r>
        <w:r w:rsidR="002A027D" w:rsidRPr="002A027D">
          <w:rPr>
            <w:webHidden/>
            <w:color w:val="auto"/>
          </w:rPr>
          <w:fldChar w:fldCharType="separate"/>
        </w:r>
        <w:r w:rsidR="00E53062">
          <w:rPr>
            <w:webHidden/>
            <w:color w:val="auto"/>
          </w:rPr>
          <w:t>11</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05" w:history="1">
        <w:r w:rsidR="002A027D" w:rsidRPr="002A027D">
          <w:rPr>
            <w:rStyle w:val="Hypertextovprepojenie"/>
            <w:color w:val="auto"/>
          </w:rPr>
          <w:t>2.1.2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Vývoj zamestnanosti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_Toc422233405 \h </w:instrText>
        </w:r>
        <w:r w:rsidR="002A027D" w:rsidRPr="002A027D">
          <w:rPr>
            <w:webHidden/>
            <w:color w:val="auto"/>
          </w:rPr>
        </w:r>
        <w:r w:rsidR="002A027D" w:rsidRPr="002A027D">
          <w:rPr>
            <w:webHidden/>
            <w:color w:val="auto"/>
          </w:rPr>
          <w:fldChar w:fldCharType="separate"/>
        </w:r>
        <w:r w:rsidR="00E53062">
          <w:rPr>
            <w:webHidden/>
            <w:color w:val="auto"/>
          </w:rPr>
          <w:t>13</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06" w:history="1">
        <w:r w:rsidR="002A027D" w:rsidRPr="002A027D">
          <w:rPr>
            <w:rStyle w:val="Hypertextovprepojenie"/>
            <w:color w:val="auto"/>
          </w:rPr>
          <w:t>2.1.3</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Vývoj nezamestnanosti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_Toc422233406 \h </w:instrText>
        </w:r>
        <w:r w:rsidR="002A027D" w:rsidRPr="002A027D">
          <w:rPr>
            <w:webHidden/>
            <w:color w:val="auto"/>
          </w:rPr>
        </w:r>
        <w:r w:rsidR="002A027D" w:rsidRPr="002A027D">
          <w:rPr>
            <w:webHidden/>
            <w:color w:val="auto"/>
          </w:rPr>
          <w:fldChar w:fldCharType="separate"/>
        </w:r>
        <w:r w:rsidR="00E53062">
          <w:rPr>
            <w:webHidden/>
            <w:color w:val="auto"/>
          </w:rPr>
          <w:t>23</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07" w:history="1">
        <w:r w:rsidR="002A027D" w:rsidRPr="002A027D">
          <w:rPr>
            <w:rStyle w:val="Hypertextovprepojenie"/>
            <w:color w:val="auto"/>
          </w:rPr>
          <w:t>2.1.4</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Aktívne opatrenia na trhu práce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_Toc422233407 \h </w:instrText>
        </w:r>
        <w:r w:rsidR="002A027D" w:rsidRPr="002A027D">
          <w:rPr>
            <w:webHidden/>
            <w:color w:val="auto"/>
          </w:rPr>
        </w:r>
        <w:r w:rsidR="002A027D" w:rsidRPr="002A027D">
          <w:rPr>
            <w:webHidden/>
            <w:color w:val="auto"/>
          </w:rPr>
          <w:fldChar w:fldCharType="separate"/>
        </w:r>
        <w:r w:rsidR="00E53062">
          <w:rPr>
            <w:webHidden/>
            <w:color w:val="auto"/>
          </w:rPr>
          <w:t>36</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08" w:history="1">
        <w:r w:rsidR="002A027D" w:rsidRPr="002A027D">
          <w:rPr>
            <w:rStyle w:val="Hypertextovprepojenie"/>
            <w:color w:val="auto"/>
          </w:rPr>
          <w:t>2.2</w:t>
        </w:r>
        <w:r w:rsidR="002A027D" w:rsidRPr="002A027D">
          <w:rPr>
            <w:rFonts w:asciiTheme="minorHAnsi" w:eastAsiaTheme="minorEastAsia" w:hAnsiTheme="minorHAnsi" w:cstheme="minorBidi"/>
            <w:szCs w:val="22"/>
          </w:rPr>
          <w:tab/>
        </w:r>
        <w:r w:rsidR="002A027D" w:rsidRPr="002A027D">
          <w:rPr>
            <w:rStyle w:val="Hypertextovprepojenie"/>
            <w:color w:val="auto"/>
          </w:rPr>
          <w:t>Mzdy a pracovné podmienky</w:t>
        </w:r>
        <w:r w:rsidR="002A027D" w:rsidRPr="002A027D">
          <w:rPr>
            <w:webHidden/>
          </w:rPr>
          <w:tab/>
        </w:r>
        <w:r w:rsidR="002A027D" w:rsidRPr="002A027D">
          <w:rPr>
            <w:webHidden/>
          </w:rPr>
          <w:fldChar w:fldCharType="begin"/>
        </w:r>
        <w:r w:rsidR="002A027D" w:rsidRPr="002A027D">
          <w:rPr>
            <w:webHidden/>
          </w:rPr>
          <w:instrText xml:space="preserve"> PAGEREF _Toc422233408 \h </w:instrText>
        </w:r>
        <w:r w:rsidR="002A027D" w:rsidRPr="002A027D">
          <w:rPr>
            <w:webHidden/>
          </w:rPr>
        </w:r>
        <w:r w:rsidR="002A027D" w:rsidRPr="002A027D">
          <w:rPr>
            <w:webHidden/>
          </w:rPr>
          <w:fldChar w:fldCharType="separate"/>
        </w:r>
        <w:r w:rsidR="00E53062">
          <w:rPr>
            <w:webHidden/>
          </w:rPr>
          <w:t>38</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09" w:history="1">
        <w:r w:rsidR="002A027D" w:rsidRPr="002A027D">
          <w:rPr>
            <w:rStyle w:val="Hypertextovprepojenie"/>
            <w:color w:val="auto"/>
          </w:rPr>
          <w:t>2.2.1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Mzdy</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_Toc422233409 \h </w:instrText>
        </w:r>
        <w:r w:rsidR="002A027D" w:rsidRPr="002A027D">
          <w:rPr>
            <w:webHidden/>
            <w:color w:val="auto"/>
          </w:rPr>
        </w:r>
        <w:r w:rsidR="002A027D" w:rsidRPr="002A027D">
          <w:rPr>
            <w:webHidden/>
            <w:color w:val="auto"/>
          </w:rPr>
          <w:fldChar w:fldCharType="separate"/>
        </w:r>
        <w:r w:rsidR="00E53062">
          <w:rPr>
            <w:webHidden/>
            <w:color w:val="auto"/>
          </w:rPr>
          <w:t>39</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0" w:history="1">
        <w:r w:rsidR="002A027D" w:rsidRPr="002A027D">
          <w:rPr>
            <w:rStyle w:val="Hypertextovprepojenie"/>
            <w:color w:val="auto"/>
          </w:rPr>
          <w:t>2.2.2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Úplné náklady práce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_Toc422233410 \h </w:instrText>
        </w:r>
        <w:r w:rsidR="002A027D" w:rsidRPr="002A027D">
          <w:rPr>
            <w:webHidden/>
            <w:color w:val="auto"/>
          </w:rPr>
        </w:r>
        <w:r w:rsidR="002A027D" w:rsidRPr="002A027D">
          <w:rPr>
            <w:webHidden/>
            <w:color w:val="auto"/>
          </w:rPr>
          <w:fldChar w:fldCharType="separate"/>
        </w:r>
        <w:r w:rsidR="00E53062">
          <w:rPr>
            <w:webHidden/>
            <w:color w:val="auto"/>
          </w:rPr>
          <w:t>44</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1" w:history="1">
        <w:r w:rsidR="002A027D" w:rsidRPr="002A027D">
          <w:rPr>
            <w:rStyle w:val="Hypertextovprepojenie"/>
            <w:color w:val="auto"/>
          </w:rPr>
          <w:t>2.2.3</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Kolektívne vyjednávanie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_Toc422233411 \h </w:instrText>
        </w:r>
        <w:r w:rsidR="002A027D" w:rsidRPr="002A027D">
          <w:rPr>
            <w:webHidden/>
            <w:color w:val="auto"/>
          </w:rPr>
        </w:r>
        <w:r w:rsidR="002A027D" w:rsidRPr="002A027D">
          <w:rPr>
            <w:webHidden/>
            <w:color w:val="auto"/>
          </w:rPr>
          <w:fldChar w:fldCharType="separate"/>
        </w:r>
        <w:r w:rsidR="00E53062">
          <w:rPr>
            <w:webHidden/>
            <w:color w:val="auto"/>
          </w:rPr>
          <w:t>47</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2" w:history="1">
        <w:r w:rsidR="002A027D" w:rsidRPr="002A027D">
          <w:rPr>
            <w:rStyle w:val="Hypertextovprepojenie"/>
            <w:color w:val="auto"/>
          </w:rPr>
          <w:t>2.2.4</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Bezpečnosť a ochrana zdravia pri práci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_Toc422233412 \h </w:instrText>
        </w:r>
        <w:r w:rsidR="002A027D" w:rsidRPr="002A027D">
          <w:rPr>
            <w:webHidden/>
            <w:color w:val="auto"/>
          </w:rPr>
        </w:r>
        <w:r w:rsidR="002A027D" w:rsidRPr="002A027D">
          <w:rPr>
            <w:webHidden/>
            <w:color w:val="auto"/>
          </w:rPr>
          <w:fldChar w:fldCharType="separate"/>
        </w:r>
        <w:r w:rsidR="00E53062">
          <w:rPr>
            <w:webHidden/>
            <w:color w:val="auto"/>
          </w:rPr>
          <w:t>48</w:t>
        </w:r>
        <w:r w:rsidR="002A027D" w:rsidRPr="002A027D">
          <w:rPr>
            <w:webHidden/>
            <w:color w:val="auto"/>
          </w:rPr>
          <w:fldChar w:fldCharType="end"/>
        </w:r>
      </w:hyperlink>
    </w:p>
    <w:p w:rsidR="002A027D" w:rsidRPr="002A027D" w:rsidRDefault="008B18CB">
      <w:pPr>
        <w:pStyle w:val="Obsah1"/>
        <w:rPr>
          <w:rFonts w:asciiTheme="minorHAnsi" w:eastAsiaTheme="minorEastAsia" w:hAnsiTheme="minorHAnsi" w:cstheme="minorBidi"/>
          <w:b w:val="0"/>
          <w:color w:val="auto"/>
          <w:szCs w:val="22"/>
        </w:rPr>
      </w:pPr>
      <w:hyperlink w:anchor="_Toc422233413" w:history="1">
        <w:r w:rsidR="002A027D" w:rsidRPr="002A027D">
          <w:rPr>
            <w:rStyle w:val="Hypertextovprepojenie"/>
            <w:color w:val="auto"/>
          </w:rPr>
          <w:t>3</w:t>
        </w:r>
        <w:r w:rsidR="002A027D" w:rsidRPr="002A027D">
          <w:rPr>
            <w:rFonts w:asciiTheme="minorHAnsi" w:eastAsiaTheme="minorEastAsia" w:hAnsiTheme="minorHAnsi" w:cstheme="minorBidi"/>
            <w:b w:val="0"/>
            <w:color w:val="auto"/>
            <w:szCs w:val="22"/>
          </w:rPr>
          <w:tab/>
        </w:r>
        <w:r w:rsidR="002A027D" w:rsidRPr="002A027D">
          <w:rPr>
            <w:rStyle w:val="Hypertextovprepojenie"/>
            <w:color w:val="auto"/>
          </w:rPr>
          <w:t>SOCI</w:t>
        </w:r>
        <w:r w:rsidR="002A027D" w:rsidRPr="002A027D">
          <w:rPr>
            <w:rStyle w:val="Hypertextovprepojenie"/>
            <w:color w:val="auto"/>
          </w:rPr>
          <w:t>Á</w:t>
        </w:r>
        <w:r w:rsidR="002A027D" w:rsidRPr="002A027D">
          <w:rPr>
            <w:rStyle w:val="Hypertextovprepojenie"/>
            <w:color w:val="auto"/>
          </w:rPr>
          <w:t>LNA OCHRANA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_Toc422233413 \h </w:instrText>
        </w:r>
        <w:r w:rsidR="002A027D" w:rsidRPr="002A027D">
          <w:rPr>
            <w:webHidden/>
            <w:color w:val="auto"/>
          </w:rPr>
        </w:r>
        <w:r w:rsidR="002A027D" w:rsidRPr="002A027D">
          <w:rPr>
            <w:webHidden/>
            <w:color w:val="auto"/>
          </w:rPr>
          <w:fldChar w:fldCharType="separate"/>
        </w:r>
        <w:r w:rsidR="00E53062">
          <w:rPr>
            <w:webHidden/>
            <w:color w:val="auto"/>
          </w:rPr>
          <w:t>51</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14" w:history="1">
        <w:r w:rsidR="002A027D" w:rsidRPr="002A027D">
          <w:rPr>
            <w:rStyle w:val="Hypertextovprepojenie"/>
            <w:color w:val="auto"/>
          </w:rPr>
          <w:t>3.1</w:t>
        </w:r>
        <w:r w:rsidR="002A027D" w:rsidRPr="002A027D">
          <w:rPr>
            <w:rFonts w:asciiTheme="minorHAnsi" w:eastAsiaTheme="minorEastAsia" w:hAnsiTheme="minorHAnsi" w:cstheme="minorBidi"/>
            <w:szCs w:val="22"/>
          </w:rPr>
          <w:tab/>
        </w:r>
        <w:r w:rsidR="002A027D" w:rsidRPr="002A027D">
          <w:rPr>
            <w:rStyle w:val="Hypertextovprepojenie"/>
            <w:color w:val="auto"/>
          </w:rPr>
          <w:t>Sociálne poistenie</w:t>
        </w:r>
        <w:r w:rsidR="002A027D" w:rsidRPr="002A027D">
          <w:rPr>
            <w:webHidden/>
          </w:rPr>
          <w:tab/>
        </w:r>
        <w:r w:rsidR="002A027D" w:rsidRPr="002A027D">
          <w:rPr>
            <w:webHidden/>
          </w:rPr>
          <w:fldChar w:fldCharType="begin"/>
        </w:r>
        <w:r w:rsidR="002A027D" w:rsidRPr="002A027D">
          <w:rPr>
            <w:webHidden/>
          </w:rPr>
          <w:instrText xml:space="preserve"> PAGEREF _Toc422233414 \h </w:instrText>
        </w:r>
        <w:r w:rsidR="002A027D" w:rsidRPr="002A027D">
          <w:rPr>
            <w:webHidden/>
          </w:rPr>
        </w:r>
        <w:r w:rsidR="002A027D" w:rsidRPr="002A027D">
          <w:rPr>
            <w:webHidden/>
          </w:rPr>
          <w:fldChar w:fldCharType="separate"/>
        </w:r>
        <w:r w:rsidR="00E53062">
          <w:rPr>
            <w:webHidden/>
          </w:rPr>
          <w:t>51</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5" w:history="1">
        <w:r w:rsidR="002A027D" w:rsidRPr="002A027D">
          <w:rPr>
            <w:rStyle w:val="Hypertextovprepojenie"/>
            <w:color w:val="auto"/>
          </w:rPr>
          <w:t>3.1.1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Nemocenské poistenie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_Toc422233415 \h </w:instrText>
        </w:r>
        <w:r w:rsidR="002A027D" w:rsidRPr="002A027D">
          <w:rPr>
            <w:webHidden/>
            <w:color w:val="auto"/>
          </w:rPr>
        </w:r>
        <w:r w:rsidR="002A027D" w:rsidRPr="002A027D">
          <w:rPr>
            <w:webHidden/>
            <w:color w:val="auto"/>
          </w:rPr>
          <w:fldChar w:fldCharType="separate"/>
        </w:r>
        <w:r w:rsidR="00E53062">
          <w:rPr>
            <w:webHidden/>
            <w:color w:val="auto"/>
          </w:rPr>
          <w:t>53</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6" w:history="1">
        <w:r w:rsidR="002A027D" w:rsidRPr="002A027D">
          <w:rPr>
            <w:rStyle w:val="Hypertextovprepojenie"/>
            <w:color w:val="auto"/>
          </w:rPr>
          <w:t>3.1.2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Dôchodkové poistenie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_Toc422233416 \h </w:instrText>
        </w:r>
        <w:r w:rsidR="002A027D" w:rsidRPr="002A027D">
          <w:rPr>
            <w:webHidden/>
            <w:color w:val="auto"/>
          </w:rPr>
        </w:r>
        <w:r w:rsidR="002A027D" w:rsidRPr="002A027D">
          <w:rPr>
            <w:webHidden/>
            <w:color w:val="auto"/>
          </w:rPr>
          <w:fldChar w:fldCharType="separate"/>
        </w:r>
        <w:r w:rsidR="00E53062">
          <w:rPr>
            <w:webHidden/>
            <w:color w:val="auto"/>
          </w:rPr>
          <w:t>54</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7" w:history="1">
        <w:r w:rsidR="002A027D" w:rsidRPr="002A027D">
          <w:rPr>
            <w:rStyle w:val="Hypertextovprepojenie"/>
            <w:color w:val="auto"/>
          </w:rPr>
          <w:t>3.1.3</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Úrazové poistenie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_Toc422233417 \h </w:instrText>
        </w:r>
        <w:r w:rsidR="002A027D" w:rsidRPr="002A027D">
          <w:rPr>
            <w:webHidden/>
            <w:color w:val="auto"/>
          </w:rPr>
        </w:r>
        <w:r w:rsidR="002A027D" w:rsidRPr="002A027D">
          <w:rPr>
            <w:webHidden/>
            <w:color w:val="auto"/>
          </w:rPr>
          <w:fldChar w:fldCharType="separate"/>
        </w:r>
        <w:r w:rsidR="00E53062">
          <w:rPr>
            <w:webHidden/>
            <w:color w:val="auto"/>
          </w:rPr>
          <w:t>56</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8" w:history="1">
        <w:r w:rsidR="002A027D" w:rsidRPr="002A027D">
          <w:rPr>
            <w:rStyle w:val="Hypertextovprepojenie"/>
            <w:color w:val="auto"/>
          </w:rPr>
          <w:t>3.1.4</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Garančné poistenie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_Toc422233418 \h </w:instrText>
        </w:r>
        <w:r w:rsidR="002A027D" w:rsidRPr="002A027D">
          <w:rPr>
            <w:webHidden/>
            <w:color w:val="auto"/>
          </w:rPr>
        </w:r>
        <w:r w:rsidR="002A027D" w:rsidRPr="002A027D">
          <w:rPr>
            <w:webHidden/>
            <w:color w:val="auto"/>
          </w:rPr>
          <w:fldChar w:fldCharType="separate"/>
        </w:r>
        <w:r w:rsidR="00E53062">
          <w:rPr>
            <w:webHidden/>
            <w:color w:val="auto"/>
          </w:rPr>
          <w:t>56</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19" w:history="1">
        <w:r w:rsidR="002A027D" w:rsidRPr="002A027D">
          <w:rPr>
            <w:rStyle w:val="Hypertextovprepojenie"/>
            <w:color w:val="auto"/>
          </w:rPr>
          <w:t>3.1.5</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Poistenie v nezamestnanosti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_Toc422233419 \h </w:instrText>
        </w:r>
        <w:r w:rsidR="002A027D" w:rsidRPr="002A027D">
          <w:rPr>
            <w:webHidden/>
            <w:color w:val="auto"/>
          </w:rPr>
        </w:r>
        <w:r w:rsidR="002A027D" w:rsidRPr="002A027D">
          <w:rPr>
            <w:webHidden/>
            <w:color w:val="auto"/>
          </w:rPr>
          <w:fldChar w:fldCharType="separate"/>
        </w:r>
        <w:r w:rsidR="00E53062">
          <w:rPr>
            <w:webHidden/>
            <w:color w:val="auto"/>
          </w:rPr>
          <w:t>57</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20" w:history="1">
        <w:r w:rsidR="002A027D" w:rsidRPr="002A027D">
          <w:rPr>
            <w:rStyle w:val="Hypertextovprepojenie"/>
            <w:color w:val="auto"/>
          </w:rPr>
          <w:t>3.2</w:t>
        </w:r>
        <w:r w:rsidR="002A027D" w:rsidRPr="002A027D">
          <w:rPr>
            <w:rFonts w:asciiTheme="minorHAnsi" w:eastAsiaTheme="minorEastAsia" w:hAnsiTheme="minorHAnsi" w:cstheme="minorBidi"/>
            <w:szCs w:val="22"/>
          </w:rPr>
          <w:tab/>
        </w:r>
        <w:r w:rsidR="002A027D" w:rsidRPr="002A027D">
          <w:rPr>
            <w:rStyle w:val="Hypertextovprepojenie"/>
            <w:color w:val="auto"/>
          </w:rPr>
          <w:t>Dôchodkové sporenie</w:t>
        </w:r>
        <w:r w:rsidR="002A027D" w:rsidRPr="002A027D">
          <w:rPr>
            <w:webHidden/>
          </w:rPr>
          <w:tab/>
        </w:r>
        <w:r w:rsidR="002A027D" w:rsidRPr="002A027D">
          <w:rPr>
            <w:webHidden/>
          </w:rPr>
          <w:fldChar w:fldCharType="begin"/>
        </w:r>
        <w:r w:rsidR="002A027D" w:rsidRPr="002A027D">
          <w:rPr>
            <w:webHidden/>
          </w:rPr>
          <w:instrText xml:space="preserve"> PAGEREF _Toc422233420 \h </w:instrText>
        </w:r>
        <w:r w:rsidR="002A027D" w:rsidRPr="002A027D">
          <w:rPr>
            <w:webHidden/>
          </w:rPr>
        </w:r>
        <w:r w:rsidR="002A027D" w:rsidRPr="002A027D">
          <w:rPr>
            <w:webHidden/>
          </w:rPr>
          <w:fldChar w:fldCharType="separate"/>
        </w:r>
        <w:r w:rsidR="00E53062">
          <w:rPr>
            <w:webHidden/>
          </w:rPr>
          <w:t>58</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1" w:history="1">
        <w:r w:rsidR="002A027D" w:rsidRPr="002A027D">
          <w:rPr>
            <w:rStyle w:val="Hypertextovprepojenie"/>
            <w:color w:val="auto"/>
          </w:rPr>
          <w:t>3.2.1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Starobné dôchodkové sporenie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_Toc422233421 \h </w:instrText>
        </w:r>
        <w:r w:rsidR="002A027D" w:rsidRPr="002A027D">
          <w:rPr>
            <w:webHidden/>
            <w:color w:val="auto"/>
          </w:rPr>
        </w:r>
        <w:r w:rsidR="002A027D" w:rsidRPr="002A027D">
          <w:rPr>
            <w:webHidden/>
            <w:color w:val="auto"/>
          </w:rPr>
          <w:fldChar w:fldCharType="separate"/>
        </w:r>
        <w:r w:rsidR="00E53062">
          <w:rPr>
            <w:webHidden/>
            <w:color w:val="auto"/>
          </w:rPr>
          <w:t>58</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2" w:history="1">
        <w:r w:rsidR="002A027D" w:rsidRPr="002A027D">
          <w:rPr>
            <w:rStyle w:val="Hypertextovprepojenie"/>
            <w:color w:val="auto"/>
          </w:rPr>
          <w:t>3.2.2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Doplnkové dôchodkové sporenie</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_Toc422233422 \h </w:instrText>
        </w:r>
        <w:r w:rsidR="002A027D" w:rsidRPr="002A027D">
          <w:rPr>
            <w:webHidden/>
            <w:color w:val="auto"/>
          </w:rPr>
        </w:r>
        <w:r w:rsidR="002A027D" w:rsidRPr="002A027D">
          <w:rPr>
            <w:webHidden/>
            <w:color w:val="auto"/>
          </w:rPr>
          <w:fldChar w:fldCharType="separate"/>
        </w:r>
        <w:r w:rsidR="00E53062">
          <w:rPr>
            <w:webHidden/>
            <w:color w:val="auto"/>
          </w:rPr>
          <w:t>62</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23" w:history="1">
        <w:r w:rsidR="002A027D" w:rsidRPr="002A027D">
          <w:rPr>
            <w:rStyle w:val="Hypertextovprepojenie"/>
            <w:color w:val="auto"/>
          </w:rPr>
          <w:t>3.3</w:t>
        </w:r>
        <w:r w:rsidR="002A027D" w:rsidRPr="002A027D">
          <w:rPr>
            <w:rFonts w:asciiTheme="minorHAnsi" w:eastAsiaTheme="minorEastAsia" w:hAnsiTheme="minorHAnsi" w:cstheme="minorBidi"/>
            <w:szCs w:val="22"/>
          </w:rPr>
          <w:tab/>
        </w:r>
        <w:r w:rsidR="002A027D" w:rsidRPr="002A027D">
          <w:rPr>
            <w:rStyle w:val="Hypertextovprepojenie"/>
            <w:color w:val="auto"/>
          </w:rPr>
          <w:t>Štátna sociálna podpora</w:t>
        </w:r>
        <w:r w:rsidR="002A027D" w:rsidRPr="002A027D">
          <w:rPr>
            <w:webHidden/>
          </w:rPr>
          <w:tab/>
        </w:r>
        <w:r w:rsidR="002A027D" w:rsidRPr="002A027D">
          <w:rPr>
            <w:webHidden/>
          </w:rPr>
          <w:fldChar w:fldCharType="begin"/>
        </w:r>
        <w:r w:rsidR="002A027D" w:rsidRPr="002A027D">
          <w:rPr>
            <w:webHidden/>
          </w:rPr>
          <w:instrText xml:space="preserve"> PAGEREF _Toc422233423 \h </w:instrText>
        </w:r>
        <w:r w:rsidR="002A027D" w:rsidRPr="002A027D">
          <w:rPr>
            <w:webHidden/>
          </w:rPr>
        </w:r>
        <w:r w:rsidR="002A027D" w:rsidRPr="002A027D">
          <w:rPr>
            <w:webHidden/>
          </w:rPr>
          <w:fldChar w:fldCharType="separate"/>
        </w:r>
        <w:r w:rsidR="00E53062">
          <w:rPr>
            <w:webHidden/>
          </w:rPr>
          <w:t>66</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4" w:history="1">
        <w:r w:rsidR="002A027D" w:rsidRPr="002A027D">
          <w:rPr>
            <w:rStyle w:val="Hypertextovprepojenie"/>
            <w:color w:val="auto"/>
          </w:rPr>
          <w:t>3.3.1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Prídavok na dieťa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_Toc422233424 \h </w:instrText>
        </w:r>
        <w:r w:rsidR="002A027D" w:rsidRPr="002A027D">
          <w:rPr>
            <w:webHidden/>
            <w:color w:val="auto"/>
          </w:rPr>
        </w:r>
        <w:r w:rsidR="002A027D" w:rsidRPr="002A027D">
          <w:rPr>
            <w:webHidden/>
            <w:color w:val="auto"/>
          </w:rPr>
          <w:fldChar w:fldCharType="separate"/>
        </w:r>
        <w:r w:rsidR="00E53062">
          <w:rPr>
            <w:webHidden/>
            <w:color w:val="auto"/>
          </w:rPr>
          <w:t>66</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5" w:history="1">
        <w:r w:rsidR="002A027D" w:rsidRPr="002A027D">
          <w:rPr>
            <w:rStyle w:val="Hypertextovprepojenie"/>
            <w:color w:val="auto"/>
          </w:rPr>
          <w:t>3.3.2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Príplatok k prídavku na dieťa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_Toc422233425 \h </w:instrText>
        </w:r>
        <w:r w:rsidR="002A027D" w:rsidRPr="002A027D">
          <w:rPr>
            <w:webHidden/>
            <w:color w:val="auto"/>
          </w:rPr>
        </w:r>
        <w:r w:rsidR="002A027D" w:rsidRPr="002A027D">
          <w:rPr>
            <w:webHidden/>
            <w:color w:val="auto"/>
          </w:rPr>
          <w:fldChar w:fldCharType="separate"/>
        </w:r>
        <w:r w:rsidR="00E53062">
          <w:rPr>
            <w:webHidden/>
            <w:color w:val="auto"/>
          </w:rPr>
          <w:t>67</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6" w:history="1">
        <w:r w:rsidR="002A027D" w:rsidRPr="002A027D">
          <w:rPr>
            <w:rStyle w:val="Hypertextovprepojenie"/>
            <w:color w:val="auto"/>
          </w:rPr>
          <w:t>3.3.3</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Rodičovský príspevok</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_Toc422233426 \h </w:instrText>
        </w:r>
        <w:r w:rsidR="002A027D" w:rsidRPr="002A027D">
          <w:rPr>
            <w:webHidden/>
            <w:color w:val="auto"/>
          </w:rPr>
        </w:r>
        <w:r w:rsidR="002A027D" w:rsidRPr="002A027D">
          <w:rPr>
            <w:webHidden/>
            <w:color w:val="auto"/>
          </w:rPr>
          <w:fldChar w:fldCharType="separate"/>
        </w:r>
        <w:r w:rsidR="00E53062">
          <w:rPr>
            <w:webHidden/>
            <w:color w:val="auto"/>
          </w:rPr>
          <w:t>68</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7" w:history="1">
        <w:r w:rsidR="002A027D" w:rsidRPr="002A027D">
          <w:rPr>
            <w:rStyle w:val="Hypertextovprepojenie"/>
            <w:color w:val="auto"/>
          </w:rPr>
          <w:t>3.3.4</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Príspevok na starostlivosť o dieťa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_Toc422233427 \h </w:instrText>
        </w:r>
        <w:r w:rsidR="002A027D" w:rsidRPr="002A027D">
          <w:rPr>
            <w:webHidden/>
            <w:color w:val="auto"/>
          </w:rPr>
        </w:r>
        <w:r w:rsidR="002A027D" w:rsidRPr="002A027D">
          <w:rPr>
            <w:webHidden/>
            <w:color w:val="auto"/>
          </w:rPr>
          <w:fldChar w:fldCharType="separate"/>
        </w:r>
        <w:r w:rsidR="00E53062">
          <w:rPr>
            <w:webHidden/>
            <w:color w:val="auto"/>
          </w:rPr>
          <w:t>69</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8" w:history="1">
        <w:r w:rsidR="002A027D" w:rsidRPr="002A027D">
          <w:rPr>
            <w:rStyle w:val="Hypertextovprepojenie"/>
            <w:color w:val="auto"/>
          </w:rPr>
          <w:t>3.3.5</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Príspevok pri narodení dieťaťa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_Toc422233428 \h </w:instrText>
        </w:r>
        <w:r w:rsidR="002A027D" w:rsidRPr="002A027D">
          <w:rPr>
            <w:webHidden/>
            <w:color w:val="auto"/>
          </w:rPr>
        </w:r>
        <w:r w:rsidR="002A027D" w:rsidRPr="002A027D">
          <w:rPr>
            <w:webHidden/>
            <w:color w:val="auto"/>
          </w:rPr>
          <w:fldChar w:fldCharType="separate"/>
        </w:r>
        <w:r w:rsidR="00E53062">
          <w:rPr>
            <w:webHidden/>
            <w:color w:val="auto"/>
          </w:rPr>
          <w:t>70</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29" w:history="1">
        <w:r w:rsidR="002A027D" w:rsidRPr="002A027D">
          <w:rPr>
            <w:rStyle w:val="Hypertextovprepojenie"/>
            <w:color w:val="auto"/>
          </w:rPr>
          <w:t>3.3.6</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Príspevok na viac súčasne narodených detí</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_Toc422233429 \h </w:instrText>
        </w:r>
        <w:r w:rsidR="002A027D" w:rsidRPr="002A027D">
          <w:rPr>
            <w:webHidden/>
            <w:color w:val="auto"/>
          </w:rPr>
        </w:r>
        <w:r w:rsidR="002A027D" w:rsidRPr="002A027D">
          <w:rPr>
            <w:webHidden/>
            <w:color w:val="auto"/>
          </w:rPr>
          <w:fldChar w:fldCharType="separate"/>
        </w:r>
        <w:r w:rsidR="00E53062">
          <w:rPr>
            <w:webHidden/>
            <w:color w:val="auto"/>
          </w:rPr>
          <w:t>70</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0" w:history="1">
        <w:r w:rsidR="002A027D" w:rsidRPr="002A027D">
          <w:rPr>
            <w:rStyle w:val="Hypertextovprepojenie"/>
            <w:color w:val="auto"/>
          </w:rPr>
          <w:t>3.3.7</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Príspevok na pohreb</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_Toc422233430 \h </w:instrText>
        </w:r>
        <w:r w:rsidR="002A027D" w:rsidRPr="002A027D">
          <w:rPr>
            <w:webHidden/>
            <w:color w:val="auto"/>
          </w:rPr>
        </w:r>
        <w:r w:rsidR="002A027D" w:rsidRPr="002A027D">
          <w:rPr>
            <w:webHidden/>
            <w:color w:val="auto"/>
          </w:rPr>
          <w:fldChar w:fldCharType="separate"/>
        </w:r>
        <w:r w:rsidR="00E53062">
          <w:rPr>
            <w:webHidden/>
            <w:color w:val="auto"/>
          </w:rPr>
          <w:t>70</w:t>
        </w:r>
        <w:r w:rsidR="002A027D" w:rsidRPr="002A027D">
          <w:rPr>
            <w:webHidden/>
            <w:color w:val="auto"/>
          </w:rPr>
          <w:fldChar w:fldCharType="end"/>
        </w:r>
      </w:hyperlink>
    </w:p>
    <w:p w:rsidR="002A027D" w:rsidRPr="002A027D" w:rsidRDefault="008B18CB">
      <w:pPr>
        <w:pStyle w:val="Obsah5"/>
        <w:rPr>
          <w:rFonts w:asciiTheme="minorHAnsi" w:eastAsiaTheme="minorEastAsia" w:hAnsiTheme="minorHAnsi" w:cstheme="minorBidi"/>
          <w:szCs w:val="22"/>
        </w:rPr>
      </w:pPr>
      <w:hyperlink w:anchor="_Toc422233431" w:history="1">
        <w:r w:rsidR="002A027D" w:rsidRPr="002A027D">
          <w:rPr>
            <w:rStyle w:val="Hypertextovprepojenie"/>
            <w:color w:val="auto"/>
          </w:rPr>
          <w:t>3.4</w:t>
        </w:r>
        <w:r w:rsidR="002A027D" w:rsidRPr="002A027D">
          <w:rPr>
            <w:rFonts w:asciiTheme="minorHAnsi" w:eastAsiaTheme="minorEastAsia" w:hAnsiTheme="minorHAnsi" w:cstheme="minorBidi"/>
            <w:szCs w:val="22"/>
          </w:rPr>
          <w:tab/>
        </w:r>
        <w:r w:rsidR="002A027D" w:rsidRPr="002A027D">
          <w:rPr>
            <w:rStyle w:val="Hypertextovprepojenie"/>
            <w:color w:val="auto"/>
          </w:rPr>
          <w:t>Sociálna pomoc</w:t>
        </w:r>
        <w:r w:rsidR="002A027D" w:rsidRPr="002A027D">
          <w:rPr>
            <w:webHidden/>
          </w:rPr>
          <w:tab/>
        </w:r>
        <w:r w:rsidR="002A027D" w:rsidRPr="002A027D">
          <w:rPr>
            <w:webHidden/>
          </w:rPr>
          <w:fldChar w:fldCharType="begin"/>
        </w:r>
        <w:r w:rsidR="002A027D" w:rsidRPr="002A027D">
          <w:rPr>
            <w:webHidden/>
          </w:rPr>
          <w:instrText xml:space="preserve"> PAGEREF _Toc422233431 \h </w:instrText>
        </w:r>
        <w:r w:rsidR="002A027D" w:rsidRPr="002A027D">
          <w:rPr>
            <w:webHidden/>
          </w:rPr>
        </w:r>
        <w:r w:rsidR="002A027D" w:rsidRPr="002A027D">
          <w:rPr>
            <w:webHidden/>
          </w:rPr>
          <w:fldChar w:fldCharType="separate"/>
        </w:r>
        <w:r w:rsidR="00E53062">
          <w:rPr>
            <w:webHidden/>
          </w:rPr>
          <w:t>72</w:t>
        </w:r>
        <w:r w:rsidR="002A027D" w:rsidRPr="002A027D">
          <w:rPr>
            <w:webHidden/>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2" w:history="1">
        <w:r w:rsidR="002A027D" w:rsidRPr="002A027D">
          <w:rPr>
            <w:rStyle w:val="Hypertextovprepojenie"/>
            <w:color w:val="auto"/>
          </w:rPr>
          <w:t>3.4.1</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Pomoc v hmotnej núdzi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_Toc422233432 \h </w:instrText>
        </w:r>
        <w:r w:rsidR="002A027D" w:rsidRPr="002A027D">
          <w:rPr>
            <w:webHidden/>
            <w:color w:val="auto"/>
          </w:rPr>
        </w:r>
        <w:r w:rsidR="002A027D" w:rsidRPr="002A027D">
          <w:rPr>
            <w:webHidden/>
            <w:color w:val="auto"/>
          </w:rPr>
          <w:fldChar w:fldCharType="separate"/>
        </w:r>
        <w:r w:rsidR="00E53062">
          <w:rPr>
            <w:webHidden/>
            <w:color w:val="auto"/>
          </w:rPr>
          <w:t>72</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3" w:history="1">
        <w:r w:rsidR="002A027D" w:rsidRPr="002A027D">
          <w:rPr>
            <w:rStyle w:val="Hypertextovprepojenie"/>
            <w:color w:val="auto"/>
          </w:rPr>
          <w:t>3.4.2</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Dotácie pre dieťa v hmotnej núdzi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_Toc422233433 \h </w:instrText>
        </w:r>
        <w:r w:rsidR="002A027D" w:rsidRPr="002A027D">
          <w:rPr>
            <w:webHidden/>
            <w:color w:val="auto"/>
          </w:rPr>
        </w:r>
        <w:r w:rsidR="002A027D" w:rsidRPr="002A027D">
          <w:rPr>
            <w:webHidden/>
            <w:color w:val="auto"/>
          </w:rPr>
          <w:fldChar w:fldCharType="separate"/>
        </w:r>
        <w:r w:rsidR="00E53062">
          <w:rPr>
            <w:webHidden/>
            <w:color w:val="auto"/>
          </w:rPr>
          <w:t>77</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4" w:history="1">
        <w:r w:rsidR="002A027D" w:rsidRPr="002A027D">
          <w:rPr>
            <w:rStyle w:val="Hypertextovprepojenie"/>
            <w:color w:val="auto"/>
          </w:rPr>
          <w:t>3.4.3</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Náhradné výživné</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_Toc422233434 \h </w:instrText>
        </w:r>
        <w:r w:rsidR="002A027D" w:rsidRPr="002A027D">
          <w:rPr>
            <w:webHidden/>
            <w:color w:val="auto"/>
          </w:rPr>
        </w:r>
        <w:r w:rsidR="002A027D" w:rsidRPr="002A027D">
          <w:rPr>
            <w:webHidden/>
            <w:color w:val="auto"/>
          </w:rPr>
          <w:fldChar w:fldCharType="separate"/>
        </w:r>
        <w:r w:rsidR="00E53062">
          <w:rPr>
            <w:webHidden/>
            <w:color w:val="auto"/>
          </w:rPr>
          <w:t>79</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5" w:history="1">
        <w:r w:rsidR="002A027D" w:rsidRPr="002A027D">
          <w:rPr>
            <w:rStyle w:val="Hypertextovprepojenie"/>
            <w:color w:val="auto"/>
          </w:rPr>
          <w:t>3.4.4</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Sociálnoprávna ochrana detí a sociálna kuratela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_Toc422233435 \h </w:instrText>
        </w:r>
        <w:r w:rsidR="002A027D" w:rsidRPr="002A027D">
          <w:rPr>
            <w:webHidden/>
            <w:color w:val="auto"/>
          </w:rPr>
        </w:r>
        <w:r w:rsidR="002A027D" w:rsidRPr="002A027D">
          <w:rPr>
            <w:webHidden/>
            <w:color w:val="auto"/>
          </w:rPr>
          <w:fldChar w:fldCharType="separate"/>
        </w:r>
        <w:r w:rsidR="00E53062">
          <w:rPr>
            <w:webHidden/>
            <w:color w:val="auto"/>
          </w:rPr>
          <w:t>80</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6" w:history="1">
        <w:r w:rsidR="002A027D" w:rsidRPr="002A027D">
          <w:rPr>
            <w:rStyle w:val="Hypertextovprepojenie"/>
            <w:color w:val="auto"/>
          </w:rPr>
          <w:t>3.4.5</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Príspevky na podporu náhradnej starostlivosti</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_Toc422233436 \h </w:instrText>
        </w:r>
        <w:r w:rsidR="002A027D" w:rsidRPr="002A027D">
          <w:rPr>
            <w:webHidden/>
            <w:color w:val="auto"/>
          </w:rPr>
        </w:r>
        <w:r w:rsidR="002A027D" w:rsidRPr="002A027D">
          <w:rPr>
            <w:webHidden/>
            <w:color w:val="auto"/>
          </w:rPr>
          <w:fldChar w:fldCharType="separate"/>
        </w:r>
        <w:r w:rsidR="00E53062">
          <w:rPr>
            <w:webHidden/>
            <w:color w:val="auto"/>
          </w:rPr>
          <w:t>83</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7" w:history="1">
        <w:r w:rsidR="002A027D" w:rsidRPr="002A027D">
          <w:rPr>
            <w:rStyle w:val="Hypertextovprepojenie"/>
            <w:color w:val="auto"/>
          </w:rPr>
          <w:t>3.4.6</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Kompenzácia sociálnych dôsledkov ťažkého zdravotného postihnutia</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_Toc422233437 \h </w:instrText>
        </w:r>
        <w:r w:rsidR="002A027D" w:rsidRPr="002A027D">
          <w:rPr>
            <w:webHidden/>
            <w:color w:val="auto"/>
          </w:rPr>
        </w:r>
        <w:r w:rsidR="002A027D" w:rsidRPr="002A027D">
          <w:rPr>
            <w:webHidden/>
            <w:color w:val="auto"/>
          </w:rPr>
          <w:fldChar w:fldCharType="separate"/>
        </w:r>
        <w:r w:rsidR="00E53062">
          <w:rPr>
            <w:webHidden/>
            <w:color w:val="auto"/>
          </w:rPr>
          <w:t>86</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8" w:history="1">
        <w:r w:rsidR="002A027D" w:rsidRPr="002A027D">
          <w:rPr>
            <w:rStyle w:val="Hypertextovprepojenie"/>
            <w:color w:val="auto"/>
          </w:rPr>
          <w:t>3.4.7</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Sociálne služby</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_Toc422233438 \h </w:instrText>
        </w:r>
        <w:r w:rsidR="002A027D" w:rsidRPr="002A027D">
          <w:rPr>
            <w:webHidden/>
            <w:color w:val="auto"/>
          </w:rPr>
        </w:r>
        <w:r w:rsidR="002A027D" w:rsidRPr="002A027D">
          <w:rPr>
            <w:webHidden/>
            <w:color w:val="auto"/>
          </w:rPr>
          <w:fldChar w:fldCharType="separate"/>
        </w:r>
        <w:r w:rsidR="00E53062">
          <w:rPr>
            <w:webHidden/>
            <w:color w:val="auto"/>
          </w:rPr>
          <w:t>93</w:t>
        </w:r>
        <w:r w:rsidR="002A027D" w:rsidRPr="002A027D">
          <w:rPr>
            <w:webHidden/>
            <w:color w:val="auto"/>
          </w:rPr>
          <w:fldChar w:fldCharType="end"/>
        </w:r>
      </w:hyperlink>
    </w:p>
    <w:p w:rsidR="002A027D" w:rsidRPr="002A027D" w:rsidRDefault="008B18CB">
      <w:pPr>
        <w:pStyle w:val="Obsah6"/>
        <w:rPr>
          <w:rFonts w:asciiTheme="minorHAnsi" w:eastAsiaTheme="minorEastAsia" w:hAnsiTheme="minorHAnsi" w:cstheme="minorBidi"/>
          <w:color w:val="auto"/>
          <w:szCs w:val="22"/>
        </w:rPr>
      </w:pPr>
      <w:hyperlink w:anchor="_Toc422233439" w:history="1">
        <w:r w:rsidR="002A027D" w:rsidRPr="002A027D">
          <w:rPr>
            <w:rStyle w:val="Hypertextovprepojenie"/>
            <w:color w:val="auto"/>
          </w:rPr>
          <w:t>3.4.8</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Dotácie na podporu rozvoja sociálnej oblasti v pôsobnosti MPSVR SR</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_Toc422233439 \h </w:instrText>
        </w:r>
        <w:r w:rsidR="002A027D" w:rsidRPr="002A027D">
          <w:rPr>
            <w:webHidden/>
            <w:color w:val="auto"/>
          </w:rPr>
        </w:r>
        <w:r w:rsidR="002A027D" w:rsidRPr="002A027D">
          <w:rPr>
            <w:webHidden/>
            <w:color w:val="auto"/>
          </w:rPr>
          <w:fldChar w:fldCharType="separate"/>
        </w:r>
        <w:r w:rsidR="00E53062">
          <w:rPr>
            <w:webHidden/>
            <w:color w:val="auto"/>
          </w:rPr>
          <w:t>102</w:t>
        </w:r>
        <w:r w:rsidR="002A027D" w:rsidRPr="002A027D">
          <w:rPr>
            <w:webHidden/>
            <w:color w:val="auto"/>
          </w:rPr>
          <w:fldChar w:fldCharType="end"/>
        </w:r>
      </w:hyperlink>
    </w:p>
    <w:p w:rsidR="002A027D" w:rsidRDefault="008B18CB">
      <w:pPr>
        <w:pStyle w:val="Obsah6"/>
        <w:rPr>
          <w:rFonts w:asciiTheme="minorHAnsi" w:eastAsiaTheme="minorEastAsia" w:hAnsiTheme="minorHAnsi" w:cstheme="minorBidi"/>
          <w:color w:val="auto"/>
          <w:szCs w:val="22"/>
        </w:rPr>
      </w:pPr>
      <w:hyperlink w:anchor="_Toc422233440" w:history="1">
        <w:r w:rsidR="002A027D" w:rsidRPr="002A027D">
          <w:rPr>
            <w:rStyle w:val="Hypertextovprepojenie"/>
            <w:color w:val="auto"/>
          </w:rPr>
          <w:t>3.4.9</w:t>
        </w:r>
        <w:r w:rsidR="002A027D" w:rsidRPr="002A027D">
          <w:rPr>
            <w:rFonts w:asciiTheme="minorHAnsi" w:eastAsiaTheme="minorEastAsia" w:hAnsiTheme="minorHAnsi" w:cstheme="minorBidi"/>
            <w:color w:val="auto"/>
            <w:szCs w:val="22"/>
          </w:rPr>
          <w:tab/>
        </w:r>
        <w:r w:rsidR="002A027D" w:rsidRPr="002A027D">
          <w:rPr>
            <w:rStyle w:val="Hypertextovprepojenie"/>
            <w:color w:val="auto"/>
          </w:rPr>
          <w:t>Európsky integrovaný systém štatistiky sociálnej ochrany (Metodika ESSPROS)</w:t>
        </w:r>
        <w:r w:rsidR="002A027D" w:rsidRPr="002A027D">
          <w:rPr>
            <w:webHidden/>
            <w:color w:val="auto"/>
          </w:rPr>
          <w:tab/>
        </w:r>
        <w:r w:rsidR="002A027D" w:rsidRPr="002A027D">
          <w:rPr>
            <w:webHidden/>
            <w:color w:val="auto"/>
          </w:rPr>
          <w:fldChar w:fldCharType="begin"/>
        </w:r>
        <w:r w:rsidR="002A027D" w:rsidRPr="002A027D">
          <w:rPr>
            <w:webHidden/>
            <w:color w:val="auto"/>
          </w:rPr>
          <w:instrText xml:space="preserve"> PAGEREF _Toc422233440 \h </w:instrText>
        </w:r>
        <w:r w:rsidR="002A027D" w:rsidRPr="002A027D">
          <w:rPr>
            <w:webHidden/>
            <w:color w:val="auto"/>
          </w:rPr>
        </w:r>
        <w:r w:rsidR="002A027D" w:rsidRPr="002A027D">
          <w:rPr>
            <w:webHidden/>
            <w:color w:val="auto"/>
          </w:rPr>
          <w:fldChar w:fldCharType="separate"/>
        </w:r>
        <w:r w:rsidR="00E53062">
          <w:rPr>
            <w:webHidden/>
            <w:color w:val="auto"/>
          </w:rPr>
          <w:t>103</w:t>
        </w:r>
        <w:r w:rsidR="002A027D" w:rsidRPr="002A027D">
          <w:rPr>
            <w:webHidden/>
            <w:color w:val="auto"/>
          </w:rPr>
          <w:fldChar w:fldCharType="end"/>
        </w:r>
      </w:hyperlink>
    </w:p>
    <w:p w:rsidR="002A027D" w:rsidRDefault="008B18CB">
      <w:pPr>
        <w:pStyle w:val="Obsah5"/>
        <w:rPr>
          <w:rFonts w:asciiTheme="minorHAnsi" w:eastAsiaTheme="minorEastAsia" w:hAnsiTheme="minorHAnsi" w:cstheme="minorBidi"/>
          <w:szCs w:val="22"/>
        </w:rPr>
      </w:pPr>
      <w:hyperlink w:anchor="_Toc422233441" w:history="1">
        <w:r w:rsidR="002A027D" w:rsidRPr="00B6153E">
          <w:rPr>
            <w:rStyle w:val="Hypertextovprepojenie"/>
          </w:rPr>
          <w:t>3.5</w:t>
        </w:r>
        <w:r w:rsidR="002A027D">
          <w:rPr>
            <w:rFonts w:asciiTheme="minorHAnsi" w:eastAsiaTheme="minorEastAsia" w:hAnsiTheme="minorHAnsi" w:cstheme="minorBidi"/>
            <w:szCs w:val="22"/>
          </w:rPr>
          <w:tab/>
        </w:r>
        <w:r w:rsidR="002A027D" w:rsidRPr="00B6153E">
          <w:rPr>
            <w:rStyle w:val="Hypertextovprepojenie"/>
          </w:rPr>
          <w:t>Európsky sociálny fond</w:t>
        </w:r>
        <w:r w:rsidR="002A027D">
          <w:rPr>
            <w:webHidden/>
          </w:rPr>
          <w:tab/>
        </w:r>
        <w:r w:rsidR="002A027D">
          <w:rPr>
            <w:webHidden/>
          </w:rPr>
          <w:fldChar w:fldCharType="begin"/>
        </w:r>
        <w:r w:rsidR="002A027D">
          <w:rPr>
            <w:webHidden/>
          </w:rPr>
          <w:instrText xml:space="preserve"> PAGEREF _Toc422233441 \h </w:instrText>
        </w:r>
        <w:r w:rsidR="002A027D">
          <w:rPr>
            <w:webHidden/>
          </w:rPr>
        </w:r>
        <w:r w:rsidR="002A027D">
          <w:rPr>
            <w:webHidden/>
          </w:rPr>
          <w:fldChar w:fldCharType="separate"/>
        </w:r>
        <w:r w:rsidR="00E53062">
          <w:rPr>
            <w:webHidden/>
          </w:rPr>
          <w:t>109</w:t>
        </w:r>
        <w:r w:rsidR="002A027D">
          <w:rPr>
            <w:webHidden/>
          </w:rPr>
          <w:fldChar w:fldCharType="end"/>
        </w:r>
      </w:hyperlink>
    </w:p>
    <w:p w:rsidR="002A027D" w:rsidRDefault="008B18CB">
      <w:pPr>
        <w:pStyle w:val="Obsah1"/>
        <w:rPr>
          <w:rFonts w:asciiTheme="minorHAnsi" w:eastAsiaTheme="minorEastAsia" w:hAnsiTheme="minorHAnsi" w:cstheme="minorBidi"/>
          <w:b w:val="0"/>
          <w:color w:val="auto"/>
          <w:szCs w:val="22"/>
        </w:rPr>
      </w:pPr>
      <w:hyperlink w:anchor="_Toc422233442" w:history="1">
        <w:r w:rsidR="002A027D" w:rsidRPr="00B6153E">
          <w:rPr>
            <w:rStyle w:val="Hypertextovprepojenie"/>
          </w:rPr>
          <w:t>4</w:t>
        </w:r>
        <w:r w:rsidR="002A027D">
          <w:rPr>
            <w:rFonts w:asciiTheme="minorHAnsi" w:eastAsiaTheme="minorEastAsia" w:hAnsiTheme="minorHAnsi" w:cstheme="minorBidi"/>
            <w:b w:val="0"/>
            <w:color w:val="auto"/>
            <w:szCs w:val="22"/>
          </w:rPr>
          <w:tab/>
        </w:r>
        <w:r w:rsidR="002A027D" w:rsidRPr="00B6153E">
          <w:rPr>
            <w:rStyle w:val="Hypertextovprepojenie"/>
          </w:rPr>
          <w:t>ŽIVOTNÁ ÚROVEŇ A SOCIÁLNA KOHÉZIA</w:t>
        </w:r>
        <w:r w:rsidR="002A027D">
          <w:rPr>
            <w:webHidden/>
          </w:rPr>
          <w:tab/>
        </w:r>
        <w:r w:rsidR="002A027D">
          <w:rPr>
            <w:webHidden/>
          </w:rPr>
          <w:fldChar w:fldCharType="begin"/>
        </w:r>
        <w:r w:rsidR="002A027D">
          <w:rPr>
            <w:webHidden/>
          </w:rPr>
          <w:instrText xml:space="preserve"> PAGEREF _Toc422233442 \h </w:instrText>
        </w:r>
        <w:r w:rsidR="002A027D">
          <w:rPr>
            <w:webHidden/>
          </w:rPr>
        </w:r>
        <w:r w:rsidR="002A027D">
          <w:rPr>
            <w:webHidden/>
          </w:rPr>
          <w:fldChar w:fldCharType="separate"/>
        </w:r>
        <w:r w:rsidR="00E53062">
          <w:rPr>
            <w:webHidden/>
          </w:rPr>
          <w:t>113</w:t>
        </w:r>
        <w:r w:rsidR="002A027D">
          <w:rPr>
            <w:webHidden/>
          </w:rPr>
          <w:fldChar w:fldCharType="end"/>
        </w:r>
      </w:hyperlink>
    </w:p>
    <w:p w:rsidR="002A027D" w:rsidRDefault="008B18CB">
      <w:pPr>
        <w:pStyle w:val="Obsah5"/>
        <w:rPr>
          <w:rFonts w:asciiTheme="minorHAnsi" w:eastAsiaTheme="minorEastAsia" w:hAnsiTheme="minorHAnsi" w:cstheme="minorBidi"/>
          <w:szCs w:val="22"/>
        </w:rPr>
      </w:pPr>
      <w:hyperlink w:anchor="_Toc422233443" w:history="1">
        <w:r w:rsidR="002A027D" w:rsidRPr="00B6153E">
          <w:rPr>
            <w:rStyle w:val="Hypertextovprepojenie"/>
          </w:rPr>
          <w:t>4.1</w:t>
        </w:r>
        <w:r w:rsidR="002A027D">
          <w:rPr>
            <w:rFonts w:asciiTheme="minorHAnsi" w:eastAsiaTheme="minorEastAsia" w:hAnsiTheme="minorHAnsi" w:cstheme="minorBidi"/>
            <w:szCs w:val="22"/>
          </w:rPr>
          <w:tab/>
        </w:r>
        <w:r w:rsidR="002A027D" w:rsidRPr="00B6153E">
          <w:rPr>
            <w:rStyle w:val="Hypertextovprepojenie"/>
          </w:rPr>
          <w:t>Chudoba a sociálne vylúčenie</w:t>
        </w:r>
        <w:r w:rsidR="002A027D">
          <w:rPr>
            <w:webHidden/>
          </w:rPr>
          <w:tab/>
        </w:r>
        <w:r w:rsidR="002A027D">
          <w:rPr>
            <w:webHidden/>
          </w:rPr>
          <w:fldChar w:fldCharType="begin"/>
        </w:r>
        <w:r w:rsidR="002A027D">
          <w:rPr>
            <w:webHidden/>
          </w:rPr>
          <w:instrText xml:space="preserve"> PAGEREF _Toc422233443 \h </w:instrText>
        </w:r>
        <w:r w:rsidR="002A027D">
          <w:rPr>
            <w:webHidden/>
          </w:rPr>
        </w:r>
        <w:r w:rsidR="002A027D">
          <w:rPr>
            <w:webHidden/>
          </w:rPr>
          <w:fldChar w:fldCharType="separate"/>
        </w:r>
        <w:r w:rsidR="00E53062">
          <w:rPr>
            <w:webHidden/>
          </w:rPr>
          <w:t>113</w:t>
        </w:r>
        <w:r w:rsidR="002A027D">
          <w:rPr>
            <w:webHidden/>
          </w:rPr>
          <w:fldChar w:fldCharType="end"/>
        </w:r>
      </w:hyperlink>
    </w:p>
    <w:p w:rsidR="002A027D" w:rsidRDefault="008B18CB">
      <w:pPr>
        <w:pStyle w:val="Obsah5"/>
        <w:rPr>
          <w:rFonts w:asciiTheme="minorHAnsi" w:eastAsiaTheme="minorEastAsia" w:hAnsiTheme="minorHAnsi" w:cstheme="minorBidi"/>
          <w:szCs w:val="22"/>
        </w:rPr>
      </w:pPr>
      <w:hyperlink w:anchor="_Toc422233444" w:history="1">
        <w:r w:rsidR="002A027D" w:rsidRPr="00B6153E">
          <w:rPr>
            <w:rStyle w:val="Hypertextovprepojenie"/>
          </w:rPr>
          <w:t>4.2</w:t>
        </w:r>
        <w:r w:rsidR="002A027D">
          <w:rPr>
            <w:rFonts w:asciiTheme="minorHAnsi" w:eastAsiaTheme="minorEastAsia" w:hAnsiTheme="minorHAnsi" w:cstheme="minorBidi"/>
            <w:szCs w:val="22"/>
          </w:rPr>
          <w:tab/>
        </w:r>
        <w:r w:rsidR="002A027D" w:rsidRPr="00B6153E">
          <w:rPr>
            <w:rStyle w:val="Hypertextovprepojenie"/>
          </w:rPr>
          <w:t>Rodová rovnosť a rovnosť príležitostí</w:t>
        </w:r>
        <w:r w:rsidR="002A027D">
          <w:rPr>
            <w:webHidden/>
          </w:rPr>
          <w:tab/>
        </w:r>
        <w:r w:rsidR="002A027D">
          <w:rPr>
            <w:webHidden/>
          </w:rPr>
          <w:fldChar w:fldCharType="begin"/>
        </w:r>
        <w:r w:rsidR="002A027D">
          <w:rPr>
            <w:webHidden/>
          </w:rPr>
          <w:instrText xml:space="preserve"> PAGEREF _Toc422233444 \h </w:instrText>
        </w:r>
        <w:r w:rsidR="002A027D">
          <w:rPr>
            <w:webHidden/>
          </w:rPr>
        </w:r>
        <w:r w:rsidR="002A027D">
          <w:rPr>
            <w:webHidden/>
          </w:rPr>
          <w:fldChar w:fldCharType="separate"/>
        </w:r>
        <w:r w:rsidR="00E53062">
          <w:rPr>
            <w:webHidden/>
          </w:rPr>
          <w:t>122</w:t>
        </w:r>
        <w:r w:rsidR="002A027D">
          <w:rPr>
            <w:webHidden/>
          </w:rPr>
          <w:fldChar w:fldCharType="end"/>
        </w:r>
      </w:hyperlink>
    </w:p>
    <w:p w:rsidR="002A027D" w:rsidRDefault="008B18CB">
      <w:pPr>
        <w:pStyle w:val="Obsah1"/>
        <w:rPr>
          <w:rFonts w:asciiTheme="minorHAnsi" w:eastAsiaTheme="minorEastAsia" w:hAnsiTheme="minorHAnsi" w:cstheme="minorBidi"/>
          <w:b w:val="0"/>
          <w:color w:val="auto"/>
          <w:szCs w:val="22"/>
        </w:rPr>
      </w:pPr>
      <w:hyperlink w:anchor="_Toc422233445" w:history="1">
        <w:r w:rsidR="002A027D" w:rsidRPr="00B6153E">
          <w:rPr>
            <w:rStyle w:val="Hypertextovprepojenie"/>
          </w:rPr>
          <w:t>5</w:t>
        </w:r>
        <w:r w:rsidR="002A027D">
          <w:rPr>
            <w:rFonts w:asciiTheme="minorHAnsi" w:eastAsiaTheme="minorEastAsia" w:hAnsiTheme="minorHAnsi" w:cstheme="minorBidi"/>
            <w:b w:val="0"/>
            <w:color w:val="auto"/>
            <w:szCs w:val="22"/>
          </w:rPr>
          <w:tab/>
        </w:r>
        <w:r w:rsidR="002A027D" w:rsidRPr="00B6153E">
          <w:rPr>
            <w:rStyle w:val="Hypertextovprepojenie"/>
          </w:rPr>
          <w:t>POROVNANIE VYBRANÝCH UKAZOVATEĽOV MEDZI KRAJINAMI EÚ V KONTEXTE STRATÉGIE EURÓPA 2020</w:t>
        </w:r>
        <w:r w:rsidR="002A027D">
          <w:rPr>
            <w:webHidden/>
          </w:rPr>
          <w:tab/>
        </w:r>
        <w:r w:rsidR="002A027D">
          <w:rPr>
            <w:webHidden/>
          </w:rPr>
          <w:fldChar w:fldCharType="begin"/>
        </w:r>
        <w:r w:rsidR="002A027D">
          <w:rPr>
            <w:webHidden/>
          </w:rPr>
          <w:instrText xml:space="preserve"> PAGEREF _Toc422233445 \h </w:instrText>
        </w:r>
        <w:r w:rsidR="002A027D">
          <w:rPr>
            <w:webHidden/>
          </w:rPr>
        </w:r>
        <w:r w:rsidR="002A027D">
          <w:rPr>
            <w:webHidden/>
          </w:rPr>
          <w:fldChar w:fldCharType="separate"/>
        </w:r>
        <w:r w:rsidR="00E53062">
          <w:rPr>
            <w:webHidden/>
          </w:rPr>
          <w:t>127</w:t>
        </w:r>
        <w:r w:rsidR="002A027D">
          <w:rPr>
            <w:webHidden/>
          </w:rPr>
          <w:fldChar w:fldCharType="end"/>
        </w:r>
      </w:hyperlink>
    </w:p>
    <w:p w:rsidR="002A027D" w:rsidRDefault="008B18CB">
      <w:pPr>
        <w:pStyle w:val="Obsah5"/>
        <w:rPr>
          <w:rFonts w:asciiTheme="minorHAnsi" w:eastAsiaTheme="minorEastAsia" w:hAnsiTheme="minorHAnsi" w:cstheme="minorBidi"/>
          <w:szCs w:val="22"/>
        </w:rPr>
      </w:pPr>
      <w:hyperlink w:anchor="_Toc422233446" w:history="1">
        <w:r w:rsidR="002A027D" w:rsidRPr="00B6153E">
          <w:rPr>
            <w:rStyle w:val="Hypertextovprepojenie"/>
          </w:rPr>
          <w:t>Makroekonomické prostredie</w:t>
        </w:r>
        <w:r w:rsidR="002A027D">
          <w:rPr>
            <w:webHidden/>
          </w:rPr>
          <w:tab/>
        </w:r>
        <w:r w:rsidR="002A027D">
          <w:rPr>
            <w:webHidden/>
          </w:rPr>
          <w:fldChar w:fldCharType="begin"/>
        </w:r>
        <w:r w:rsidR="002A027D">
          <w:rPr>
            <w:webHidden/>
          </w:rPr>
          <w:instrText xml:space="preserve"> PAGEREF _Toc422233446 \h </w:instrText>
        </w:r>
        <w:r w:rsidR="002A027D">
          <w:rPr>
            <w:webHidden/>
          </w:rPr>
        </w:r>
        <w:r w:rsidR="002A027D">
          <w:rPr>
            <w:webHidden/>
          </w:rPr>
          <w:fldChar w:fldCharType="separate"/>
        </w:r>
        <w:r w:rsidR="00E53062">
          <w:rPr>
            <w:webHidden/>
          </w:rPr>
          <w:t>127</w:t>
        </w:r>
        <w:r w:rsidR="002A027D">
          <w:rPr>
            <w:webHidden/>
          </w:rPr>
          <w:fldChar w:fldCharType="end"/>
        </w:r>
      </w:hyperlink>
    </w:p>
    <w:p w:rsidR="002A027D" w:rsidRDefault="008B18CB">
      <w:pPr>
        <w:pStyle w:val="Obsah5"/>
        <w:rPr>
          <w:rFonts w:asciiTheme="minorHAnsi" w:eastAsiaTheme="minorEastAsia" w:hAnsiTheme="minorHAnsi" w:cstheme="minorBidi"/>
          <w:szCs w:val="22"/>
        </w:rPr>
      </w:pPr>
      <w:hyperlink w:anchor="_Toc422233447" w:history="1">
        <w:r w:rsidR="002A027D" w:rsidRPr="00B6153E">
          <w:rPr>
            <w:rStyle w:val="Hypertextovprepojenie"/>
          </w:rPr>
          <w:t>Inteligentný a inkluzívny rast</w:t>
        </w:r>
        <w:r w:rsidR="002A027D">
          <w:rPr>
            <w:webHidden/>
          </w:rPr>
          <w:tab/>
        </w:r>
        <w:r w:rsidR="002A027D">
          <w:rPr>
            <w:webHidden/>
          </w:rPr>
          <w:fldChar w:fldCharType="begin"/>
        </w:r>
        <w:r w:rsidR="002A027D">
          <w:rPr>
            <w:webHidden/>
          </w:rPr>
          <w:instrText xml:space="preserve"> PAGEREF _Toc422233447 \h </w:instrText>
        </w:r>
        <w:r w:rsidR="002A027D">
          <w:rPr>
            <w:webHidden/>
          </w:rPr>
        </w:r>
        <w:r w:rsidR="002A027D">
          <w:rPr>
            <w:webHidden/>
          </w:rPr>
          <w:fldChar w:fldCharType="separate"/>
        </w:r>
        <w:r w:rsidR="00E53062">
          <w:rPr>
            <w:webHidden/>
          </w:rPr>
          <w:t>128</w:t>
        </w:r>
        <w:r w:rsidR="002A027D">
          <w:rPr>
            <w:webHidden/>
          </w:rPr>
          <w:fldChar w:fldCharType="end"/>
        </w:r>
      </w:hyperlink>
    </w:p>
    <w:p w:rsidR="002A027D" w:rsidRDefault="008B18CB">
      <w:pPr>
        <w:pStyle w:val="Obsah1"/>
        <w:rPr>
          <w:rFonts w:asciiTheme="minorHAnsi" w:eastAsiaTheme="minorEastAsia" w:hAnsiTheme="minorHAnsi" w:cstheme="minorBidi"/>
          <w:b w:val="0"/>
          <w:color w:val="auto"/>
          <w:szCs w:val="22"/>
        </w:rPr>
      </w:pPr>
      <w:hyperlink w:anchor="_Toc422233448" w:history="1">
        <w:r w:rsidR="002A027D" w:rsidRPr="00B6153E">
          <w:rPr>
            <w:rStyle w:val="Hypertextovprepojenie"/>
          </w:rPr>
          <w:t>Zozna</w:t>
        </w:r>
        <w:r w:rsidR="002A027D" w:rsidRPr="00B6153E">
          <w:rPr>
            <w:rStyle w:val="Hypertextovprepojenie"/>
          </w:rPr>
          <w:t>m</w:t>
        </w:r>
        <w:r w:rsidR="002A027D" w:rsidRPr="00B6153E">
          <w:rPr>
            <w:rStyle w:val="Hypertextovprepojenie"/>
          </w:rPr>
          <w:t xml:space="preserve"> príloh</w:t>
        </w:r>
        <w:r w:rsidR="002A027D">
          <w:rPr>
            <w:webHidden/>
          </w:rPr>
          <w:tab/>
        </w:r>
        <w:r w:rsidR="002A027D">
          <w:rPr>
            <w:webHidden/>
          </w:rPr>
          <w:fldChar w:fldCharType="begin"/>
        </w:r>
        <w:r w:rsidR="002A027D">
          <w:rPr>
            <w:webHidden/>
          </w:rPr>
          <w:instrText xml:space="preserve"> PAGEREF _Toc422233448 \h </w:instrText>
        </w:r>
        <w:r w:rsidR="002A027D">
          <w:rPr>
            <w:webHidden/>
          </w:rPr>
        </w:r>
        <w:r w:rsidR="002A027D">
          <w:rPr>
            <w:webHidden/>
          </w:rPr>
          <w:fldChar w:fldCharType="separate"/>
        </w:r>
        <w:r w:rsidR="00E53062">
          <w:rPr>
            <w:webHidden/>
          </w:rPr>
          <w:t>134</w:t>
        </w:r>
        <w:r w:rsidR="002A027D">
          <w:rPr>
            <w:webHidden/>
          </w:rPr>
          <w:fldChar w:fldCharType="end"/>
        </w:r>
      </w:hyperlink>
    </w:p>
    <w:p w:rsidR="002A027D" w:rsidRPr="002A027D" w:rsidRDefault="002A027D" w:rsidP="002A027D">
      <w:pPr>
        <w:pStyle w:val="Obsah5"/>
        <w:rPr>
          <w:rFonts w:asciiTheme="minorHAnsi" w:eastAsiaTheme="minorEastAsia" w:hAnsiTheme="minorHAnsi" w:cstheme="minorBidi"/>
          <w:szCs w:val="22"/>
        </w:rPr>
      </w:pPr>
    </w:p>
    <w:p w:rsidR="002275F2" w:rsidRPr="004C5551" w:rsidRDefault="00F23A64" w:rsidP="00D36FB8">
      <w:r w:rsidRPr="004C5551">
        <w:fldChar w:fldCharType="end"/>
      </w:r>
      <w:r w:rsidRPr="004C5551">
        <w:fldChar w:fldCharType="begin"/>
      </w:r>
      <w:r w:rsidR="00A279F0" w:rsidRPr="004C5551">
        <w:instrText xml:space="preserve"> TOC \o "1-3" \h \z \u </w:instrText>
      </w:r>
      <w:r w:rsidRPr="004C5551">
        <w:fldChar w:fldCharType="separate"/>
      </w:r>
    </w:p>
    <w:p w:rsidR="002275F2" w:rsidRPr="004C5551" w:rsidRDefault="002275F2" w:rsidP="00D36FB8">
      <w:pPr>
        <w:sectPr w:rsidR="002275F2" w:rsidRPr="004C5551" w:rsidSect="004F3C97">
          <w:headerReference w:type="even" r:id="rId11"/>
          <w:headerReference w:type="first" r:id="rId12"/>
          <w:type w:val="oddPage"/>
          <w:pgSz w:w="11906" w:h="16838" w:code="9"/>
          <w:pgMar w:top="1417" w:right="1417" w:bottom="1417" w:left="1417" w:header="709" w:footer="709" w:gutter="0"/>
          <w:pgNumType w:start="1"/>
          <w:cols w:space="708"/>
          <w:titlePg/>
          <w:docGrid w:linePitch="360"/>
        </w:sectPr>
      </w:pPr>
    </w:p>
    <w:p w:rsidR="00B12524" w:rsidRPr="004C5551" w:rsidRDefault="00F23A64" w:rsidP="00A81CA7">
      <w:pPr>
        <w:pStyle w:val="Nadpis1"/>
        <w:numPr>
          <w:ilvl w:val="0"/>
          <w:numId w:val="0"/>
        </w:numPr>
      </w:pPr>
      <w:r w:rsidRPr="004C5551">
        <w:fldChar w:fldCharType="end"/>
      </w:r>
      <w:bookmarkStart w:id="40" w:name="_Toc356482611"/>
      <w:bookmarkStart w:id="41" w:name="_Toc356482796"/>
      <w:bookmarkStart w:id="42" w:name="_Toc356482804"/>
      <w:bookmarkStart w:id="43" w:name="_Toc394061345"/>
      <w:bookmarkStart w:id="44" w:name="_Toc418672227"/>
      <w:bookmarkStart w:id="45" w:name="_Toc419355213"/>
      <w:bookmarkStart w:id="46" w:name="_Toc419457176"/>
      <w:bookmarkStart w:id="47" w:name="_Toc419795336"/>
      <w:bookmarkStart w:id="48" w:name="_Toc422150957"/>
      <w:bookmarkStart w:id="49" w:name="_Toc422233397"/>
      <w:bookmarkStart w:id="50" w:name="_Toc165882896"/>
      <w:r w:rsidR="00B12524" w:rsidRPr="004C5551">
        <w:t>Zoznam skratiek</w:t>
      </w:r>
      <w:bookmarkEnd w:id="40"/>
      <w:bookmarkEnd w:id="41"/>
      <w:bookmarkEnd w:id="42"/>
      <w:bookmarkEnd w:id="43"/>
      <w:bookmarkEnd w:id="44"/>
      <w:bookmarkEnd w:id="45"/>
      <w:bookmarkEnd w:id="46"/>
      <w:bookmarkEnd w:id="47"/>
      <w:bookmarkEnd w:id="48"/>
      <w:bookmarkEnd w:id="49"/>
    </w:p>
    <w:p w:rsidR="00F22F50" w:rsidRPr="004C5551" w:rsidRDefault="00F22F50" w:rsidP="00D36FB8">
      <w:pPr>
        <w:jc w:val="left"/>
        <w:rPr>
          <w:color w:val="000000" w:themeColor="text1"/>
        </w:rPr>
      </w:pPr>
      <w:r w:rsidRPr="004C5551">
        <w:rPr>
          <w:b/>
          <w:color w:val="000000" w:themeColor="text1"/>
        </w:rPr>
        <w:t xml:space="preserve">a.s. </w:t>
      </w:r>
      <w:r w:rsidRPr="004C5551">
        <w:rPr>
          <w:color w:val="000000" w:themeColor="text1"/>
        </w:rPr>
        <w:t>– akciová spoločnosť</w:t>
      </w:r>
    </w:p>
    <w:p w:rsidR="008A2C08" w:rsidRPr="004C5551" w:rsidRDefault="008A2C08" w:rsidP="00D36FB8">
      <w:pPr>
        <w:rPr>
          <w:color w:val="000000" w:themeColor="text1"/>
        </w:rPr>
      </w:pPr>
      <w:r w:rsidRPr="004C5551">
        <w:rPr>
          <w:b/>
          <w:bCs/>
          <w:color w:val="000000" w:themeColor="text1"/>
        </w:rPr>
        <w:t>AOTP</w:t>
      </w:r>
      <w:r w:rsidRPr="004C5551">
        <w:rPr>
          <w:color w:val="000000" w:themeColor="text1"/>
        </w:rPr>
        <w:t xml:space="preserve"> – aktívne opatrenia trhu práce</w:t>
      </w:r>
    </w:p>
    <w:p w:rsidR="008A2C08" w:rsidRPr="004C5551" w:rsidRDefault="008A2C08" w:rsidP="00D36FB8">
      <w:pPr>
        <w:rPr>
          <w:color w:val="000000" w:themeColor="text1"/>
        </w:rPr>
      </w:pPr>
      <w:r w:rsidRPr="004C5551">
        <w:rPr>
          <w:b/>
          <w:bCs/>
          <w:color w:val="000000" w:themeColor="text1"/>
        </w:rPr>
        <w:t>APTP</w:t>
      </w:r>
      <w:r w:rsidRPr="004C5551">
        <w:rPr>
          <w:color w:val="000000" w:themeColor="text1"/>
        </w:rPr>
        <w:t xml:space="preserve"> – aktívna politika trhu práce</w:t>
      </w:r>
    </w:p>
    <w:p w:rsidR="00067E3C" w:rsidRPr="004C5551" w:rsidRDefault="00067E3C" w:rsidP="00D36FB8">
      <w:pPr>
        <w:rPr>
          <w:b/>
          <w:bCs/>
          <w:color w:val="000000" w:themeColor="text1"/>
        </w:rPr>
      </w:pPr>
      <w:r w:rsidRPr="004C5551">
        <w:rPr>
          <w:b/>
          <w:bCs/>
          <w:color w:val="000000" w:themeColor="text1"/>
        </w:rPr>
        <w:t xml:space="preserve">BA – </w:t>
      </w:r>
      <w:r w:rsidRPr="004C5551">
        <w:rPr>
          <w:bCs/>
          <w:color w:val="000000" w:themeColor="text1"/>
        </w:rPr>
        <w:t>Bratislavský kraj</w:t>
      </w:r>
    </w:p>
    <w:p w:rsidR="00067E3C" w:rsidRPr="004C5551" w:rsidRDefault="00067E3C" w:rsidP="00D36FB8">
      <w:pPr>
        <w:rPr>
          <w:bCs/>
          <w:color w:val="000000" w:themeColor="text1"/>
        </w:rPr>
      </w:pPr>
      <w:r w:rsidRPr="004C5551">
        <w:rPr>
          <w:b/>
          <w:bCs/>
          <w:color w:val="000000" w:themeColor="text1"/>
        </w:rPr>
        <w:t xml:space="preserve">BB – </w:t>
      </w:r>
      <w:r w:rsidRPr="004C5551">
        <w:rPr>
          <w:bCs/>
          <w:color w:val="000000" w:themeColor="text1"/>
        </w:rPr>
        <w:t>Banskobystrický kraj</w:t>
      </w:r>
    </w:p>
    <w:p w:rsidR="008A2C08" w:rsidRPr="004C5551" w:rsidRDefault="000F3FD9" w:rsidP="00D36FB8">
      <w:pPr>
        <w:rPr>
          <w:color w:val="000000" w:themeColor="text1"/>
        </w:rPr>
      </w:pPr>
      <w:r w:rsidRPr="004C5551">
        <w:rPr>
          <w:b/>
          <w:bCs/>
          <w:color w:val="000000" w:themeColor="text1"/>
        </w:rPr>
        <w:t>BSK</w:t>
      </w:r>
      <w:r w:rsidR="008A2C08" w:rsidRPr="004C5551">
        <w:rPr>
          <w:color w:val="000000" w:themeColor="text1"/>
        </w:rPr>
        <w:t xml:space="preserve"> – Bratislavský samosprávny kraj</w:t>
      </w:r>
    </w:p>
    <w:p w:rsidR="00DA0800" w:rsidRPr="004C5551" w:rsidRDefault="00DA0800" w:rsidP="00D36FB8">
      <w:pPr>
        <w:rPr>
          <w:color w:val="000000" w:themeColor="text1"/>
        </w:rPr>
      </w:pPr>
      <w:r w:rsidRPr="004C5551">
        <w:rPr>
          <w:b/>
          <w:color w:val="000000" w:themeColor="text1"/>
        </w:rPr>
        <w:t>CHD</w:t>
      </w:r>
      <w:r w:rsidRPr="004C5551">
        <w:rPr>
          <w:color w:val="000000" w:themeColor="text1"/>
        </w:rPr>
        <w:t xml:space="preserve"> – chránená dielňa</w:t>
      </w:r>
    </w:p>
    <w:p w:rsidR="00DA0800" w:rsidRPr="004C5551" w:rsidRDefault="00DA0800" w:rsidP="00D36FB8">
      <w:pPr>
        <w:rPr>
          <w:color w:val="000000" w:themeColor="text1"/>
        </w:rPr>
      </w:pPr>
      <w:r w:rsidRPr="004C5551">
        <w:rPr>
          <w:b/>
          <w:color w:val="000000" w:themeColor="text1"/>
        </w:rPr>
        <w:t>CHP</w:t>
      </w:r>
      <w:r w:rsidRPr="004C5551">
        <w:rPr>
          <w:color w:val="000000" w:themeColor="text1"/>
        </w:rPr>
        <w:t xml:space="preserve"> – chránené pracovisko</w:t>
      </w:r>
    </w:p>
    <w:p w:rsidR="008A2C08" w:rsidRPr="004C5551" w:rsidRDefault="008A2C08" w:rsidP="00387249">
      <w:pPr>
        <w:rPr>
          <w:color w:val="000000" w:themeColor="text1"/>
        </w:rPr>
      </w:pPr>
      <w:r w:rsidRPr="004C5551">
        <w:rPr>
          <w:b/>
          <w:bCs/>
          <w:color w:val="000000" w:themeColor="text1"/>
        </w:rPr>
        <w:t>COICOP</w:t>
      </w:r>
      <w:r w:rsidR="00254D1D" w:rsidRPr="004C5551">
        <w:rPr>
          <w:color w:val="000000" w:themeColor="text1"/>
        </w:rPr>
        <w:t xml:space="preserve"> – k</w:t>
      </w:r>
      <w:r w:rsidRPr="004C5551">
        <w:rPr>
          <w:color w:val="000000" w:themeColor="text1"/>
        </w:rPr>
        <w:t>lasifikácia individuálnej spotreby podľa spôsobu použitia</w:t>
      </w:r>
    </w:p>
    <w:p w:rsidR="00527130" w:rsidRPr="004C5551" w:rsidRDefault="00527130" w:rsidP="00D36FB8">
      <w:pPr>
        <w:jc w:val="left"/>
        <w:rPr>
          <w:color w:val="000000" w:themeColor="text1"/>
        </w:rPr>
      </w:pPr>
      <w:r w:rsidRPr="004C5551">
        <w:rPr>
          <w:b/>
          <w:color w:val="000000" w:themeColor="text1"/>
        </w:rPr>
        <w:t>DDS</w:t>
      </w:r>
      <w:r w:rsidR="00F22F50" w:rsidRPr="004C5551">
        <w:rPr>
          <w:b/>
          <w:color w:val="000000" w:themeColor="text1"/>
        </w:rPr>
        <w:t>,</w:t>
      </w:r>
      <w:r w:rsidRPr="004C5551">
        <w:rPr>
          <w:color w:val="000000" w:themeColor="text1"/>
        </w:rPr>
        <w:t xml:space="preserve"> </w:t>
      </w:r>
      <w:r w:rsidR="00F22F50" w:rsidRPr="004C5551">
        <w:rPr>
          <w:b/>
          <w:color w:val="000000" w:themeColor="text1"/>
        </w:rPr>
        <w:t>d.</w:t>
      </w:r>
      <w:r w:rsidR="009F74C0" w:rsidRPr="004C5551">
        <w:rPr>
          <w:b/>
          <w:color w:val="000000" w:themeColor="text1"/>
        </w:rPr>
        <w:t xml:space="preserve"> </w:t>
      </w:r>
      <w:r w:rsidR="00F22F50" w:rsidRPr="004C5551">
        <w:rPr>
          <w:b/>
          <w:color w:val="000000" w:themeColor="text1"/>
        </w:rPr>
        <w:t>d.</w:t>
      </w:r>
      <w:r w:rsidR="009F74C0" w:rsidRPr="004C5551">
        <w:rPr>
          <w:b/>
          <w:color w:val="000000" w:themeColor="text1"/>
        </w:rPr>
        <w:t xml:space="preserve"> </w:t>
      </w:r>
      <w:r w:rsidR="00F22F50" w:rsidRPr="004C5551">
        <w:rPr>
          <w:b/>
          <w:color w:val="000000" w:themeColor="text1"/>
        </w:rPr>
        <w:t xml:space="preserve">s. </w:t>
      </w:r>
      <w:r w:rsidRPr="004C5551">
        <w:rPr>
          <w:color w:val="000000" w:themeColor="text1"/>
        </w:rPr>
        <w:t>– doplnková dôchodková spoločnosť</w:t>
      </w:r>
    </w:p>
    <w:p w:rsidR="009F74C0" w:rsidRPr="004C5551" w:rsidRDefault="009F74C0" w:rsidP="00D36FB8">
      <w:pPr>
        <w:rPr>
          <w:bCs/>
          <w:color w:val="000000" w:themeColor="text1"/>
        </w:rPr>
      </w:pPr>
      <w:r w:rsidRPr="004C5551">
        <w:rPr>
          <w:b/>
          <w:bCs/>
          <w:color w:val="000000" w:themeColor="text1"/>
        </w:rPr>
        <w:t xml:space="preserve">d. f. – </w:t>
      </w:r>
      <w:r w:rsidRPr="004C5551">
        <w:rPr>
          <w:bCs/>
          <w:color w:val="000000" w:themeColor="text1"/>
        </w:rPr>
        <w:t>dôchodkový fond</w:t>
      </w:r>
    </w:p>
    <w:p w:rsidR="00527130" w:rsidRPr="004C5551" w:rsidRDefault="00527130" w:rsidP="00D36FB8">
      <w:pPr>
        <w:jc w:val="left"/>
        <w:rPr>
          <w:color w:val="000000" w:themeColor="text1"/>
        </w:rPr>
      </w:pPr>
      <w:r w:rsidRPr="004C5551">
        <w:rPr>
          <w:b/>
          <w:color w:val="000000" w:themeColor="text1"/>
        </w:rPr>
        <w:t>DI</w:t>
      </w:r>
      <w:r w:rsidRPr="004C5551">
        <w:rPr>
          <w:color w:val="000000" w:themeColor="text1"/>
        </w:rPr>
        <w:t xml:space="preserve"> – </w:t>
      </w:r>
      <w:proofErr w:type="spellStart"/>
      <w:r w:rsidRPr="004C5551">
        <w:rPr>
          <w:color w:val="000000" w:themeColor="text1"/>
        </w:rPr>
        <w:t>deinštitucionalizácia</w:t>
      </w:r>
      <w:proofErr w:type="spellEnd"/>
    </w:p>
    <w:p w:rsidR="00AE5604" w:rsidRPr="004C5551" w:rsidRDefault="00AE5604" w:rsidP="00D36FB8">
      <w:pPr>
        <w:jc w:val="left"/>
        <w:rPr>
          <w:color w:val="000000" w:themeColor="text1"/>
        </w:rPr>
      </w:pPr>
      <w:r w:rsidRPr="004C5551">
        <w:rPr>
          <w:b/>
          <w:color w:val="000000" w:themeColor="text1"/>
        </w:rPr>
        <w:t>DOP</w:t>
      </w:r>
      <w:r w:rsidRPr="004C5551">
        <w:rPr>
          <w:color w:val="000000" w:themeColor="text1"/>
        </w:rPr>
        <w:t xml:space="preserve"> – </w:t>
      </w:r>
      <w:proofErr w:type="spellStart"/>
      <w:r w:rsidRPr="004C5551">
        <w:rPr>
          <w:color w:val="000000" w:themeColor="text1"/>
        </w:rPr>
        <w:t>dopytovo-orientovaný</w:t>
      </w:r>
      <w:proofErr w:type="spellEnd"/>
      <w:r w:rsidRPr="004C5551">
        <w:rPr>
          <w:color w:val="000000" w:themeColor="text1"/>
        </w:rPr>
        <w:t xml:space="preserve"> projekt</w:t>
      </w:r>
    </w:p>
    <w:p w:rsidR="00527130" w:rsidRPr="004C5551" w:rsidRDefault="00527130" w:rsidP="00D36FB8">
      <w:pPr>
        <w:jc w:val="left"/>
        <w:rPr>
          <w:color w:val="000000" w:themeColor="text1"/>
        </w:rPr>
      </w:pPr>
      <w:r w:rsidRPr="004C5551">
        <w:rPr>
          <w:b/>
          <w:color w:val="000000" w:themeColor="text1"/>
        </w:rPr>
        <w:t>DPN</w:t>
      </w:r>
      <w:r w:rsidRPr="004C5551">
        <w:rPr>
          <w:color w:val="000000" w:themeColor="text1"/>
        </w:rPr>
        <w:t xml:space="preserve"> – dočasná pracovná neschopnosť</w:t>
      </w:r>
    </w:p>
    <w:p w:rsidR="008A2C08" w:rsidRPr="004C5551" w:rsidRDefault="008A2C08" w:rsidP="00D36FB8">
      <w:pPr>
        <w:rPr>
          <w:color w:val="000000" w:themeColor="text1"/>
        </w:rPr>
      </w:pPr>
      <w:r w:rsidRPr="004C5551">
        <w:rPr>
          <w:b/>
          <w:bCs/>
          <w:color w:val="000000" w:themeColor="text1"/>
        </w:rPr>
        <w:t>DSS</w:t>
      </w:r>
      <w:r w:rsidR="009F74C0" w:rsidRPr="004C5551">
        <w:rPr>
          <w:b/>
          <w:bCs/>
          <w:color w:val="000000" w:themeColor="text1"/>
        </w:rPr>
        <w:t>, d. s. s.</w:t>
      </w:r>
      <w:r w:rsidR="0016196A" w:rsidRPr="004C5551">
        <w:rPr>
          <w:b/>
          <w:bCs/>
          <w:color w:val="000000" w:themeColor="text1"/>
        </w:rPr>
        <w:t xml:space="preserve"> </w:t>
      </w:r>
      <w:r w:rsidRPr="004C5551">
        <w:rPr>
          <w:color w:val="000000" w:themeColor="text1"/>
        </w:rPr>
        <w:t>– dôchodková správcovská spoločnosť</w:t>
      </w:r>
    </w:p>
    <w:p w:rsidR="00963C38" w:rsidRPr="004C5551" w:rsidRDefault="00963C38" w:rsidP="00D36FB8">
      <w:pPr>
        <w:rPr>
          <w:bCs/>
          <w:color w:val="000000" w:themeColor="text1"/>
        </w:rPr>
      </w:pPr>
      <w:r w:rsidRPr="004C5551">
        <w:rPr>
          <w:b/>
          <w:bCs/>
          <w:color w:val="000000" w:themeColor="text1"/>
        </w:rPr>
        <w:t xml:space="preserve">EA18 – </w:t>
      </w:r>
      <w:r w:rsidRPr="004C5551">
        <w:rPr>
          <w:bCs/>
          <w:color w:val="000000" w:themeColor="text1"/>
        </w:rPr>
        <w:t>krajiny Európskej únie platiace v roku 2014 menou euro (</w:t>
      </w:r>
      <w:r w:rsidRPr="004C5551">
        <w:rPr>
          <w:bCs/>
          <w:i/>
          <w:color w:val="000000" w:themeColor="text1"/>
          <w:sz w:val="20"/>
        </w:rPr>
        <w:t>Belgicko, Nemecko, Estónsko, Grécko, Španielsko, Francúzsko, Írsko, Taliansko, Lotyšsko, Litva, Luxembursko, Holandsko, Rakúsko, Portugalsko, Fínsko, Cyprus, Malta, Slovinsko, Slovensko</w:t>
      </w:r>
      <w:r w:rsidRPr="004C5551">
        <w:rPr>
          <w:bCs/>
          <w:color w:val="000000" w:themeColor="text1"/>
        </w:rPr>
        <w:t>)</w:t>
      </w:r>
    </w:p>
    <w:p w:rsidR="00387249" w:rsidRPr="004C5551" w:rsidRDefault="00387249" w:rsidP="00D36FB8">
      <w:pPr>
        <w:rPr>
          <w:bCs/>
          <w:color w:val="000000" w:themeColor="text1"/>
        </w:rPr>
      </w:pPr>
      <w:r w:rsidRPr="004C5551">
        <w:rPr>
          <w:b/>
          <w:bCs/>
          <w:color w:val="000000" w:themeColor="text1"/>
        </w:rPr>
        <w:t xml:space="preserve">EK </w:t>
      </w:r>
      <w:r w:rsidRPr="004C5551">
        <w:rPr>
          <w:bCs/>
          <w:color w:val="000000" w:themeColor="text1"/>
        </w:rPr>
        <w:t xml:space="preserve">– </w:t>
      </w:r>
      <w:r w:rsidR="00DA20F5" w:rsidRPr="004C5551">
        <w:rPr>
          <w:bCs/>
          <w:color w:val="000000" w:themeColor="text1"/>
        </w:rPr>
        <w:t>Európska</w:t>
      </w:r>
      <w:r w:rsidRPr="004C5551">
        <w:rPr>
          <w:bCs/>
          <w:color w:val="000000" w:themeColor="text1"/>
        </w:rPr>
        <w:t xml:space="preserve"> komisia</w:t>
      </w:r>
    </w:p>
    <w:p w:rsidR="008A2C08" w:rsidRPr="004C5551" w:rsidRDefault="008A2C08" w:rsidP="00D36FB8">
      <w:pPr>
        <w:rPr>
          <w:color w:val="000000" w:themeColor="text1"/>
        </w:rPr>
      </w:pPr>
      <w:r w:rsidRPr="004C5551">
        <w:rPr>
          <w:b/>
          <w:color w:val="000000" w:themeColor="text1"/>
        </w:rPr>
        <w:t>ESSPROS</w:t>
      </w:r>
      <w:r w:rsidRPr="004C5551">
        <w:rPr>
          <w:color w:val="000000" w:themeColor="text1"/>
        </w:rPr>
        <w:t xml:space="preserve"> – </w:t>
      </w:r>
      <w:r w:rsidR="004C6309" w:rsidRPr="004C5551">
        <w:rPr>
          <w:color w:val="000000" w:themeColor="text1"/>
        </w:rPr>
        <w:t>Európs</w:t>
      </w:r>
      <w:r w:rsidRPr="004C5551">
        <w:rPr>
          <w:color w:val="000000" w:themeColor="text1"/>
        </w:rPr>
        <w:t>ky systém jednotných štatistík sociálnej ochrany</w:t>
      </w:r>
    </w:p>
    <w:p w:rsidR="00F97C8F" w:rsidRPr="004C5551" w:rsidRDefault="00F97C8F" w:rsidP="00D36FB8">
      <w:pPr>
        <w:rPr>
          <w:bCs/>
          <w:color w:val="000000" w:themeColor="text1"/>
        </w:rPr>
      </w:pPr>
      <w:r w:rsidRPr="004C5551">
        <w:rPr>
          <w:b/>
          <w:bCs/>
          <w:color w:val="000000" w:themeColor="text1"/>
        </w:rPr>
        <w:t xml:space="preserve">EU SILC </w:t>
      </w:r>
      <w:r w:rsidRPr="004C5551">
        <w:rPr>
          <w:bCs/>
          <w:color w:val="000000" w:themeColor="text1"/>
        </w:rPr>
        <w:t xml:space="preserve">– </w:t>
      </w:r>
      <w:proofErr w:type="spellStart"/>
      <w:r w:rsidRPr="004C5551">
        <w:rPr>
          <w:bCs/>
          <w:color w:val="000000" w:themeColor="text1"/>
        </w:rPr>
        <w:t>European</w:t>
      </w:r>
      <w:proofErr w:type="spellEnd"/>
      <w:r w:rsidRPr="004C5551">
        <w:rPr>
          <w:bCs/>
          <w:color w:val="000000" w:themeColor="text1"/>
        </w:rPr>
        <w:t xml:space="preserve"> </w:t>
      </w:r>
      <w:proofErr w:type="spellStart"/>
      <w:r w:rsidRPr="004C5551">
        <w:rPr>
          <w:bCs/>
          <w:color w:val="000000" w:themeColor="text1"/>
        </w:rPr>
        <w:t>Union</w:t>
      </w:r>
      <w:proofErr w:type="spellEnd"/>
      <w:r w:rsidRPr="004C5551">
        <w:rPr>
          <w:bCs/>
          <w:color w:val="000000" w:themeColor="text1"/>
        </w:rPr>
        <w:t xml:space="preserve"> </w:t>
      </w:r>
      <w:proofErr w:type="spellStart"/>
      <w:r w:rsidRPr="004C5551">
        <w:rPr>
          <w:bCs/>
          <w:color w:val="000000" w:themeColor="text1"/>
        </w:rPr>
        <w:t>Statistics</w:t>
      </w:r>
      <w:proofErr w:type="spellEnd"/>
      <w:r w:rsidRPr="004C5551">
        <w:rPr>
          <w:bCs/>
          <w:color w:val="000000" w:themeColor="text1"/>
        </w:rPr>
        <w:t xml:space="preserve"> on </w:t>
      </w:r>
      <w:proofErr w:type="spellStart"/>
      <w:r w:rsidRPr="004C5551">
        <w:rPr>
          <w:bCs/>
          <w:color w:val="000000" w:themeColor="text1"/>
        </w:rPr>
        <w:t>Income</w:t>
      </w:r>
      <w:proofErr w:type="spellEnd"/>
      <w:r w:rsidRPr="004C5551">
        <w:rPr>
          <w:bCs/>
          <w:color w:val="000000" w:themeColor="text1"/>
        </w:rPr>
        <w:t xml:space="preserve"> and </w:t>
      </w:r>
      <w:proofErr w:type="spellStart"/>
      <w:r w:rsidRPr="004C5551">
        <w:rPr>
          <w:bCs/>
          <w:color w:val="000000" w:themeColor="text1"/>
        </w:rPr>
        <w:t>Living</w:t>
      </w:r>
      <w:proofErr w:type="spellEnd"/>
      <w:r w:rsidRPr="004C5551">
        <w:rPr>
          <w:bCs/>
          <w:color w:val="000000" w:themeColor="text1"/>
        </w:rPr>
        <w:t xml:space="preserve"> </w:t>
      </w:r>
      <w:proofErr w:type="spellStart"/>
      <w:r w:rsidRPr="004C5551">
        <w:rPr>
          <w:bCs/>
          <w:color w:val="000000" w:themeColor="text1"/>
        </w:rPr>
        <w:t>Conditions</w:t>
      </w:r>
      <w:proofErr w:type="spellEnd"/>
    </w:p>
    <w:p w:rsidR="00DF7D91" w:rsidRPr="004C5551" w:rsidRDefault="00DF7D91" w:rsidP="00DF7D91">
      <w:pPr>
        <w:rPr>
          <w:bCs/>
          <w:color w:val="000000" w:themeColor="text1"/>
        </w:rPr>
      </w:pPr>
      <w:r w:rsidRPr="004C5551">
        <w:rPr>
          <w:b/>
          <w:bCs/>
          <w:color w:val="000000" w:themeColor="text1"/>
        </w:rPr>
        <w:t xml:space="preserve">EU15 – </w:t>
      </w:r>
      <w:r w:rsidRPr="004C5551">
        <w:rPr>
          <w:bCs/>
          <w:color w:val="000000" w:themeColor="text1"/>
        </w:rPr>
        <w:t>prvých 15 členských štátov Európskej únie (</w:t>
      </w:r>
      <w:r w:rsidRPr="004C5551">
        <w:rPr>
          <w:i/>
          <w:sz w:val="20"/>
          <w:szCs w:val="20"/>
        </w:rPr>
        <w:t>Belgicko, Dánsko, Nemecko, Írsko, Grécko, Španielsko, Francúzsko, Taliansko, Luxembursko, Holandsko, Rakúsko, Portugalsko, Fínsko, Švédsko, Veľká Británia</w:t>
      </w:r>
      <w:r w:rsidRPr="004C5551">
        <w:rPr>
          <w:bCs/>
          <w:color w:val="000000" w:themeColor="text1"/>
        </w:rPr>
        <w:t>)</w:t>
      </w:r>
    </w:p>
    <w:p w:rsidR="003D0340" w:rsidRPr="004C5551" w:rsidRDefault="003D0340" w:rsidP="00D36FB8">
      <w:pPr>
        <w:rPr>
          <w:bCs/>
          <w:color w:val="000000" w:themeColor="text1"/>
        </w:rPr>
      </w:pPr>
      <w:r w:rsidRPr="004C5551">
        <w:rPr>
          <w:b/>
          <w:bCs/>
          <w:color w:val="000000" w:themeColor="text1"/>
        </w:rPr>
        <w:t>EU28</w:t>
      </w:r>
      <w:r w:rsidRPr="004C5551">
        <w:rPr>
          <w:bCs/>
          <w:color w:val="000000" w:themeColor="text1"/>
        </w:rPr>
        <w:t xml:space="preserve"> – 28 členských krajín Európskej únie (</w:t>
      </w:r>
      <w:r w:rsidRPr="004C5551">
        <w:rPr>
          <w:i/>
          <w:sz w:val="20"/>
          <w:szCs w:val="20"/>
        </w:rPr>
        <w:t>Belgicko</w:t>
      </w:r>
      <w:r w:rsidR="00DF7D91" w:rsidRPr="004C5551">
        <w:rPr>
          <w:i/>
          <w:sz w:val="20"/>
          <w:szCs w:val="20"/>
        </w:rPr>
        <w:t xml:space="preserve"> (BE)</w:t>
      </w:r>
      <w:r w:rsidRPr="004C5551">
        <w:rPr>
          <w:i/>
          <w:sz w:val="20"/>
          <w:szCs w:val="20"/>
        </w:rPr>
        <w:t>, Bulharsko</w:t>
      </w:r>
      <w:r w:rsidR="00DF7D91" w:rsidRPr="004C5551">
        <w:rPr>
          <w:i/>
          <w:sz w:val="20"/>
          <w:szCs w:val="20"/>
        </w:rPr>
        <w:t xml:space="preserve"> (BG)</w:t>
      </w:r>
      <w:r w:rsidRPr="004C5551">
        <w:rPr>
          <w:i/>
          <w:sz w:val="20"/>
          <w:szCs w:val="20"/>
        </w:rPr>
        <w:t>, Česká republika</w:t>
      </w:r>
      <w:r w:rsidR="00DF7D91" w:rsidRPr="004C5551">
        <w:rPr>
          <w:i/>
          <w:sz w:val="20"/>
          <w:szCs w:val="20"/>
        </w:rPr>
        <w:t xml:space="preserve"> (CZ)</w:t>
      </w:r>
      <w:r w:rsidRPr="004C5551">
        <w:rPr>
          <w:i/>
          <w:sz w:val="20"/>
          <w:szCs w:val="20"/>
        </w:rPr>
        <w:t>, Dánsko</w:t>
      </w:r>
      <w:r w:rsidR="00DF7D91" w:rsidRPr="004C5551">
        <w:rPr>
          <w:i/>
          <w:sz w:val="20"/>
          <w:szCs w:val="20"/>
        </w:rPr>
        <w:t xml:space="preserve"> (DK)</w:t>
      </w:r>
      <w:r w:rsidRPr="004C5551">
        <w:rPr>
          <w:i/>
          <w:sz w:val="20"/>
          <w:szCs w:val="20"/>
        </w:rPr>
        <w:t>, Nemecko</w:t>
      </w:r>
      <w:r w:rsidR="00DF7D91" w:rsidRPr="004C5551">
        <w:rPr>
          <w:i/>
          <w:sz w:val="20"/>
          <w:szCs w:val="20"/>
        </w:rPr>
        <w:t xml:space="preserve"> (DE)</w:t>
      </w:r>
      <w:r w:rsidRPr="004C5551">
        <w:rPr>
          <w:i/>
          <w:sz w:val="20"/>
          <w:szCs w:val="20"/>
        </w:rPr>
        <w:t>, Estónsko</w:t>
      </w:r>
      <w:r w:rsidR="00DF7D91" w:rsidRPr="004C5551">
        <w:rPr>
          <w:i/>
          <w:sz w:val="20"/>
          <w:szCs w:val="20"/>
        </w:rPr>
        <w:t xml:space="preserve"> (EE)</w:t>
      </w:r>
      <w:r w:rsidRPr="004C5551">
        <w:rPr>
          <w:i/>
          <w:sz w:val="20"/>
          <w:szCs w:val="20"/>
        </w:rPr>
        <w:t>, Írsko</w:t>
      </w:r>
      <w:r w:rsidR="00DF7D91" w:rsidRPr="004C5551">
        <w:rPr>
          <w:i/>
          <w:sz w:val="20"/>
          <w:szCs w:val="20"/>
        </w:rPr>
        <w:t xml:space="preserve"> (IE)</w:t>
      </w:r>
      <w:r w:rsidRPr="004C5551">
        <w:rPr>
          <w:i/>
          <w:sz w:val="20"/>
          <w:szCs w:val="20"/>
        </w:rPr>
        <w:t>, Grécko</w:t>
      </w:r>
      <w:r w:rsidR="00963C38" w:rsidRPr="004C5551">
        <w:rPr>
          <w:i/>
          <w:sz w:val="20"/>
          <w:szCs w:val="20"/>
        </w:rPr>
        <w:t xml:space="preserve"> (GR)</w:t>
      </w:r>
      <w:r w:rsidRPr="004C5551">
        <w:rPr>
          <w:i/>
          <w:sz w:val="20"/>
          <w:szCs w:val="20"/>
        </w:rPr>
        <w:t>, Španielsko</w:t>
      </w:r>
      <w:r w:rsidR="00963C38" w:rsidRPr="004C5551">
        <w:rPr>
          <w:i/>
          <w:sz w:val="20"/>
          <w:szCs w:val="20"/>
        </w:rPr>
        <w:t xml:space="preserve"> (ES)</w:t>
      </w:r>
      <w:r w:rsidRPr="004C5551">
        <w:rPr>
          <w:i/>
          <w:sz w:val="20"/>
          <w:szCs w:val="20"/>
        </w:rPr>
        <w:t>, Francúzsko</w:t>
      </w:r>
      <w:r w:rsidR="00963C38" w:rsidRPr="004C5551">
        <w:rPr>
          <w:i/>
          <w:sz w:val="20"/>
          <w:szCs w:val="20"/>
        </w:rPr>
        <w:t xml:space="preserve"> (FR)</w:t>
      </w:r>
      <w:r w:rsidRPr="004C5551">
        <w:rPr>
          <w:i/>
          <w:sz w:val="20"/>
          <w:szCs w:val="20"/>
        </w:rPr>
        <w:t>, Chorvátsko</w:t>
      </w:r>
      <w:r w:rsidR="00963C38" w:rsidRPr="004C5551">
        <w:rPr>
          <w:i/>
          <w:sz w:val="20"/>
          <w:szCs w:val="20"/>
        </w:rPr>
        <w:t xml:space="preserve"> (HR)</w:t>
      </w:r>
      <w:r w:rsidRPr="004C5551">
        <w:rPr>
          <w:i/>
          <w:sz w:val="20"/>
          <w:szCs w:val="20"/>
        </w:rPr>
        <w:t>, Taliansko</w:t>
      </w:r>
      <w:r w:rsidR="00963C38" w:rsidRPr="004C5551">
        <w:rPr>
          <w:i/>
          <w:sz w:val="20"/>
          <w:szCs w:val="20"/>
        </w:rPr>
        <w:t xml:space="preserve"> (IT)</w:t>
      </w:r>
      <w:r w:rsidRPr="004C5551">
        <w:rPr>
          <w:i/>
          <w:sz w:val="20"/>
          <w:szCs w:val="20"/>
        </w:rPr>
        <w:t>, Cyprus</w:t>
      </w:r>
      <w:r w:rsidR="00963C38" w:rsidRPr="004C5551">
        <w:rPr>
          <w:i/>
          <w:sz w:val="20"/>
          <w:szCs w:val="20"/>
        </w:rPr>
        <w:t xml:space="preserve"> (CY)</w:t>
      </w:r>
      <w:r w:rsidRPr="004C5551">
        <w:rPr>
          <w:i/>
          <w:sz w:val="20"/>
          <w:szCs w:val="20"/>
        </w:rPr>
        <w:t>, Lotyšsko</w:t>
      </w:r>
      <w:r w:rsidR="00963C38" w:rsidRPr="004C5551">
        <w:rPr>
          <w:i/>
          <w:sz w:val="20"/>
          <w:szCs w:val="20"/>
        </w:rPr>
        <w:t xml:space="preserve"> (LV)</w:t>
      </w:r>
      <w:r w:rsidRPr="004C5551">
        <w:rPr>
          <w:i/>
          <w:sz w:val="20"/>
          <w:szCs w:val="20"/>
        </w:rPr>
        <w:t>, Litva</w:t>
      </w:r>
      <w:r w:rsidR="00963C38" w:rsidRPr="004C5551">
        <w:rPr>
          <w:i/>
          <w:sz w:val="20"/>
          <w:szCs w:val="20"/>
        </w:rPr>
        <w:t xml:space="preserve"> (LT)</w:t>
      </w:r>
      <w:r w:rsidRPr="004C5551">
        <w:rPr>
          <w:i/>
          <w:sz w:val="20"/>
          <w:szCs w:val="20"/>
        </w:rPr>
        <w:t>, Luxembursko</w:t>
      </w:r>
      <w:r w:rsidR="00963C38" w:rsidRPr="004C5551">
        <w:rPr>
          <w:i/>
          <w:sz w:val="20"/>
          <w:szCs w:val="20"/>
        </w:rPr>
        <w:t xml:space="preserve"> (LU)</w:t>
      </w:r>
      <w:r w:rsidRPr="004C5551">
        <w:rPr>
          <w:i/>
          <w:sz w:val="20"/>
          <w:szCs w:val="20"/>
        </w:rPr>
        <w:t>, Maďarsko</w:t>
      </w:r>
      <w:r w:rsidR="00963C38" w:rsidRPr="004C5551">
        <w:rPr>
          <w:i/>
          <w:sz w:val="20"/>
          <w:szCs w:val="20"/>
        </w:rPr>
        <w:t xml:space="preserve"> (HU)</w:t>
      </w:r>
      <w:r w:rsidRPr="004C5551">
        <w:rPr>
          <w:i/>
          <w:sz w:val="20"/>
          <w:szCs w:val="20"/>
        </w:rPr>
        <w:t>, Malta</w:t>
      </w:r>
      <w:r w:rsidR="00963C38" w:rsidRPr="004C5551">
        <w:rPr>
          <w:i/>
          <w:sz w:val="20"/>
          <w:szCs w:val="20"/>
        </w:rPr>
        <w:t xml:space="preserve"> (MT)</w:t>
      </w:r>
      <w:r w:rsidRPr="004C5551">
        <w:rPr>
          <w:i/>
          <w:sz w:val="20"/>
          <w:szCs w:val="20"/>
        </w:rPr>
        <w:t>, Holandsko</w:t>
      </w:r>
      <w:r w:rsidR="00963C38" w:rsidRPr="004C5551">
        <w:rPr>
          <w:i/>
          <w:sz w:val="20"/>
          <w:szCs w:val="20"/>
        </w:rPr>
        <w:t xml:space="preserve"> (NL)</w:t>
      </w:r>
      <w:r w:rsidRPr="004C5551">
        <w:rPr>
          <w:i/>
          <w:sz w:val="20"/>
          <w:szCs w:val="20"/>
        </w:rPr>
        <w:t>, Rakúsko</w:t>
      </w:r>
      <w:r w:rsidR="00963C38" w:rsidRPr="004C5551">
        <w:rPr>
          <w:i/>
          <w:sz w:val="20"/>
          <w:szCs w:val="20"/>
        </w:rPr>
        <w:t xml:space="preserve"> (AT)</w:t>
      </w:r>
      <w:r w:rsidRPr="004C5551">
        <w:rPr>
          <w:i/>
          <w:sz w:val="20"/>
          <w:szCs w:val="20"/>
        </w:rPr>
        <w:t>, Poľsko</w:t>
      </w:r>
      <w:r w:rsidR="00963C38" w:rsidRPr="004C5551">
        <w:rPr>
          <w:i/>
          <w:sz w:val="20"/>
          <w:szCs w:val="20"/>
        </w:rPr>
        <w:t xml:space="preserve"> (PL)</w:t>
      </w:r>
      <w:r w:rsidRPr="004C5551">
        <w:rPr>
          <w:i/>
          <w:sz w:val="20"/>
          <w:szCs w:val="20"/>
        </w:rPr>
        <w:t>, Portugalsko</w:t>
      </w:r>
      <w:r w:rsidR="00963C38" w:rsidRPr="004C5551">
        <w:rPr>
          <w:i/>
          <w:sz w:val="20"/>
          <w:szCs w:val="20"/>
        </w:rPr>
        <w:t xml:space="preserve"> (PT)</w:t>
      </w:r>
      <w:r w:rsidRPr="004C5551">
        <w:rPr>
          <w:i/>
          <w:sz w:val="20"/>
          <w:szCs w:val="20"/>
        </w:rPr>
        <w:t>, Rumunsko</w:t>
      </w:r>
      <w:r w:rsidR="00963C38" w:rsidRPr="004C5551">
        <w:rPr>
          <w:i/>
          <w:sz w:val="20"/>
          <w:szCs w:val="20"/>
        </w:rPr>
        <w:t xml:space="preserve"> (RO)</w:t>
      </w:r>
      <w:r w:rsidRPr="004C5551">
        <w:rPr>
          <w:i/>
          <w:sz w:val="20"/>
          <w:szCs w:val="20"/>
        </w:rPr>
        <w:t>, Slovinsko</w:t>
      </w:r>
      <w:r w:rsidR="00963C38" w:rsidRPr="004C5551">
        <w:rPr>
          <w:i/>
          <w:sz w:val="20"/>
          <w:szCs w:val="20"/>
        </w:rPr>
        <w:t xml:space="preserve"> (SI)</w:t>
      </w:r>
      <w:r w:rsidRPr="004C5551">
        <w:rPr>
          <w:i/>
          <w:sz w:val="20"/>
          <w:szCs w:val="20"/>
        </w:rPr>
        <w:t>, Slovensko</w:t>
      </w:r>
      <w:r w:rsidR="00963C38" w:rsidRPr="004C5551">
        <w:rPr>
          <w:i/>
          <w:sz w:val="20"/>
          <w:szCs w:val="20"/>
        </w:rPr>
        <w:t xml:space="preserve"> (SK)</w:t>
      </w:r>
      <w:r w:rsidRPr="004C5551">
        <w:rPr>
          <w:i/>
          <w:sz w:val="20"/>
          <w:szCs w:val="20"/>
        </w:rPr>
        <w:t>, Fínsko</w:t>
      </w:r>
      <w:r w:rsidR="00963C38" w:rsidRPr="004C5551">
        <w:rPr>
          <w:i/>
          <w:sz w:val="20"/>
          <w:szCs w:val="20"/>
        </w:rPr>
        <w:t xml:space="preserve"> (FI)</w:t>
      </w:r>
      <w:r w:rsidRPr="004C5551">
        <w:rPr>
          <w:i/>
          <w:sz w:val="20"/>
          <w:szCs w:val="20"/>
        </w:rPr>
        <w:t>, Švédsko</w:t>
      </w:r>
      <w:r w:rsidR="00963C38" w:rsidRPr="004C5551">
        <w:rPr>
          <w:i/>
          <w:sz w:val="20"/>
          <w:szCs w:val="20"/>
        </w:rPr>
        <w:t xml:space="preserve"> (SE)</w:t>
      </w:r>
      <w:r w:rsidRPr="004C5551">
        <w:rPr>
          <w:i/>
          <w:sz w:val="20"/>
          <w:szCs w:val="20"/>
        </w:rPr>
        <w:t>, Veľká Británia</w:t>
      </w:r>
      <w:r w:rsidR="00963C38" w:rsidRPr="004C5551">
        <w:rPr>
          <w:i/>
          <w:sz w:val="20"/>
          <w:szCs w:val="20"/>
        </w:rPr>
        <w:t xml:space="preserve"> (GB)</w:t>
      </w:r>
      <w:r w:rsidRPr="004C5551">
        <w:rPr>
          <w:bCs/>
          <w:color w:val="000000" w:themeColor="text1"/>
        </w:rPr>
        <w:t>)</w:t>
      </w:r>
    </w:p>
    <w:p w:rsidR="008A2C08" w:rsidRPr="004C5551" w:rsidRDefault="008A2C08" w:rsidP="00D36FB8">
      <w:pPr>
        <w:rPr>
          <w:color w:val="000000" w:themeColor="text1"/>
        </w:rPr>
      </w:pPr>
      <w:r w:rsidRPr="004C5551">
        <w:rPr>
          <w:b/>
          <w:bCs/>
          <w:color w:val="000000" w:themeColor="text1"/>
        </w:rPr>
        <w:t xml:space="preserve">EÚ </w:t>
      </w:r>
      <w:r w:rsidRPr="004C5551">
        <w:rPr>
          <w:color w:val="000000" w:themeColor="text1"/>
        </w:rPr>
        <w:t xml:space="preserve">– </w:t>
      </w:r>
      <w:r w:rsidR="000D5ABC" w:rsidRPr="004C5551">
        <w:rPr>
          <w:color w:val="000000" w:themeColor="text1"/>
        </w:rPr>
        <w:t>Eur</w:t>
      </w:r>
      <w:r w:rsidRPr="004C5551">
        <w:rPr>
          <w:color w:val="000000" w:themeColor="text1"/>
        </w:rPr>
        <w:t>ópska únia</w:t>
      </w:r>
    </w:p>
    <w:p w:rsidR="00A64288" w:rsidRPr="004C5551" w:rsidRDefault="00A64288" w:rsidP="00D36FB8">
      <w:pPr>
        <w:rPr>
          <w:bCs/>
          <w:color w:val="000000" w:themeColor="text1"/>
        </w:rPr>
      </w:pPr>
      <w:r w:rsidRPr="004C5551">
        <w:rPr>
          <w:b/>
          <w:bCs/>
          <w:color w:val="000000" w:themeColor="text1"/>
        </w:rPr>
        <w:t>FO</w:t>
      </w:r>
      <w:r w:rsidRPr="004C5551">
        <w:rPr>
          <w:bCs/>
          <w:color w:val="000000" w:themeColor="text1"/>
        </w:rPr>
        <w:t xml:space="preserve"> </w:t>
      </w:r>
      <w:r w:rsidR="00650CAB" w:rsidRPr="004C5551">
        <w:rPr>
          <w:color w:val="000000" w:themeColor="text1"/>
        </w:rPr>
        <w:t>–</w:t>
      </w:r>
      <w:r w:rsidR="00650CAB" w:rsidRPr="004C5551">
        <w:rPr>
          <w:bCs/>
          <w:color w:val="000000" w:themeColor="text1"/>
        </w:rPr>
        <w:t xml:space="preserve"> </w:t>
      </w:r>
      <w:r w:rsidRPr="004C5551">
        <w:rPr>
          <w:bCs/>
          <w:color w:val="000000" w:themeColor="text1"/>
        </w:rPr>
        <w:t>fyzická</w:t>
      </w:r>
      <w:r w:rsidR="00650CAB" w:rsidRPr="004C5551">
        <w:rPr>
          <w:bCs/>
          <w:color w:val="000000" w:themeColor="text1"/>
        </w:rPr>
        <w:t xml:space="preserve"> </w:t>
      </w:r>
      <w:r w:rsidRPr="004C5551">
        <w:rPr>
          <w:bCs/>
          <w:color w:val="000000" w:themeColor="text1"/>
        </w:rPr>
        <w:t>osoba</w:t>
      </w:r>
    </w:p>
    <w:p w:rsidR="008A2C08" w:rsidRPr="004C5551" w:rsidRDefault="008A2C08" w:rsidP="00D36FB8">
      <w:pPr>
        <w:rPr>
          <w:color w:val="000000" w:themeColor="text1"/>
        </w:rPr>
      </w:pPr>
      <w:r w:rsidRPr="004C5551">
        <w:rPr>
          <w:b/>
          <w:bCs/>
          <w:color w:val="000000" w:themeColor="text1"/>
        </w:rPr>
        <w:t xml:space="preserve">FSR </w:t>
      </w:r>
      <w:r w:rsidRPr="004C5551">
        <w:rPr>
          <w:color w:val="000000" w:themeColor="text1"/>
        </w:rPr>
        <w:t>– Fond sociálneho rozvoja</w:t>
      </w:r>
    </w:p>
    <w:p w:rsidR="00AF20A2" w:rsidRPr="004C5551" w:rsidRDefault="00AF20A2" w:rsidP="00D36FB8">
      <w:pPr>
        <w:jc w:val="left"/>
        <w:rPr>
          <w:color w:val="000000" w:themeColor="text1"/>
        </w:rPr>
      </w:pPr>
      <w:r w:rsidRPr="004C5551">
        <w:rPr>
          <w:b/>
          <w:color w:val="000000" w:themeColor="text1"/>
        </w:rPr>
        <w:t xml:space="preserve">HDP </w:t>
      </w:r>
      <w:r w:rsidRPr="004C5551">
        <w:rPr>
          <w:color w:val="000000" w:themeColor="text1"/>
        </w:rPr>
        <w:t>– hrubý domáci produkt</w:t>
      </w:r>
    </w:p>
    <w:p w:rsidR="005B0D16" w:rsidRPr="004C5551" w:rsidRDefault="005B0D16" w:rsidP="00D36FB8">
      <w:pPr>
        <w:jc w:val="left"/>
        <w:rPr>
          <w:color w:val="000000" w:themeColor="text1"/>
        </w:rPr>
      </w:pPr>
      <w:r w:rsidRPr="004C5551">
        <w:rPr>
          <w:b/>
        </w:rPr>
        <w:t>SK ISCO-08</w:t>
      </w:r>
      <w:r w:rsidRPr="004C5551">
        <w:rPr>
          <w:b/>
          <w:color w:val="000000" w:themeColor="text1"/>
        </w:rPr>
        <w:t xml:space="preserve"> – </w:t>
      </w:r>
      <w:r w:rsidRPr="004C5551">
        <w:rPr>
          <w:color w:val="000000" w:themeColor="text1"/>
        </w:rPr>
        <w:t>štatistická klasifikácia zamestnaní, verzia 2012</w:t>
      </w:r>
    </w:p>
    <w:p w:rsidR="003B6F57" w:rsidRPr="004C5551" w:rsidRDefault="003B6F57" w:rsidP="00D36FB8">
      <w:pPr>
        <w:jc w:val="left"/>
        <w:rPr>
          <w:color w:val="000000" w:themeColor="text1"/>
        </w:rPr>
      </w:pPr>
      <w:r w:rsidRPr="004C5551">
        <w:rPr>
          <w:b/>
          <w:color w:val="000000" w:themeColor="text1"/>
        </w:rPr>
        <w:t xml:space="preserve">ISCP </w:t>
      </w:r>
      <w:r w:rsidRPr="004C5551">
        <w:rPr>
          <w:color w:val="000000" w:themeColor="text1"/>
        </w:rPr>
        <w:t>– Informačný systém o cene práce</w:t>
      </w:r>
    </w:p>
    <w:p w:rsidR="00527130" w:rsidRPr="004C5551" w:rsidRDefault="00527130" w:rsidP="00D36FB8">
      <w:pPr>
        <w:jc w:val="left"/>
        <w:rPr>
          <w:color w:val="000000" w:themeColor="text1"/>
        </w:rPr>
      </w:pPr>
      <w:r w:rsidRPr="004C5551">
        <w:rPr>
          <w:b/>
          <w:color w:val="000000" w:themeColor="text1"/>
        </w:rPr>
        <w:t>ITMS</w:t>
      </w:r>
      <w:r w:rsidR="00AC17A2" w:rsidRPr="004C5551">
        <w:rPr>
          <w:color w:val="000000" w:themeColor="text1"/>
        </w:rPr>
        <w:t xml:space="preserve"> – IT monitorovací systém pre štrukturálne fondy a Kohézny fond</w:t>
      </w:r>
    </w:p>
    <w:p w:rsidR="00067E3C" w:rsidRPr="004C5551" w:rsidRDefault="00067E3C" w:rsidP="00D36FB8">
      <w:pPr>
        <w:rPr>
          <w:bCs/>
          <w:color w:val="000000" w:themeColor="text1"/>
        </w:rPr>
      </w:pPr>
      <w:r w:rsidRPr="004C5551">
        <w:rPr>
          <w:b/>
          <w:bCs/>
          <w:color w:val="000000" w:themeColor="text1"/>
        </w:rPr>
        <w:t xml:space="preserve">KE – </w:t>
      </w:r>
      <w:r w:rsidRPr="004C5551">
        <w:rPr>
          <w:bCs/>
          <w:color w:val="000000" w:themeColor="text1"/>
        </w:rPr>
        <w:t>Košický kraj</w:t>
      </w:r>
    </w:p>
    <w:p w:rsidR="00527130" w:rsidRPr="004C5551" w:rsidRDefault="00527130" w:rsidP="00D36FB8">
      <w:pPr>
        <w:jc w:val="left"/>
        <w:rPr>
          <w:color w:val="000000" w:themeColor="text1"/>
        </w:rPr>
      </w:pPr>
      <w:r w:rsidRPr="004C5551">
        <w:rPr>
          <w:b/>
          <w:color w:val="000000" w:themeColor="text1"/>
        </w:rPr>
        <w:t xml:space="preserve">KZVS </w:t>
      </w:r>
      <w:r w:rsidRPr="004C5551">
        <w:rPr>
          <w:color w:val="000000" w:themeColor="text1"/>
        </w:rPr>
        <w:t>– kolektívna zmluva vyššieho stupňa</w:t>
      </w:r>
    </w:p>
    <w:p w:rsidR="003B1E84" w:rsidRPr="004C5551" w:rsidRDefault="003B1E84" w:rsidP="00D36FB8">
      <w:pPr>
        <w:jc w:val="left"/>
        <w:rPr>
          <w:color w:val="000000" w:themeColor="text1"/>
        </w:rPr>
      </w:pPr>
      <w:r w:rsidRPr="004C5551">
        <w:rPr>
          <w:b/>
          <w:color w:val="000000" w:themeColor="text1"/>
        </w:rPr>
        <w:t xml:space="preserve">MF SR – </w:t>
      </w:r>
      <w:r w:rsidRPr="004C5551">
        <w:rPr>
          <w:color w:val="000000" w:themeColor="text1"/>
        </w:rPr>
        <w:t>Ministerstvo financií Slovenskej republiky</w:t>
      </w:r>
    </w:p>
    <w:p w:rsidR="003B1E84" w:rsidRPr="004C5551" w:rsidRDefault="003B1E84" w:rsidP="00D36FB8">
      <w:pPr>
        <w:jc w:val="left"/>
        <w:rPr>
          <w:color w:val="000000" w:themeColor="text1"/>
        </w:rPr>
      </w:pPr>
      <w:r w:rsidRPr="004C5551">
        <w:rPr>
          <w:b/>
          <w:color w:val="000000" w:themeColor="text1"/>
        </w:rPr>
        <w:t xml:space="preserve">MH SR – </w:t>
      </w:r>
      <w:r w:rsidRPr="004C5551">
        <w:rPr>
          <w:color w:val="000000" w:themeColor="text1"/>
        </w:rPr>
        <w:t>Ministerstvo hospodárstva Slovenskej republiky</w:t>
      </w:r>
    </w:p>
    <w:p w:rsidR="00F20EE7" w:rsidRPr="004C5551" w:rsidRDefault="00F20EE7" w:rsidP="00D36FB8">
      <w:pPr>
        <w:jc w:val="left"/>
        <w:rPr>
          <w:color w:val="000000" w:themeColor="text1"/>
        </w:rPr>
      </w:pPr>
      <w:r w:rsidRPr="004C5551">
        <w:rPr>
          <w:b/>
          <w:color w:val="000000" w:themeColor="text1"/>
        </w:rPr>
        <w:t>mil. –</w:t>
      </w:r>
      <w:r w:rsidRPr="004C5551">
        <w:rPr>
          <w:color w:val="000000" w:themeColor="text1"/>
        </w:rPr>
        <w:t xml:space="preserve"> milión</w:t>
      </w:r>
    </w:p>
    <w:p w:rsidR="00F20EE7" w:rsidRPr="004C5551" w:rsidRDefault="00F20EE7" w:rsidP="00D36FB8">
      <w:pPr>
        <w:jc w:val="left"/>
        <w:rPr>
          <w:color w:val="000000" w:themeColor="text1"/>
        </w:rPr>
      </w:pPr>
      <w:r w:rsidRPr="004C5551">
        <w:rPr>
          <w:b/>
          <w:color w:val="000000" w:themeColor="text1"/>
        </w:rPr>
        <w:t xml:space="preserve">mld. </w:t>
      </w:r>
      <w:r w:rsidRPr="004C5551">
        <w:rPr>
          <w:color w:val="000000" w:themeColor="text1"/>
        </w:rPr>
        <w:t>– miliarda</w:t>
      </w:r>
    </w:p>
    <w:p w:rsidR="008A2C08" w:rsidRPr="004C5551" w:rsidRDefault="008A2C08" w:rsidP="00D36FB8">
      <w:pPr>
        <w:rPr>
          <w:color w:val="000000" w:themeColor="text1"/>
        </w:rPr>
      </w:pPr>
      <w:r w:rsidRPr="004C5551">
        <w:rPr>
          <w:b/>
          <w:bCs/>
          <w:color w:val="000000" w:themeColor="text1"/>
        </w:rPr>
        <w:t>MPSVR SR</w:t>
      </w:r>
      <w:r w:rsidRPr="004C5551">
        <w:rPr>
          <w:color w:val="000000" w:themeColor="text1"/>
        </w:rPr>
        <w:t xml:space="preserve"> </w:t>
      </w:r>
      <w:r w:rsidR="00650CAB" w:rsidRPr="004C5551">
        <w:rPr>
          <w:color w:val="000000" w:themeColor="text1"/>
        </w:rPr>
        <w:t>–</w:t>
      </w:r>
      <w:r w:rsidRPr="004C5551">
        <w:rPr>
          <w:color w:val="000000" w:themeColor="text1"/>
        </w:rPr>
        <w:t xml:space="preserve"> Ministerstvo práce, sociálnych vecí a rodiny SR </w:t>
      </w:r>
      <w:r w:rsidR="00AF0A3F" w:rsidRPr="004C5551">
        <w:rPr>
          <w:color w:val="000000" w:themeColor="text1"/>
        </w:rPr>
        <w:t>; ministerstvo</w:t>
      </w:r>
    </w:p>
    <w:p w:rsidR="0029284E" w:rsidRPr="004C5551" w:rsidRDefault="0029284E" w:rsidP="00D36FB8">
      <w:pPr>
        <w:jc w:val="left"/>
        <w:rPr>
          <w:bCs/>
          <w:color w:val="000000" w:themeColor="text1"/>
        </w:rPr>
      </w:pPr>
      <w:r w:rsidRPr="004C5551">
        <w:rPr>
          <w:b/>
          <w:bCs/>
          <w:color w:val="000000" w:themeColor="text1"/>
        </w:rPr>
        <w:t xml:space="preserve">MVO – </w:t>
      </w:r>
      <w:r w:rsidRPr="004C5551">
        <w:rPr>
          <w:bCs/>
          <w:color w:val="000000" w:themeColor="text1"/>
        </w:rPr>
        <w:t>mimovládne organizácie</w:t>
      </w:r>
    </w:p>
    <w:p w:rsidR="00A27246" w:rsidRPr="004C5551" w:rsidRDefault="00A27246" w:rsidP="00D36FB8">
      <w:pPr>
        <w:jc w:val="left"/>
        <w:rPr>
          <w:bCs/>
          <w:color w:val="000000" w:themeColor="text1"/>
        </w:rPr>
      </w:pPr>
      <w:r w:rsidRPr="004C5551">
        <w:rPr>
          <w:b/>
          <w:bCs/>
          <w:color w:val="000000" w:themeColor="text1"/>
        </w:rPr>
        <w:t xml:space="preserve">NACE, SK NACE Rev. 2 – </w:t>
      </w:r>
      <w:r w:rsidRPr="004C5551">
        <w:rPr>
          <w:bCs/>
          <w:color w:val="000000" w:themeColor="text1"/>
        </w:rPr>
        <w:t>štatistická klasifikácia ekonomických činností</w:t>
      </w:r>
    </w:p>
    <w:p w:rsidR="00F97C8F" w:rsidRPr="004C5551" w:rsidRDefault="00F97C8F" w:rsidP="00D36FB8">
      <w:pPr>
        <w:jc w:val="left"/>
        <w:rPr>
          <w:color w:val="000000" w:themeColor="text1"/>
        </w:rPr>
      </w:pPr>
      <w:r w:rsidRPr="004C5551">
        <w:rPr>
          <w:b/>
          <w:color w:val="000000" w:themeColor="text1"/>
        </w:rPr>
        <w:t xml:space="preserve">NP </w:t>
      </w:r>
      <w:r w:rsidRPr="004C5551">
        <w:rPr>
          <w:color w:val="000000" w:themeColor="text1"/>
        </w:rPr>
        <w:t>– národný projekt</w:t>
      </w:r>
    </w:p>
    <w:p w:rsidR="00067E3C" w:rsidRPr="004C5551" w:rsidRDefault="00067E3C" w:rsidP="00D36FB8">
      <w:pPr>
        <w:jc w:val="left"/>
        <w:rPr>
          <w:color w:val="000000" w:themeColor="text1"/>
        </w:rPr>
      </w:pPr>
      <w:r w:rsidRPr="004C5551">
        <w:rPr>
          <w:b/>
          <w:color w:val="000000" w:themeColor="text1"/>
        </w:rPr>
        <w:t xml:space="preserve">NR – </w:t>
      </w:r>
      <w:r w:rsidRPr="004C5551">
        <w:rPr>
          <w:color w:val="000000" w:themeColor="text1"/>
        </w:rPr>
        <w:t>Nitriansky kraj</w:t>
      </w:r>
    </w:p>
    <w:p w:rsidR="009F3AB1" w:rsidRPr="004C5551" w:rsidRDefault="00591CC1" w:rsidP="00D36FB8">
      <w:pPr>
        <w:rPr>
          <w:color w:val="000000" w:themeColor="text1"/>
        </w:rPr>
      </w:pPr>
      <w:r w:rsidRPr="004C5551">
        <w:rPr>
          <w:b/>
          <w:bCs/>
          <w:color w:val="000000" w:themeColor="text1"/>
        </w:rPr>
        <w:t>NUTS</w:t>
      </w:r>
      <w:r w:rsidRPr="004C5551">
        <w:rPr>
          <w:bCs/>
          <w:color w:val="000000" w:themeColor="text1"/>
        </w:rPr>
        <w:t xml:space="preserve"> </w:t>
      </w:r>
      <w:r w:rsidR="009F3AB1" w:rsidRPr="004C5551">
        <w:rPr>
          <w:bCs/>
          <w:color w:val="000000" w:themeColor="text1"/>
        </w:rPr>
        <w:t xml:space="preserve">– </w:t>
      </w:r>
      <w:proofErr w:type="spellStart"/>
      <w:r w:rsidR="009F3AB1" w:rsidRPr="004C5551">
        <w:rPr>
          <w:bCs/>
          <w:color w:val="000000" w:themeColor="text1"/>
        </w:rPr>
        <w:t>Nomenclature</w:t>
      </w:r>
      <w:proofErr w:type="spellEnd"/>
      <w:r w:rsidR="009F3AB1" w:rsidRPr="004C5551">
        <w:rPr>
          <w:bCs/>
          <w:color w:val="000000" w:themeColor="text1"/>
        </w:rPr>
        <w:t xml:space="preserve"> des </w:t>
      </w:r>
      <w:proofErr w:type="spellStart"/>
      <w:r w:rsidR="009F3AB1" w:rsidRPr="004C5551">
        <w:rPr>
          <w:bCs/>
          <w:color w:val="000000" w:themeColor="text1"/>
        </w:rPr>
        <w:t>unités</w:t>
      </w:r>
      <w:proofErr w:type="spellEnd"/>
      <w:r w:rsidR="009F3AB1" w:rsidRPr="004C5551">
        <w:rPr>
          <w:bCs/>
          <w:color w:val="000000" w:themeColor="text1"/>
        </w:rPr>
        <w:t xml:space="preserve"> </w:t>
      </w:r>
      <w:proofErr w:type="spellStart"/>
      <w:r w:rsidR="009F3AB1" w:rsidRPr="004C5551">
        <w:rPr>
          <w:bCs/>
          <w:color w:val="000000" w:themeColor="text1"/>
        </w:rPr>
        <w:t>territoriales</w:t>
      </w:r>
      <w:proofErr w:type="spellEnd"/>
      <w:r w:rsidR="009F3AB1" w:rsidRPr="004C5551">
        <w:rPr>
          <w:bCs/>
          <w:color w:val="000000" w:themeColor="text1"/>
        </w:rPr>
        <w:t xml:space="preserve"> </w:t>
      </w:r>
      <w:proofErr w:type="spellStart"/>
      <w:r w:rsidR="009F3AB1" w:rsidRPr="004C5551">
        <w:rPr>
          <w:bCs/>
          <w:color w:val="000000" w:themeColor="text1"/>
        </w:rPr>
        <w:t>statistiques</w:t>
      </w:r>
      <w:proofErr w:type="spellEnd"/>
      <w:r w:rsidR="009F3AB1" w:rsidRPr="004C5551">
        <w:rPr>
          <w:bCs/>
          <w:color w:val="000000" w:themeColor="text1"/>
        </w:rPr>
        <w:t xml:space="preserve"> (Nomenklatúra štatistických územných jednotiek)</w:t>
      </w:r>
    </w:p>
    <w:p w:rsidR="008A2C08" w:rsidRPr="004C5551" w:rsidRDefault="008A2C08" w:rsidP="00D36FB8">
      <w:pPr>
        <w:rPr>
          <w:color w:val="000000" w:themeColor="text1"/>
        </w:rPr>
      </w:pPr>
      <w:r w:rsidRPr="004C5551">
        <w:rPr>
          <w:b/>
          <w:bCs/>
          <w:color w:val="000000" w:themeColor="text1"/>
        </w:rPr>
        <w:t xml:space="preserve">OMK </w:t>
      </w:r>
      <w:r w:rsidRPr="004C5551">
        <w:rPr>
          <w:color w:val="000000" w:themeColor="text1"/>
        </w:rPr>
        <w:t xml:space="preserve">– otvorená metóda koordinácie </w:t>
      </w:r>
    </w:p>
    <w:p w:rsidR="008A2C08" w:rsidRPr="004C5551" w:rsidRDefault="008A2C08" w:rsidP="00D36FB8">
      <w:pPr>
        <w:rPr>
          <w:color w:val="000000" w:themeColor="text1"/>
        </w:rPr>
      </w:pPr>
      <w:r w:rsidRPr="004C5551">
        <w:rPr>
          <w:b/>
          <w:bCs/>
          <w:color w:val="000000" w:themeColor="text1"/>
        </w:rPr>
        <w:t xml:space="preserve">OP </w:t>
      </w:r>
      <w:proofErr w:type="spellStart"/>
      <w:r w:rsidRPr="004C5551">
        <w:rPr>
          <w:b/>
          <w:bCs/>
          <w:color w:val="000000" w:themeColor="text1"/>
        </w:rPr>
        <w:t>ZaSI</w:t>
      </w:r>
      <w:proofErr w:type="spellEnd"/>
      <w:r w:rsidRPr="004C5551">
        <w:rPr>
          <w:color w:val="000000" w:themeColor="text1"/>
        </w:rPr>
        <w:t xml:space="preserve"> – Operačný program Zamestnanosť a sociálna inklúzia</w:t>
      </w:r>
    </w:p>
    <w:p w:rsidR="001A078F" w:rsidRPr="004C5551" w:rsidRDefault="001A078F" w:rsidP="00D36FB8">
      <w:pPr>
        <w:rPr>
          <w:bCs/>
          <w:color w:val="000000" w:themeColor="text1"/>
        </w:rPr>
      </w:pPr>
      <w:r w:rsidRPr="004C5551">
        <w:rPr>
          <w:b/>
          <w:bCs/>
          <w:color w:val="000000" w:themeColor="text1"/>
        </w:rPr>
        <w:t xml:space="preserve">OSN – </w:t>
      </w:r>
      <w:r w:rsidRPr="004C5551">
        <w:rPr>
          <w:bCs/>
          <w:color w:val="000000" w:themeColor="text1"/>
        </w:rPr>
        <w:t>Organizácia spojených národov</w:t>
      </w:r>
    </w:p>
    <w:p w:rsidR="00DA0800" w:rsidRPr="004C5551" w:rsidRDefault="00DA0800" w:rsidP="00D36FB8">
      <w:pPr>
        <w:rPr>
          <w:bCs/>
          <w:color w:val="000000" w:themeColor="text1"/>
        </w:rPr>
      </w:pPr>
      <w:r w:rsidRPr="004C5551">
        <w:rPr>
          <w:b/>
          <w:bCs/>
          <w:color w:val="000000" w:themeColor="text1"/>
        </w:rPr>
        <w:t>OZP</w:t>
      </w:r>
      <w:r w:rsidRPr="004C5551">
        <w:rPr>
          <w:bCs/>
          <w:color w:val="000000" w:themeColor="text1"/>
        </w:rPr>
        <w:t xml:space="preserve"> – občan so </w:t>
      </w:r>
      <w:r w:rsidR="00A27CC7" w:rsidRPr="004C5551">
        <w:rPr>
          <w:bCs/>
          <w:color w:val="000000" w:themeColor="text1"/>
        </w:rPr>
        <w:t>z</w:t>
      </w:r>
      <w:r w:rsidRPr="004C5551">
        <w:rPr>
          <w:bCs/>
          <w:color w:val="000000" w:themeColor="text1"/>
        </w:rPr>
        <w:t>dravotným postihnutím</w:t>
      </w:r>
    </w:p>
    <w:p w:rsidR="008A2C08" w:rsidRPr="004C5551" w:rsidRDefault="008A2C08" w:rsidP="00D36FB8">
      <w:pPr>
        <w:rPr>
          <w:color w:val="000000" w:themeColor="text1"/>
        </w:rPr>
      </w:pPr>
      <w:r w:rsidRPr="004C5551">
        <w:rPr>
          <w:b/>
          <w:bCs/>
          <w:color w:val="000000" w:themeColor="text1"/>
        </w:rPr>
        <w:t>p.</w:t>
      </w:r>
      <w:r w:rsidR="007B624E" w:rsidRPr="004C5551">
        <w:rPr>
          <w:b/>
          <w:bCs/>
          <w:color w:val="000000" w:themeColor="text1"/>
        </w:rPr>
        <w:t xml:space="preserve"> </w:t>
      </w:r>
      <w:r w:rsidRPr="004C5551">
        <w:rPr>
          <w:b/>
          <w:bCs/>
          <w:color w:val="000000" w:themeColor="text1"/>
        </w:rPr>
        <w:t xml:space="preserve">b. </w:t>
      </w:r>
      <w:r w:rsidRPr="004C5551">
        <w:rPr>
          <w:color w:val="000000" w:themeColor="text1"/>
        </w:rPr>
        <w:t>– percentuálny bod</w:t>
      </w:r>
    </w:p>
    <w:p w:rsidR="00067E3C" w:rsidRPr="004C5551" w:rsidRDefault="00067E3C" w:rsidP="00D36FB8">
      <w:pPr>
        <w:jc w:val="left"/>
        <w:rPr>
          <w:color w:val="000000" w:themeColor="text1"/>
        </w:rPr>
      </w:pPr>
      <w:r w:rsidRPr="004C5551">
        <w:rPr>
          <w:b/>
          <w:color w:val="000000" w:themeColor="text1"/>
        </w:rPr>
        <w:t xml:space="preserve">PM – </w:t>
      </w:r>
      <w:r w:rsidRPr="004C5551">
        <w:rPr>
          <w:color w:val="000000" w:themeColor="text1"/>
        </w:rPr>
        <w:t>pracovné miesto</w:t>
      </w:r>
    </w:p>
    <w:p w:rsidR="00067E3C" w:rsidRPr="004C5551" w:rsidRDefault="00067E3C" w:rsidP="00D36FB8">
      <w:pPr>
        <w:jc w:val="left"/>
        <w:rPr>
          <w:color w:val="000000" w:themeColor="text1"/>
        </w:rPr>
      </w:pPr>
      <w:r w:rsidRPr="004C5551">
        <w:rPr>
          <w:b/>
          <w:color w:val="000000" w:themeColor="text1"/>
        </w:rPr>
        <w:t xml:space="preserve">PO – </w:t>
      </w:r>
      <w:r w:rsidRPr="004C5551">
        <w:rPr>
          <w:color w:val="000000" w:themeColor="text1"/>
        </w:rPr>
        <w:t>Prešovský kraj</w:t>
      </w:r>
    </w:p>
    <w:p w:rsidR="0036562F" w:rsidRPr="004C5551" w:rsidRDefault="0036562F" w:rsidP="00D36FB8">
      <w:pPr>
        <w:jc w:val="left"/>
        <w:rPr>
          <w:color w:val="000000" w:themeColor="text1"/>
        </w:rPr>
      </w:pPr>
      <w:r w:rsidRPr="004C5551">
        <w:rPr>
          <w:b/>
          <w:color w:val="000000" w:themeColor="text1"/>
        </w:rPr>
        <w:t xml:space="preserve">PP </w:t>
      </w:r>
      <w:r w:rsidRPr="004C5551">
        <w:rPr>
          <w:color w:val="000000" w:themeColor="text1"/>
        </w:rPr>
        <w:t>– peňažný príspevok</w:t>
      </w:r>
    </w:p>
    <w:p w:rsidR="00527130" w:rsidRPr="004C5551" w:rsidRDefault="00527130" w:rsidP="00D36FB8">
      <w:pPr>
        <w:jc w:val="left"/>
        <w:rPr>
          <w:color w:val="000000" w:themeColor="text1"/>
        </w:rPr>
      </w:pPr>
      <w:r w:rsidRPr="004C5551">
        <w:rPr>
          <w:b/>
          <w:color w:val="000000" w:themeColor="text1"/>
        </w:rPr>
        <w:t>PPS</w:t>
      </w:r>
      <w:r w:rsidRPr="004C5551">
        <w:rPr>
          <w:color w:val="000000" w:themeColor="text1"/>
        </w:rPr>
        <w:t xml:space="preserve"> – </w:t>
      </w:r>
      <w:proofErr w:type="spellStart"/>
      <w:r w:rsidRPr="004C5551">
        <w:rPr>
          <w:color w:val="000000" w:themeColor="text1"/>
        </w:rPr>
        <w:t>purchasing</w:t>
      </w:r>
      <w:proofErr w:type="spellEnd"/>
      <w:r w:rsidRPr="004C5551">
        <w:rPr>
          <w:color w:val="000000" w:themeColor="text1"/>
        </w:rPr>
        <w:t xml:space="preserve"> </w:t>
      </w:r>
      <w:proofErr w:type="spellStart"/>
      <w:r w:rsidRPr="004C5551">
        <w:rPr>
          <w:color w:val="000000" w:themeColor="text1"/>
        </w:rPr>
        <w:t>power</w:t>
      </w:r>
      <w:proofErr w:type="spellEnd"/>
      <w:r w:rsidRPr="004C5551">
        <w:rPr>
          <w:color w:val="000000" w:themeColor="text1"/>
        </w:rPr>
        <w:t xml:space="preserve"> </w:t>
      </w:r>
      <w:proofErr w:type="spellStart"/>
      <w:r w:rsidRPr="004C5551">
        <w:rPr>
          <w:color w:val="000000" w:themeColor="text1"/>
        </w:rPr>
        <w:t>standard</w:t>
      </w:r>
      <w:proofErr w:type="spellEnd"/>
      <w:r w:rsidR="00A27246" w:rsidRPr="004C5551">
        <w:rPr>
          <w:color w:val="000000" w:themeColor="text1"/>
        </w:rPr>
        <w:t>, parita</w:t>
      </w:r>
      <w:r w:rsidR="00AB689E" w:rsidRPr="004C5551">
        <w:rPr>
          <w:color w:val="000000" w:themeColor="text1"/>
        </w:rPr>
        <w:t xml:space="preserve"> (štandard)</w:t>
      </w:r>
      <w:r w:rsidR="0016196A" w:rsidRPr="004C5551">
        <w:rPr>
          <w:color w:val="000000" w:themeColor="text1"/>
        </w:rPr>
        <w:t xml:space="preserve"> </w:t>
      </w:r>
      <w:r w:rsidR="00A27246" w:rsidRPr="004C5551">
        <w:rPr>
          <w:color w:val="000000" w:themeColor="text1"/>
        </w:rPr>
        <w:t>kúpnej sily</w:t>
      </w:r>
    </w:p>
    <w:p w:rsidR="00527130" w:rsidRPr="004C5551" w:rsidRDefault="00527130" w:rsidP="00D36FB8">
      <w:pPr>
        <w:rPr>
          <w:b/>
          <w:bCs/>
          <w:color w:val="000000" w:themeColor="text1"/>
        </w:rPr>
      </w:pPr>
      <w:r w:rsidRPr="004C5551">
        <w:rPr>
          <w:b/>
          <w:color w:val="000000" w:themeColor="text1"/>
        </w:rPr>
        <w:t>RO</w:t>
      </w:r>
      <w:r w:rsidRPr="004C5551">
        <w:rPr>
          <w:color w:val="000000" w:themeColor="text1"/>
        </w:rPr>
        <w:t xml:space="preserve"> – riadiaci orgán</w:t>
      </w:r>
      <w:r w:rsidRPr="004C5551">
        <w:rPr>
          <w:b/>
          <w:bCs/>
          <w:color w:val="000000" w:themeColor="text1"/>
        </w:rPr>
        <w:t xml:space="preserve"> </w:t>
      </w:r>
    </w:p>
    <w:p w:rsidR="00D2655D" w:rsidRPr="004C5551" w:rsidRDefault="008A2C08" w:rsidP="00D36FB8">
      <w:pPr>
        <w:rPr>
          <w:color w:val="000000" w:themeColor="text1"/>
        </w:rPr>
      </w:pPr>
      <w:r w:rsidRPr="004C5551">
        <w:rPr>
          <w:b/>
          <w:bCs/>
          <w:color w:val="000000" w:themeColor="text1"/>
        </w:rPr>
        <w:t xml:space="preserve">RPPS </w:t>
      </w:r>
      <w:r w:rsidR="00386E2D" w:rsidRPr="004C5551">
        <w:rPr>
          <w:color w:val="000000" w:themeColor="text1"/>
        </w:rPr>
        <w:t>–</w:t>
      </w:r>
      <w:r w:rsidRPr="004C5551">
        <w:rPr>
          <w:color w:val="000000" w:themeColor="text1"/>
        </w:rPr>
        <w:t xml:space="preserve"> referát poradensko-psychologických služieb</w:t>
      </w:r>
    </w:p>
    <w:p w:rsidR="008A2C08" w:rsidRPr="004C5551" w:rsidRDefault="00D2655D" w:rsidP="00D36FB8">
      <w:pPr>
        <w:rPr>
          <w:color w:val="000000" w:themeColor="text1"/>
        </w:rPr>
      </w:pPr>
      <w:r w:rsidRPr="004C5551">
        <w:rPr>
          <w:b/>
          <w:color w:val="000000" w:themeColor="text1"/>
        </w:rPr>
        <w:t>RSD MIS</w:t>
      </w:r>
      <w:r w:rsidRPr="004C5551">
        <w:rPr>
          <w:color w:val="000000" w:themeColor="text1"/>
        </w:rPr>
        <w:t xml:space="preserve"> – riadenie sociálnych dávok – manažérsky informačný systém</w:t>
      </w:r>
      <w:r w:rsidR="008A2C08" w:rsidRPr="004C5551">
        <w:rPr>
          <w:color w:val="000000" w:themeColor="text1"/>
        </w:rPr>
        <w:t xml:space="preserve"> </w:t>
      </w:r>
    </w:p>
    <w:p w:rsidR="00A27246" w:rsidRPr="004C5551" w:rsidRDefault="00A27246" w:rsidP="00D36FB8">
      <w:pPr>
        <w:rPr>
          <w:color w:val="000000" w:themeColor="text1"/>
        </w:rPr>
      </w:pPr>
      <w:r w:rsidRPr="004C5551">
        <w:rPr>
          <w:b/>
          <w:color w:val="000000" w:themeColor="text1"/>
        </w:rPr>
        <w:t xml:space="preserve">s. c. – </w:t>
      </w:r>
      <w:r w:rsidRPr="004C5551">
        <w:rPr>
          <w:color w:val="000000" w:themeColor="text1"/>
        </w:rPr>
        <w:t>stále ceny</w:t>
      </w:r>
    </w:p>
    <w:p w:rsidR="0029284E" w:rsidRPr="004C5551" w:rsidRDefault="0029284E" w:rsidP="00D36FB8">
      <w:pPr>
        <w:rPr>
          <w:color w:val="000000" w:themeColor="text1"/>
        </w:rPr>
      </w:pPr>
      <w:r w:rsidRPr="004C5551">
        <w:rPr>
          <w:b/>
          <w:color w:val="000000" w:themeColor="text1"/>
        </w:rPr>
        <w:t xml:space="preserve">SIA – </w:t>
      </w:r>
      <w:r w:rsidRPr="004C5551">
        <w:rPr>
          <w:color w:val="000000" w:themeColor="text1"/>
        </w:rPr>
        <w:t>Sociálna implementačná ag</w:t>
      </w:r>
      <w:r w:rsidR="00794C37" w:rsidRPr="004C5551">
        <w:rPr>
          <w:color w:val="000000" w:themeColor="text1"/>
        </w:rPr>
        <w:t>e</w:t>
      </w:r>
      <w:r w:rsidRPr="004C5551">
        <w:rPr>
          <w:color w:val="000000" w:themeColor="text1"/>
        </w:rPr>
        <w:t>ntúra</w:t>
      </w:r>
    </w:p>
    <w:p w:rsidR="00067E3C" w:rsidRPr="004C5551" w:rsidRDefault="00067E3C" w:rsidP="00D36FB8">
      <w:pPr>
        <w:rPr>
          <w:color w:val="000000" w:themeColor="text1"/>
        </w:rPr>
      </w:pPr>
      <w:r w:rsidRPr="004C5551">
        <w:rPr>
          <w:b/>
          <w:color w:val="000000" w:themeColor="text1"/>
        </w:rPr>
        <w:t>SOŠ</w:t>
      </w:r>
      <w:r w:rsidRPr="004C5551">
        <w:rPr>
          <w:color w:val="000000" w:themeColor="text1"/>
        </w:rPr>
        <w:t xml:space="preserve"> – stredná odborná škola</w:t>
      </w:r>
    </w:p>
    <w:p w:rsidR="008A2C08" w:rsidRPr="004C5551" w:rsidRDefault="008A2C08" w:rsidP="00D36FB8">
      <w:pPr>
        <w:rPr>
          <w:color w:val="000000" w:themeColor="text1"/>
        </w:rPr>
      </w:pPr>
      <w:proofErr w:type="spellStart"/>
      <w:r w:rsidRPr="004C5551">
        <w:rPr>
          <w:b/>
          <w:bCs/>
          <w:color w:val="000000" w:themeColor="text1"/>
        </w:rPr>
        <w:t>SPODaSK</w:t>
      </w:r>
      <w:proofErr w:type="spellEnd"/>
      <w:r w:rsidRPr="004C5551">
        <w:rPr>
          <w:b/>
          <w:bCs/>
          <w:color w:val="000000" w:themeColor="text1"/>
        </w:rPr>
        <w:t xml:space="preserve"> </w:t>
      </w:r>
      <w:r w:rsidRPr="004C5551">
        <w:rPr>
          <w:color w:val="000000" w:themeColor="text1"/>
        </w:rPr>
        <w:t>– sociálnoprávna ochrana detí a sociálna kuratela</w:t>
      </w:r>
    </w:p>
    <w:p w:rsidR="008A2C08" w:rsidRPr="004C5551" w:rsidRDefault="008A2C08" w:rsidP="00D36FB8">
      <w:pPr>
        <w:rPr>
          <w:color w:val="000000" w:themeColor="text1"/>
        </w:rPr>
      </w:pPr>
      <w:r w:rsidRPr="004C5551">
        <w:rPr>
          <w:b/>
          <w:bCs/>
          <w:color w:val="000000" w:themeColor="text1"/>
        </w:rPr>
        <w:t>Správa</w:t>
      </w:r>
      <w:r w:rsidRPr="004C5551">
        <w:rPr>
          <w:color w:val="000000" w:themeColor="text1"/>
        </w:rPr>
        <w:t xml:space="preserve"> – Správa o sociálnej situácii obyvateľstva Slovenskej republiky </w:t>
      </w:r>
    </w:p>
    <w:p w:rsidR="007C5423" w:rsidRPr="004C5551" w:rsidRDefault="007C5423" w:rsidP="00D36FB8">
      <w:pPr>
        <w:rPr>
          <w:color w:val="000000" w:themeColor="text1"/>
        </w:rPr>
      </w:pPr>
      <w:r w:rsidRPr="004C5551">
        <w:rPr>
          <w:b/>
          <w:color w:val="000000" w:themeColor="text1"/>
        </w:rPr>
        <w:t>SPÚ</w:t>
      </w:r>
      <w:r w:rsidRPr="004C5551">
        <w:rPr>
          <w:color w:val="000000" w:themeColor="text1"/>
        </w:rPr>
        <w:t xml:space="preserve"> – </w:t>
      </w:r>
      <w:r w:rsidR="00794C37" w:rsidRPr="004C5551">
        <w:rPr>
          <w:color w:val="000000" w:themeColor="text1"/>
        </w:rPr>
        <w:t>závažný pracovný úraz s následkom smrti</w:t>
      </w:r>
    </w:p>
    <w:p w:rsidR="00A27246" w:rsidRPr="004C5551" w:rsidRDefault="00A27246" w:rsidP="00D36FB8">
      <w:pPr>
        <w:rPr>
          <w:color w:val="000000" w:themeColor="text1"/>
        </w:rPr>
      </w:pPr>
      <w:r w:rsidRPr="004C5551">
        <w:rPr>
          <w:b/>
          <w:color w:val="000000" w:themeColor="text1"/>
        </w:rPr>
        <w:t xml:space="preserve">SR </w:t>
      </w:r>
      <w:r w:rsidR="00386E2D" w:rsidRPr="004C5551">
        <w:rPr>
          <w:color w:val="000000" w:themeColor="text1"/>
        </w:rPr>
        <w:t>–</w:t>
      </w:r>
      <w:r w:rsidRPr="004C5551">
        <w:rPr>
          <w:b/>
          <w:color w:val="000000" w:themeColor="text1"/>
        </w:rPr>
        <w:t xml:space="preserve"> </w:t>
      </w:r>
      <w:r w:rsidRPr="004C5551">
        <w:rPr>
          <w:color w:val="000000" w:themeColor="text1"/>
        </w:rPr>
        <w:t>Slovenská republika</w:t>
      </w:r>
    </w:p>
    <w:p w:rsidR="00187517" w:rsidRPr="004C5551" w:rsidRDefault="00187517" w:rsidP="00D36FB8">
      <w:pPr>
        <w:rPr>
          <w:color w:val="000000" w:themeColor="text1"/>
        </w:rPr>
      </w:pPr>
      <w:r w:rsidRPr="004C5551">
        <w:rPr>
          <w:b/>
          <w:color w:val="000000" w:themeColor="text1"/>
        </w:rPr>
        <w:t xml:space="preserve">SŠ – </w:t>
      </w:r>
      <w:r w:rsidRPr="004C5551">
        <w:rPr>
          <w:color w:val="000000" w:themeColor="text1"/>
        </w:rPr>
        <w:t>stredná škola</w:t>
      </w:r>
    </w:p>
    <w:p w:rsidR="008A2C08" w:rsidRPr="004C5551" w:rsidRDefault="008A2C08" w:rsidP="00D36FB8">
      <w:pPr>
        <w:rPr>
          <w:color w:val="000000" w:themeColor="text1"/>
        </w:rPr>
      </w:pPr>
      <w:r w:rsidRPr="004C5551">
        <w:rPr>
          <w:b/>
          <w:color w:val="000000" w:themeColor="text1"/>
        </w:rPr>
        <w:t xml:space="preserve">SZČO </w:t>
      </w:r>
      <w:r w:rsidRPr="004C5551">
        <w:rPr>
          <w:color w:val="000000" w:themeColor="text1"/>
        </w:rPr>
        <w:t>– samostatne zárobkovo činná osoba</w:t>
      </w:r>
    </w:p>
    <w:p w:rsidR="00D36FB8" w:rsidRPr="004C5551" w:rsidRDefault="00D36FB8" w:rsidP="00D36FB8">
      <w:pPr>
        <w:rPr>
          <w:bCs/>
          <w:color w:val="000000" w:themeColor="text1"/>
        </w:rPr>
      </w:pPr>
      <w:r w:rsidRPr="004C5551">
        <w:rPr>
          <w:b/>
          <w:bCs/>
          <w:color w:val="000000" w:themeColor="text1"/>
        </w:rPr>
        <w:t xml:space="preserve">ŠR </w:t>
      </w:r>
      <w:r w:rsidRPr="004C5551">
        <w:rPr>
          <w:bCs/>
          <w:color w:val="000000" w:themeColor="text1"/>
        </w:rPr>
        <w:t>– štátny rozpočet</w:t>
      </w:r>
    </w:p>
    <w:p w:rsidR="008A2C08" w:rsidRPr="004C5551" w:rsidRDefault="008A2C08" w:rsidP="00D36FB8">
      <w:pPr>
        <w:rPr>
          <w:color w:val="000000" w:themeColor="text1"/>
        </w:rPr>
      </w:pPr>
      <w:r w:rsidRPr="004C5551">
        <w:rPr>
          <w:b/>
          <w:bCs/>
          <w:color w:val="000000" w:themeColor="text1"/>
        </w:rPr>
        <w:t>ŠÚ SR</w:t>
      </w:r>
      <w:r w:rsidRPr="004C5551">
        <w:rPr>
          <w:color w:val="000000" w:themeColor="text1"/>
        </w:rPr>
        <w:t xml:space="preserve"> – Štatistický úrad Slovenskej republiky</w:t>
      </w:r>
    </w:p>
    <w:p w:rsidR="00F20EE7" w:rsidRPr="004C5551" w:rsidRDefault="00F20EE7" w:rsidP="00D36FB8">
      <w:pPr>
        <w:jc w:val="left"/>
        <w:rPr>
          <w:color w:val="000000" w:themeColor="text1"/>
        </w:rPr>
      </w:pPr>
      <w:r w:rsidRPr="004C5551">
        <w:rPr>
          <w:b/>
          <w:color w:val="000000" w:themeColor="text1"/>
        </w:rPr>
        <w:t xml:space="preserve">tis. – </w:t>
      </w:r>
      <w:r w:rsidRPr="004C5551">
        <w:rPr>
          <w:color w:val="000000" w:themeColor="text1"/>
        </w:rPr>
        <w:t>tisíc</w:t>
      </w:r>
    </w:p>
    <w:p w:rsidR="00067E3C" w:rsidRPr="004C5551" w:rsidRDefault="00067E3C" w:rsidP="00D36FB8">
      <w:pPr>
        <w:rPr>
          <w:bCs/>
          <w:color w:val="000000" w:themeColor="text1"/>
        </w:rPr>
      </w:pPr>
      <w:r w:rsidRPr="004C5551">
        <w:rPr>
          <w:b/>
          <w:bCs/>
          <w:color w:val="000000" w:themeColor="text1"/>
        </w:rPr>
        <w:t xml:space="preserve">TN – </w:t>
      </w:r>
      <w:r w:rsidRPr="004C5551">
        <w:rPr>
          <w:bCs/>
          <w:color w:val="000000" w:themeColor="text1"/>
        </w:rPr>
        <w:t>Trenčiansky kraj</w:t>
      </w:r>
    </w:p>
    <w:p w:rsidR="00067E3C" w:rsidRPr="004C5551" w:rsidRDefault="00067E3C" w:rsidP="00D36FB8">
      <w:pPr>
        <w:rPr>
          <w:bCs/>
          <w:color w:val="000000" w:themeColor="text1"/>
        </w:rPr>
      </w:pPr>
      <w:r w:rsidRPr="004C5551">
        <w:rPr>
          <w:b/>
          <w:bCs/>
          <w:color w:val="000000" w:themeColor="text1"/>
        </w:rPr>
        <w:t xml:space="preserve">TT – </w:t>
      </w:r>
      <w:r w:rsidRPr="004C5551">
        <w:rPr>
          <w:bCs/>
          <w:color w:val="000000" w:themeColor="text1"/>
        </w:rPr>
        <w:t>Trnavský kraj</w:t>
      </w:r>
    </w:p>
    <w:p w:rsidR="007C5423" w:rsidRPr="004C5551" w:rsidRDefault="00856121" w:rsidP="00222A75">
      <w:pPr>
        <w:tabs>
          <w:tab w:val="left" w:pos="5775"/>
        </w:tabs>
        <w:rPr>
          <w:bCs/>
          <w:color w:val="000000" w:themeColor="text1"/>
        </w:rPr>
      </w:pPr>
      <w:r w:rsidRPr="004C5551">
        <w:rPr>
          <w:b/>
          <w:bCs/>
          <w:color w:val="000000" w:themeColor="text1"/>
        </w:rPr>
        <w:t>ŤU</w:t>
      </w:r>
      <w:r w:rsidR="007C5423" w:rsidRPr="004C5551">
        <w:rPr>
          <w:b/>
          <w:bCs/>
          <w:color w:val="000000" w:themeColor="text1"/>
        </w:rPr>
        <w:t xml:space="preserve">Z – </w:t>
      </w:r>
      <w:r w:rsidR="003A0643" w:rsidRPr="004C5551">
        <w:rPr>
          <w:bCs/>
          <w:color w:val="000000" w:themeColor="text1"/>
        </w:rPr>
        <w:t xml:space="preserve">závažný pracovný úraz s ťažkou </w:t>
      </w:r>
      <w:r w:rsidR="00ED73B0" w:rsidRPr="004C5551">
        <w:rPr>
          <w:bCs/>
          <w:color w:val="000000" w:themeColor="text1"/>
        </w:rPr>
        <w:t>ujmou</w:t>
      </w:r>
      <w:r w:rsidR="003A0643" w:rsidRPr="004C5551">
        <w:rPr>
          <w:bCs/>
          <w:color w:val="000000" w:themeColor="text1"/>
        </w:rPr>
        <w:t xml:space="preserve"> na zdraví</w:t>
      </w:r>
    </w:p>
    <w:p w:rsidR="008A2C08" w:rsidRPr="004C5551" w:rsidRDefault="008A2C08" w:rsidP="00D36FB8">
      <w:pPr>
        <w:rPr>
          <w:color w:val="000000" w:themeColor="text1"/>
        </w:rPr>
      </w:pPr>
      <w:r w:rsidRPr="004C5551">
        <w:rPr>
          <w:b/>
          <w:bCs/>
          <w:color w:val="000000" w:themeColor="text1"/>
        </w:rPr>
        <w:t xml:space="preserve">ŤZP </w:t>
      </w:r>
      <w:r w:rsidRPr="004C5551">
        <w:rPr>
          <w:color w:val="000000" w:themeColor="text1"/>
        </w:rPr>
        <w:t>– ťažko zdravotne postihnutý(í)</w:t>
      </w:r>
      <w:r w:rsidR="00D36FB8" w:rsidRPr="004C5551">
        <w:rPr>
          <w:color w:val="000000" w:themeColor="text1"/>
        </w:rPr>
        <w:t>/ ťažké zdravotné postihnutie</w:t>
      </w:r>
    </w:p>
    <w:p w:rsidR="008A2C08" w:rsidRPr="004C5551" w:rsidRDefault="008A2C08" w:rsidP="00D36FB8">
      <w:pPr>
        <w:rPr>
          <w:b/>
          <w:bCs/>
          <w:color w:val="000000" w:themeColor="text1"/>
        </w:rPr>
      </w:pPr>
      <w:proofErr w:type="spellStart"/>
      <w:r w:rsidRPr="004C5551">
        <w:rPr>
          <w:b/>
          <w:bCs/>
          <w:color w:val="000000" w:themeColor="text1"/>
        </w:rPr>
        <w:t>UoZ</w:t>
      </w:r>
      <w:proofErr w:type="spellEnd"/>
      <w:r w:rsidRPr="004C5551">
        <w:rPr>
          <w:b/>
          <w:bCs/>
          <w:color w:val="000000" w:themeColor="text1"/>
        </w:rPr>
        <w:t xml:space="preserve"> </w:t>
      </w:r>
      <w:r w:rsidRPr="004C5551">
        <w:rPr>
          <w:color w:val="000000" w:themeColor="text1"/>
        </w:rPr>
        <w:t>– uchádzač o zamestnanie</w:t>
      </w:r>
    </w:p>
    <w:p w:rsidR="008A2C08" w:rsidRPr="004C5551" w:rsidRDefault="008A2C08" w:rsidP="00D36FB8">
      <w:pPr>
        <w:rPr>
          <w:color w:val="000000" w:themeColor="text1"/>
        </w:rPr>
      </w:pPr>
      <w:r w:rsidRPr="004C5551">
        <w:rPr>
          <w:b/>
          <w:bCs/>
          <w:color w:val="000000" w:themeColor="text1"/>
        </w:rPr>
        <w:t>ÚPSVR</w:t>
      </w:r>
      <w:r w:rsidR="004928A6" w:rsidRPr="004C5551">
        <w:rPr>
          <w:b/>
          <w:bCs/>
          <w:color w:val="000000" w:themeColor="text1"/>
        </w:rPr>
        <w:t>, Ústredie</w:t>
      </w:r>
      <w:r w:rsidRPr="004C5551">
        <w:rPr>
          <w:b/>
          <w:bCs/>
          <w:color w:val="000000" w:themeColor="text1"/>
        </w:rPr>
        <w:t xml:space="preserve"> </w:t>
      </w:r>
      <w:r w:rsidR="00852830" w:rsidRPr="004C5551">
        <w:rPr>
          <w:b/>
          <w:bCs/>
          <w:color w:val="000000" w:themeColor="text1"/>
        </w:rPr>
        <w:t>–</w:t>
      </w:r>
      <w:r w:rsidRPr="004C5551">
        <w:rPr>
          <w:color w:val="000000" w:themeColor="text1"/>
        </w:rPr>
        <w:t xml:space="preserve"> Ústredie práce, sociálnych vecí a</w:t>
      </w:r>
      <w:r w:rsidR="00007827" w:rsidRPr="004C5551">
        <w:rPr>
          <w:color w:val="000000" w:themeColor="text1"/>
        </w:rPr>
        <w:t> </w:t>
      </w:r>
      <w:r w:rsidRPr="004C5551">
        <w:rPr>
          <w:color w:val="000000" w:themeColor="text1"/>
        </w:rPr>
        <w:t>rodiny</w:t>
      </w:r>
    </w:p>
    <w:p w:rsidR="00007827" w:rsidRPr="004C5551" w:rsidRDefault="003A467E" w:rsidP="00D36FB8">
      <w:pPr>
        <w:rPr>
          <w:color w:val="000000" w:themeColor="text1"/>
        </w:rPr>
      </w:pPr>
      <w:r w:rsidRPr="004C5551">
        <w:rPr>
          <w:b/>
          <w:color w:val="000000" w:themeColor="text1"/>
        </w:rPr>
        <w:t>úrad PSVR</w:t>
      </w:r>
      <w:r w:rsidR="00007827" w:rsidRPr="004C5551">
        <w:rPr>
          <w:b/>
          <w:color w:val="000000" w:themeColor="text1"/>
        </w:rPr>
        <w:t xml:space="preserve"> </w:t>
      </w:r>
      <w:r w:rsidR="00007827" w:rsidRPr="004C5551">
        <w:rPr>
          <w:color w:val="000000" w:themeColor="text1"/>
        </w:rPr>
        <w:t>–</w:t>
      </w:r>
      <w:r w:rsidR="00007827" w:rsidRPr="004C5551">
        <w:rPr>
          <w:b/>
          <w:color w:val="000000" w:themeColor="text1"/>
        </w:rPr>
        <w:t xml:space="preserve"> </w:t>
      </w:r>
      <w:r w:rsidR="006D505C" w:rsidRPr="004C5551">
        <w:rPr>
          <w:color w:val="000000" w:themeColor="text1"/>
        </w:rPr>
        <w:t>ú</w:t>
      </w:r>
      <w:r w:rsidR="00007827" w:rsidRPr="004C5551">
        <w:rPr>
          <w:color w:val="000000" w:themeColor="text1"/>
        </w:rPr>
        <w:t xml:space="preserve">rad práce, sociálnych vecí a rodiny </w:t>
      </w:r>
    </w:p>
    <w:p w:rsidR="00527130" w:rsidRPr="004C5551" w:rsidRDefault="00527130" w:rsidP="00D36FB8">
      <w:pPr>
        <w:jc w:val="left"/>
        <w:rPr>
          <w:color w:val="000000" w:themeColor="text1"/>
        </w:rPr>
      </w:pPr>
      <w:r w:rsidRPr="004C5551">
        <w:rPr>
          <w:b/>
          <w:color w:val="000000" w:themeColor="text1"/>
        </w:rPr>
        <w:t>VPM</w:t>
      </w:r>
      <w:r w:rsidRPr="004C5551">
        <w:rPr>
          <w:color w:val="000000" w:themeColor="text1"/>
        </w:rPr>
        <w:t xml:space="preserve"> – voľné pracovné miesto</w:t>
      </w:r>
    </w:p>
    <w:p w:rsidR="00067E3C" w:rsidRPr="004C5551" w:rsidRDefault="00067E3C" w:rsidP="00D36FB8">
      <w:pPr>
        <w:rPr>
          <w:bCs/>
          <w:color w:val="000000" w:themeColor="text1"/>
        </w:rPr>
      </w:pPr>
      <w:r w:rsidRPr="004C5551">
        <w:rPr>
          <w:b/>
          <w:bCs/>
          <w:color w:val="000000" w:themeColor="text1"/>
        </w:rPr>
        <w:t xml:space="preserve">VŠ – </w:t>
      </w:r>
      <w:r w:rsidRPr="004C5551">
        <w:rPr>
          <w:bCs/>
          <w:color w:val="000000" w:themeColor="text1"/>
        </w:rPr>
        <w:t>vysoká škola</w:t>
      </w:r>
    </w:p>
    <w:p w:rsidR="008A2C08" w:rsidRPr="004C5551" w:rsidRDefault="008A2C08" w:rsidP="00D36FB8">
      <w:pPr>
        <w:rPr>
          <w:color w:val="000000" w:themeColor="text1"/>
        </w:rPr>
      </w:pPr>
      <w:r w:rsidRPr="004C5551">
        <w:rPr>
          <w:b/>
          <w:bCs/>
          <w:color w:val="000000" w:themeColor="text1"/>
        </w:rPr>
        <w:t xml:space="preserve">VZPS </w:t>
      </w:r>
      <w:r w:rsidRPr="004C5551">
        <w:rPr>
          <w:color w:val="000000" w:themeColor="text1"/>
        </w:rPr>
        <w:t xml:space="preserve">– výberové zisťovanie pracovných síl </w:t>
      </w:r>
    </w:p>
    <w:p w:rsidR="00387249" w:rsidRPr="004C5551" w:rsidRDefault="00387249" w:rsidP="00D36FB8">
      <w:pPr>
        <w:rPr>
          <w:color w:val="000000" w:themeColor="text1"/>
        </w:rPr>
      </w:pPr>
      <w:r w:rsidRPr="004C5551">
        <w:rPr>
          <w:b/>
          <w:color w:val="000000" w:themeColor="text1"/>
        </w:rPr>
        <w:t xml:space="preserve">WI </w:t>
      </w:r>
      <w:r w:rsidRPr="004C5551">
        <w:rPr>
          <w:color w:val="000000" w:themeColor="text1"/>
        </w:rPr>
        <w:t>– intenzita práce (</w:t>
      </w:r>
      <w:proofErr w:type="spellStart"/>
      <w:r w:rsidRPr="004C5551">
        <w:rPr>
          <w:color w:val="000000" w:themeColor="text1"/>
        </w:rPr>
        <w:t>work</w:t>
      </w:r>
      <w:proofErr w:type="spellEnd"/>
      <w:r w:rsidRPr="004C5551">
        <w:rPr>
          <w:color w:val="000000" w:themeColor="text1"/>
        </w:rPr>
        <w:t xml:space="preserve"> </w:t>
      </w:r>
      <w:proofErr w:type="spellStart"/>
      <w:r w:rsidRPr="004C5551">
        <w:rPr>
          <w:color w:val="000000" w:themeColor="text1"/>
        </w:rPr>
        <w:t>intensity</w:t>
      </w:r>
      <w:proofErr w:type="spellEnd"/>
      <w:r w:rsidRPr="004C5551">
        <w:rPr>
          <w:color w:val="000000" w:themeColor="text1"/>
        </w:rPr>
        <w:t>)</w:t>
      </w:r>
    </w:p>
    <w:p w:rsidR="00067E3C" w:rsidRPr="004C5551" w:rsidRDefault="00067E3C" w:rsidP="00D36FB8">
      <w:pPr>
        <w:rPr>
          <w:color w:val="000000" w:themeColor="text1"/>
        </w:rPr>
      </w:pPr>
      <w:r w:rsidRPr="004C5551">
        <w:rPr>
          <w:b/>
          <w:color w:val="000000" w:themeColor="text1"/>
        </w:rPr>
        <w:t xml:space="preserve">ZA – </w:t>
      </w:r>
      <w:r w:rsidRPr="004C5551">
        <w:rPr>
          <w:color w:val="000000" w:themeColor="text1"/>
        </w:rPr>
        <w:t>Žilinský kraj</w:t>
      </w:r>
    </w:p>
    <w:p w:rsidR="00FF0449" w:rsidRPr="004C5551" w:rsidRDefault="00C70B40" w:rsidP="00D36FB8">
      <w:pPr>
        <w:rPr>
          <w:color w:val="000000" w:themeColor="text1"/>
        </w:rPr>
      </w:pPr>
      <w:r w:rsidRPr="004C5551">
        <w:rPr>
          <w:b/>
          <w:color w:val="000000" w:themeColor="text1"/>
        </w:rPr>
        <w:t xml:space="preserve">ZFSP – </w:t>
      </w:r>
      <w:r w:rsidRPr="004C5551">
        <w:rPr>
          <w:color w:val="000000" w:themeColor="text1"/>
        </w:rPr>
        <w:t>základný fond starobného poistenia</w:t>
      </w:r>
    </w:p>
    <w:p w:rsidR="008A2C08" w:rsidRPr="004C5551" w:rsidRDefault="008A2C08" w:rsidP="00D36FB8">
      <w:pPr>
        <w:rPr>
          <w:color w:val="000000" w:themeColor="text1"/>
        </w:rPr>
      </w:pPr>
      <w:proofErr w:type="spellStart"/>
      <w:r w:rsidRPr="004C5551">
        <w:rPr>
          <w:b/>
          <w:color w:val="000000" w:themeColor="text1"/>
        </w:rPr>
        <w:t>ZoZ</w:t>
      </w:r>
      <w:proofErr w:type="spellEnd"/>
      <w:r w:rsidRPr="004C5551">
        <w:rPr>
          <w:color w:val="000000" w:themeColor="text1"/>
        </w:rPr>
        <w:t xml:space="preserve"> – záujemca o zamestnanie</w:t>
      </w:r>
    </w:p>
    <w:p w:rsidR="00852830" w:rsidRPr="004C5551" w:rsidRDefault="00527130" w:rsidP="00192D50">
      <w:pPr>
        <w:rPr>
          <w:color w:val="000000" w:themeColor="text1"/>
        </w:rPr>
      </w:pPr>
      <w:r w:rsidRPr="004C5551">
        <w:rPr>
          <w:b/>
          <w:color w:val="000000" w:themeColor="text1"/>
        </w:rPr>
        <w:t xml:space="preserve">Z. z. </w:t>
      </w:r>
      <w:r w:rsidRPr="004C5551">
        <w:rPr>
          <w:color w:val="000000" w:themeColor="text1"/>
        </w:rPr>
        <w:t>– Zbierka zákonov</w:t>
      </w:r>
      <w:bookmarkEnd w:id="50"/>
    </w:p>
    <w:p w:rsidR="00852830" w:rsidRPr="004C5551" w:rsidRDefault="00852830" w:rsidP="00D36FB8">
      <w:pPr>
        <w:jc w:val="left"/>
        <w:rPr>
          <w:color w:val="000000" w:themeColor="text1"/>
        </w:rPr>
      </w:pPr>
    </w:p>
    <w:p w:rsidR="004221A7" w:rsidRPr="004C5551" w:rsidRDefault="004221A7" w:rsidP="00D36FB8">
      <w:pPr>
        <w:jc w:val="left"/>
        <w:rPr>
          <w:color w:val="000000" w:themeColor="text1"/>
        </w:rPr>
        <w:sectPr w:rsidR="004221A7" w:rsidRPr="004C5551" w:rsidSect="004F3C97">
          <w:headerReference w:type="even" r:id="rId13"/>
          <w:headerReference w:type="default" r:id="rId14"/>
          <w:footerReference w:type="even" r:id="rId15"/>
          <w:footerReference w:type="default" r:id="rId16"/>
          <w:pgSz w:w="11906" w:h="16838" w:code="9"/>
          <w:pgMar w:top="1417" w:right="1417" w:bottom="1417" w:left="1417" w:header="709" w:footer="709" w:gutter="0"/>
          <w:cols w:space="708" w:equalWidth="0">
            <w:col w:w="8475"/>
          </w:cols>
          <w:noEndnote/>
          <w:docGrid w:linePitch="299"/>
        </w:sectPr>
      </w:pPr>
    </w:p>
    <w:p w:rsidR="007A29A1" w:rsidRPr="004C5551" w:rsidRDefault="00976E6C" w:rsidP="001C751A">
      <w:pPr>
        <w:pStyle w:val="Nadpis1"/>
        <w:numPr>
          <w:ilvl w:val="0"/>
          <w:numId w:val="0"/>
        </w:numPr>
        <w:ind w:left="432" w:hanging="432"/>
      </w:pPr>
      <w:bookmarkStart w:id="51" w:name="_Toc356482612"/>
      <w:bookmarkStart w:id="52" w:name="_Toc356482797"/>
      <w:bookmarkStart w:id="53" w:name="_Toc356482805"/>
      <w:bookmarkStart w:id="54" w:name="_Toc422233398"/>
      <w:r w:rsidRPr="004C5551">
        <w:t>ÚVOD</w:t>
      </w:r>
      <w:bookmarkEnd w:id="51"/>
      <w:bookmarkEnd w:id="52"/>
      <w:bookmarkEnd w:id="53"/>
      <w:bookmarkEnd w:id="54"/>
    </w:p>
    <w:p w:rsidR="008A1EEC" w:rsidRPr="004C5551" w:rsidRDefault="008A1EEC" w:rsidP="00D36FB8">
      <w:pPr>
        <w:rPr>
          <w:color w:val="000000" w:themeColor="text1"/>
        </w:rPr>
      </w:pPr>
    </w:p>
    <w:p w:rsidR="00510A36" w:rsidRPr="004C5551" w:rsidRDefault="00510A36" w:rsidP="00615337">
      <w:pPr>
        <w:ind w:firstLine="431"/>
        <w:rPr>
          <w:color w:val="000000" w:themeColor="text1"/>
        </w:rPr>
      </w:pPr>
      <w:bookmarkStart w:id="55" w:name="_Toc294016300"/>
      <w:bookmarkStart w:id="56" w:name="_Toc195695049"/>
      <w:bookmarkStart w:id="57" w:name="_Toc195695104"/>
      <w:bookmarkStart w:id="58" w:name="_Toc195695142"/>
      <w:bookmarkStart w:id="59" w:name="_Toc195695212"/>
      <w:bookmarkStart w:id="60" w:name="_Toc195695276"/>
      <w:bookmarkStart w:id="61" w:name="_Toc195695051"/>
      <w:bookmarkStart w:id="62" w:name="_Toc195695106"/>
      <w:bookmarkStart w:id="63" w:name="_Toc195695144"/>
      <w:bookmarkStart w:id="64" w:name="_Toc195695214"/>
      <w:bookmarkStart w:id="65" w:name="_Toc195695278"/>
      <w:r w:rsidRPr="004C5551">
        <w:rPr>
          <w:color w:val="000000" w:themeColor="text1"/>
        </w:rPr>
        <w:t>Ministerstvo práce, sociálnych vecí a rodiny Slovenskej republiky (ďalej len „MPSVR SR“) každoročne pripravuje a predkladá na rokovanie vlády Slovenskej republiky (ďalej len „vláda SR“), Hospodárskej a sociálnej rady Slovenskej republiky a Výboru Národne</w:t>
      </w:r>
      <w:r w:rsidR="008B3F45" w:rsidRPr="004C5551">
        <w:rPr>
          <w:color w:val="000000" w:themeColor="text1"/>
        </w:rPr>
        <w:t>j rady Slovenskej republiky pre </w:t>
      </w:r>
      <w:r w:rsidRPr="004C5551">
        <w:rPr>
          <w:color w:val="000000" w:themeColor="text1"/>
        </w:rPr>
        <w:t>sociálne veci Správu o sociálnej situácii obyvateľstva Slovenskej republiky (ďalej len „správa“) za predchádzajúci kalendárny rok. Jej cieľom je informovať o stave a vývoji sociálnej situácie obyvateľstva na Slovensku na základe sociálno-ekonomických ukazovateľov, získaných zo štátnych štatistických zisťovaní, administratívnych zdrojov údajov Ústredia práce, sociálnych vecí a rodiny a Sociálnej poisťovne.</w:t>
      </w:r>
    </w:p>
    <w:p w:rsidR="00510A36" w:rsidRPr="004C5551" w:rsidRDefault="00510A36" w:rsidP="00615337">
      <w:pPr>
        <w:ind w:firstLine="431"/>
        <w:rPr>
          <w:color w:val="000000" w:themeColor="text1"/>
        </w:rPr>
      </w:pPr>
      <w:r w:rsidRPr="004C5551">
        <w:rPr>
          <w:color w:val="000000" w:themeColor="text1"/>
        </w:rPr>
        <w:t xml:space="preserve">Prvá kapitola správy poskytuje stručný prehľad o základných ukazovateľoch makroekonomického prostredia a demografického vývoja v Slovenskej republike za rok </w:t>
      </w:r>
      <w:r w:rsidR="00001498" w:rsidRPr="004C5551">
        <w:rPr>
          <w:color w:val="000000" w:themeColor="text1"/>
        </w:rPr>
        <w:t>2014</w:t>
      </w:r>
      <w:r w:rsidRPr="004C5551">
        <w:rPr>
          <w:color w:val="000000" w:themeColor="text1"/>
        </w:rPr>
        <w:t>.</w:t>
      </w:r>
    </w:p>
    <w:p w:rsidR="00510A36" w:rsidRPr="004C5551" w:rsidRDefault="00510A36" w:rsidP="00615337">
      <w:pPr>
        <w:ind w:firstLine="431"/>
        <w:rPr>
          <w:color w:val="000000" w:themeColor="text1"/>
        </w:rPr>
      </w:pPr>
      <w:r w:rsidRPr="004C5551">
        <w:rPr>
          <w:color w:val="000000" w:themeColor="text1"/>
        </w:rPr>
        <w:t xml:space="preserve">Druhá kapitola </w:t>
      </w:r>
      <w:r w:rsidR="00586D1F" w:rsidRPr="004C5551">
        <w:rPr>
          <w:color w:val="000000" w:themeColor="text1"/>
        </w:rPr>
        <w:t xml:space="preserve">popisuje </w:t>
      </w:r>
      <w:r w:rsidRPr="004C5551">
        <w:rPr>
          <w:color w:val="000000" w:themeColor="text1"/>
        </w:rPr>
        <w:t>legislatívne zmeny v roku 201</w:t>
      </w:r>
      <w:r w:rsidR="00001498" w:rsidRPr="004C5551">
        <w:rPr>
          <w:color w:val="000000" w:themeColor="text1"/>
        </w:rPr>
        <w:t>4</w:t>
      </w:r>
      <w:r w:rsidRPr="004C5551">
        <w:rPr>
          <w:color w:val="000000" w:themeColor="text1"/>
        </w:rPr>
        <w:t xml:space="preserve"> v oblasti služieb zamestnanosti, pracovnoprávnych vzťahov, výkonu práce vo verejnom záujme a soci</w:t>
      </w:r>
      <w:r w:rsidR="008B3F45" w:rsidRPr="004C5551">
        <w:rPr>
          <w:color w:val="000000" w:themeColor="text1"/>
        </w:rPr>
        <w:t>álneho dialógu, zameriava sa na </w:t>
      </w:r>
      <w:r w:rsidRPr="004C5551">
        <w:rPr>
          <w:color w:val="000000" w:themeColor="text1"/>
        </w:rPr>
        <w:t>vývoj na trhu práce z agregovaného a zo štrukturálneho hľadiska, </w:t>
      </w:r>
      <w:r w:rsidR="005240BE" w:rsidRPr="004C5551">
        <w:rPr>
          <w:color w:val="000000" w:themeColor="text1"/>
        </w:rPr>
        <w:t xml:space="preserve">monitoruje </w:t>
      </w:r>
      <w:r w:rsidRPr="004C5551">
        <w:rPr>
          <w:color w:val="000000" w:themeColor="text1"/>
        </w:rPr>
        <w:t>jednotlivé nástro</w:t>
      </w:r>
      <w:r w:rsidR="002F6956" w:rsidRPr="004C5551">
        <w:rPr>
          <w:color w:val="000000" w:themeColor="text1"/>
        </w:rPr>
        <w:t>je aktívnej politiky trhu práce</w:t>
      </w:r>
      <w:r w:rsidRPr="004C5551">
        <w:rPr>
          <w:color w:val="000000" w:themeColor="text1"/>
        </w:rPr>
        <w:t xml:space="preserve">, mzdový vývoj a pracovné podmienky v rámci kolektívneho vyjednávania a bezpečnosti a ochrany zdravia pri práci. Súčasťou tejto časti správy je aj analýza úplných nákladov práce. </w:t>
      </w:r>
    </w:p>
    <w:p w:rsidR="00510A36" w:rsidRPr="004C5551" w:rsidRDefault="00510A36" w:rsidP="00615337">
      <w:pPr>
        <w:ind w:firstLine="431"/>
        <w:rPr>
          <w:color w:val="000000" w:themeColor="text1"/>
        </w:rPr>
      </w:pPr>
      <w:r w:rsidRPr="004C5551">
        <w:rPr>
          <w:color w:val="000000" w:themeColor="text1"/>
        </w:rPr>
        <w:t>Tretia kapitola zahŕňa hlavné formy, stav a zmeny v systéme sociálnej ochrany v roku 201</w:t>
      </w:r>
      <w:r w:rsidR="00CF7FD7" w:rsidRPr="004C5551">
        <w:rPr>
          <w:color w:val="000000" w:themeColor="text1"/>
        </w:rPr>
        <w:t>4</w:t>
      </w:r>
      <w:r w:rsidRPr="004C5551">
        <w:rPr>
          <w:color w:val="000000" w:themeColor="text1"/>
        </w:rPr>
        <w:t>. Zaoberá sa medziročným porovnaním a analýzou jednotlivých prvkov sociálneho poistenia, dôchodkového sporenia, systému štátnej sociálnej podpory a sociálnej pomoci. Podáva informáciu o dotáciách, poskytovaných v pôsobnosti MPSVR SR a tiež informácie o Operačnom programe Zamestnanosť a sociálna inklúzia, podporovaných z Európskeho sociálneho fondu. Kapitola obsahuje aj výstupy Európskeho integrovaného systému jednotných štatistík sociálnej ochrany (ESSPROS), jedného zo základných nástrojov štatistického sledovania o systémoch, súčasnom stave a rozvoji sociálnej ochrany v členských štátoch Európskej únie (ďalej aj</w:t>
      </w:r>
      <w:r w:rsidR="005B1BF9" w:rsidRPr="004C5551">
        <w:rPr>
          <w:color w:val="000000" w:themeColor="text1"/>
        </w:rPr>
        <w:t> </w:t>
      </w:r>
      <w:r w:rsidRPr="004C5551">
        <w:rPr>
          <w:color w:val="000000" w:themeColor="text1"/>
        </w:rPr>
        <w:t>EÚ).</w:t>
      </w:r>
    </w:p>
    <w:p w:rsidR="00567125" w:rsidRPr="004C5551" w:rsidRDefault="00510A36" w:rsidP="00615337">
      <w:pPr>
        <w:ind w:firstLine="431"/>
        <w:rPr>
          <w:color w:val="000000" w:themeColor="text1"/>
        </w:rPr>
      </w:pPr>
      <w:r w:rsidRPr="004C5551">
        <w:rPr>
          <w:color w:val="000000" w:themeColor="text1"/>
        </w:rPr>
        <w:t xml:space="preserve">Náplň štvrtej kapitoly tvoria dostupné údaje </w:t>
      </w:r>
      <w:r w:rsidR="00457706" w:rsidRPr="004C5551">
        <w:rPr>
          <w:color w:val="000000" w:themeColor="text1"/>
        </w:rPr>
        <w:t>z</w:t>
      </w:r>
      <w:r w:rsidRPr="004C5551">
        <w:rPr>
          <w:color w:val="000000" w:themeColor="text1"/>
        </w:rPr>
        <w:t xml:space="preserve"> </w:t>
      </w:r>
      <w:r w:rsidR="00D07F8C" w:rsidRPr="004C5551">
        <w:rPr>
          <w:color w:val="000000" w:themeColor="text1"/>
        </w:rPr>
        <w:t xml:space="preserve">vyhodnotenia </w:t>
      </w:r>
      <w:r w:rsidRPr="004C5551">
        <w:rPr>
          <w:color w:val="000000" w:themeColor="text1"/>
        </w:rPr>
        <w:t xml:space="preserve">národných indikátorov chudoby a sociálneho vylúčenia. </w:t>
      </w:r>
      <w:r w:rsidR="00D07F8C" w:rsidRPr="004C5551">
        <w:rPr>
          <w:color w:val="000000" w:themeColor="text1"/>
        </w:rPr>
        <w:t xml:space="preserve">Kapitola </w:t>
      </w:r>
      <w:r w:rsidR="00BE4E77" w:rsidRPr="004C5551">
        <w:rPr>
          <w:color w:val="000000" w:themeColor="text1"/>
        </w:rPr>
        <w:t xml:space="preserve">zahŕňa </w:t>
      </w:r>
      <w:r w:rsidRPr="004C5551">
        <w:rPr>
          <w:color w:val="000000" w:themeColor="text1"/>
        </w:rPr>
        <w:t xml:space="preserve">aj informácie o stave rodovej rovnosti a rovnosti príležitostí na Slovensku za rok </w:t>
      </w:r>
      <w:r w:rsidR="00457706" w:rsidRPr="004C5551">
        <w:rPr>
          <w:color w:val="000000" w:themeColor="text1"/>
        </w:rPr>
        <w:t>2014</w:t>
      </w:r>
      <w:r w:rsidRPr="004C5551">
        <w:rPr>
          <w:color w:val="000000" w:themeColor="text1"/>
        </w:rPr>
        <w:t>.</w:t>
      </w:r>
    </w:p>
    <w:p w:rsidR="00510A36" w:rsidRPr="004C5551" w:rsidRDefault="00510A36" w:rsidP="00615337">
      <w:pPr>
        <w:ind w:firstLine="431"/>
        <w:rPr>
          <w:color w:val="000000" w:themeColor="text1"/>
        </w:rPr>
      </w:pPr>
      <w:r w:rsidRPr="004C5551">
        <w:rPr>
          <w:color w:val="000000" w:themeColor="text1"/>
        </w:rPr>
        <w:t xml:space="preserve">Obsahom piatej kapitoly je porovnanie vybraných ukazovateľov medzi krajinami EÚ v kontexte stratégie Európa 2020, ktorá stanovuje hlavné ciele EÚ v nadväznosti na Lisabonskú stratégiu. </w:t>
      </w:r>
    </w:p>
    <w:p w:rsidR="001E0522" w:rsidRPr="004C5551" w:rsidRDefault="001E0522" w:rsidP="00615337">
      <w:pPr>
        <w:ind w:firstLine="431"/>
        <w:rPr>
          <w:color w:val="000000" w:themeColor="text1"/>
        </w:rPr>
      </w:pPr>
    </w:p>
    <w:p w:rsidR="000E0631" w:rsidRPr="004C5551" w:rsidRDefault="000E0631" w:rsidP="00A81CA7">
      <w:pPr>
        <w:pStyle w:val="Nadpis1"/>
        <w:numPr>
          <w:ilvl w:val="0"/>
          <w:numId w:val="0"/>
        </w:numPr>
        <w:sectPr w:rsidR="000E0631" w:rsidRPr="004C5551" w:rsidSect="001C751A">
          <w:headerReference w:type="default" r:id="rId17"/>
          <w:headerReference w:type="first" r:id="rId18"/>
          <w:pgSz w:w="11906" w:h="16838"/>
          <w:pgMar w:top="1417" w:right="1417" w:bottom="1417" w:left="1417" w:header="709" w:footer="709" w:gutter="0"/>
          <w:cols w:space="708"/>
          <w:titlePg/>
          <w:docGrid w:linePitch="360"/>
        </w:sectPr>
      </w:pPr>
    </w:p>
    <w:p w:rsidR="00955A5D" w:rsidRPr="004C5551" w:rsidRDefault="008B18CB" w:rsidP="00A81CA7">
      <w:pPr>
        <w:pStyle w:val="Nadpis1"/>
        <w:rPr>
          <w:rStyle w:val="Hypertextovprepojenie"/>
          <w:color w:val="6D1D14" w:themeColor="accent2" w:themeShade="80"/>
          <w:u w:val="none"/>
        </w:rPr>
      </w:pPr>
      <w:hyperlink w:anchor="_Toc168135213" w:history="1">
        <w:bookmarkStart w:id="66" w:name="_Toc356482613"/>
        <w:bookmarkStart w:id="67" w:name="_Toc356482798"/>
        <w:bookmarkStart w:id="68" w:name="_Toc356482806"/>
        <w:bookmarkStart w:id="69" w:name="_Toc422233399"/>
        <w:r w:rsidR="00955A5D" w:rsidRPr="004C5551">
          <w:rPr>
            <w:rStyle w:val="Hypertextovprepojenie"/>
            <w:color w:val="6D1D14" w:themeColor="accent2" w:themeShade="80"/>
            <w:u w:val="none"/>
          </w:rPr>
          <w:t>HLAVNÉ MAKROEKONOMICKO-DEMOGRAFICKÉ</w:t>
        </w:r>
        <w:bookmarkEnd w:id="55"/>
        <w:r w:rsidR="00955A5D" w:rsidRPr="004C5551">
          <w:rPr>
            <w:rStyle w:val="Hypertextovprepojenie"/>
            <w:color w:val="6D1D14" w:themeColor="accent2" w:themeShade="80"/>
            <w:u w:val="none"/>
          </w:rPr>
          <w:br/>
          <w:t xml:space="preserve">UKAZOVATELE </w:t>
        </w:r>
      </w:hyperlink>
      <w:r w:rsidR="00955A5D" w:rsidRPr="004C5551">
        <w:t>V </w:t>
      </w:r>
      <w:r w:rsidR="00955A5D" w:rsidRPr="004C5551">
        <w:rPr>
          <w:rStyle w:val="Hypertextovprepojenie"/>
          <w:color w:val="6D1D14" w:themeColor="accent2" w:themeShade="80"/>
          <w:u w:val="none"/>
        </w:rPr>
        <w:t xml:space="preserve">PODMIENKACH </w:t>
      </w:r>
      <w:r w:rsidR="006778B8" w:rsidRPr="004C5551">
        <w:rPr>
          <w:rStyle w:val="Hypertextovprepojenie"/>
          <w:color w:val="6D1D14" w:themeColor="accent2" w:themeShade="80"/>
          <w:u w:val="none"/>
        </w:rPr>
        <w:t>SLOVENSKEJ REPUBLIKY</w:t>
      </w:r>
      <w:bookmarkEnd w:id="66"/>
      <w:bookmarkEnd w:id="67"/>
      <w:bookmarkEnd w:id="68"/>
      <w:bookmarkEnd w:id="69"/>
      <w:r w:rsidR="00955A5D" w:rsidRPr="004C5551">
        <w:rPr>
          <w:rStyle w:val="Hypertextovprepojenie"/>
          <w:color w:val="6D1D14" w:themeColor="accent2" w:themeShade="80"/>
          <w:u w:val="none"/>
        </w:rPr>
        <w:tab/>
      </w:r>
    </w:p>
    <w:p w:rsidR="00955A5D" w:rsidRPr="004C5551" w:rsidRDefault="00955A5D" w:rsidP="00ED16E0">
      <w:pPr>
        <w:pStyle w:val="nadpis2"/>
      </w:pPr>
      <w:bookmarkStart w:id="70" w:name="_Toc356482614"/>
      <w:bookmarkStart w:id="71" w:name="_Toc356482807"/>
      <w:bookmarkStart w:id="72" w:name="_Toc422233400"/>
      <w:r w:rsidRPr="004C5551">
        <w:t>Základné makroekonomické charakteristiky</w:t>
      </w:r>
      <w:r w:rsidRPr="004C5551">
        <w:rPr>
          <w:rStyle w:val="Odkaznapoznmkupodiarou"/>
        </w:rPr>
        <w:footnoteReference w:id="1"/>
      </w:r>
      <w:bookmarkEnd w:id="70"/>
      <w:bookmarkEnd w:id="71"/>
      <w:bookmarkEnd w:id="72"/>
    </w:p>
    <w:p w:rsidR="000E67B1" w:rsidRPr="004C5551" w:rsidRDefault="000E67B1" w:rsidP="00D6574F">
      <w:pPr>
        <w:pStyle w:val="Normlnysozarkami12"/>
        <w:ind w:firstLine="431"/>
        <w:rPr>
          <w:color w:val="000000" w:themeColor="text1"/>
        </w:rPr>
      </w:pPr>
      <w:r w:rsidRPr="004C5551">
        <w:rPr>
          <w:color w:val="000000" w:themeColor="text1"/>
        </w:rPr>
        <w:t xml:space="preserve">Zrýchlenie ekonomického rastu v roku 2014 malo pozitívny vplyv aj na trh práce. Situácia </w:t>
      </w:r>
      <w:r w:rsidR="00BD494D" w:rsidRPr="004C5551">
        <w:rPr>
          <w:color w:val="000000" w:themeColor="text1"/>
        </w:rPr>
        <w:t>na </w:t>
      </w:r>
      <w:r w:rsidRPr="004C5551">
        <w:rPr>
          <w:color w:val="000000" w:themeColor="text1"/>
        </w:rPr>
        <w:t xml:space="preserve">trhu práce sa výrazne zlepšila, a to z hľadiska rastu celkovej zamestnanosti v hospodárstve aj poklesu nezamestnanosti. Dynamika rastu celkovej zamestnanosti a poklesu nezamestnanosti sa </w:t>
      </w:r>
      <w:r w:rsidR="00BD494D" w:rsidRPr="004C5551">
        <w:rPr>
          <w:color w:val="000000" w:themeColor="text1"/>
        </w:rPr>
        <w:t>v </w:t>
      </w:r>
      <w:r w:rsidRPr="004C5551">
        <w:rPr>
          <w:color w:val="000000" w:themeColor="text1"/>
        </w:rPr>
        <w:t xml:space="preserve">priebehu roka zrýchľovala. Zrýchlil sa aj rast priemernej mesačnej nominálnej mzdy, ktorý </w:t>
      </w:r>
      <w:r w:rsidR="00BD494D" w:rsidRPr="004C5551">
        <w:rPr>
          <w:color w:val="000000" w:themeColor="text1"/>
        </w:rPr>
        <w:t>v </w:t>
      </w:r>
      <w:r w:rsidRPr="004C5551">
        <w:rPr>
          <w:color w:val="000000" w:themeColor="text1"/>
        </w:rPr>
        <w:t xml:space="preserve">porovnaní s rokom 2013 bol takmer dvojnásobný a dosiahol tak najvyššie tempo za posledných </w:t>
      </w:r>
      <w:r w:rsidR="00BD494D" w:rsidRPr="004C5551">
        <w:rPr>
          <w:color w:val="000000" w:themeColor="text1"/>
        </w:rPr>
        <w:t>6 </w:t>
      </w:r>
      <w:r w:rsidRPr="004C5551">
        <w:rPr>
          <w:color w:val="000000" w:themeColor="text1"/>
        </w:rPr>
        <w:t>rokov.</w:t>
      </w:r>
    </w:p>
    <w:p w:rsidR="004E3123" w:rsidRPr="004C5551" w:rsidRDefault="000E67B1" w:rsidP="00D6574F">
      <w:pPr>
        <w:pStyle w:val="Normlnysozarkami12"/>
        <w:ind w:firstLine="431"/>
        <w:rPr>
          <w:color w:val="000000" w:themeColor="text1"/>
        </w:rPr>
      </w:pPr>
      <w:r w:rsidRPr="004C5551">
        <w:rPr>
          <w:b/>
          <w:color w:val="000000" w:themeColor="text1"/>
        </w:rPr>
        <w:t xml:space="preserve">Hrubý domáci produkt </w:t>
      </w:r>
      <w:r w:rsidRPr="004C5551">
        <w:rPr>
          <w:color w:val="000000" w:themeColor="text1"/>
        </w:rPr>
        <w:t>(HDP)</w:t>
      </w:r>
      <w:r w:rsidRPr="004C5551">
        <w:rPr>
          <w:b/>
          <w:color w:val="000000" w:themeColor="text1"/>
        </w:rPr>
        <w:t xml:space="preserve"> </w:t>
      </w:r>
      <w:r w:rsidRPr="004C5551">
        <w:rPr>
          <w:color w:val="000000" w:themeColor="text1"/>
        </w:rPr>
        <w:t>zrýchlil svoj medziročný rast o 1 p. b., keď sa oproti roku 2013 zvýšil v stálych cenách na základe metodiky národných účtov (ESA 2010) o 2,4</w:t>
      </w:r>
      <w:r w:rsidR="009425AA" w:rsidRPr="004C5551">
        <w:rPr>
          <w:color w:val="000000" w:themeColor="text1"/>
        </w:rPr>
        <w:t> %</w:t>
      </w:r>
      <w:r w:rsidRPr="004C5551">
        <w:rPr>
          <w:color w:val="000000" w:themeColor="text1"/>
        </w:rPr>
        <w:t>. V bežných cenách vzrástlo HDP na 75,2 mld. </w:t>
      </w:r>
      <w:r w:rsidR="00AA0137" w:rsidRPr="004C5551">
        <w:rPr>
          <w:color w:val="000000" w:themeColor="text1"/>
        </w:rPr>
        <w:t>eur</w:t>
      </w:r>
      <w:r w:rsidRPr="004C5551">
        <w:rPr>
          <w:color w:val="000000" w:themeColor="text1"/>
        </w:rPr>
        <w:t>, čo bolo o 2,2</w:t>
      </w:r>
      <w:r w:rsidR="009425AA" w:rsidRPr="004C5551">
        <w:rPr>
          <w:color w:val="000000" w:themeColor="text1"/>
        </w:rPr>
        <w:t> %</w:t>
      </w:r>
      <w:r w:rsidRPr="004C5551">
        <w:rPr>
          <w:color w:val="000000" w:themeColor="text1"/>
        </w:rPr>
        <w:t xml:space="preserve"> viac ako v roku 2013.</w:t>
      </w:r>
    </w:p>
    <w:p w:rsidR="004E3123" w:rsidRPr="004C5551" w:rsidRDefault="004E3123" w:rsidP="00D6574F">
      <w:pPr>
        <w:pStyle w:val="Nadpis7"/>
        <w:spacing w:before="120" w:after="0"/>
        <w:ind w:firstLine="431"/>
        <w:rPr>
          <w:color w:val="000000" w:themeColor="text1"/>
        </w:rPr>
      </w:pPr>
      <w:r w:rsidRPr="004C5551">
        <w:rPr>
          <w:color w:val="000000" w:themeColor="text1"/>
        </w:rPr>
        <w:t>Graf 1.1 Vývoj hrubého domáceho produktu v bežných a stálych cenách</w:t>
      </w:r>
    </w:p>
    <w:p w:rsidR="004E3123" w:rsidRPr="004C5551" w:rsidRDefault="000E67B1" w:rsidP="00D6574F">
      <w:pPr>
        <w:ind w:firstLine="431"/>
        <w:jc w:val="center"/>
      </w:pPr>
      <w:r w:rsidRPr="004C5551">
        <w:rPr>
          <w:noProof/>
        </w:rPr>
        <w:drawing>
          <wp:inline distT="0" distB="0" distL="0" distR="0" wp14:anchorId="0642A7C8" wp14:editId="462B5449">
            <wp:extent cx="4572000" cy="2743200"/>
            <wp:effectExtent l="0" t="0" r="0" b="0"/>
            <wp:docPr id="292" name="Graf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3123" w:rsidRPr="004C5551" w:rsidRDefault="004E3123" w:rsidP="00D6574F">
      <w:pPr>
        <w:pStyle w:val="zdroj"/>
        <w:ind w:firstLine="431"/>
      </w:pPr>
      <w:r w:rsidRPr="004C5551">
        <w:t>Zdroj: ŠÚ SR</w:t>
      </w:r>
    </w:p>
    <w:p w:rsidR="00291D9F" w:rsidRPr="004C5551" w:rsidRDefault="00291D9F" w:rsidP="00D6574F">
      <w:pPr>
        <w:ind w:firstLine="431"/>
      </w:pPr>
      <w:r w:rsidRPr="004C5551">
        <w:t>Medziročný rast hrubého domáceho produktu podporili všetky jeho výdavkové zložky. Objem zahraničného dopytu vzrástol o 4,</w:t>
      </w:r>
      <w:r w:rsidR="00FE22A8" w:rsidRPr="004C5551">
        <w:t>6</w:t>
      </w:r>
      <w:r w:rsidR="009425AA" w:rsidRPr="004C5551">
        <w:t> %</w:t>
      </w:r>
      <w:r w:rsidRPr="004C5551">
        <w:t xml:space="preserve"> a domáceho dopytu o</w:t>
      </w:r>
      <w:r w:rsidR="00FE22A8" w:rsidRPr="004C5551">
        <w:t> 3</w:t>
      </w:r>
      <w:r w:rsidR="009425AA" w:rsidRPr="004C5551">
        <w:t> %</w:t>
      </w:r>
      <w:r w:rsidRPr="004C5551">
        <w:t>. Zvýšenie domáceho dopytu významne ovplyvnil investičný dopyt, keď po dvoch rokoch medziročného poklesu tvorba hrubého kapitálu vzrástla o 3,</w:t>
      </w:r>
      <w:r w:rsidR="00FE22A8" w:rsidRPr="004C5551">
        <w:t>8</w:t>
      </w:r>
      <w:r w:rsidR="009425AA" w:rsidRPr="004C5551">
        <w:t> %</w:t>
      </w:r>
      <w:r w:rsidRPr="004C5551">
        <w:t xml:space="preserve"> a tvorba hrubého fixného kapitálu o 5,</w:t>
      </w:r>
      <w:r w:rsidR="00FE22A8" w:rsidRPr="004C5551">
        <w:t>7</w:t>
      </w:r>
      <w:r w:rsidR="009425AA" w:rsidRPr="004C5551">
        <w:t> %</w:t>
      </w:r>
      <w:r w:rsidRPr="004C5551">
        <w:t>. Konečná spotreba verejnej správy bola vyššia o 4,</w:t>
      </w:r>
      <w:r w:rsidR="00FE22A8" w:rsidRPr="004C5551">
        <w:t>4</w:t>
      </w:r>
      <w:r w:rsidR="009425AA" w:rsidRPr="004C5551">
        <w:t> %</w:t>
      </w:r>
      <w:r w:rsidRPr="004C5551">
        <w:t>, konečná spotreba domácností o 2,</w:t>
      </w:r>
      <w:r w:rsidR="00FE22A8" w:rsidRPr="004C5551">
        <w:t>2</w:t>
      </w:r>
      <w:r w:rsidR="009425AA" w:rsidRPr="004C5551">
        <w:t> %</w:t>
      </w:r>
      <w:r w:rsidRPr="004C5551">
        <w:t xml:space="preserve"> a konečná spotreba neziskových inštitúcií</w:t>
      </w:r>
      <w:r w:rsidR="00DD3298" w:rsidRPr="004C5551">
        <w:t>,</w:t>
      </w:r>
      <w:r w:rsidRPr="004C5551">
        <w:t xml:space="preserve"> slúžiacich domácnostiam o 1,</w:t>
      </w:r>
      <w:r w:rsidR="00FE22A8" w:rsidRPr="004C5551">
        <w:t>7</w:t>
      </w:r>
      <w:r w:rsidR="009425AA" w:rsidRPr="004C5551">
        <w:t> %</w:t>
      </w:r>
      <w:r w:rsidRPr="004C5551">
        <w:t xml:space="preserve">. </w:t>
      </w:r>
    </w:p>
    <w:p w:rsidR="00291D9F" w:rsidRPr="004C5551" w:rsidRDefault="00291D9F" w:rsidP="00D6574F">
      <w:pPr>
        <w:ind w:firstLine="431"/>
        <w:rPr>
          <w:color w:val="000000" w:themeColor="text1"/>
        </w:rPr>
      </w:pPr>
      <w:r w:rsidRPr="004C5551">
        <w:rPr>
          <w:color w:val="000000" w:themeColor="text1"/>
        </w:rPr>
        <w:t xml:space="preserve">Medziročná </w:t>
      </w:r>
      <w:r w:rsidRPr="004C5551">
        <w:rPr>
          <w:b/>
          <w:color w:val="000000" w:themeColor="text1"/>
        </w:rPr>
        <w:t>miera inflácie</w:t>
      </w:r>
      <w:r w:rsidRPr="004C5551">
        <w:rPr>
          <w:color w:val="000000" w:themeColor="text1"/>
        </w:rPr>
        <w:t xml:space="preserve"> meraná indexom spotrebiteľských cien dosiahla za rok 2014 hodnotu v priemere -0,1</w:t>
      </w:r>
      <w:r w:rsidR="009425AA" w:rsidRPr="004C5551">
        <w:rPr>
          <w:color w:val="000000" w:themeColor="text1"/>
        </w:rPr>
        <w:t> %</w:t>
      </w:r>
      <w:r w:rsidRPr="004C5551">
        <w:rPr>
          <w:color w:val="000000" w:themeColor="text1"/>
        </w:rPr>
        <w:t>, čo znamená, že oproti predchádzajúcemu roku bola nižšia o 1,5 p. b. a zároveň v</w:t>
      </w:r>
      <w:r w:rsidR="00BA6C33" w:rsidRPr="004C5551">
        <w:rPr>
          <w:color w:val="000000" w:themeColor="text1"/>
        </w:rPr>
        <w:t> </w:t>
      </w:r>
      <w:r w:rsidRPr="004C5551">
        <w:rPr>
          <w:color w:val="000000" w:themeColor="text1"/>
        </w:rPr>
        <w:t>roku 2014 Slovensko historicky po prvýkrát zažívalo defláciu.</w:t>
      </w:r>
    </w:p>
    <w:p w:rsidR="00291D9F" w:rsidRPr="004C5551" w:rsidRDefault="00291D9F" w:rsidP="00D6574F">
      <w:pPr>
        <w:ind w:firstLine="431"/>
      </w:pPr>
      <w:r w:rsidRPr="004C5551">
        <w:rPr>
          <w:b/>
        </w:rPr>
        <w:t>Spotrebiteľské ceny</w:t>
      </w:r>
      <w:r w:rsidRPr="004C5551">
        <w:t xml:space="preserve"> počas väčšiny mesiacov klesali, a to najmä vďaka poklesu regulovaných cien a cien potravín. </w:t>
      </w:r>
      <w:r w:rsidRPr="004C5551">
        <w:rPr>
          <w:color w:val="000000" w:themeColor="text1"/>
        </w:rPr>
        <w:t>Priemerný rast jadrovej inflácie sa v roku 2014 medziročne spomalil o 1,3 p. b. na 0,2</w:t>
      </w:r>
      <w:r w:rsidR="009425AA" w:rsidRPr="004C5551">
        <w:rPr>
          <w:color w:val="000000" w:themeColor="text1"/>
        </w:rPr>
        <w:t> %</w:t>
      </w:r>
      <w:r w:rsidRPr="004C5551">
        <w:rPr>
          <w:color w:val="000000" w:themeColor="text1"/>
        </w:rPr>
        <w:t>, jej vývoj súvisel najmä s poklesom cien potravín. Čistá inflácia (bez zmien priamych daní) znížila medziročne dynamiku svojho rastu o 0,6 p. b. na 0,4</w:t>
      </w:r>
      <w:r w:rsidR="009425AA" w:rsidRPr="004C5551">
        <w:rPr>
          <w:color w:val="000000" w:themeColor="text1"/>
        </w:rPr>
        <w:t> %</w:t>
      </w:r>
      <w:r w:rsidRPr="004C5551">
        <w:rPr>
          <w:color w:val="000000" w:themeColor="text1"/>
        </w:rPr>
        <w:t>. Celkovú úroveň cien podľa klasifikácie individuálnej spotreby podľa účelu (COICOP) najviac ovplyvnili medziročný pokles cien za potraviny a nealkoholické nápoje o 0,8</w:t>
      </w:r>
      <w:r w:rsidR="009425AA" w:rsidRPr="004C5551">
        <w:rPr>
          <w:color w:val="000000" w:themeColor="text1"/>
        </w:rPr>
        <w:t> %</w:t>
      </w:r>
      <w:r w:rsidRPr="004C5551">
        <w:rPr>
          <w:color w:val="000000" w:themeColor="text1"/>
        </w:rPr>
        <w:t xml:space="preserve"> a pokles cien za bývanie, vodu, elektrinu a iné palivá </w:t>
      </w:r>
      <w:r w:rsidR="00BD494D" w:rsidRPr="004C5551">
        <w:rPr>
          <w:color w:val="000000" w:themeColor="text1"/>
        </w:rPr>
        <w:t>o </w:t>
      </w:r>
      <w:r w:rsidRPr="004C5551">
        <w:rPr>
          <w:color w:val="000000" w:themeColor="text1"/>
        </w:rPr>
        <w:t>0,</w:t>
      </w:r>
      <w:r w:rsidR="00FE22A8" w:rsidRPr="004C5551">
        <w:rPr>
          <w:color w:val="000000" w:themeColor="text1"/>
        </w:rPr>
        <w:t>6</w:t>
      </w:r>
      <w:r w:rsidR="009425AA" w:rsidRPr="004C5551">
        <w:rPr>
          <w:color w:val="000000" w:themeColor="text1"/>
        </w:rPr>
        <w:t> %</w:t>
      </w:r>
      <w:r w:rsidRPr="004C5551">
        <w:rPr>
          <w:color w:val="000000" w:themeColor="text1"/>
        </w:rPr>
        <w:t>. V priemere za rok 2014 vzrástli ceny v oblasti vzdelávania (o 3,</w:t>
      </w:r>
      <w:r w:rsidR="00FE22A8" w:rsidRPr="004C5551">
        <w:rPr>
          <w:color w:val="000000" w:themeColor="text1"/>
        </w:rPr>
        <w:t>9</w:t>
      </w:r>
      <w:r w:rsidR="009425AA" w:rsidRPr="004C5551">
        <w:rPr>
          <w:color w:val="000000" w:themeColor="text1"/>
        </w:rPr>
        <w:t> %</w:t>
      </w:r>
      <w:r w:rsidRPr="004C5551">
        <w:rPr>
          <w:color w:val="000000" w:themeColor="text1"/>
        </w:rPr>
        <w:t>), za alkoholické nápoje a tabak (o 1,</w:t>
      </w:r>
      <w:r w:rsidR="00FE22A8" w:rsidRPr="004C5551">
        <w:rPr>
          <w:color w:val="000000" w:themeColor="text1"/>
        </w:rPr>
        <w:t>8</w:t>
      </w:r>
      <w:r w:rsidR="009425AA" w:rsidRPr="004C5551">
        <w:rPr>
          <w:color w:val="000000" w:themeColor="text1"/>
        </w:rPr>
        <w:t> %</w:t>
      </w:r>
      <w:r w:rsidRPr="004C5551">
        <w:rPr>
          <w:color w:val="000000" w:themeColor="text1"/>
        </w:rPr>
        <w:t>), hotely, kaviarne a reštaurácie (o 1,</w:t>
      </w:r>
      <w:r w:rsidR="00FE22A8" w:rsidRPr="004C5551">
        <w:rPr>
          <w:color w:val="000000" w:themeColor="text1"/>
        </w:rPr>
        <w:t>2</w:t>
      </w:r>
      <w:r w:rsidR="009425AA" w:rsidRPr="004C5551">
        <w:rPr>
          <w:color w:val="000000" w:themeColor="text1"/>
        </w:rPr>
        <w:t> %</w:t>
      </w:r>
      <w:r w:rsidRPr="004C5551">
        <w:rPr>
          <w:color w:val="000000" w:themeColor="text1"/>
        </w:rPr>
        <w:t>), odevy a obuv (o 1,</w:t>
      </w:r>
      <w:r w:rsidR="00FE22A8" w:rsidRPr="004C5551">
        <w:rPr>
          <w:color w:val="000000" w:themeColor="text1"/>
        </w:rPr>
        <w:t>2</w:t>
      </w:r>
      <w:r w:rsidR="009425AA" w:rsidRPr="004C5551">
        <w:rPr>
          <w:color w:val="000000" w:themeColor="text1"/>
        </w:rPr>
        <w:t> %</w:t>
      </w:r>
      <w:r w:rsidRPr="004C5551">
        <w:rPr>
          <w:color w:val="000000" w:themeColor="text1"/>
        </w:rPr>
        <w:t>), mierne vzrástli tiež v oblasti zdravia (o 0,</w:t>
      </w:r>
      <w:r w:rsidR="00FE22A8" w:rsidRPr="004C5551">
        <w:rPr>
          <w:color w:val="000000" w:themeColor="text1"/>
        </w:rPr>
        <w:t>8</w:t>
      </w:r>
      <w:r w:rsidR="009425AA" w:rsidRPr="004C5551">
        <w:rPr>
          <w:color w:val="000000" w:themeColor="text1"/>
        </w:rPr>
        <w:t> %</w:t>
      </w:r>
      <w:r w:rsidRPr="004C5551">
        <w:rPr>
          <w:color w:val="000000" w:themeColor="text1"/>
        </w:rPr>
        <w:t>), za rekreáciu a kultúru (o 0,</w:t>
      </w:r>
      <w:r w:rsidR="00FE22A8" w:rsidRPr="004C5551">
        <w:rPr>
          <w:color w:val="000000" w:themeColor="text1"/>
        </w:rPr>
        <w:t>7</w:t>
      </w:r>
      <w:r w:rsidR="009425AA" w:rsidRPr="004C5551">
        <w:rPr>
          <w:color w:val="000000" w:themeColor="text1"/>
        </w:rPr>
        <w:t> %</w:t>
      </w:r>
      <w:r w:rsidRPr="004C5551">
        <w:rPr>
          <w:color w:val="000000" w:themeColor="text1"/>
        </w:rPr>
        <w:t>) a za rozličné tovary a služby (o 0,</w:t>
      </w:r>
      <w:r w:rsidR="00FE22A8" w:rsidRPr="004C5551">
        <w:rPr>
          <w:color w:val="000000" w:themeColor="text1"/>
        </w:rPr>
        <w:t>7</w:t>
      </w:r>
      <w:r w:rsidR="009425AA" w:rsidRPr="004C5551">
        <w:rPr>
          <w:color w:val="000000" w:themeColor="text1"/>
        </w:rPr>
        <w:t> %</w:t>
      </w:r>
      <w:r w:rsidRPr="004C5551">
        <w:rPr>
          <w:color w:val="000000" w:themeColor="text1"/>
        </w:rPr>
        <w:t>). V ostatných kategóriách klasifikácie v priemere za rok ceny klesli.</w:t>
      </w:r>
    </w:p>
    <w:p w:rsidR="00862D47" w:rsidRPr="004C5551" w:rsidRDefault="00291D9F" w:rsidP="00590720">
      <w:pPr>
        <w:pStyle w:val="Normlnysozarkami12"/>
        <w:ind w:firstLine="431"/>
        <w:rPr>
          <w:color w:val="000000" w:themeColor="text1"/>
        </w:rPr>
      </w:pPr>
      <w:r w:rsidRPr="004C5551">
        <w:rPr>
          <w:color w:val="000000" w:themeColor="text1"/>
        </w:rPr>
        <w:t>Vplyvom zrýchlenia rastu hospodárstva podporovaného rastom domáceho dopytu sa v roku 2014 situácia na trhu práce zlepšila, čo sa prejavilo medziročným rastom celkovej zamestnanosti zisťovanej podľa oboch metodík Štatistického úradu SR (podľa výberového zisťovania pracovných síl i podľa štatistického výkazníctva) a poklesom miery evidovanej nezamestnanosti</w:t>
      </w:r>
      <w:r w:rsidRPr="004C5551">
        <w:rPr>
          <w:b/>
          <w:color w:val="000000" w:themeColor="text1"/>
        </w:rPr>
        <w:t xml:space="preserve"> </w:t>
      </w:r>
      <w:r w:rsidRPr="004C5551">
        <w:rPr>
          <w:color w:val="000000" w:themeColor="text1"/>
        </w:rPr>
        <w:t xml:space="preserve">i nezamestnanosti zisťovanej Štatistickým úradom SR. </w:t>
      </w:r>
      <w:r w:rsidRPr="004C5551">
        <w:rPr>
          <w:b/>
          <w:color w:val="000000" w:themeColor="text1"/>
        </w:rPr>
        <w:t>Celková zamestnanosť</w:t>
      </w:r>
      <w:r w:rsidRPr="004C5551">
        <w:rPr>
          <w:rStyle w:val="Odkaznapoznmkupodiarou"/>
          <w:color w:val="000000" w:themeColor="text1"/>
          <w:szCs w:val="22"/>
        </w:rPr>
        <w:footnoteReference w:id="2"/>
      </w:r>
      <w:r w:rsidRPr="004C5551">
        <w:rPr>
          <w:color w:val="000000" w:themeColor="text1"/>
        </w:rPr>
        <w:t xml:space="preserve"> podľa údajov Štatistického úradu SR v roku 2014 vzrástla o 1,</w:t>
      </w:r>
      <w:r w:rsidR="009425AA" w:rsidRPr="004C5551">
        <w:rPr>
          <w:color w:val="000000" w:themeColor="text1"/>
        </w:rPr>
        <w:t>4 %</w:t>
      </w:r>
      <w:r w:rsidRPr="004C5551">
        <w:rPr>
          <w:color w:val="000000" w:themeColor="text1"/>
        </w:rPr>
        <w:t xml:space="preserve"> a v priemere za rok predstavovala 2 363 tis. pracujúcich osôb. </w:t>
      </w:r>
      <w:r w:rsidRPr="004C5551">
        <w:rPr>
          <w:b/>
          <w:color w:val="000000" w:themeColor="text1"/>
        </w:rPr>
        <w:t>Zamestnanosť</w:t>
      </w:r>
      <w:r w:rsidRPr="004C5551">
        <w:rPr>
          <w:color w:val="000000" w:themeColor="text1"/>
        </w:rPr>
        <w:t xml:space="preserve"> absolútne vzrástla o 33,7 tis. osôb, a to najmä v dôsledku rastu počtu pracovných miest a pracujúcich v domácej ekonomike, pretože počet </w:t>
      </w:r>
      <w:r w:rsidR="00903304" w:rsidRPr="004C5551">
        <w:rPr>
          <w:color w:val="000000" w:themeColor="text1"/>
        </w:rPr>
        <w:t>od</w:t>
      </w:r>
      <w:r w:rsidRPr="004C5551">
        <w:rPr>
          <w:color w:val="000000" w:themeColor="text1"/>
        </w:rPr>
        <w:t xml:space="preserve">chádzajúcich a krátkodobo migrujúcich </w:t>
      </w:r>
      <w:r w:rsidR="00BD494D" w:rsidRPr="004C5551">
        <w:rPr>
          <w:color w:val="000000" w:themeColor="text1"/>
        </w:rPr>
        <w:t>za </w:t>
      </w:r>
      <w:r w:rsidRPr="004C5551">
        <w:rPr>
          <w:color w:val="000000" w:themeColor="text1"/>
        </w:rPr>
        <w:t>prácou do</w:t>
      </w:r>
      <w:r w:rsidR="00BA6C33" w:rsidRPr="004C5551">
        <w:rPr>
          <w:color w:val="000000" w:themeColor="text1"/>
        </w:rPr>
        <w:t> </w:t>
      </w:r>
      <w:r w:rsidRPr="004C5551">
        <w:rPr>
          <w:color w:val="000000" w:themeColor="text1"/>
        </w:rPr>
        <w:t>zahraničia (s pobytom do 1 roka) medziročne mierne poklesol. Počet zamestnancov sa medziročne zvýšil o 1,</w:t>
      </w:r>
      <w:r w:rsidR="009425AA" w:rsidRPr="004C5551">
        <w:rPr>
          <w:color w:val="000000" w:themeColor="text1"/>
        </w:rPr>
        <w:t>6 %</w:t>
      </w:r>
      <w:r w:rsidRPr="004C5551">
        <w:rPr>
          <w:color w:val="000000" w:themeColor="text1"/>
        </w:rPr>
        <w:t xml:space="preserve"> na 1 999,3 tis. osôb; počet podnikateľov sa zvýšil o 0,</w:t>
      </w:r>
      <w:r w:rsidR="009425AA" w:rsidRPr="004C5551">
        <w:rPr>
          <w:color w:val="000000" w:themeColor="text1"/>
        </w:rPr>
        <w:t>4 %</w:t>
      </w:r>
      <w:r w:rsidRPr="004C5551">
        <w:rPr>
          <w:color w:val="000000" w:themeColor="text1"/>
        </w:rPr>
        <w:t xml:space="preserve"> na 362 tis., najmä vďaka rastu počtu podnikateľov so zamestnancami (o 4,</w:t>
      </w:r>
      <w:r w:rsidR="009425AA" w:rsidRPr="004C5551">
        <w:rPr>
          <w:color w:val="000000" w:themeColor="text1"/>
        </w:rPr>
        <w:t>9 %</w:t>
      </w:r>
      <w:r w:rsidRPr="004C5551">
        <w:rPr>
          <w:color w:val="000000" w:themeColor="text1"/>
        </w:rPr>
        <w:t>). Z odvetvového hľadiska k rastu zamestnanosti najviac prispel rast počtu pracujúcich v oblasti priemyslu, zdravotníctva a sociálnej pomoci, verejnej správy, obrany a povinného sociálneho zabezpečenia, umenia, zábavy a rekreácie a v oblasti ubytovacích a stravovacích služieb. Miera zamestnanosti</w:t>
      </w:r>
      <w:r w:rsidRPr="004C5551">
        <w:rPr>
          <w:color w:val="000000" w:themeColor="text1"/>
          <w:vertAlign w:val="superscript"/>
        </w:rPr>
        <w:footnoteReference w:id="3"/>
      </w:r>
      <w:r w:rsidRPr="004C5551">
        <w:rPr>
          <w:color w:val="000000" w:themeColor="text1"/>
        </w:rPr>
        <w:t xml:space="preserve"> vzrástla o 0,9 p. b. na úroveň 65,</w:t>
      </w:r>
      <w:r w:rsidR="009425AA" w:rsidRPr="004C5551">
        <w:rPr>
          <w:color w:val="000000" w:themeColor="text1"/>
        </w:rPr>
        <w:t>9 %</w:t>
      </w:r>
      <w:r w:rsidRPr="004C5551">
        <w:rPr>
          <w:color w:val="000000" w:themeColor="text1"/>
        </w:rPr>
        <w:t xml:space="preserve">. </w:t>
      </w:r>
      <w:r w:rsidRPr="004C5551">
        <w:rPr>
          <w:b/>
          <w:color w:val="000000" w:themeColor="text1"/>
        </w:rPr>
        <w:t>Nezamestnanosť</w:t>
      </w:r>
      <w:r w:rsidRPr="004C5551">
        <w:rPr>
          <w:color w:val="000000" w:themeColor="text1"/>
        </w:rPr>
        <w:t xml:space="preserve"> podľa evidencie Ústredia práce, sociálnych vecí a rodiny i nezamestnanosť podľa Štatistického úradu SR</w:t>
      </w:r>
      <w:r w:rsidRPr="004C5551">
        <w:rPr>
          <w:rStyle w:val="Odkaznapoznmkupodiarou"/>
          <w:color w:val="000000" w:themeColor="text1"/>
          <w:szCs w:val="22"/>
        </w:rPr>
        <w:footnoteReference w:id="4"/>
      </w:r>
      <w:r w:rsidRPr="004C5551">
        <w:rPr>
          <w:b/>
          <w:color w:val="000000" w:themeColor="text1"/>
        </w:rPr>
        <w:t xml:space="preserve"> </w:t>
      </w:r>
      <w:r w:rsidRPr="004C5551">
        <w:rPr>
          <w:color w:val="000000" w:themeColor="text1"/>
        </w:rPr>
        <w:t>v priemere za rok 2014 klesla, pričom</w:t>
      </w:r>
      <w:r w:rsidR="00E87494" w:rsidRPr="004C5551">
        <w:rPr>
          <w:color w:val="000000" w:themeColor="text1"/>
        </w:rPr>
        <w:t xml:space="preserve"> celkový priemerný</w:t>
      </w:r>
      <w:r w:rsidRPr="004C5551">
        <w:rPr>
          <w:color w:val="000000" w:themeColor="text1"/>
        </w:rPr>
        <w:t xml:space="preserve"> počet evidovaných nezamestnaných sa medziročne znížil o 7,07</w:t>
      </w:r>
      <w:r w:rsidR="009425AA" w:rsidRPr="004C5551">
        <w:rPr>
          <w:color w:val="000000" w:themeColor="text1"/>
        </w:rPr>
        <w:t> %</w:t>
      </w:r>
      <w:r w:rsidRPr="004C5551">
        <w:rPr>
          <w:color w:val="000000" w:themeColor="text1"/>
        </w:rPr>
        <w:t xml:space="preserve"> na 385 661 osôb</w:t>
      </w:r>
      <w:r w:rsidRPr="004C5551">
        <w:rPr>
          <w:rStyle w:val="Odkaznapoznmkupodiarou"/>
          <w:color w:val="000000" w:themeColor="text1"/>
        </w:rPr>
        <w:footnoteReference w:id="5"/>
      </w:r>
      <w:r w:rsidR="00E87494" w:rsidRPr="004C5551">
        <w:rPr>
          <w:color w:val="000000" w:themeColor="text1"/>
        </w:rPr>
        <w:t>, z toho počet disponibilných uchádzačov o zamestnanie o 9,35 % na 345 149 osôb</w:t>
      </w:r>
      <w:r w:rsidR="00E87494" w:rsidRPr="004C5551">
        <w:rPr>
          <w:rStyle w:val="Odkaznapoznmkupodiarou"/>
          <w:color w:val="000000" w:themeColor="text1"/>
        </w:rPr>
        <w:footnoteReference w:id="6"/>
      </w:r>
      <w:r w:rsidRPr="004C5551">
        <w:rPr>
          <w:color w:val="000000" w:themeColor="text1"/>
        </w:rPr>
        <w:t xml:space="preserve"> a počet nezamestnaných podľa výberového zisťovania pracovných síl o 7,1</w:t>
      </w:r>
      <w:r w:rsidR="009425AA" w:rsidRPr="004C5551">
        <w:rPr>
          <w:color w:val="000000" w:themeColor="text1"/>
        </w:rPr>
        <w:t> %</w:t>
      </w:r>
      <w:r w:rsidRPr="004C5551">
        <w:rPr>
          <w:color w:val="000000" w:themeColor="text1"/>
        </w:rPr>
        <w:t xml:space="preserve"> na 358,7 tis. osôb. Priemerná miera evidovanej nezamestnanosti klesla celoročne na 12,</w:t>
      </w:r>
      <w:r w:rsidR="009425AA" w:rsidRPr="004C5551">
        <w:rPr>
          <w:color w:val="000000" w:themeColor="text1"/>
        </w:rPr>
        <w:t>79 %</w:t>
      </w:r>
      <w:r w:rsidRPr="004C5551">
        <w:rPr>
          <w:color w:val="000000" w:themeColor="text1"/>
        </w:rPr>
        <w:t xml:space="preserve"> (o 1,32 p. b.)</w:t>
      </w:r>
      <w:r w:rsidRPr="004C5551">
        <w:rPr>
          <w:rStyle w:val="Odkaznapoznmkupodiarou"/>
          <w:color w:val="000000" w:themeColor="text1"/>
        </w:rPr>
        <w:footnoteReference w:id="7"/>
      </w:r>
      <w:r w:rsidRPr="004C5551">
        <w:rPr>
          <w:color w:val="000000" w:themeColor="text1"/>
        </w:rPr>
        <w:t xml:space="preserve"> a miera nezamestnanosti podľa VZPS klesla v priemere za rok na 13,</w:t>
      </w:r>
      <w:r w:rsidR="009425AA" w:rsidRPr="004C5551">
        <w:rPr>
          <w:color w:val="000000" w:themeColor="text1"/>
        </w:rPr>
        <w:t>2 %</w:t>
      </w:r>
      <w:r w:rsidRPr="004C5551">
        <w:rPr>
          <w:color w:val="000000" w:themeColor="text1"/>
        </w:rPr>
        <w:t xml:space="preserve">, čo bolo o 1 p. b. menej ako v roku 2013. </w:t>
      </w:r>
      <w:r w:rsidR="00903304" w:rsidRPr="004C5551">
        <w:rPr>
          <w:color w:val="000000" w:themeColor="text1"/>
        </w:rPr>
        <w:t xml:space="preserve">Podľa údajov ŠÚ SR z podnikového výkazníctva sa priemerný </w:t>
      </w:r>
      <w:r w:rsidR="00903304" w:rsidRPr="004C5551">
        <w:rPr>
          <w:b/>
          <w:color w:val="000000" w:themeColor="text1"/>
        </w:rPr>
        <w:t>počet voľných pracovných miest</w:t>
      </w:r>
      <w:r w:rsidR="00903304" w:rsidRPr="004C5551">
        <w:rPr>
          <w:color w:val="000000" w:themeColor="text1"/>
        </w:rPr>
        <w:t xml:space="preserve"> v roku 2014 v porovnaní s rokom 2013 zvýšil o</w:t>
      </w:r>
      <w:r w:rsidRPr="004C5551">
        <w:rPr>
          <w:color w:val="000000" w:themeColor="text1"/>
        </w:rPr>
        <w:t> 998 (o 6,6</w:t>
      </w:r>
      <w:r w:rsidR="009425AA" w:rsidRPr="004C5551">
        <w:rPr>
          <w:color w:val="000000" w:themeColor="text1"/>
        </w:rPr>
        <w:t> %</w:t>
      </w:r>
      <w:r w:rsidRPr="004C5551">
        <w:rPr>
          <w:color w:val="000000" w:themeColor="text1"/>
        </w:rPr>
        <w:t>) na 16 046 miest.</w:t>
      </w:r>
    </w:p>
    <w:p w:rsidR="00291D9F" w:rsidRPr="004C5551" w:rsidRDefault="00291D9F" w:rsidP="00D6574F">
      <w:pPr>
        <w:pStyle w:val="Normlnysozarkami12"/>
        <w:ind w:firstLine="431"/>
        <w:rPr>
          <w:color w:val="000000" w:themeColor="text1"/>
        </w:rPr>
      </w:pPr>
      <w:r w:rsidRPr="004C5551">
        <w:rPr>
          <w:b/>
          <w:color w:val="000000" w:themeColor="text1"/>
        </w:rPr>
        <w:t>Priemerná mesačná nominálna mzda</w:t>
      </w:r>
      <w:r w:rsidRPr="004C5551">
        <w:rPr>
          <w:color w:val="000000" w:themeColor="text1"/>
          <w:vertAlign w:val="superscript"/>
        </w:rPr>
        <w:footnoteReference w:id="8"/>
      </w:r>
      <w:r w:rsidRPr="004C5551">
        <w:rPr>
          <w:color w:val="000000" w:themeColor="text1"/>
        </w:rPr>
        <w:t xml:space="preserve"> zamestnanca v hospodárstve sa v priemere za rok 2014 medziročne zvýšila o 4,1</w:t>
      </w:r>
      <w:r w:rsidR="009425AA" w:rsidRPr="004C5551">
        <w:rPr>
          <w:color w:val="000000" w:themeColor="text1"/>
        </w:rPr>
        <w:t> %</w:t>
      </w:r>
      <w:r w:rsidRPr="004C5551">
        <w:rPr>
          <w:color w:val="000000" w:themeColor="text1"/>
        </w:rPr>
        <w:t xml:space="preserve"> na hodnotu 858 </w:t>
      </w:r>
      <w:r w:rsidR="00AA0137" w:rsidRPr="004C5551">
        <w:rPr>
          <w:color w:val="000000" w:themeColor="text1"/>
        </w:rPr>
        <w:t>eur</w:t>
      </w:r>
      <w:r w:rsidRPr="004C5551">
        <w:rPr>
          <w:color w:val="000000" w:themeColor="text1"/>
        </w:rPr>
        <w:t>. Reálna mzda po zohľadnení vývoja spotre</w:t>
      </w:r>
      <w:r w:rsidRPr="004C5551">
        <w:rPr>
          <w:color w:val="000000" w:themeColor="text1"/>
        </w:rPr>
        <w:softHyphen/>
        <w:t>biteľských cien vzrástla viac, a to o 4,2</w:t>
      </w:r>
      <w:r w:rsidR="009425AA" w:rsidRPr="004C5551">
        <w:rPr>
          <w:color w:val="000000" w:themeColor="text1"/>
        </w:rPr>
        <w:t> %</w:t>
      </w:r>
      <w:r w:rsidRPr="004C5551">
        <w:rPr>
          <w:color w:val="000000" w:themeColor="text1"/>
        </w:rPr>
        <w:t>. Štrukturálne hlbšie porovnanie makroekonomických ukazo</w:t>
      </w:r>
      <w:r w:rsidRPr="004C5551">
        <w:rPr>
          <w:color w:val="000000" w:themeColor="text1"/>
        </w:rPr>
        <w:softHyphen/>
        <w:t>vateľov, ako aj porovnanie v medzinárodnom meradle je uvedené v nasledujúcich kapitolách správy.</w:t>
      </w:r>
    </w:p>
    <w:p w:rsidR="00291D9F" w:rsidRPr="004C5551" w:rsidRDefault="00291D9F" w:rsidP="00D6574F">
      <w:pPr>
        <w:pStyle w:val="Normlnysozarkami12"/>
        <w:ind w:firstLine="431"/>
        <w:rPr>
          <w:color w:val="000000" w:themeColor="text1"/>
        </w:rPr>
      </w:pPr>
      <w:r w:rsidRPr="004C5551">
        <w:rPr>
          <w:b/>
          <w:color w:val="000000" w:themeColor="text1"/>
        </w:rPr>
        <w:t>Bežné príjmy domácností</w:t>
      </w:r>
      <w:r w:rsidRPr="004C5551">
        <w:rPr>
          <w:b/>
          <w:color w:val="000000" w:themeColor="text1"/>
          <w:vertAlign w:val="superscript"/>
        </w:rPr>
        <w:footnoteReference w:id="9"/>
      </w:r>
      <w:r w:rsidRPr="004C5551">
        <w:rPr>
          <w:color w:val="000000" w:themeColor="text1"/>
        </w:rPr>
        <w:t xml:space="preserve"> medziročne nominálne vzrástli o 3,3</w:t>
      </w:r>
      <w:r w:rsidR="009425AA" w:rsidRPr="004C5551">
        <w:rPr>
          <w:color w:val="000000" w:themeColor="text1"/>
        </w:rPr>
        <w:t> %</w:t>
      </w:r>
      <w:r w:rsidRPr="004C5551">
        <w:rPr>
          <w:color w:val="000000" w:themeColor="text1"/>
        </w:rPr>
        <w:t>. Z celkového objemu 63 104,99 mil. </w:t>
      </w:r>
      <w:r w:rsidR="00AA0137" w:rsidRPr="004C5551">
        <w:rPr>
          <w:color w:val="000000" w:themeColor="text1"/>
        </w:rPr>
        <w:t>eur</w:t>
      </w:r>
      <w:r w:rsidRPr="004C5551">
        <w:rPr>
          <w:color w:val="000000" w:themeColor="text1"/>
        </w:rPr>
        <w:t xml:space="preserve"> najväčšiu časť tvorili od</w:t>
      </w:r>
      <w:r w:rsidRPr="004C5551">
        <w:rPr>
          <w:color w:val="000000" w:themeColor="text1"/>
        </w:rPr>
        <w:softHyphen/>
        <w:t>me</w:t>
      </w:r>
      <w:r w:rsidRPr="004C5551">
        <w:rPr>
          <w:color w:val="000000" w:themeColor="text1"/>
        </w:rPr>
        <w:softHyphen/>
        <w:t>ny zamestnancov (30 307,82 mil. </w:t>
      </w:r>
      <w:r w:rsidR="00AA0137" w:rsidRPr="004C5551">
        <w:rPr>
          <w:color w:val="000000" w:themeColor="text1"/>
        </w:rPr>
        <w:t>eur</w:t>
      </w:r>
      <w:r w:rsidRPr="004C5551">
        <w:rPr>
          <w:color w:val="000000" w:themeColor="text1"/>
        </w:rPr>
        <w:t>). Hrubý prevádzkový prebytok a hrubé zmie</w:t>
      </w:r>
      <w:r w:rsidRPr="004C5551">
        <w:rPr>
          <w:color w:val="000000" w:themeColor="text1"/>
        </w:rPr>
        <w:softHyphen/>
        <w:t>šané dôchodky dosiahli 18 048,15 mil. </w:t>
      </w:r>
      <w:r w:rsidR="00AA0137" w:rsidRPr="004C5551">
        <w:rPr>
          <w:color w:val="000000" w:themeColor="text1"/>
        </w:rPr>
        <w:t>eur</w:t>
      </w:r>
      <w:r w:rsidRPr="004C5551">
        <w:rPr>
          <w:color w:val="000000" w:themeColor="text1"/>
        </w:rPr>
        <w:t>, sociálne dávky</w:t>
      </w:r>
      <w:r w:rsidRPr="004C5551">
        <w:rPr>
          <w:color w:val="000000" w:themeColor="text1"/>
          <w:vertAlign w:val="superscript"/>
        </w:rPr>
        <w:footnoteReference w:id="10"/>
      </w:r>
      <w:r w:rsidRPr="004C5551">
        <w:rPr>
          <w:color w:val="000000" w:themeColor="text1"/>
        </w:rPr>
        <w:t xml:space="preserve"> 10 858,95 mil. </w:t>
      </w:r>
      <w:r w:rsidR="00AA0137" w:rsidRPr="004C5551">
        <w:rPr>
          <w:color w:val="000000" w:themeColor="text1"/>
        </w:rPr>
        <w:t>eur</w:t>
      </w:r>
      <w:r w:rsidRPr="004C5551">
        <w:rPr>
          <w:color w:val="000000" w:themeColor="text1"/>
        </w:rPr>
        <w:t>, ostatné bežné transfery 2 091,10 mil. </w:t>
      </w:r>
      <w:r w:rsidR="00AA0137" w:rsidRPr="004C5551">
        <w:rPr>
          <w:color w:val="000000" w:themeColor="text1"/>
        </w:rPr>
        <w:t>eur</w:t>
      </w:r>
      <w:r w:rsidRPr="004C5551">
        <w:rPr>
          <w:color w:val="000000" w:themeColor="text1"/>
        </w:rPr>
        <w:t xml:space="preserve"> a dôchodky z majetku (príjmové) 1 798,96 mil. </w:t>
      </w:r>
      <w:r w:rsidR="00AA0137" w:rsidRPr="004C5551">
        <w:rPr>
          <w:color w:val="000000" w:themeColor="text1"/>
        </w:rPr>
        <w:t>eur</w:t>
      </w:r>
      <w:r w:rsidRPr="004C5551">
        <w:rPr>
          <w:color w:val="000000" w:themeColor="text1"/>
        </w:rPr>
        <w:t>. Nominálny nárast bežných príjmov domácností najviac ovplyvnili odmeny zamestnancov, ktoré sa medziročne zvýšili o 5,4</w:t>
      </w:r>
      <w:r w:rsidR="009425AA" w:rsidRPr="004C5551">
        <w:rPr>
          <w:color w:val="000000" w:themeColor="text1"/>
        </w:rPr>
        <w:t> %</w:t>
      </w:r>
      <w:r w:rsidRPr="004C5551">
        <w:rPr>
          <w:color w:val="000000" w:themeColor="text1"/>
        </w:rPr>
        <w:t>, z toho hrubé mzdy a platy o 5,</w:t>
      </w:r>
      <w:r w:rsidR="009425AA" w:rsidRPr="004C5551">
        <w:rPr>
          <w:color w:val="000000" w:themeColor="text1"/>
        </w:rPr>
        <w:t>9 %</w:t>
      </w:r>
      <w:r w:rsidR="0003544F" w:rsidRPr="004C5551">
        <w:rPr>
          <w:color w:val="000000" w:themeColor="text1"/>
        </w:rPr>
        <w:t xml:space="preserve">. </w:t>
      </w:r>
      <w:r w:rsidRPr="004C5551">
        <w:rPr>
          <w:color w:val="000000" w:themeColor="text1"/>
        </w:rPr>
        <w:t>K rastu prispeli aj sociálne dávky, ktoré medziročne vzrástli o 2,0</w:t>
      </w:r>
      <w:r w:rsidR="009425AA" w:rsidRPr="004C5551">
        <w:rPr>
          <w:color w:val="000000" w:themeColor="text1"/>
        </w:rPr>
        <w:t> %</w:t>
      </w:r>
      <w:r w:rsidRPr="004C5551">
        <w:rPr>
          <w:color w:val="000000" w:themeColor="text1"/>
        </w:rPr>
        <w:t xml:space="preserve"> a hrubý prevádzkový prebytok a hrubé zmiešané dôchodky, ktoré medziročne vzrástli o 1,1</w:t>
      </w:r>
      <w:r w:rsidR="009425AA" w:rsidRPr="004C5551">
        <w:rPr>
          <w:color w:val="000000" w:themeColor="text1"/>
        </w:rPr>
        <w:t> %</w:t>
      </w:r>
      <w:r w:rsidRPr="004C5551">
        <w:rPr>
          <w:color w:val="000000" w:themeColor="text1"/>
        </w:rPr>
        <w:t xml:space="preserve">. Žiadna zo zložiek príjmov domácností medziročne nezaznamenala nominálny pokles. </w:t>
      </w:r>
    </w:p>
    <w:p w:rsidR="00291D9F" w:rsidRPr="004C5551" w:rsidRDefault="00291D9F" w:rsidP="00D6574F">
      <w:pPr>
        <w:pStyle w:val="Normlnysozarkami12"/>
        <w:ind w:firstLine="431"/>
        <w:rPr>
          <w:color w:val="000000" w:themeColor="text1"/>
        </w:rPr>
      </w:pPr>
      <w:r w:rsidRPr="004C5551">
        <w:rPr>
          <w:b/>
          <w:color w:val="000000" w:themeColor="text1"/>
        </w:rPr>
        <w:t>Bežné výdavky do</w:t>
      </w:r>
      <w:r w:rsidRPr="004C5551">
        <w:rPr>
          <w:b/>
          <w:color w:val="000000" w:themeColor="text1"/>
        </w:rPr>
        <w:softHyphen/>
        <w:t>mác</w:t>
      </w:r>
      <w:r w:rsidRPr="004C5551">
        <w:rPr>
          <w:b/>
          <w:color w:val="000000" w:themeColor="text1"/>
        </w:rPr>
        <w:softHyphen/>
        <w:t>ností</w:t>
      </w:r>
      <w:r w:rsidRPr="004C5551">
        <w:rPr>
          <w:b/>
          <w:color w:val="000000" w:themeColor="text1"/>
          <w:vertAlign w:val="superscript"/>
        </w:rPr>
        <w:footnoteReference w:id="11"/>
      </w:r>
      <w:r w:rsidRPr="004C5551">
        <w:rPr>
          <w:color w:val="000000" w:themeColor="text1"/>
        </w:rPr>
        <w:t xml:space="preserve"> dosiahli 16 980,93 mil. </w:t>
      </w:r>
      <w:r w:rsidR="00AA0137" w:rsidRPr="004C5551">
        <w:rPr>
          <w:color w:val="000000" w:themeColor="text1"/>
        </w:rPr>
        <w:t>eur</w:t>
      </w:r>
      <w:r w:rsidRPr="004C5551">
        <w:rPr>
          <w:color w:val="000000" w:themeColor="text1"/>
        </w:rPr>
        <w:t xml:space="preserve"> a v porovnaní s rokom 2013 no</w:t>
      </w:r>
      <w:r w:rsidRPr="004C5551">
        <w:rPr>
          <w:color w:val="000000" w:themeColor="text1"/>
        </w:rPr>
        <w:softHyphen/>
        <w:t>minálne vzrástli o 2,8</w:t>
      </w:r>
      <w:r w:rsidR="009425AA" w:rsidRPr="004C5551">
        <w:rPr>
          <w:color w:val="000000" w:themeColor="text1"/>
        </w:rPr>
        <w:t> %</w:t>
      </w:r>
      <w:r w:rsidRPr="004C5551">
        <w:rPr>
          <w:color w:val="000000" w:themeColor="text1"/>
        </w:rPr>
        <w:t>. Rast bežných výdavkov súvisel najmä so zvýšením čistých sociálnych príspevkov (o 2,7</w:t>
      </w:r>
      <w:r w:rsidR="009425AA" w:rsidRPr="004C5551">
        <w:rPr>
          <w:color w:val="000000" w:themeColor="text1"/>
        </w:rPr>
        <w:t> %</w:t>
      </w:r>
      <w:r w:rsidRPr="004C5551">
        <w:rPr>
          <w:color w:val="000000" w:themeColor="text1"/>
        </w:rPr>
        <w:t>) a ostatných bežných výdavkových transferov (o 1,</w:t>
      </w:r>
      <w:r w:rsidR="009425AA" w:rsidRPr="004C5551">
        <w:rPr>
          <w:color w:val="000000" w:themeColor="text1"/>
        </w:rPr>
        <w:t>7 %</w:t>
      </w:r>
      <w:r w:rsidRPr="004C5551">
        <w:rPr>
          <w:color w:val="000000" w:themeColor="text1"/>
        </w:rPr>
        <w:t>), tlmený bol poklesom bežných daní z dôchodkov, majetku atď. (o 1,5</w:t>
      </w:r>
      <w:r w:rsidR="009425AA" w:rsidRPr="004C5551">
        <w:rPr>
          <w:color w:val="000000" w:themeColor="text1"/>
        </w:rPr>
        <w:t> %</w:t>
      </w:r>
      <w:r w:rsidRPr="004C5551">
        <w:rPr>
          <w:color w:val="000000" w:themeColor="text1"/>
        </w:rPr>
        <w:t>). Výdavkové dôchodky z majetku medziročne stúpli o 49,3</w:t>
      </w:r>
      <w:r w:rsidR="009425AA" w:rsidRPr="004C5551">
        <w:rPr>
          <w:color w:val="000000" w:themeColor="text1"/>
        </w:rPr>
        <w:t> %</w:t>
      </w:r>
      <w:r w:rsidRPr="004C5551">
        <w:rPr>
          <w:color w:val="000000" w:themeColor="text1"/>
        </w:rPr>
        <w:t>. Po uhradení bež</w:t>
      </w:r>
      <w:r w:rsidRPr="004C5551">
        <w:rPr>
          <w:color w:val="000000" w:themeColor="text1"/>
        </w:rPr>
        <w:softHyphen/>
        <w:t>ných výdavkov ostal domácnostiam na ďalšie po</w:t>
      </w:r>
      <w:r w:rsidRPr="004C5551">
        <w:rPr>
          <w:color w:val="000000" w:themeColor="text1"/>
        </w:rPr>
        <w:softHyphen/>
        <w:t>užitie hrubý disponibilný dôchodok vo výške 46 124,06 mil. </w:t>
      </w:r>
      <w:r w:rsidR="00AA0137" w:rsidRPr="004C5551">
        <w:rPr>
          <w:color w:val="000000" w:themeColor="text1"/>
        </w:rPr>
        <w:t>eur</w:t>
      </w:r>
      <w:r w:rsidRPr="004C5551">
        <w:rPr>
          <w:color w:val="000000" w:themeColor="text1"/>
        </w:rPr>
        <w:t>, ktorý sa medziročne zvýšil o 3,5</w:t>
      </w:r>
      <w:r w:rsidR="009425AA" w:rsidRPr="004C5551">
        <w:rPr>
          <w:color w:val="000000" w:themeColor="text1"/>
        </w:rPr>
        <w:t> %</w:t>
      </w:r>
      <w:r w:rsidRPr="004C5551">
        <w:rPr>
          <w:color w:val="000000" w:themeColor="text1"/>
        </w:rPr>
        <w:t>.</w:t>
      </w:r>
    </w:p>
    <w:p w:rsidR="00291D9F" w:rsidRPr="004C5551" w:rsidRDefault="00291D9F" w:rsidP="00D6574F">
      <w:pPr>
        <w:pStyle w:val="Normlnysozarkami12"/>
        <w:ind w:firstLine="431"/>
        <w:rPr>
          <w:color w:val="000000" w:themeColor="text1"/>
        </w:rPr>
      </w:pPr>
      <w:r w:rsidRPr="004C5551">
        <w:rPr>
          <w:color w:val="000000" w:themeColor="text1"/>
        </w:rPr>
        <w:t>Z hrubého disponibilného dôchodku použili domácnosti na konečnú spotrebu 41 866,90 mil. </w:t>
      </w:r>
      <w:r w:rsidR="00AA0137" w:rsidRPr="004C5551">
        <w:rPr>
          <w:color w:val="000000" w:themeColor="text1"/>
        </w:rPr>
        <w:t>eur</w:t>
      </w:r>
      <w:r w:rsidRPr="004C5551">
        <w:rPr>
          <w:color w:val="000000" w:themeColor="text1"/>
        </w:rPr>
        <w:t>, zvyšok smeroval do hrubých úspo</w:t>
      </w:r>
      <w:r w:rsidRPr="004C5551">
        <w:rPr>
          <w:color w:val="000000" w:themeColor="text1"/>
        </w:rPr>
        <w:softHyphen/>
        <w:t>r, ktoré tvorili 4 837,81 mil. </w:t>
      </w:r>
      <w:r w:rsidR="00AA0137" w:rsidRPr="004C5551">
        <w:rPr>
          <w:color w:val="000000" w:themeColor="text1"/>
        </w:rPr>
        <w:t>eur</w:t>
      </w:r>
      <w:r w:rsidRPr="004C5551">
        <w:rPr>
          <w:color w:val="000000" w:themeColor="text1"/>
        </w:rPr>
        <w:t>. Konečná spotreba domácností v roku 2014 zrýchlila svoj rast, vzrástla nominálne o 2,1 % (v roku 2013 o 0,6 %) a hrubé úspory klesli o 3,5 %, čo bol menší pokles ako predchádzajúci rok (o 11,</w:t>
      </w:r>
      <w:r w:rsidR="009425AA" w:rsidRPr="004C5551">
        <w:rPr>
          <w:color w:val="000000" w:themeColor="text1"/>
        </w:rPr>
        <w:t>0 </w:t>
      </w:r>
      <w:r w:rsidRPr="004C5551">
        <w:rPr>
          <w:color w:val="000000" w:themeColor="text1"/>
        </w:rPr>
        <w:t>% v roku 2012). Miera hrubých úspor (podiel hrubých úspor na hru</w:t>
      </w:r>
      <w:r w:rsidRPr="004C5551">
        <w:rPr>
          <w:color w:val="000000" w:themeColor="text1"/>
        </w:rPr>
        <w:softHyphen/>
        <w:t>bom dis</w:t>
      </w:r>
      <w:r w:rsidRPr="004C5551">
        <w:rPr>
          <w:color w:val="000000" w:themeColor="text1"/>
        </w:rPr>
        <w:softHyphen/>
        <w:t xml:space="preserve">ponibilnom dôchodku) stúpla o 1,4 p. b. </w:t>
      </w:r>
      <w:r w:rsidR="00BD494D" w:rsidRPr="004C5551">
        <w:rPr>
          <w:color w:val="000000" w:themeColor="text1"/>
        </w:rPr>
        <w:t>na </w:t>
      </w:r>
      <w:r w:rsidRPr="004C5551">
        <w:rPr>
          <w:color w:val="000000" w:themeColor="text1"/>
        </w:rPr>
        <w:t>10,5 %. Domácnosti v roku 2014 vynaložili viac finančných prostriedkov najmä na dopravu (</w:t>
      </w:r>
      <w:r w:rsidR="00BD494D" w:rsidRPr="004C5551">
        <w:rPr>
          <w:color w:val="000000" w:themeColor="text1"/>
        </w:rPr>
        <w:t>o </w:t>
      </w:r>
      <w:r w:rsidRPr="004C5551">
        <w:rPr>
          <w:color w:val="000000" w:themeColor="text1"/>
        </w:rPr>
        <w:t>5,7 %), vzdelávanie (o 3,8 %), na rekreáciu a kultúru (o 3,8 %), na alkoholické nápoje a tabak (</w:t>
      </w:r>
      <w:r w:rsidR="00BD494D" w:rsidRPr="004C5551">
        <w:rPr>
          <w:color w:val="000000" w:themeColor="text1"/>
        </w:rPr>
        <w:t>o </w:t>
      </w:r>
      <w:r w:rsidRPr="004C5551">
        <w:rPr>
          <w:color w:val="000000" w:themeColor="text1"/>
        </w:rPr>
        <w:t>3,3 %) a</w:t>
      </w:r>
      <w:r w:rsidR="00BA6C33" w:rsidRPr="004C5551">
        <w:rPr>
          <w:color w:val="000000" w:themeColor="text1"/>
        </w:rPr>
        <w:t> </w:t>
      </w:r>
      <w:r w:rsidRPr="004C5551">
        <w:rPr>
          <w:color w:val="000000" w:themeColor="text1"/>
        </w:rPr>
        <w:t>na</w:t>
      </w:r>
      <w:r w:rsidR="00BA6C33" w:rsidRPr="004C5551">
        <w:rPr>
          <w:color w:val="000000" w:themeColor="text1"/>
        </w:rPr>
        <w:t> </w:t>
      </w:r>
      <w:r w:rsidRPr="004C5551">
        <w:rPr>
          <w:color w:val="000000" w:themeColor="text1"/>
        </w:rPr>
        <w:t xml:space="preserve">potraviny a nealkoholické nápoje (o 3 %). Mierne vzrástli výdavky aj v ostatných oblastiach spotreby. Z hľadiska podielu tvorili podobne ako v roku 2013 najväčšiu časť súkromnej spotreby výdavky na bývanie, vodu, elektrinu, plyn a iné palivá 26,2 % (rast podielu na celkovej súkromnej spotrebe o 0,1 p. b.) a výdavky na nákup potravín a nealkoholických nápojov, a to 18,9 % </w:t>
      </w:r>
      <w:r w:rsidR="00BA6C33" w:rsidRPr="004C5551">
        <w:rPr>
          <w:color w:val="000000" w:themeColor="text1"/>
        </w:rPr>
        <w:br/>
      </w:r>
      <w:r w:rsidRPr="004C5551">
        <w:rPr>
          <w:color w:val="000000" w:themeColor="text1"/>
        </w:rPr>
        <w:t>(nárast o 0,6 p. b.). </w:t>
      </w:r>
    </w:p>
    <w:p w:rsidR="00291D9F" w:rsidRPr="004C5551" w:rsidRDefault="00291D9F" w:rsidP="00D6574F">
      <w:pPr>
        <w:pStyle w:val="Normlnysozarkami12"/>
        <w:ind w:firstLine="431"/>
        <w:rPr>
          <w:color w:val="000000" w:themeColor="text1"/>
        </w:rPr>
      </w:pPr>
      <w:r w:rsidRPr="004C5551">
        <w:rPr>
          <w:color w:val="000000" w:themeColor="text1"/>
        </w:rPr>
        <w:t>V priebehu roka 2014 sa začala výstavba 15 836 bytov, dokončilo sa 14 985 a ku kon</w:t>
      </w:r>
      <w:r w:rsidRPr="004C5551">
        <w:rPr>
          <w:color w:val="000000" w:themeColor="text1"/>
        </w:rPr>
        <w:softHyphen/>
        <w:t>cu decembra bolo rozostavaných 62 042 by</w:t>
      </w:r>
      <w:r w:rsidRPr="004C5551">
        <w:rPr>
          <w:color w:val="000000" w:themeColor="text1"/>
        </w:rPr>
        <w:softHyphen/>
        <w:t>tov. Ubudlo spolu 1 208 bytov, z toho asanáciou 1 109 bytov. V porovnaní s rokom 2013 sa počet rozostavaných bytov zvýšil o 1,1 % a počet dokon</w:t>
      </w:r>
      <w:r w:rsidRPr="004C5551">
        <w:rPr>
          <w:color w:val="000000" w:themeColor="text1"/>
        </w:rPr>
        <w:softHyphen/>
        <w:t xml:space="preserve">čených bytov znížil o 0,8 %. Počet začatých bytov sa medziročne zvýšil o 7,3 %. </w:t>
      </w:r>
    </w:p>
    <w:p w:rsidR="00291D9F" w:rsidRPr="004C5551" w:rsidRDefault="00291D9F" w:rsidP="00D6574F">
      <w:pPr>
        <w:ind w:firstLine="431"/>
        <w:rPr>
          <w:color w:val="000000" w:themeColor="text1"/>
        </w:rPr>
      </w:pPr>
      <w:r w:rsidRPr="004C5551">
        <w:rPr>
          <w:color w:val="000000" w:themeColor="text1"/>
        </w:rPr>
        <w:t xml:space="preserve">Makroekonomické ukazovatele sú zhrnuté </w:t>
      </w:r>
      <w:r w:rsidR="00460DEB" w:rsidRPr="004C5551">
        <w:rPr>
          <w:color w:val="000000" w:themeColor="text1"/>
        </w:rPr>
        <w:t>v prílohe ku kapitole 1.</w:t>
      </w:r>
    </w:p>
    <w:p w:rsidR="00955A5D" w:rsidRPr="004C5551" w:rsidRDefault="00955A5D" w:rsidP="00FA7D0F">
      <w:pPr>
        <w:ind w:firstLine="142"/>
        <w:rPr>
          <w:color w:val="000000" w:themeColor="text1"/>
        </w:rPr>
      </w:pPr>
    </w:p>
    <w:p w:rsidR="00137571" w:rsidRPr="004C5551" w:rsidRDefault="00137571" w:rsidP="00ED16E0">
      <w:pPr>
        <w:pStyle w:val="nadpis2"/>
      </w:pPr>
      <w:bookmarkStart w:id="73" w:name="_Toc356482616"/>
      <w:bookmarkStart w:id="74" w:name="_Toc356482808"/>
      <w:bookmarkStart w:id="75" w:name="_Toc422233401"/>
      <w:bookmarkStart w:id="76" w:name="_Toc313877460"/>
      <w:bookmarkEnd w:id="56"/>
      <w:bookmarkEnd w:id="57"/>
      <w:bookmarkEnd w:id="58"/>
      <w:bookmarkEnd w:id="59"/>
      <w:bookmarkEnd w:id="60"/>
      <w:bookmarkEnd w:id="61"/>
      <w:bookmarkEnd w:id="62"/>
      <w:bookmarkEnd w:id="63"/>
      <w:bookmarkEnd w:id="64"/>
      <w:bookmarkEnd w:id="65"/>
      <w:r w:rsidRPr="004C5551">
        <w:t>Vybrané demografické ukazovatele</w:t>
      </w:r>
      <w:bookmarkEnd w:id="73"/>
      <w:bookmarkEnd w:id="74"/>
      <w:bookmarkEnd w:id="75"/>
    </w:p>
    <w:p w:rsidR="00137571" w:rsidRPr="004C5551" w:rsidRDefault="00137571" w:rsidP="00D6574F">
      <w:pPr>
        <w:ind w:firstLine="431"/>
        <w:rPr>
          <w:color w:val="000000" w:themeColor="text1"/>
        </w:rPr>
      </w:pPr>
      <w:bookmarkStart w:id="77" w:name="_Toc325438104"/>
      <w:bookmarkStart w:id="78" w:name="_Toc325440878"/>
      <w:bookmarkStart w:id="79" w:name="_Toc325626691"/>
      <w:bookmarkStart w:id="80" w:name="_Toc326216952"/>
      <w:bookmarkStart w:id="81" w:name="_Toc294023472"/>
      <w:bookmarkStart w:id="82" w:name="_Toc294025711"/>
      <w:bookmarkStart w:id="83" w:name="_Toc294027950"/>
      <w:bookmarkEnd w:id="77"/>
      <w:bookmarkEnd w:id="78"/>
      <w:bookmarkEnd w:id="79"/>
      <w:bookmarkEnd w:id="80"/>
      <w:bookmarkEnd w:id="81"/>
      <w:bookmarkEnd w:id="82"/>
      <w:bookmarkEnd w:id="83"/>
      <w:r w:rsidRPr="004C5551">
        <w:rPr>
          <w:color w:val="000000" w:themeColor="text1"/>
        </w:rPr>
        <w:t>V roku 201</w:t>
      </w:r>
      <w:r w:rsidR="00424275" w:rsidRPr="004C5551">
        <w:rPr>
          <w:color w:val="000000" w:themeColor="text1"/>
        </w:rPr>
        <w:t>4</w:t>
      </w:r>
      <w:r w:rsidRPr="004C5551">
        <w:rPr>
          <w:color w:val="000000" w:themeColor="text1"/>
        </w:rPr>
        <w:t xml:space="preserve"> sa podľa</w:t>
      </w:r>
      <w:r w:rsidR="00C22AAC" w:rsidRPr="004C5551">
        <w:rPr>
          <w:color w:val="000000" w:themeColor="text1"/>
        </w:rPr>
        <w:t xml:space="preserve"> údajov Štatistického úradu SR </w:t>
      </w:r>
      <w:r w:rsidR="00B0361D" w:rsidRPr="004C5551">
        <w:rPr>
          <w:color w:val="000000" w:themeColor="text1"/>
        </w:rPr>
        <w:t>(ďalej len „</w:t>
      </w:r>
      <w:r w:rsidRPr="004C5551">
        <w:rPr>
          <w:color w:val="000000" w:themeColor="text1"/>
        </w:rPr>
        <w:t>ŠÚ SR</w:t>
      </w:r>
      <w:r w:rsidR="00B0361D" w:rsidRPr="004C5551">
        <w:rPr>
          <w:color w:val="000000" w:themeColor="text1"/>
        </w:rPr>
        <w:t>“</w:t>
      </w:r>
      <w:r w:rsidR="0016196A" w:rsidRPr="004C5551">
        <w:rPr>
          <w:color w:val="000000" w:themeColor="text1"/>
        </w:rPr>
        <w:t>) narodilo na </w:t>
      </w:r>
      <w:r w:rsidRPr="004C5551">
        <w:rPr>
          <w:color w:val="000000" w:themeColor="text1"/>
        </w:rPr>
        <w:t xml:space="preserve">Slovensku </w:t>
      </w:r>
      <w:r w:rsidR="00424275" w:rsidRPr="004C5551">
        <w:rPr>
          <w:color w:val="000000" w:themeColor="text1"/>
        </w:rPr>
        <w:t>55 033</w:t>
      </w:r>
      <w:r w:rsidR="009610EE" w:rsidRPr="004C5551">
        <w:rPr>
          <w:color w:val="000000" w:themeColor="text1"/>
        </w:rPr>
        <w:t xml:space="preserve"> živých detí, čo je o</w:t>
      </w:r>
      <w:r w:rsidR="00424275" w:rsidRPr="004C5551">
        <w:rPr>
          <w:color w:val="000000" w:themeColor="text1"/>
        </w:rPr>
        <w:t> 210 viac</w:t>
      </w:r>
      <w:r w:rsidRPr="004C5551">
        <w:rPr>
          <w:color w:val="000000" w:themeColor="text1"/>
        </w:rPr>
        <w:t xml:space="preserve"> ako v roku 201</w:t>
      </w:r>
      <w:r w:rsidR="00424275" w:rsidRPr="004C5551">
        <w:rPr>
          <w:color w:val="000000" w:themeColor="text1"/>
        </w:rPr>
        <w:t>3</w:t>
      </w:r>
      <w:r w:rsidRPr="004C5551">
        <w:rPr>
          <w:color w:val="000000" w:themeColor="text1"/>
        </w:rPr>
        <w:t>. Počet zomrelých sa z</w:t>
      </w:r>
      <w:r w:rsidR="009610EE" w:rsidRPr="004C5551">
        <w:rPr>
          <w:color w:val="000000" w:themeColor="text1"/>
        </w:rPr>
        <w:t>nížil</w:t>
      </w:r>
      <w:r w:rsidR="0016196A" w:rsidRPr="004C5551">
        <w:rPr>
          <w:color w:val="000000" w:themeColor="text1"/>
        </w:rPr>
        <w:t xml:space="preserve"> na </w:t>
      </w:r>
      <w:r w:rsidRPr="004C5551">
        <w:rPr>
          <w:color w:val="000000" w:themeColor="text1"/>
        </w:rPr>
        <w:t xml:space="preserve">hodnotu </w:t>
      </w:r>
      <w:r w:rsidR="00BA6C33" w:rsidRPr="004C5551">
        <w:rPr>
          <w:color w:val="000000" w:themeColor="text1"/>
        </w:rPr>
        <w:br/>
      </w:r>
      <w:r w:rsidR="00424275" w:rsidRPr="004C5551">
        <w:rPr>
          <w:color w:val="000000" w:themeColor="text1"/>
        </w:rPr>
        <w:t>51 346</w:t>
      </w:r>
      <w:r w:rsidRPr="004C5551">
        <w:rPr>
          <w:color w:val="000000" w:themeColor="text1"/>
        </w:rPr>
        <w:t xml:space="preserve"> osôb, čo je v porovnaní s predchádzajúcim rokom z</w:t>
      </w:r>
      <w:r w:rsidR="009610EE" w:rsidRPr="004C5551">
        <w:rPr>
          <w:color w:val="000000" w:themeColor="text1"/>
        </w:rPr>
        <w:t>níženie</w:t>
      </w:r>
      <w:r w:rsidRPr="004C5551">
        <w:rPr>
          <w:color w:val="000000" w:themeColor="text1"/>
        </w:rPr>
        <w:t xml:space="preserve"> o </w:t>
      </w:r>
      <w:r w:rsidR="00424275" w:rsidRPr="004C5551">
        <w:rPr>
          <w:color w:val="000000" w:themeColor="text1"/>
        </w:rPr>
        <w:t>743</w:t>
      </w:r>
      <w:r w:rsidRPr="004C5551">
        <w:rPr>
          <w:color w:val="000000" w:themeColor="text1"/>
        </w:rPr>
        <w:t xml:space="preserve"> osôb.</w:t>
      </w:r>
    </w:p>
    <w:p w:rsidR="00137571" w:rsidRPr="004C5551" w:rsidRDefault="00137571" w:rsidP="00D6574F">
      <w:pPr>
        <w:pStyle w:val="Normlnysozarkami12"/>
        <w:ind w:firstLine="431"/>
        <w:rPr>
          <w:color w:val="000000" w:themeColor="text1"/>
        </w:rPr>
      </w:pPr>
      <w:r w:rsidRPr="004C5551">
        <w:rPr>
          <w:color w:val="000000" w:themeColor="text1"/>
        </w:rPr>
        <w:t xml:space="preserve">Uzavretých bolo </w:t>
      </w:r>
      <w:r w:rsidR="00424275" w:rsidRPr="004C5551">
        <w:rPr>
          <w:color w:val="000000" w:themeColor="text1"/>
        </w:rPr>
        <w:t>26 737</w:t>
      </w:r>
      <w:r w:rsidRPr="004C5551">
        <w:rPr>
          <w:color w:val="000000" w:themeColor="text1"/>
        </w:rPr>
        <w:t xml:space="preserve"> manželstiev a rozviedlo sa </w:t>
      </w:r>
      <w:r w:rsidR="00424275" w:rsidRPr="004C5551">
        <w:rPr>
          <w:color w:val="000000" w:themeColor="text1"/>
        </w:rPr>
        <w:t>10 514</w:t>
      </w:r>
      <w:r w:rsidRPr="004C5551">
        <w:rPr>
          <w:color w:val="000000" w:themeColor="text1"/>
        </w:rPr>
        <w:t xml:space="preserve"> manželských dvojíc. V porovnaní s rokom 201</w:t>
      </w:r>
      <w:r w:rsidR="00424275" w:rsidRPr="004C5551">
        <w:rPr>
          <w:color w:val="000000" w:themeColor="text1"/>
        </w:rPr>
        <w:t>3</w:t>
      </w:r>
      <w:r w:rsidRPr="004C5551">
        <w:rPr>
          <w:color w:val="000000" w:themeColor="text1"/>
        </w:rPr>
        <w:t xml:space="preserve"> bol počet sobášov </w:t>
      </w:r>
      <w:r w:rsidR="00424275" w:rsidRPr="004C5551">
        <w:rPr>
          <w:color w:val="000000" w:themeColor="text1"/>
        </w:rPr>
        <w:t>vyšší o 1 246</w:t>
      </w:r>
      <w:r w:rsidRPr="004C5551">
        <w:rPr>
          <w:color w:val="000000" w:themeColor="text1"/>
        </w:rPr>
        <w:t xml:space="preserve"> a počet rozvodov nižší o </w:t>
      </w:r>
      <w:r w:rsidR="00424275" w:rsidRPr="004C5551">
        <w:rPr>
          <w:color w:val="000000" w:themeColor="text1"/>
        </w:rPr>
        <w:t>432</w:t>
      </w:r>
      <w:r w:rsidRPr="004C5551">
        <w:rPr>
          <w:color w:val="000000" w:themeColor="text1"/>
        </w:rPr>
        <w:t xml:space="preserve">. </w:t>
      </w:r>
      <w:r w:rsidR="00452B31" w:rsidRPr="004C5551">
        <w:rPr>
          <w:color w:val="000000" w:themeColor="text1"/>
        </w:rPr>
        <w:t>T</w:t>
      </w:r>
      <w:r w:rsidR="00BC0FE1" w:rsidRPr="004C5551">
        <w:rPr>
          <w:color w:val="000000" w:themeColor="text1"/>
        </w:rPr>
        <w:t>ento vývoj sa podpísal na</w:t>
      </w:r>
      <w:r w:rsidR="00424275" w:rsidRPr="004C5551">
        <w:rPr>
          <w:color w:val="000000" w:themeColor="text1"/>
        </w:rPr>
        <w:t xml:space="preserve"> poklese</w:t>
      </w:r>
      <w:r w:rsidRPr="004C5551">
        <w:rPr>
          <w:color w:val="000000" w:themeColor="text1"/>
        </w:rPr>
        <w:t xml:space="preserve"> indexu rozvodovosti, keď na 100 uzavretých manželstiev pripadlo </w:t>
      </w:r>
      <w:r w:rsidR="00424275" w:rsidRPr="004C5551">
        <w:rPr>
          <w:color w:val="000000" w:themeColor="text1"/>
        </w:rPr>
        <w:t>39,3</w:t>
      </w:r>
      <w:r w:rsidRPr="004C5551">
        <w:rPr>
          <w:color w:val="000000" w:themeColor="text1"/>
        </w:rPr>
        <w:t xml:space="preserve"> roz</w:t>
      </w:r>
      <w:r w:rsidRPr="004C5551">
        <w:rPr>
          <w:color w:val="000000" w:themeColor="text1"/>
        </w:rPr>
        <w:softHyphen/>
        <w:t xml:space="preserve">vodov. </w:t>
      </w:r>
      <w:r w:rsidR="00D43E34" w:rsidRPr="004C5551">
        <w:rPr>
          <w:color w:val="000000" w:themeColor="text1"/>
        </w:rPr>
        <w:t xml:space="preserve">Sobášnosť po </w:t>
      </w:r>
      <w:r w:rsidR="00424275" w:rsidRPr="004C5551">
        <w:rPr>
          <w:color w:val="000000" w:themeColor="text1"/>
        </w:rPr>
        <w:t>poklese v roku 2013 opätovne stúpa</w:t>
      </w:r>
      <w:r w:rsidR="00A54330" w:rsidRPr="004C5551">
        <w:rPr>
          <w:color w:val="000000" w:themeColor="text1"/>
        </w:rPr>
        <w:t>,</w:t>
      </w:r>
      <w:r w:rsidR="00452B31" w:rsidRPr="004C5551">
        <w:rPr>
          <w:color w:val="000000" w:themeColor="text1"/>
        </w:rPr>
        <w:t xml:space="preserve"> </w:t>
      </w:r>
      <w:r w:rsidR="00E32EDF" w:rsidRPr="004C5551">
        <w:rPr>
          <w:color w:val="000000" w:themeColor="text1"/>
        </w:rPr>
        <w:t>rovnako aj</w:t>
      </w:r>
      <w:r w:rsidR="00A54330" w:rsidRPr="004C5551">
        <w:rPr>
          <w:color w:val="000000" w:themeColor="text1"/>
        </w:rPr>
        <w:t xml:space="preserve"> rozvodovosť </w:t>
      </w:r>
      <w:r w:rsidR="00E32EDF" w:rsidRPr="004C5551">
        <w:rPr>
          <w:color w:val="000000" w:themeColor="text1"/>
        </w:rPr>
        <w:t>opätovne klesá a nadväzuje na trend z rokov 2009</w:t>
      </w:r>
      <w:r w:rsidR="00423669" w:rsidRPr="004C5551">
        <w:rPr>
          <w:color w:val="000000" w:themeColor="text1"/>
        </w:rPr>
        <w:t xml:space="preserve"> – </w:t>
      </w:r>
      <w:r w:rsidR="00E32EDF" w:rsidRPr="004C5551">
        <w:rPr>
          <w:color w:val="000000" w:themeColor="text1"/>
        </w:rPr>
        <w:t>2012</w:t>
      </w:r>
      <w:r w:rsidR="00A54330" w:rsidRPr="004C5551">
        <w:rPr>
          <w:color w:val="000000" w:themeColor="text1"/>
        </w:rPr>
        <w:t>.</w:t>
      </w:r>
    </w:p>
    <w:p w:rsidR="00137571" w:rsidRPr="004C5551" w:rsidRDefault="00137571" w:rsidP="00D6574F">
      <w:pPr>
        <w:pStyle w:val="Normlnysozarkami12"/>
        <w:ind w:firstLine="431"/>
        <w:rPr>
          <w:color w:val="000000" w:themeColor="text1"/>
        </w:rPr>
      </w:pPr>
      <w:r w:rsidRPr="004C5551">
        <w:rPr>
          <w:color w:val="000000" w:themeColor="text1"/>
        </w:rPr>
        <w:t xml:space="preserve">V dôsledku </w:t>
      </w:r>
      <w:r w:rsidR="00E32EDF" w:rsidRPr="004C5551">
        <w:rPr>
          <w:color w:val="000000" w:themeColor="text1"/>
        </w:rPr>
        <w:t>zvýšenia</w:t>
      </w:r>
      <w:r w:rsidRPr="004C5551">
        <w:rPr>
          <w:color w:val="000000" w:themeColor="text1"/>
        </w:rPr>
        <w:t xml:space="preserve"> pôrodnosti </w:t>
      </w:r>
      <w:r w:rsidR="00E32EDF" w:rsidRPr="004C5551">
        <w:rPr>
          <w:color w:val="000000" w:themeColor="text1"/>
        </w:rPr>
        <w:t>a</w:t>
      </w:r>
      <w:r w:rsidR="00BF7DC7" w:rsidRPr="004C5551">
        <w:rPr>
          <w:color w:val="000000" w:themeColor="text1"/>
        </w:rPr>
        <w:t xml:space="preserve"> poklesu úmrtnosti</w:t>
      </w:r>
      <w:r w:rsidRPr="004C5551">
        <w:rPr>
          <w:color w:val="000000" w:themeColor="text1"/>
        </w:rPr>
        <w:t xml:space="preserve"> </w:t>
      </w:r>
      <w:r w:rsidR="00E32EDF" w:rsidRPr="004C5551">
        <w:rPr>
          <w:color w:val="000000" w:themeColor="text1"/>
        </w:rPr>
        <w:t xml:space="preserve">sa </w:t>
      </w:r>
      <w:r w:rsidRPr="004C5551">
        <w:rPr>
          <w:color w:val="000000" w:themeColor="text1"/>
        </w:rPr>
        <w:t>v roku 201</w:t>
      </w:r>
      <w:r w:rsidR="00E32EDF" w:rsidRPr="004C5551">
        <w:rPr>
          <w:color w:val="000000" w:themeColor="text1"/>
        </w:rPr>
        <w:t>4</w:t>
      </w:r>
      <w:r w:rsidRPr="004C5551">
        <w:rPr>
          <w:color w:val="000000" w:themeColor="text1"/>
        </w:rPr>
        <w:t xml:space="preserve"> </w:t>
      </w:r>
      <w:r w:rsidR="00E32EDF" w:rsidRPr="004C5551">
        <w:rPr>
          <w:color w:val="000000" w:themeColor="text1"/>
        </w:rPr>
        <w:t>zvýšil</w:t>
      </w:r>
      <w:r w:rsidRPr="004C5551">
        <w:rPr>
          <w:color w:val="000000" w:themeColor="text1"/>
        </w:rPr>
        <w:t xml:space="preserve"> prirodzený prírastok obyvateľstva na hodnotu </w:t>
      </w:r>
      <w:r w:rsidR="00E32EDF" w:rsidRPr="004C5551">
        <w:rPr>
          <w:color w:val="000000" w:themeColor="text1"/>
        </w:rPr>
        <w:t>3 687</w:t>
      </w:r>
      <w:r w:rsidRPr="004C5551">
        <w:rPr>
          <w:color w:val="000000" w:themeColor="text1"/>
        </w:rPr>
        <w:t>, čo v porovnaní s rokom 201</w:t>
      </w:r>
      <w:r w:rsidR="00E32EDF" w:rsidRPr="004C5551">
        <w:rPr>
          <w:color w:val="000000" w:themeColor="text1"/>
        </w:rPr>
        <w:t>3</w:t>
      </w:r>
      <w:r w:rsidRPr="004C5551">
        <w:rPr>
          <w:color w:val="000000" w:themeColor="text1"/>
        </w:rPr>
        <w:t xml:space="preserve"> znamená </w:t>
      </w:r>
      <w:r w:rsidR="00E32EDF" w:rsidRPr="004C5551">
        <w:rPr>
          <w:color w:val="000000" w:themeColor="text1"/>
        </w:rPr>
        <w:t>zvýšenie</w:t>
      </w:r>
      <w:r w:rsidRPr="004C5551">
        <w:rPr>
          <w:color w:val="000000" w:themeColor="text1"/>
        </w:rPr>
        <w:t xml:space="preserve"> o</w:t>
      </w:r>
      <w:r w:rsidR="008E0AEF" w:rsidRPr="004C5551">
        <w:rPr>
          <w:color w:val="000000" w:themeColor="text1"/>
        </w:rPr>
        <w:t> </w:t>
      </w:r>
      <w:r w:rsidR="00E32EDF" w:rsidRPr="004C5551">
        <w:rPr>
          <w:color w:val="000000" w:themeColor="text1"/>
        </w:rPr>
        <w:t>953</w:t>
      </w:r>
      <w:r w:rsidRPr="004C5551">
        <w:rPr>
          <w:color w:val="000000" w:themeColor="text1"/>
        </w:rPr>
        <w:t xml:space="preserve"> osôb. Zahraničnou migráciou získa</w:t>
      </w:r>
      <w:r w:rsidRPr="004C5551">
        <w:rPr>
          <w:color w:val="000000" w:themeColor="text1"/>
        </w:rPr>
        <w:softHyphen/>
        <w:t xml:space="preserve">la Slovenská republika </w:t>
      </w:r>
      <w:r w:rsidR="00E32EDF" w:rsidRPr="004C5551">
        <w:rPr>
          <w:color w:val="000000" w:themeColor="text1"/>
        </w:rPr>
        <w:t>1 713</w:t>
      </w:r>
      <w:r w:rsidRPr="004C5551">
        <w:rPr>
          <w:color w:val="000000" w:themeColor="text1"/>
        </w:rPr>
        <w:t xml:space="preserve"> osôb, pričom sa prisťa</w:t>
      </w:r>
      <w:r w:rsidRPr="004C5551">
        <w:rPr>
          <w:color w:val="000000" w:themeColor="text1"/>
        </w:rPr>
        <w:softHyphen/>
        <w:t>hovalo</w:t>
      </w:r>
      <w:r w:rsidR="00696C83" w:rsidRPr="004C5551">
        <w:rPr>
          <w:color w:val="000000" w:themeColor="text1"/>
        </w:rPr>
        <w:t xml:space="preserve"> </w:t>
      </w:r>
      <w:r w:rsidR="00AF6BB2" w:rsidRPr="004C5551">
        <w:rPr>
          <w:color w:val="000000" w:themeColor="text1"/>
        </w:rPr>
        <w:t>5 357</w:t>
      </w:r>
      <w:r w:rsidR="0016196A" w:rsidRPr="004C5551">
        <w:rPr>
          <w:color w:val="000000" w:themeColor="text1"/>
        </w:rPr>
        <w:t xml:space="preserve"> osôb a </w:t>
      </w:r>
      <w:r w:rsidRPr="004C5551">
        <w:rPr>
          <w:color w:val="000000" w:themeColor="text1"/>
        </w:rPr>
        <w:t xml:space="preserve">vysťahovalo </w:t>
      </w:r>
      <w:r w:rsidR="00AF6BB2" w:rsidRPr="004C5551">
        <w:rPr>
          <w:color w:val="000000" w:themeColor="text1"/>
        </w:rPr>
        <w:t>3 644</w:t>
      </w:r>
      <w:r w:rsidRPr="004C5551">
        <w:rPr>
          <w:color w:val="000000" w:themeColor="text1"/>
        </w:rPr>
        <w:t xml:space="preserve"> osôb. Mig</w:t>
      </w:r>
      <w:r w:rsidR="00BF7DC7" w:rsidRPr="004C5551">
        <w:rPr>
          <w:color w:val="000000" w:themeColor="text1"/>
        </w:rPr>
        <w:t>račný prírastok sa medziročne zníži</w:t>
      </w:r>
      <w:r w:rsidRPr="004C5551">
        <w:rPr>
          <w:color w:val="000000" w:themeColor="text1"/>
        </w:rPr>
        <w:t>l o</w:t>
      </w:r>
      <w:r w:rsidR="00BF7DC7" w:rsidRPr="004C5551">
        <w:rPr>
          <w:color w:val="000000" w:themeColor="text1"/>
        </w:rPr>
        <w:t> </w:t>
      </w:r>
      <w:r w:rsidR="00E32EDF" w:rsidRPr="004C5551">
        <w:rPr>
          <w:color w:val="000000" w:themeColor="text1"/>
        </w:rPr>
        <w:t>666</w:t>
      </w:r>
      <w:r w:rsidRPr="004C5551">
        <w:rPr>
          <w:color w:val="000000" w:themeColor="text1"/>
        </w:rPr>
        <w:t xml:space="preserve"> osôb. </w:t>
      </w:r>
      <w:r w:rsidR="00BF7DC7" w:rsidRPr="004C5551">
        <w:rPr>
          <w:color w:val="000000" w:themeColor="text1"/>
        </w:rPr>
        <w:t xml:space="preserve">Celkový prírastok obyvateľstva sa tak </w:t>
      </w:r>
      <w:r w:rsidR="000321E5" w:rsidRPr="004C5551">
        <w:rPr>
          <w:color w:val="000000" w:themeColor="text1"/>
        </w:rPr>
        <w:t>oproti roku 201</w:t>
      </w:r>
      <w:r w:rsidR="00E32EDF" w:rsidRPr="004C5551">
        <w:rPr>
          <w:color w:val="000000" w:themeColor="text1"/>
        </w:rPr>
        <w:t>3</w:t>
      </w:r>
      <w:r w:rsidR="000321E5" w:rsidRPr="004C5551">
        <w:rPr>
          <w:color w:val="000000" w:themeColor="text1"/>
        </w:rPr>
        <w:t xml:space="preserve"> </w:t>
      </w:r>
      <w:r w:rsidR="00E32EDF" w:rsidRPr="004C5551">
        <w:rPr>
          <w:color w:val="000000" w:themeColor="text1"/>
        </w:rPr>
        <w:t>zvýšil</w:t>
      </w:r>
      <w:r w:rsidR="00BF7DC7" w:rsidRPr="004C5551">
        <w:rPr>
          <w:color w:val="000000" w:themeColor="text1"/>
        </w:rPr>
        <w:t xml:space="preserve"> o </w:t>
      </w:r>
      <w:r w:rsidR="00E32EDF" w:rsidRPr="004C5551">
        <w:rPr>
          <w:color w:val="000000" w:themeColor="text1"/>
        </w:rPr>
        <w:t>287</w:t>
      </w:r>
      <w:r w:rsidR="00BF7DC7" w:rsidRPr="004C5551">
        <w:rPr>
          <w:color w:val="000000" w:themeColor="text1"/>
        </w:rPr>
        <w:t xml:space="preserve"> osôb na hodnotu </w:t>
      </w:r>
      <w:r w:rsidR="00E32EDF" w:rsidRPr="004C5551">
        <w:rPr>
          <w:color w:val="000000" w:themeColor="text1"/>
        </w:rPr>
        <w:t>5 400</w:t>
      </w:r>
      <w:r w:rsidR="00BF7DC7" w:rsidRPr="004C5551">
        <w:rPr>
          <w:color w:val="000000" w:themeColor="text1"/>
        </w:rPr>
        <w:t xml:space="preserve"> osôb.</w:t>
      </w:r>
    </w:p>
    <w:p w:rsidR="00137571" w:rsidRPr="004C5551" w:rsidRDefault="00137571" w:rsidP="00D6574F">
      <w:pPr>
        <w:pStyle w:val="Normlnysozarkami12"/>
        <w:ind w:firstLine="431"/>
        <w:rPr>
          <w:color w:val="000000" w:themeColor="text1"/>
        </w:rPr>
      </w:pPr>
      <w:r w:rsidRPr="004C5551">
        <w:rPr>
          <w:color w:val="000000" w:themeColor="text1"/>
        </w:rPr>
        <w:t>K 31. decembru 201</w:t>
      </w:r>
      <w:r w:rsidR="00E32EDF" w:rsidRPr="004C5551">
        <w:rPr>
          <w:color w:val="000000" w:themeColor="text1"/>
        </w:rPr>
        <w:t>4</w:t>
      </w:r>
      <w:r w:rsidRPr="004C5551">
        <w:rPr>
          <w:color w:val="000000" w:themeColor="text1"/>
        </w:rPr>
        <w:t xml:space="preserve"> mala Slovenská republika </w:t>
      </w:r>
      <w:r w:rsidR="00E32EDF" w:rsidRPr="004C5551">
        <w:rPr>
          <w:b/>
          <w:color w:val="000000" w:themeColor="text1"/>
        </w:rPr>
        <w:t>5 421 349</w:t>
      </w:r>
      <w:r w:rsidRPr="004C5551">
        <w:rPr>
          <w:b/>
          <w:color w:val="000000" w:themeColor="text1"/>
        </w:rPr>
        <w:t xml:space="preserve"> obyvateľov</w:t>
      </w:r>
      <w:r w:rsidRPr="004C5551">
        <w:rPr>
          <w:color w:val="000000" w:themeColor="text1"/>
        </w:rPr>
        <w:t xml:space="preserve">. </w:t>
      </w:r>
      <w:r w:rsidRPr="004C5551">
        <w:rPr>
          <w:b/>
          <w:color w:val="000000" w:themeColor="text1"/>
        </w:rPr>
        <w:t>Podiel žien</w:t>
      </w:r>
      <w:r w:rsidR="0016196A" w:rsidRPr="004C5551">
        <w:rPr>
          <w:color w:val="000000" w:themeColor="text1"/>
        </w:rPr>
        <w:t xml:space="preserve"> na </w:t>
      </w:r>
      <w:r w:rsidRPr="004C5551">
        <w:rPr>
          <w:color w:val="000000" w:themeColor="text1"/>
        </w:rPr>
        <w:t>celkovom počte obyvateľstva tvoril</w:t>
      </w:r>
      <w:r w:rsidR="00D508BE" w:rsidRPr="004C5551">
        <w:rPr>
          <w:color w:val="000000" w:themeColor="text1"/>
        </w:rPr>
        <w:t xml:space="preserve"> (tak ako v rok</w:t>
      </w:r>
      <w:r w:rsidR="00E32EDF" w:rsidRPr="004C5551">
        <w:rPr>
          <w:color w:val="000000" w:themeColor="text1"/>
        </w:rPr>
        <w:t>och</w:t>
      </w:r>
      <w:r w:rsidR="00D508BE" w:rsidRPr="004C5551">
        <w:rPr>
          <w:color w:val="000000" w:themeColor="text1"/>
        </w:rPr>
        <w:t xml:space="preserve"> 201</w:t>
      </w:r>
      <w:r w:rsidR="000321E5" w:rsidRPr="004C5551">
        <w:rPr>
          <w:color w:val="000000" w:themeColor="text1"/>
        </w:rPr>
        <w:t>2</w:t>
      </w:r>
      <w:r w:rsidR="00E32EDF" w:rsidRPr="004C5551">
        <w:rPr>
          <w:color w:val="000000" w:themeColor="text1"/>
        </w:rPr>
        <w:t xml:space="preserve"> aj 2013</w:t>
      </w:r>
      <w:r w:rsidR="00D508BE" w:rsidRPr="004C5551">
        <w:rPr>
          <w:color w:val="000000" w:themeColor="text1"/>
        </w:rPr>
        <w:t xml:space="preserve">) </w:t>
      </w:r>
      <w:r w:rsidRPr="004C5551">
        <w:rPr>
          <w:b/>
          <w:color w:val="000000" w:themeColor="text1"/>
        </w:rPr>
        <w:t>51,3</w:t>
      </w:r>
      <w:r w:rsidR="00355B43" w:rsidRPr="004C5551">
        <w:rPr>
          <w:b/>
          <w:color w:val="000000" w:themeColor="text1"/>
        </w:rPr>
        <w:t> %</w:t>
      </w:r>
      <w:r w:rsidRPr="004C5551">
        <w:rPr>
          <w:b/>
          <w:color w:val="000000" w:themeColor="text1"/>
        </w:rPr>
        <w:t>.</w:t>
      </w:r>
    </w:p>
    <w:p w:rsidR="00137571" w:rsidRPr="004C5551" w:rsidRDefault="00983DE7" w:rsidP="00137571">
      <w:pPr>
        <w:pStyle w:val="Nadpis7"/>
        <w:rPr>
          <w:color w:val="000000" w:themeColor="text1"/>
        </w:rPr>
      </w:pPr>
      <w:bookmarkStart w:id="84" w:name="_Toc356482617"/>
      <w:r w:rsidRPr="004C5551">
        <w:rPr>
          <w:color w:val="000000" w:themeColor="text1"/>
        </w:rPr>
        <w:t>Tabuľka</w:t>
      </w:r>
      <w:r w:rsidR="00137571" w:rsidRPr="004C5551">
        <w:rPr>
          <w:color w:val="000000" w:themeColor="text1"/>
        </w:rPr>
        <w:t xml:space="preserve"> 1.1 Prírastky obyvateľstva SR v rokoch 201</w:t>
      </w:r>
      <w:r w:rsidR="00E32EDF" w:rsidRPr="004C5551">
        <w:rPr>
          <w:color w:val="000000" w:themeColor="text1"/>
        </w:rPr>
        <w:t>3</w:t>
      </w:r>
      <w:r w:rsidR="00137571" w:rsidRPr="004C5551">
        <w:rPr>
          <w:color w:val="000000" w:themeColor="text1"/>
        </w:rPr>
        <w:t xml:space="preserve"> a 201</w:t>
      </w:r>
      <w:bookmarkEnd w:id="84"/>
      <w:r w:rsidR="00E32EDF" w:rsidRPr="004C5551">
        <w:rPr>
          <w:color w:val="000000" w:themeColor="text1"/>
        </w:rPr>
        <w:t>4</w:t>
      </w:r>
    </w:p>
    <w:tbl>
      <w:tblPr>
        <w:tblW w:w="891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843F3E" w:rsidRPr="004C5551" w:rsidTr="00C85B87">
        <w:trPr>
          <w:trHeight w:val="502"/>
          <w:jc w:val="center"/>
        </w:trPr>
        <w:tc>
          <w:tcPr>
            <w:tcW w:w="887"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Rok</w:t>
            </w:r>
          </w:p>
        </w:tc>
        <w:tc>
          <w:tcPr>
            <w:tcW w:w="1488"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Živonarodení</w:t>
            </w:r>
          </w:p>
        </w:tc>
        <w:tc>
          <w:tcPr>
            <w:tcW w:w="1555"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Zomretí</w:t>
            </w:r>
          </w:p>
        </w:tc>
        <w:tc>
          <w:tcPr>
            <w:tcW w:w="1487"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Prirodzený prírastok</w:t>
            </w:r>
          </w:p>
        </w:tc>
        <w:tc>
          <w:tcPr>
            <w:tcW w:w="1658"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Migračné saldo</w:t>
            </w:r>
          </w:p>
        </w:tc>
        <w:tc>
          <w:tcPr>
            <w:tcW w:w="1839" w:type="dxa"/>
            <w:shd w:val="clear" w:color="auto" w:fill="BF0000" w:themeFill="accent3" w:themeFillShade="BF"/>
            <w:tcMar>
              <w:top w:w="0" w:type="dxa"/>
              <w:left w:w="108" w:type="dxa"/>
              <w:bottom w:w="0" w:type="dxa"/>
              <w:right w:w="108" w:type="dxa"/>
            </w:tcMar>
            <w:vAlign w:val="center"/>
            <w:hideMark/>
          </w:tcPr>
          <w:p w:rsidR="00843F3E" w:rsidRPr="004C5551" w:rsidRDefault="00843F3E" w:rsidP="0080017A">
            <w:pPr>
              <w:jc w:val="center"/>
              <w:rPr>
                <w:b/>
                <w:color w:val="FFFFFF" w:themeColor="background1"/>
              </w:rPr>
            </w:pPr>
            <w:r w:rsidRPr="004C5551">
              <w:rPr>
                <w:b/>
                <w:color w:val="FFFFFF" w:themeColor="background1"/>
              </w:rPr>
              <w:t>Celkový prírastok</w:t>
            </w:r>
          </w:p>
        </w:tc>
      </w:tr>
      <w:tr w:rsidR="009610EE" w:rsidRPr="004C5551" w:rsidTr="00C85B87">
        <w:trPr>
          <w:trHeight w:val="243"/>
          <w:jc w:val="center"/>
        </w:trPr>
        <w:tc>
          <w:tcPr>
            <w:tcW w:w="887" w:type="dxa"/>
            <w:tcMar>
              <w:top w:w="0" w:type="dxa"/>
              <w:left w:w="108" w:type="dxa"/>
              <w:bottom w:w="0" w:type="dxa"/>
              <w:right w:w="108" w:type="dxa"/>
            </w:tcMar>
            <w:vAlign w:val="center"/>
          </w:tcPr>
          <w:p w:rsidR="009610EE" w:rsidRPr="004C5551" w:rsidRDefault="009610EE" w:rsidP="0080017A">
            <w:pPr>
              <w:jc w:val="right"/>
            </w:pPr>
            <w:r w:rsidRPr="004C5551">
              <w:t>2013</w:t>
            </w:r>
          </w:p>
        </w:tc>
        <w:tc>
          <w:tcPr>
            <w:tcW w:w="1488" w:type="dxa"/>
            <w:tcMar>
              <w:top w:w="0" w:type="dxa"/>
              <w:left w:w="108" w:type="dxa"/>
              <w:bottom w:w="0" w:type="dxa"/>
              <w:right w:w="108" w:type="dxa"/>
            </w:tcMar>
            <w:vAlign w:val="center"/>
          </w:tcPr>
          <w:p w:rsidR="009610EE" w:rsidRPr="004C5551" w:rsidRDefault="009610EE" w:rsidP="0080017A">
            <w:pPr>
              <w:ind w:right="218"/>
              <w:jc w:val="right"/>
            </w:pPr>
            <w:r w:rsidRPr="004C5551">
              <w:t>54 823</w:t>
            </w:r>
          </w:p>
        </w:tc>
        <w:tc>
          <w:tcPr>
            <w:tcW w:w="1555" w:type="dxa"/>
            <w:tcMar>
              <w:top w:w="0" w:type="dxa"/>
              <w:left w:w="108" w:type="dxa"/>
              <w:bottom w:w="0" w:type="dxa"/>
              <w:right w:w="108" w:type="dxa"/>
            </w:tcMar>
            <w:vAlign w:val="center"/>
          </w:tcPr>
          <w:p w:rsidR="009610EE" w:rsidRPr="004C5551" w:rsidRDefault="009610EE" w:rsidP="0080017A">
            <w:pPr>
              <w:ind w:right="214"/>
              <w:jc w:val="right"/>
            </w:pPr>
            <w:r w:rsidRPr="004C5551">
              <w:t>52 089</w:t>
            </w:r>
          </w:p>
        </w:tc>
        <w:tc>
          <w:tcPr>
            <w:tcW w:w="1487" w:type="dxa"/>
            <w:tcMar>
              <w:top w:w="0" w:type="dxa"/>
              <w:left w:w="108" w:type="dxa"/>
              <w:bottom w:w="0" w:type="dxa"/>
              <w:right w:w="108" w:type="dxa"/>
            </w:tcMar>
            <w:vAlign w:val="center"/>
          </w:tcPr>
          <w:p w:rsidR="009610EE" w:rsidRPr="004C5551" w:rsidRDefault="009610EE" w:rsidP="0080017A">
            <w:pPr>
              <w:ind w:right="214"/>
              <w:jc w:val="right"/>
            </w:pPr>
            <w:r w:rsidRPr="004C5551">
              <w:t>2 734</w:t>
            </w:r>
          </w:p>
        </w:tc>
        <w:tc>
          <w:tcPr>
            <w:tcW w:w="1658" w:type="dxa"/>
            <w:tcMar>
              <w:top w:w="0" w:type="dxa"/>
              <w:left w:w="108" w:type="dxa"/>
              <w:bottom w:w="0" w:type="dxa"/>
              <w:right w:w="108" w:type="dxa"/>
            </w:tcMar>
            <w:vAlign w:val="center"/>
          </w:tcPr>
          <w:p w:rsidR="009610EE" w:rsidRPr="004C5551" w:rsidRDefault="00BF7DC7" w:rsidP="0080017A">
            <w:pPr>
              <w:ind w:right="214"/>
              <w:jc w:val="right"/>
            </w:pPr>
            <w:r w:rsidRPr="004C5551">
              <w:t>2 379</w:t>
            </w:r>
          </w:p>
        </w:tc>
        <w:tc>
          <w:tcPr>
            <w:tcW w:w="1839" w:type="dxa"/>
            <w:tcMar>
              <w:top w:w="0" w:type="dxa"/>
              <w:left w:w="108" w:type="dxa"/>
              <w:bottom w:w="0" w:type="dxa"/>
              <w:right w:w="108" w:type="dxa"/>
            </w:tcMar>
            <w:vAlign w:val="center"/>
          </w:tcPr>
          <w:p w:rsidR="009610EE" w:rsidRPr="004C5551" w:rsidRDefault="00BF7DC7" w:rsidP="0080017A">
            <w:pPr>
              <w:ind w:right="214"/>
              <w:jc w:val="right"/>
            </w:pPr>
            <w:r w:rsidRPr="004C5551">
              <w:t>5 113</w:t>
            </w:r>
          </w:p>
        </w:tc>
      </w:tr>
      <w:tr w:rsidR="00E32EDF" w:rsidRPr="004C5551" w:rsidTr="00C85B87">
        <w:trPr>
          <w:trHeight w:val="243"/>
          <w:jc w:val="center"/>
        </w:trPr>
        <w:tc>
          <w:tcPr>
            <w:tcW w:w="887" w:type="dxa"/>
            <w:tcMar>
              <w:top w:w="0" w:type="dxa"/>
              <w:left w:w="108" w:type="dxa"/>
              <w:bottom w:w="0" w:type="dxa"/>
              <w:right w:w="108" w:type="dxa"/>
            </w:tcMar>
            <w:vAlign w:val="center"/>
          </w:tcPr>
          <w:p w:rsidR="00E32EDF" w:rsidRPr="004C5551" w:rsidRDefault="00E32EDF" w:rsidP="0080017A">
            <w:pPr>
              <w:jc w:val="right"/>
            </w:pPr>
            <w:r w:rsidRPr="004C5551">
              <w:t>2014</w:t>
            </w:r>
          </w:p>
        </w:tc>
        <w:tc>
          <w:tcPr>
            <w:tcW w:w="1488" w:type="dxa"/>
            <w:tcMar>
              <w:top w:w="0" w:type="dxa"/>
              <w:left w:w="108" w:type="dxa"/>
              <w:bottom w:w="0" w:type="dxa"/>
              <w:right w:w="108" w:type="dxa"/>
            </w:tcMar>
            <w:vAlign w:val="center"/>
          </w:tcPr>
          <w:p w:rsidR="00E32EDF" w:rsidRPr="004C5551" w:rsidRDefault="00E32EDF" w:rsidP="0080017A">
            <w:pPr>
              <w:ind w:right="218"/>
              <w:jc w:val="right"/>
            </w:pPr>
            <w:r w:rsidRPr="004C5551">
              <w:t>55 033</w:t>
            </w:r>
          </w:p>
        </w:tc>
        <w:tc>
          <w:tcPr>
            <w:tcW w:w="1555" w:type="dxa"/>
            <w:tcMar>
              <w:top w:w="0" w:type="dxa"/>
              <w:left w:w="108" w:type="dxa"/>
              <w:bottom w:w="0" w:type="dxa"/>
              <w:right w:w="108" w:type="dxa"/>
            </w:tcMar>
            <w:vAlign w:val="center"/>
          </w:tcPr>
          <w:p w:rsidR="00E32EDF" w:rsidRPr="004C5551" w:rsidRDefault="00E32EDF" w:rsidP="0080017A">
            <w:pPr>
              <w:ind w:right="214"/>
              <w:jc w:val="right"/>
            </w:pPr>
            <w:r w:rsidRPr="004C5551">
              <w:t>51 346</w:t>
            </w:r>
          </w:p>
        </w:tc>
        <w:tc>
          <w:tcPr>
            <w:tcW w:w="1487" w:type="dxa"/>
            <w:tcMar>
              <w:top w:w="0" w:type="dxa"/>
              <w:left w:w="108" w:type="dxa"/>
              <w:bottom w:w="0" w:type="dxa"/>
              <w:right w:w="108" w:type="dxa"/>
            </w:tcMar>
            <w:vAlign w:val="center"/>
          </w:tcPr>
          <w:p w:rsidR="00E32EDF" w:rsidRPr="004C5551" w:rsidRDefault="00E32EDF" w:rsidP="0080017A">
            <w:pPr>
              <w:ind w:right="214"/>
              <w:jc w:val="right"/>
            </w:pPr>
            <w:r w:rsidRPr="004C5551">
              <w:t>3 687</w:t>
            </w:r>
          </w:p>
        </w:tc>
        <w:tc>
          <w:tcPr>
            <w:tcW w:w="1658" w:type="dxa"/>
            <w:tcMar>
              <w:top w:w="0" w:type="dxa"/>
              <w:left w:w="108" w:type="dxa"/>
              <w:bottom w:w="0" w:type="dxa"/>
              <w:right w:w="108" w:type="dxa"/>
            </w:tcMar>
            <w:vAlign w:val="center"/>
          </w:tcPr>
          <w:p w:rsidR="00E32EDF" w:rsidRPr="004C5551" w:rsidRDefault="00E32EDF" w:rsidP="0080017A">
            <w:pPr>
              <w:ind w:right="214"/>
              <w:jc w:val="right"/>
            </w:pPr>
            <w:r w:rsidRPr="004C5551">
              <w:t>1 713</w:t>
            </w:r>
          </w:p>
        </w:tc>
        <w:tc>
          <w:tcPr>
            <w:tcW w:w="1839" w:type="dxa"/>
            <w:tcMar>
              <w:top w:w="0" w:type="dxa"/>
              <w:left w:w="108" w:type="dxa"/>
              <w:bottom w:w="0" w:type="dxa"/>
              <w:right w:w="108" w:type="dxa"/>
            </w:tcMar>
            <w:vAlign w:val="center"/>
          </w:tcPr>
          <w:p w:rsidR="00E32EDF" w:rsidRPr="004C5551" w:rsidRDefault="00E32EDF" w:rsidP="0080017A">
            <w:pPr>
              <w:ind w:right="214"/>
              <w:jc w:val="right"/>
            </w:pPr>
            <w:r w:rsidRPr="004C5551">
              <w:t>5 400</w:t>
            </w:r>
          </w:p>
        </w:tc>
      </w:tr>
    </w:tbl>
    <w:p w:rsidR="007A4E0E" w:rsidRPr="004C5551" w:rsidRDefault="00DA7E91" w:rsidP="00C01979">
      <w:pPr>
        <w:pStyle w:val="zdroj"/>
      </w:pPr>
      <w:r w:rsidRPr="004C5551">
        <w:t>Zdroj: ŠÚ SR</w:t>
      </w:r>
    </w:p>
    <w:p w:rsidR="007A4E0E" w:rsidRPr="004C5551" w:rsidRDefault="007A4E0E" w:rsidP="005845B4">
      <w:pPr>
        <w:rPr>
          <w:color w:val="00B050"/>
        </w:rPr>
      </w:pPr>
    </w:p>
    <w:p w:rsidR="008E0AEF" w:rsidRPr="004C5551" w:rsidRDefault="008E0AEF">
      <w:pPr>
        <w:jc w:val="left"/>
        <w:rPr>
          <w:rFonts w:ascii="Times New Roman Bold" w:hAnsi="Times New Roman Bold"/>
          <w:b/>
          <w:bCs/>
          <w:iCs/>
          <w:color w:val="365F91"/>
          <w:sz w:val="28"/>
          <w:szCs w:val="22"/>
          <w:lang w:eastAsia="cs-CZ"/>
        </w:rPr>
      </w:pPr>
      <w:bookmarkStart w:id="85" w:name="_Toc356482618"/>
      <w:bookmarkStart w:id="86" w:name="_Toc356482809"/>
      <w:r w:rsidRPr="004C5551">
        <w:br w:type="page"/>
      </w:r>
    </w:p>
    <w:bookmarkEnd w:id="85"/>
    <w:bookmarkEnd w:id="86"/>
    <w:p w:rsidR="00331E2B" w:rsidRPr="004C5551" w:rsidRDefault="00331E2B" w:rsidP="00FA7D0F">
      <w:pPr>
        <w:ind w:firstLine="567"/>
        <w:rPr>
          <w:rFonts w:eastAsiaTheme="minorEastAsia"/>
          <w:kern w:val="24"/>
          <w:szCs w:val="22"/>
        </w:rPr>
        <w:sectPr w:rsidR="00331E2B" w:rsidRPr="004C5551" w:rsidSect="004F3C97">
          <w:headerReference w:type="even" r:id="rId20"/>
          <w:headerReference w:type="default" r:id="rId21"/>
          <w:footerReference w:type="default" r:id="rId22"/>
          <w:type w:val="oddPage"/>
          <w:pgSz w:w="11906" w:h="16838"/>
          <w:pgMar w:top="1417" w:right="1417" w:bottom="1417" w:left="1417" w:header="709" w:footer="709" w:gutter="0"/>
          <w:cols w:space="708"/>
          <w:docGrid w:linePitch="360"/>
        </w:sectPr>
      </w:pPr>
    </w:p>
    <w:p w:rsidR="00ED18AA" w:rsidRPr="004C5551" w:rsidRDefault="00A966B5" w:rsidP="0089336E">
      <w:pPr>
        <w:pStyle w:val="Nadpis1"/>
      </w:pPr>
      <w:bookmarkStart w:id="87" w:name="_Toc422233402"/>
      <w:bookmarkStart w:id="88" w:name="_Toc356482619"/>
      <w:bookmarkStart w:id="89" w:name="_Toc356482799"/>
      <w:bookmarkStart w:id="90" w:name="_Toc356482810"/>
      <w:r w:rsidRPr="004C5551">
        <w:t>TRH PRÁCE, MZDY A PRACOVNÉ PODMIENKY</w:t>
      </w:r>
      <w:bookmarkEnd w:id="87"/>
    </w:p>
    <w:p w:rsidR="00A966B5" w:rsidRPr="004C5551" w:rsidRDefault="00A966B5" w:rsidP="0089336E">
      <w:pPr>
        <w:pStyle w:val="nadpis2"/>
      </w:pPr>
      <w:bookmarkStart w:id="91" w:name="_Toc422233403"/>
      <w:r w:rsidRPr="004C5551">
        <w:t>Trh práce</w:t>
      </w:r>
      <w:bookmarkEnd w:id="91"/>
    </w:p>
    <w:p w:rsidR="00A966B5" w:rsidRPr="004C5551" w:rsidRDefault="00A966B5" w:rsidP="00CD130F">
      <w:pPr>
        <w:pStyle w:val="Nadpis6"/>
      </w:pPr>
      <w:bookmarkStart w:id="92" w:name="_Toc422233404"/>
      <w:r w:rsidRPr="004C5551">
        <w:t>Vývoj ekonomickej aktivity obyvateľstva</w:t>
      </w:r>
      <w:bookmarkEnd w:id="92"/>
    </w:p>
    <w:p w:rsidR="00C46F26" w:rsidRPr="004C5551" w:rsidRDefault="00C46F26" w:rsidP="00D6574F">
      <w:pPr>
        <w:pStyle w:val="Normlnysozarkami2"/>
        <w:ind w:firstLine="431"/>
      </w:pPr>
      <w:r w:rsidRPr="004C5551">
        <w:t xml:space="preserve">Podľa údajov Štatistického úradu SR priemerný počet </w:t>
      </w:r>
      <w:r w:rsidRPr="004C5551">
        <w:rPr>
          <w:b/>
        </w:rPr>
        <w:t xml:space="preserve">ekonomicky aktívnych obyvateľov </w:t>
      </w:r>
      <w:r w:rsidRPr="004C5551">
        <w:t>SR</w:t>
      </w:r>
      <w:r w:rsidRPr="004C5551">
        <w:rPr>
          <w:b/>
        </w:rPr>
        <w:t xml:space="preserve"> </w:t>
      </w:r>
      <w:r w:rsidRPr="004C5551">
        <w:t>v roku 2014 podľa výberového zisťovania pracovných síl (VZPS) medziročne vzrástol o 6,5 tis. osôb na 2 721,8 tis. osôb, resp. o 0,2 %. Vzrástol tak počet ekonomicky aktívnych mužov (o 0,</w:t>
      </w:r>
      <w:r w:rsidR="009425AA" w:rsidRPr="004C5551">
        <w:t>3 </w:t>
      </w:r>
      <w:r w:rsidRPr="004C5551">
        <w:t>%, resp. o 4,2 tis. osôb), ako aj počet ekonomicky aktívnych žien (o 0,</w:t>
      </w:r>
      <w:r w:rsidR="009425AA" w:rsidRPr="004C5551">
        <w:t>2 </w:t>
      </w:r>
      <w:r w:rsidRPr="004C5551">
        <w:t>%, resp. o 2,3 tis. osôb). Podiel ekonomicky aktívnych žien na celkovom počte ekonomicky aktívnych obyvateľov sa v roku 2014 v porovnaní s rokom 2013 nezmenil a dosiahol 44,</w:t>
      </w:r>
      <w:r w:rsidR="009425AA" w:rsidRPr="004C5551">
        <w:t>5 </w:t>
      </w:r>
      <w:r w:rsidRPr="004C5551">
        <w:t xml:space="preserve">%. </w:t>
      </w:r>
    </w:p>
    <w:p w:rsidR="00C46F26" w:rsidRPr="004C5551" w:rsidRDefault="00C46F26" w:rsidP="00D6574F">
      <w:pPr>
        <w:pStyle w:val="Normlnysozarkami2"/>
        <w:ind w:firstLine="431"/>
      </w:pPr>
      <w:r w:rsidRPr="004C5551">
        <w:t>Rast počtu ekonomicky aktívnych obyvateľov bol ovplyvnený predovšetkým rastom počtu pracujúcich (o takmer 34 tis. osôb), zatiaľ čo počet nezamestnaných sa medziročne znížil približne o 27 tis. osôb. Z celkového priemerného počtu ekonomicky aktívnych obyvateľov bolo 86,</w:t>
      </w:r>
      <w:r w:rsidR="009425AA" w:rsidRPr="004C5551">
        <w:t>8 </w:t>
      </w:r>
      <w:r w:rsidRPr="004C5551">
        <w:t>% pracujúcich (85,</w:t>
      </w:r>
      <w:r w:rsidR="009425AA" w:rsidRPr="004C5551">
        <w:t>8 </w:t>
      </w:r>
      <w:r w:rsidRPr="004C5551">
        <w:t>% v roku 2013) a 13,</w:t>
      </w:r>
      <w:r w:rsidR="009425AA" w:rsidRPr="004C5551">
        <w:t>2 </w:t>
      </w:r>
      <w:r w:rsidRPr="004C5551">
        <w:t>% nezamestnaných (14,</w:t>
      </w:r>
      <w:r w:rsidR="009425AA" w:rsidRPr="004C5551">
        <w:t>2 </w:t>
      </w:r>
      <w:r w:rsidRPr="004C5551">
        <w:t>% v roku 2013).</w:t>
      </w:r>
    </w:p>
    <w:p w:rsidR="00C46F26" w:rsidRPr="004C5551" w:rsidRDefault="00C46F26" w:rsidP="00D6574F">
      <w:pPr>
        <w:pStyle w:val="Normlnysozarkami2"/>
        <w:ind w:firstLine="431"/>
      </w:pPr>
      <w:r w:rsidRPr="004C5551">
        <w:t>Z celkového počtu obyvateľov vo veku 15 a viac rokov bolo 40,</w:t>
      </w:r>
      <w:r w:rsidR="009425AA" w:rsidRPr="004C5551">
        <w:t>6 </w:t>
      </w:r>
      <w:r w:rsidRPr="004C5551">
        <w:t xml:space="preserve">% </w:t>
      </w:r>
      <w:r w:rsidRPr="004C5551">
        <w:rPr>
          <w:b/>
        </w:rPr>
        <w:t>ekonomicky neaktívnych</w:t>
      </w:r>
      <w:r w:rsidRPr="004C5551">
        <w:t xml:space="preserve"> (v</w:t>
      </w:r>
      <w:r w:rsidR="00BA6C33" w:rsidRPr="004C5551">
        <w:t> </w:t>
      </w:r>
      <w:r w:rsidRPr="004C5551">
        <w:t>roku 2013 ich bolo 40,</w:t>
      </w:r>
      <w:r w:rsidR="009425AA" w:rsidRPr="004C5551">
        <w:t>7 </w:t>
      </w:r>
      <w:r w:rsidRPr="004C5551">
        <w:t>%). V porovnaní s predchádzajúcim rokom sa počet ekonomicky neaktívnych osôb takmer nezmenil (úbytok o 0,7 tis. osôb) a dosiahol 1 864,3 tis. osôb.</w:t>
      </w:r>
    </w:p>
    <w:p w:rsidR="00C46F26" w:rsidRPr="004C5551" w:rsidRDefault="00C46F26" w:rsidP="00D6574F">
      <w:pPr>
        <w:pStyle w:val="Normlnysozarkami2"/>
        <w:ind w:firstLine="431"/>
      </w:pPr>
      <w:r w:rsidRPr="004C5551">
        <w:t>Štruktúra ekonomicky neaktívnych obyvateľov vo veku 15 a viac rokov sa oproti predchádzajúcemu roku podstatnejšie nezmenila. Najvyšší podiel mali dôchodcovia poberajúci starobný alebo invalidný dôchodok, pričom v porovnaní s rokom 2013 sa ich podiel zvýšil z 59,</w:t>
      </w:r>
      <w:r w:rsidR="009425AA" w:rsidRPr="004C5551">
        <w:t>1 </w:t>
      </w:r>
      <w:r w:rsidRPr="004C5551">
        <w:t xml:space="preserve">% </w:t>
      </w:r>
      <w:r w:rsidR="00BD494D" w:rsidRPr="004C5551">
        <w:t>na </w:t>
      </w:r>
      <w:r w:rsidRPr="004C5551">
        <w:t>59,9 %. Druhou najpočetnejšou skupinou boli študenti a učni (24,</w:t>
      </w:r>
      <w:r w:rsidR="009425AA" w:rsidRPr="004C5551">
        <w:t>7 </w:t>
      </w:r>
      <w:r w:rsidRPr="004C5551">
        <w:t xml:space="preserve">%), pričom ich podiel medziročne poklesol </w:t>
      </w:r>
      <w:r w:rsidR="00460DEB" w:rsidRPr="004C5551">
        <w:t>o 1,0 p. b.</w:t>
      </w:r>
    </w:p>
    <w:p w:rsidR="00C46F26" w:rsidRPr="004C5551" w:rsidRDefault="00C46F26" w:rsidP="00D6574F">
      <w:pPr>
        <w:pStyle w:val="Normlnysozarkami2"/>
        <w:ind w:firstLine="431"/>
      </w:pPr>
      <w:r w:rsidRPr="004C5551">
        <w:t xml:space="preserve">Celková </w:t>
      </w:r>
      <w:r w:rsidRPr="004C5551">
        <w:rPr>
          <w:b/>
        </w:rPr>
        <w:t>miera ekonomickej aktivity</w:t>
      </w:r>
      <w:r w:rsidRPr="004C5551">
        <w:t xml:space="preserve"> obyvateľov vo veku 15 a viac rokov dosiahla úroveň 59,4 % a v porovnaní s rokom 2013 vzrástla o 0,1 p. b. Z hľadiska pohlavia sa miera ekonomickej aktivity zvýšila rovnako u mužov a žien o 0,1 p. b. (u mužov na 68,</w:t>
      </w:r>
      <w:r w:rsidR="009425AA" w:rsidRPr="004C5551">
        <w:t>2 </w:t>
      </w:r>
      <w:r w:rsidRPr="004C5551">
        <w:t>% a u žien na 51,</w:t>
      </w:r>
      <w:r w:rsidR="009425AA" w:rsidRPr="004C5551">
        <w:t>1 </w:t>
      </w:r>
      <w:r w:rsidRPr="004C5551">
        <w:t>%).</w:t>
      </w:r>
    </w:p>
    <w:p w:rsidR="00C46F26" w:rsidRPr="004C5551" w:rsidRDefault="00C46F26" w:rsidP="00C46F26">
      <w:pPr>
        <w:pStyle w:val="Nadpis7"/>
        <w:rPr>
          <w:vertAlign w:val="superscript"/>
        </w:rPr>
      </w:pPr>
      <w:r w:rsidRPr="004C5551">
        <w:t xml:space="preserve">Tabuľka 2.1 Miera ekonomickej aktivity obyvateľov 15+ podľa veku a pohlavia </w:t>
      </w:r>
      <w:r w:rsidRPr="004C5551">
        <w:br/>
        <w:t xml:space="preserve">(priemer za rok </w:t>
      </w:r>
      <w:r w:rsidR="009425AA" w:rsidRPr="004C5551">
        <w:t>v </w:t>
      </w:r>
      <w:r w:rsidRPr="004C5551">
        <w:t>%)</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025"/>
        <w:gridCol w:w="1016"/>
        <w:gridCol w:w="981"/>
        <w:gridCol w:w="978"/>
        <w:gridCol w:w="980"/>
        <w:gridCol w:w="980"/>
        <w:gridCol w:w="978"/>
      </w:tblGrid>
      <w:tr w:rsidR="00C46F26" w:rsidRPr="004C5551" w:rsidTr="00C46F26">
        <w:trPr>
          <w:trHeight w:val="255"/>
          <w:jc w:val="center"/>
        </w:trPr>
        <w:tc>
          <w:tcPr>
            <w:tcW w:w="1276" w:type="pct"/>
            <w:vMerge w:val="restart"/>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rPr>
                <w:b/>
                <w:color w:val="FFFFFF" w:themeColor="background1"/>
              </w:rPr>
            </w:pPr>
            <w:r w:rsidRPr="004C5551">
              <w:rPr>
                <w:b/>
                <w:color w:val="FFFFFF" w:themeColor="background1"/>
              </w:rPr>
              <w:t>Veková skupina</w:t>
            </w:r>
          </w:p>
        </w:tc>
        <w:tc>
          <w:tcPr>
            <w:tcW w:w="1258"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Spolu</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Muži</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Ženy</w:t>
            </w:r>
          </w:p>
        </w:tc>
      </w:tr>
      <w:tr w:rsidR="00C46F26" w:rsidRPr="004C5551" w:rsidTr="00C46F26">
        <w:trPr>
          <w:trHeight w:val="255"/>
          <w:jc w:val="center"/>
        </w:trPr>
        <w:tc>
          <w:tcPr>
            <w:tcW w:w="1276" w:type="pct"/>
            <w:vMerge/>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pStyle w:val="Nadpis21"/>
              <w:rPr>
                <w:color w:val="FFFFFF" w:themeColor="background1"/>
              </w:rPr>
            </w:pPr>
          </w:p>
        </w:tc>
        <w:tc>
          <w:tcPr>
            <w:tcW w:w="640"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2013</w:t>
            </w:r>
          </w:p>
        </w:tc>
        <w:tc>
          <w:tcPr>
            <w:tcW w:w="618"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2014</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2013</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2014</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2013</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2014</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b/>
                <w:sz w:val="20"/>
                <w:szCs w:val="20"/>
              </w:rPr>
            </w:pPr>
            <w:r w:rsidRPr="004C5551">
              <w:rPr>
                <w:b/>
                <w:sz w:val="20"/>
                <w:szCs w:val="20"/>
              </w:rPr>
              <w:t>Spolu</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59,3</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59,4</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68,1</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68,2</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51,0</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b/>
                <w:bCs/>
                <w:sz w:val="20"/>
                <w:szCs w:val="20"/>
              </w:rPr>
            </w:pPr>
            <w:r w:rsidRPr="004C5551">
              <w:rPr>
                <w:b/>
                <w:bCs/>
                <w:sz w:val="20"/>
                <w:szCs w:val="20"/>
              </w:rPr>
              <w:t>51,1</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15 – 19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6,1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6,4</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7,4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8,0</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4,8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4,6</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20 – 24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51,0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50,6</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62,4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62,0</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39,1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38,6</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25 – 29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82,2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81,0</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93,0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93,1</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71,0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68,5</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30 – 34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83,2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83,0</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96,7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96,4</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68,9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68,7</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35 – 39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88,8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89,1</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95,7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96,4</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81,5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81,5</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40 – 44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92,2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93,3</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94,2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95,6</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90,1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90,8</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45 – 49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91,0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91,7</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92,5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93,0</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89,3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90,5</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50 – 54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87,2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87,0</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88,6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88,5</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85,7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85,6</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55 – 59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73,5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74,9</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81,9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82,1</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65,8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68,2</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60 – 64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21,8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22,4</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32,8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32,0</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12,3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14,1</w:t>
            </w:r>
          </w:p>
        </w:tc>
      </w:tr>
      <w:tr w:rsidR="00C46F26" w:rsidRPr="004C5551" w:rsidTr="00C46F26">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rPr>
                <w:sz w:val="20"/>
                <w:szCs w:val="20"/>
              </w:rPr>
            </w:pPr>
            <w:r w:rsidRPr="004C5551">
              <w:rPr>
                <w:sz w:val="20"/>
                <w:szCs w:val="20"/>
              </w:rPr>
              <w:t>65 a viac rokov</w:t>
            </w:r>
          </w:p>
        </w:tc>
        <w:tc>
          <w:tcPr>
            <w:tcW w:w="640"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1,7 </w:t>
            </w:r>
          </w:p>
        </w:tc>
        <w:tc>
          <w:tcPr>
            <w:tcW w:w="618"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2,0</w:t>
            </w:r>
          </w:p>
        </w:tc>
        <w:tc>
          <w:tcPr>
            <w:tcW w:w="616"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2,8 </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3,3</w:t>
            </w:r>
          </w:p>
        </w:tc>
        <w:tc>
          <w:tcPr>
            <w:tcW w:w="617" w:type="pct"/>
            <w:tcBorders>
              <w:top w:val="single" w:sz="8" w:space="0" w:color="BF0000" w:themeColor="accent3" w:themeShade="BF"/>
              <w:bottom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 xml:space="preserve">1,1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C46F26" w:rsidRPr="004C5551" w:rsidRDefault="00C46F26" w:rsidP="00D3036E">
            <w:pPr>
              <w:ind w:right="170"/>
              <w:jc w:val="right"/>
              <w:rPr>
                <w:sz w:val="20"/>
                <w:szCs w:val="20"/>
              </w:rPr>
            </w:pPr>
            <w:r w:rsidRPr="004C5551">
              <w:rPr>
                <w:sz w:val="20"/>
                <w:szCs w:val="20"/>
              </w:rPr>
              <w:t>1,3</w:t>
            </w:r>
          </w:p>
        </w:tc>
      </w:tr>
    </w:tbl>
    <w:p w:rsidR="00C46F26" w:rsidRPr="004C5551" w:rsidRDefault="00C46F26" w:rsidP="00357F70">
      <w:pPr>
        <w:pStyle w:val="zdroj"/>
      </w:pPr>
      <w:r w:rsidRPr="004C5551">
        <w:t>Zdroj: ŠÚ SR, VZPS</w:t>
      </w:r>
      <w:r w:rsidRPr="004C5551">
        <w:tab/>
      </w:r>
    </w:p>
    <w:p w:rsidR="00C46F26" w:rsidRPr="004C5551" w:rsidRDefault="00C46F26" w:rsidP="00D6574F">
      <w:pPr>
        <w:pStyle w:val="Normlnysozarkami2"/>
        <w:ind w:firstLine="431"/>
      </w:pPr>
      <w:r w:rsidRPr="004C5551">
        <w:t xml:space="preserve">Vývoj štruktúry ekonomicky aktívnych obyvateľov podľa jednotlivých 5-ročných vekových skupín poukazuje na postupné starnutie pracovnej sily v SR. V porovnaní s rokom 2013 na jednej strane klesol počet ekonomicky aktívnych obyvateľov v 5-ročných vekových skupinách do 35 rokov a na druhej strane vzrástol počet ekonomicky aktívnych v 5-ročných vekových skupinách </w:t>
      </w:r>
      <w:r w:rsidR="00BD494D" w:rsidRPr="004C5551">
        <w:br/>
      </w:r>
      <w:r w:rsidRPr="004C5551">
        <w:t>od 35 do 44 rokov a v 5-ročných vekových skupinách</w:t>
      </w:r>
      <w:r w:rsidR="00A42C23" w:rsidRPr="004C5551">
        <w:t xml:space="preserve"> </w:t>
      </w:r>
      <w:r w:rsidRPr="004C5551">
        <w:t>nad 55 rokov. Klesol aj počet ekonomicky aktívnych vo vekových skupinách od 45 do 54 rokov.</w:t>
      </w:r>
    </w:p>
    <w:p w:rsidR="00C46F26" w:rsidRPr="004C5551" w:rsidRDefault="00C46F26" w:rsidP="00C46F26">
      <w:pPr>
        <w:pStyle w:val="Nadpis7"/>
        <w:rPr>
          <w:vertAlign w:val="superscript"/>
        </w:rPr>
      </w:pPr>
      <w:r w:rsidRPr="004C5551">
        <w:t xml:space="preserve">Tabuľka 2.2 Ekonomicky aktívne obyvateľstvo podľa veku v roku 2014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383"/>
        <w:gridCol w:w="1469"/>
        <w:gridCol w:w="1013"/>
        <w:gridCol w:w="1470"/>
        <w:gridCol w:w="1603"/>
      </w:tblGrid>
      <w:tr w:rsidR="00C46F26" w:rsidRPr="004C5551" w:rsidTr="00C46F26">
        <w:trPr>
          <w:trHeight w:val="255"/>
          <w:jc w:val="center"/>
        </w:trPr>
        <w:tc>
          <w:tcPr>
            <w:tcW w:w="1526" w:type="pct"/>
            <w:vMerge w:val="restart"/>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Veková skupina</w:t>
            </w:r>
          </w:p>
        </w:tc>
        <w:tc>
          <w:tcPr>
            <w:tcW w:w="1575"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Spolu</w:t>
            </w:r>
          </w:p>
        </w:tc>
        <w:tc>
          <w:tcPr>
            <w:tcW w:w="1899"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Zmena oproti roku 2013</w:t>
            </w:r>
          </w:p>
        </w:tc>
      </w:tr>
      <w:tr w:rsidR="00C46F26" w:rsidRPr="004C5551" w:rsidTr="00C46F26">
        <w:trPr>
          <w:trHeight w:val="255"/>
          <w:jc w:val="center"/>
        </w:trPr>
        <w:tc>
          <w:tcPr>
            <w:tcW w:w="1526" w:type="pct"/>
            <w:vMerge/>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jc w:val="center"/>
              <w:rPr>
                <w:b/>
                <w:color w:val="FFFFFF" w:themeColor="background1"/>
              </w:rPr>
            </w:pPr>
          </w:p>
        </w:tc>
        <w:tc>
          <w:tcPr>
            <w:tcW w:w="912"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v tis. osobách</w:t>
            </w:r>
          </w:p>
        </w:tc>
        <w:tc>
          <w:tcPr>
            <w:tcW w:w="663"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C46F26" w:rsidRPr="004C5551" w:rsidRDefault="009425AA" w:rsidP="009425AA">
            <w:pPr>
              <w:jc w:val="center"/>
              <w:rPr>
                <w:b/>
                <w:color w:val="FFFFFF" w:themeColor="background1"/>
              </w:rPr>
            </w:pPr>
            <w:r w:rsidRPr="004C5551">
              <w:rPr>
                <w:b/>
                <w:color w:val="FFFFFF" w:themeColor="background1"/>
              </w:rPr>
              <w:t>v </w:t>
            </w:r>
            <w:r w:rsidR="00C46F26" w:rsidRPr="004C5551">
              <w:rPr>
                <w:b/>
                <w:color w:val="FFFFFF" w:themeColor="background1"/>
              </w:rPr>
              <w:t>%</w:t>
            </w:r>
          </w:p>
        </w:tc>
        <w:tc>
          <w:tcPr>
            <w:tcW w:w="865"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v tis. osobách</w:t>
            </w:r>
          </w:p>
        </w:tc>
        <w:tc>
          <w:tcPr>
            <w:tcW w:w="1034" w:type="pct"/>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v p. b.</w:t>
            </w:r>
          </w:p>
        </w:tc>
      </w:tr>
      <w:tr w:rsidR="00C46F26" w:rsidRPr="004C5551" w:rsidTr="00C46F26">
        <w:trPr>
          <w:trHeight w:val="255"/>
          <w:jc w:val="center"/>
        </w:trPr>
        <w:tc>
          <w:tcPr>
            <w:tcW w:w="1526"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rPr>
                <w:b/>
              </w:rPr>
            </w:pPr>
            <w:r w:rsidRPr="004C5551">
              <w:rPr>
                <w:b/>
              </w:rPr>
              <w:t>Spolu</w:t>
            </w:r>
          </w:p>
        </w:tc>
        <w:tc>
          <w:tcPr>
            <w:tcW w:w="912" w:type="pct"/>
            <w:tcBorders>
              <w:top w:val="single" w:sz="4"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rPr>
                <w:b/>
              </w:rPr>
            </w:pPr>
            <w:r w:rsidRPr="004C5551">
              <w:rPr>
                <w:b/>
              </w:rPr>
              <w:t>2 721,8</w:t>
            </w:r>
          </w:p>
        </w:tc>
        <w:tc>
          <w:tcPr>
            <w:tcW w:w="663" w:type="pct"/>
            <w:tcBorders>
              <w:top w:val="single" w:sz="4"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rPr>
                <w:b/>
              </w:rPr>
            </w:pPr>
            <w:r w:rsidRPr="004C5551">
              <w:rPr>
                <w:b/>
              </w:rPr>
              <w:t>100,0</w:t>
            </w:r>
          </w:p>
        </w:tc>
        <w:tc>
          <w:tcPr>
            <w:tcW w:w="865" w:type="pct"/>
            <w:tcBorders>
              <w:top w:val="single" w:sz="4"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rPr>
                <w:b/>
              </w:rPr>
            </w:pPr>
            <w:r w:rsidRPr="004C5551">
              <w:rPr>
                <w:b/>
              </w:rPr>
              <w:t>6,5</w:t>
            </w:r>
          </w:p>
        </w:tc>
        <w:tc>
          <w:tcPr>
            <w:tcW w:w="1034" w:type="pct"/>
            <w:tcBorders>
              <w:top w:val="single" w:sz="4"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073D95">
            <w:pPr>
              <w:pStyle w:val="tabulka"/>
              <w:ind w:right="459"/>
              <w:jc w:val="right"/>
              <w:rPr>
                <w:b/>
              </w:rPr>
            </w:pPr>
            <w:r w:rsidRPr="004C5551">
              <w:rPr>
                <w:b/>
              </w:rPr>
              <w:t>x</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v tom veková skupina:</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15 – 19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19,2</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0,7</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-0,2</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0,0</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20 – 24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192,1</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7,1</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-5,6</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-0,2</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25 – 29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341,1</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12,5</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-11,2</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-0,5</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30 – 34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369,9</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13,6</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-7,0</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-0,3</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35 – 39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407,0</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15,0</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7,4</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0,3</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40 – 44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360,1</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13,2</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18,8</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0,6</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45 – 49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329,6</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12,1</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-4,2</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-0,2</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50 – 54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321,0</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11,8</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-2,8</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-0,1</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55 – 59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289,3</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10,6</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4,1</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0,1</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60 – 64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77,8</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2,9</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4,5</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0,2</w:t>
            </w:r>
          </w:p>
        </w:tc>
      </w:tr>
      <w:tr w:rsidR="00C46F26" w:rsidRPr="004C5551" w:rsidTr="00C46F26">
        <w:trPr>
          <w:trHeight w:val="255"/>
          <w:jc w:val="center"/>
        </w:trPr>
        <w:tc>
          <w:tcPr>
            <w:tcW w:w="152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C46F26" w:rsidRPr="004C5551" w:rsidRDefault="00C46F26" w:rsidP="00C46F26">
            <w:pPr>
              <w:pStyle w:val="tabulka"/>
              <w:jc w:val="left"/>
            </w:pPr>
            <w:r w:rsidRPr="004C5551">
              <w:t>65 a viac rokov</w:t>
            </w:r>
          </w:p>
        </w:tc>
        <w:tc>
          <w:tcPr>
            <w:tcW w:w="912"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14,8</w:t>
            </w:r>
          </w:p>
        </w:tc>
        <w:tc>
          <w:tcPr>
            <w:tcW w:w="663"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0,5</w:t>
            </w:r>
          </w:p>
        </w:tc>
        <w:tc>
          <w:tcPr>
            <w:tcW w:w="865" w:type="pct"/>
            <w:tcBorders>
              <w:top w:val="single" w:sz="8" w:space="0" w:color="BF0000" w:themeColor="accent3" w:themeShade="BF"/>
              <w:bottom w:val="single" w:sz="8" w:space="0" w:color="BF0000" w:themeColor="accent3" w:themeShade="BF"/>
            </w:tcBorders>
            <w:noWrap/>
            <w:vAlign w:val="center"/>
          </w:tcPr>
          <w:p w:rsidR="00C46F26" w:rsidRPr="004C5551" w:rsidRDefault="00C46F26" w:rsidP="00C46F26">
            <w:pPr>
              <w:pStyle w:val="tabulka"/>
              <w:ind w:right="219"/>
              <w:jc w:val="right"/>
            </w:pPr>
            <w:r w:rsidRPr="004C5551">
              <w:t>2,6</w:t>
            </w:r>
          </w:p>
        </w:tc>
        <w:tc>
          <w:tcPr>
            <w:tcW w:w="1034"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C46F26" w:rsidRPr="004C5551" w:rsidRDefault="00C46F26" w:rsidP="00C46F26">
            <w:pPr>
              <w:pStyle w:val="tabulka"/>
              <w:ind w:right="219"/>
              <w:jc w:val="right"/>
            </w:pPr>
            <w:r w:rsidRPr="004C5551">
              <w:t>0,1</w:t>
            </w:r>
          </w:p>
        </w:tc>
      </w:tr>
    </w:tbl>
    <w:p w:rsidR="00C46F26" w:rsidRPr="004C5551" w:rsidRDefault="00C46F26" w:rsidP="00357F70">
      <w:pPr>
        <w:pStyle w:val="zdroj"/>
      </w:pPr>
      <w:r w:rsidRPr="004C5551">
        <w:t>Zdroj: ŠÚ SR, VZPS</w:t>
      </w:r>
      <w:r w:rsidRPr="004C5551">
        <w:tab/>
      </w:r>
    </w:p>
    <w:p w:rsidR="00C46F26" w:rsidRPr="004C5551" w:rsidRDefault="00C46F26" w:rsidP="00D6574F">
      <w:pPr>
        <w:ind w:firstLine="431"/>
      </w:pPr>
      <w:r w:rsidRPr="004C5551">
        <w:rPr>
          <w:b/>
          <w:i/>
        </w:rPr>
        <w:t xml:space="preserve">Mladí ľudia (vo veku 15 </w:t>
      </w:r>
      <w:r w:rsidRPr="004C5551">
        <w:rPr>
          <w:color w:val="000000" w:themeColor="text1"/>
        </w:rPr>
        <w:t xml:space="preserve">– </w:t>
      </w:r>
      <w:r w:rsidRPr="004C5551">
        <w:rPr>
          <w:b/>
          <w:i/>
        </w:rPr>
        <w:t>24 rokov</w:t>
      </w:r>
      <w:r w:rsidRPr="004C5551">
        <w:rPr>
          <w:b/>
        </w:rPr>
        <w:t>)</w:t>
      </w:r>
      <w:r w:rsidRPr="004C5551">
        <w:t xml:space="preserve"> sa na celkovom počte ekonomicky aktívnych v roku 2014 podieľali 7,</w:t>
      </w:r>
      <w:r w:rsidR="009425AA" w:rsidRPr="004C5551">
        <w:t>8 </w:t>
      </w:r>
      <w:r w:rsidRPr="004C5551">
        <w:t xml:space="preserve">% a v dôsledku ich absolútneho medziročného poklesu (o takmer 6 tis. osôb) sa ich podiel na celkovom počte ekonomicky aktívnych obyvateľov v roku 2014 medziročne mierne </w:t>
      </w:r>
      <w:r w:rsidR="0003544F" w:rsidRPr="004C5551">
        <w:t xml:space="preserve">znížil </w:t>
      </w:r>
      <w:r w:rsidRPr="004C5551">
        <w:t>(</w:t>
      </w:r>
      <w:r w:rsidR="0003544F" w:rsidRPr="004C5551">
        <w:t>o </w:t>
      </w:r>
      <w:r w:rsidRPr="004C5551">
        <w:t>0,2 p. b.). Medziročný vývoj počtu ekonomicky aktívnych mladých ľudí bol ovplyvnený nadpriemerným tempom rastu pracujúcich v tejto vekovej skupine (o 4,5 tis. osôb, relatívne o 3,</w:t>
      </w:r>
      <w:r w:rsidR="009425AA" w:rsidRPr="004C5551">
        <w:t>1 </w:t>
      </w:r>
      <w:r w:rsidRPr="004C5551">
        <w:t>%, pričom priemer za SR bol 1,</w:t>
      </w:r>
      <w:r w:rsidR="009425AA" w:rsidRPr="004C5551">
        <w:t>4 </w:t>
      </w:r>
      <w:r w:rsidRPr="004C5551">
        <w:t xml:space="preserve">%), ako aj výrazným poklesom počtu mladých nezamestnaných </w:t>
      </w:r>
      <w:r w:rsidR="00BD494D" w:rsidRPr="004C5551">
        <w:br/>
      </w:r>
      <w:r w:rsidRPr="004C5551">
        <w:t>(o 10,</w:t>
      </w:r>
      <w:r w:rsidR="002328D6" w:rsidRPr="004C5551">
        <w:t>3 tis. osôb, relatívne o 14,</w:t>
      </w:r>
      <w:r w:rsidR="009425AA" w:rsidRPr="004C5551">
        <w:t>1 </w:t>
      </w:r>
      <w:r w:rsidR="002328D6" w:rsidRPr="004C5551">
        <w:t xml:space="preserve">%, </w:t>
      </w:r>
      <w:r w:rsidRPr="004C5551">
        <w:t xml:space="preserve">pričom priemer za SR bol 7,1 %). </w:t>
      </w:r>
    </w:p>
    <w:p w:rsidR="00C46F26" w:rsidRPr="004C5551" w:rsidRDefault="00C46F26" w:rsidP="00D6574F">
      <w:pPr>
        <w:ind w:firstLine="431"/>
      </w:pPr>
      <w:r w:rsidRPr="004C5551">
        <w:rPr>
          <w:b/>
          <w:i/>
        </w:rPr>
        <w:t xml:space="preserve">Staršie osoby (vo veku 55 </w:t>
      </w:r>
      <w:r w:rsidRPr="004C5551">
        <w:rPr>
          <w:color w:val="000000" w:themeColor="text1"/>
        </w:rPr>
        <w:t xml:space="preserve">– </w:t>
      </w:r>
      <w:r w:rsidRPr="004C5551">
        <w:rPr>
          <w:b/>
          <w:i/>
        </w:rPr>
        <w:t>64 rokov)</w:t>
      </w:r>
      <w:r w:rsidRPr="004C5551">
        <w:rPr>
          <w:i/>
        </w:rPr>
        <w:t xml:space="preserve"> </w:t>
      </w:r>
      <w:r w:rsidRPr="004C5551">
        <w:t>sa na celkovom počte ekonomicky aktívnych obyvateľov v roku 2014 podieľali 13,</w:t>
      </w:r>
      <w:r w:rsidR="009425AA" w:rsidRPr="004C5551">
        <w:t>5 </w:t>
      </w:r>
      <w:r w:rsidRPr="004C5551">
        <w:t xml:space="preserve">% a v dôsledku ich absolútneho medziročného prírastku (o 8,6 tis. osôb) sa ich podiel na celkovom počte ekonomicky aktívnych obyvateľov v roku 2014 medziročne zvýšil </w:t>
      </w:r>
      <w:r w:rsidR="00BD494D" w:rsidRPr="004C5551">
        <w:br/>
      </w:r>
      <w:r w:rsidRPr="004C5551">
        <w:t>o 0,3 p. b. V rámci ekonomicky aktívnych v uvedenej vekovej skupine vzrástol počet pracujúcich (o 9,2 tis. osôb) a poklesol počet nezamestnaných (o 0,5 tis. osôb).</w:t>
      </w:r>
    </w:p>
    <w:p w:rsidR="00477028" w:rsidRPr="004C5551" w:rsidRDefault="00C46F26" w:rsidP="00D6574F">
      <w:pPr>
        <w:ind w:firstLine="431"/>
      </w:pPr>
      <w:r w:rsidRPr="004C5551">
        <w:t>V štruktúre ekonomicky aktívnych obyvateľov</w:t>
      </w:r>
      <w:r w:rsidRPr="004C5551">
        <w:rPr>
          <w:b/>
          <w:i/>
        </w:rPr>
        <w:t xml:space="preserve"> </w:t>
      </w:r>
      <w:r w:rsidRPr="004C5551">
        <w:t>podľa</w:t>
      </w:r>
      <w:r w:rsidRPr="004C5551">
        <w:rPr>
          <w:i/>
        </w:rPr>
        <w:t xml:space="preserve"> </w:t>
      </w:r>
      <w:r w:rsidRPr="004C5551">
        <w:rPr>
          <w:b/>
          <w:i/>
        </w:rPr>
        <w:t>vzdelania</w:t>
      </w:r>
      <w:r w:rsidRPr="004C5551">
        <w:t xml:space="preserve"> najväčší podiel mali osoby s úplným stredným odborným vzdelaním (približne </w:t>
      </w:r>
      <w:r w:rsidR="009425AA" w:rsidRPr="004C5551">
        <w:t>33 </w:t>
      </w:r>
      <w:r w:rsidRPr="004C5551">
        <w:t xml:space="preserve">%) a učňovským vzdelaním bez maturity (približne 30 %). </w:t>
      </w:r>
      <w:r w:rsidR="00477028" w:rsidRPr="004C5551">
        <w:t xml:space="preserve">Najvyššiu úroveň miery ekonomickej aktivity v roku 2014 (nad </w:t>
      </w:r>
      <w:r w:rsidR="009425AA" w:rsidRPr="004C5551">
        <w:t>80 </w:t>
      </w:r>
      <w:r w:rsidR="00477028" w:rsidRPr="004C5551">
        <w:t xml:space="preserve">%) dosahovali osoby </w:t>
      </w:r>
      <w:r w:rsidR="00FD65D6" w:rsidRPr="004C5551">
        <w:t xml:space="preserve">s vysokoškolským vzdelaním 2. a 3. stupňa, </w:t>
      </w:r>
      <w:r w:rsidR="00477028" w:rsidRPr="004C5551">
        <w:t>s učňovským vzdelaním s</w:t>
      </w:r>
      <w:r w:rsidR="00FD65D6" w:rsidRPr="004C5551">
        <w:t> </w:t>
      </w:r>
      <w:r w:rsidR="00477028" w:rsidRPr="004C5551">
        <w:t>matur</w:t>
      </w:r>
      <w:r w:rsidR="00FD65D6" w:rsidRPr="004C5551">
        <w:t>itou a</w:t>
      </w:r>
      <w:r w:rsidR="00477028" w:rsidRPr="004C5551">
        <w:t xml:space="preserve"> s</w:t>
      </w:r>
      <w:r w:rsidR="00FD65D6" w:rsidRPr="004C5551">
        <w:t xml:space="preserve"> úplným </w:t>
      </w:r>
      <w:r w:rsidR="00477028" w:rsidRPr="004C5551">
        <w:t>stredným vzdelaním.</w:t>
      </w:r>
    </w:p>
    <w:p w:rsidR="002E541A" w:rsidRPr="004C5551" w:rsidRDefault="002E541A">
      <w:pPr>
        <w:jc w:val="left"/>
        <w:rPr>
          <w:b/>
        </w:rPr>
      </w:pPr>
      <w:r w:rsidRPr="004C5551">
        <w:br w:type="page"/>
      </w:r>
    </w:p>
    <w:p w:rsidR="00460DEB" w:rsidRPr="004C5551" w:rsidRDefault="002E541A" w:rsidP="00460DEB">
      <w:pPr>
        <w:pStyle w:val="Nadpis7"/>
      </w:pPr>
      <w:r w:rsidRPr="004C5551">
        <w:t>Tabuľka 2.3 Miera ekonomickej aktivity obyvateľov 15 – 64 rokov podľa stupňa dosiahnutého vzdelania v roku 2014</w:t>
      </w:r>
    </w:p>
    <w:tbl>
      <w:tblPr>
        <w:tblW w:w="5000" w:type="pct"/>
        <w:tblCellMar>
          <w:left w:w="0" w:type="dxa"/>
          <w:right w:w="0" w:type="dxa"/>
        </w:tblCellMar>
        <w:tblLook w:val="04A0" w:firstRow="1" w:lastRow="0" w:firstColumn="1" w:lastColumn="0" w:noHBand="0" w:noVBand="1"/>
      </w:tblPr>
      <w:tblGrid>
        <w:gridCol w:w="3717"/>
        <w:gridCol w:w="888"/>
        <w:gridCol w:w="809"/>
        <w:gridCol w:w="792"/>
        <w:gridCol w:w="1074"/>
        <w:gridCol w:w="978"/>
        <w:gridCol w:w="954"/>
      </w:tblGrid>
      <w:tr w:rsidR="002E541A" w:rsidRPr="004C5551" w:rsidTr="002E541A">
        <w:trPr>
          <w:trHeight w:val="300"/>
        </w:trPr>
        <w:tc>
          <w:tcPr>
            <w:tcW w:w="2017" w:type="pct"/>
            <w:vMerge w:val="restart"/>
            <w:tcBorders>
              <w:top w:val="single" w:sz="8" w:space="0" w:color="C00000"/>
              <w:left w:val="single" w:sz="8" w:space="0" w:color="C00000"/>
              <w:bottom w:val="single" w:sz="8" w:space="0" w:color="C00000"/>
              <w:right w:val="nil"/>
            </w:tcBorders>
            <w:shd w:val="clear" w:color="auto" w:fill="C00000"/>
            <w:noWrap/>
            <w:tcMar>
              <w:top w:w="0" w:type="dxa"/>
              <w:left w:w="70" w:type="dxa"/>
              <w:bottom w:w="0" w:type="dxa"/>
              <w:right w:w="70" w:type="dxa"/>
            </w:tcMar>
            <w:vAlign w:val="center"/>
            <w:hideMark/>
          </w:tcPr>
          <w:p w:rsidR="002E541A" w:rsidRPr="004C5551" w:rsidRDefault="002E541A">
            <w:pPr>
              <w:jc w:val="center"/>
              <w:rPr>
                <w:rFonts w:eastAsiaTheme="minorHAnsi"/>
                <w:b/>
                <w:bCs/>
                <w:color w:val="FFFFFF"/>
                <w:szCs w:val="22"/>
              </w:rPr>
            </w:pPr>
            <w:r w:rsidRPr="004C5551">
              <w:rPr>
                <w:b/>
                <w:bCs/>
                <w:color w:val="FFFFFF"/>
              </w:rPr>
              <w:t>Stupeň vzdelania</w:t>
            </w:r>
          </w:p>
        </w:tc>
        <w:tc>
          <w:tcPr>
            <w:tcW w:w="1351" w:type="pct"/>
            <w:gridSpan w:val="3"/>
            <w:tcBorders>
              <w:top w:val="single" w:sz="8" w:space="0" w:color="C00000"/>
              <w:left w:val="nil"/>
              <w:bottom w:val="single" w:sz="8" w:space="0" w:color="C00000"/>
              <w:right w:val="nil"/>
            </w:tcBorders>
            <w:shd w:val="clear" w:color="auto" w:fill="C00000"/>
            <w:noWrap/>
            <w:tcMar>
              <w:top w:w="0" w:type="dxa"/>
              <w:left w:w="70" w:type="dxa"/>
              <w:bottom w:w="0" w:type="dxa"/>
              <w:right w:w="70" w:type="dxa"/>
            </w:tcMar>
            <w:vAlign w:val="bottom"/>
            <w:hideMark/>
          </w:tcPr>
          <w:p w:rsidR="002E541A" w:rsidRPr="004C5551" w:rsidRDefault="002E541A" w:rsidP="002E541A">
            <w:pPr>
              <w:jc w:val="center"/>
              <w:rPr>
                <w:rFonts w:eastAsiaTheme="minorHAnsi"/>
                <w:b/>
                <w:bCs/>
                <w:color w:val="FFFFFF"/>
                <w:szCs w:val="22"/>
              </w:rPr>
            </w:pPr>
            <w:r w:rsidRPr="004C5551">
              <w:rPr>
                <w:b/>
                <w:bCs/>
                <w:color w:val="FFFFFF"/>
              </w:rPr>
              <w:t>v %</w:t>
            </w:r>
          </w:p>
        </w:tc>
        <w:tc>
          <w:tcPr>
            <w:tcW w:w="1632" w:type="pct"/>
            <w:gridSpan w:val="3"/>
            <w:tcBorders>
              <w:top w:val="single" w:sz="8" w:space="0" w:color="C00000"/>
              <w:left w:val="nil"/>
              <w:bottom w:val="single" w:sz="8" w:space="0" w:color="C00000"/>
              <w:right w:val="single" w:sz="8" w:space="0" w:color="C00000"/>
            </w:tcBorders>
            <w:shd w:val="clear" w:color="auto" w:fill="C00000"/>
            <w:noWrap/>
            <w:tcMar>
              <w:top w:w="0" w:type="dxa"/>
              <w:left w:w="70" w:type="dxa"/>
              <w:bottom w:w="0" w:type="dxa"/>
              <w:right w:w="70" w:type="dxa"/>
            </w:tcMar>
            <w:vAlign w:val="bottom"/>
            <w:hideMark/>
          </w:tcPr>
          <w:p w:rsidR="002E541A" w:rsidRPr="004C5551" w:rsidRDefault="002E541A" w:rsidP="002E541A">
            <w:pPr>
              <w:jc w:val="center"/>
              <w:rPr>
                <w:rFonts w:eastAsiaTheme="minorHAnsi"/>
                <w:b/>
                <w:bCs/>
                <w:color w:val="FFFFFF"/>
                <w:szCs w:val="22"/>
              </w:rPr>
            </w:pPr>
            <w:r w:rsidRPr="004C5551">
              <w:rPr>
                <w:b/>
                <w:bCs/>
                <w:color w:val="FFFFFF"/>
              </w:rPr>
              <w:t>medziročná zmena v p. b.</w:t>
            </w:r>
          </w:p>
        </w:tc>
      </w:tr>
      <w:tr w:rsidR="002E541A" w:rsidRPr="004C5551" w:rsidTr="002E541A">
        <w:trPr>
          <w:trHeight w:val="300"/>
        </w:trPr>
        <w:tc>
          <w:tcPr>
            <w:tcW w:w="2017" w:type="pct"/>
            <w:vMerge/>
            <w:tcBorders>
              <w:top w:val="single" w:sz="8" w:space="0" w:color="C00000"/>
              <w:left w:val="single" w:sz="8" w:space="0" w:color="C00000"/>
              <w:bottom w:val="single" w:sz="8" w:space="0" w:color="C00000"/>
              <w:right w:val="nil"/>
            </w:tcBorders>
            <w:vAlign w:val="center"/>
            <w:hideMark/>
          </w:tcPr>
          <w:p w:rsidR="002E541A" w:rsidRPr="004C5551" w:rsidRDefault="002E541A">
            <w:pPr>
              <w:rPr>
                <w:rFonts w:eastAsiaTheme="minorHAnsi"/>
                <w:b/>
                <w:bCs/>
                <w:color w:val="FFFFFF"/>
                <w:szCs w:val="22"/>
              </w:rPr>
            </w:pPr>
          </w:p>
        </w:tc>
        <w:tc>
          <w:tcPr>
            <w:tcW w:w="482"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Spolu</w:t>
            </w:r>
          </w:p>
        </w:tc>
        <w:tc>
          <w:tcPr>
            <w:tcW w:w="439"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Muži</w:t>
            </w:r>
          </w:p>
        </w:tc>
        <w:tc>
          <w:tcPr>
            <w:tcW w:w="430"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Ženy</w:t>
            </w:r>
          </w:p>
        </w:tc>
        <w:tc>
          <w:tcPr>
            <w:tcW w:w="583"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Spolu</w:t>
            </w:r>
          </w:p>
        </w:tc>
        <w:tc>
          <w:tcPr>
            <w:tcW w:w="531" w:type="pct"/>
            <w:tcBorders>
              <w:top w:val="nil"/>
              <w:left w:val="nil"/>
              <w:bottom w:val="single" w:sz="8" w:space="0" w:color="C00000"/>
              <w:right w:val="nil"/>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Muži</w:t>
            </w:r>
          </w:p>
        </w:tc>
        <w:tc>
          <w:tcPr>
            <w:tcW w:w="518" w:type="pct"/>
            <w:tcBorders>
              <w:top w:val="nil"/>
              <w:left w:val="nil"/>
              <w:bottom w:val="single" w:sz="8" w:space="0" w:color="C00000"/>
              <w:right w:val="single" w:sz="8" w:space="0" w:color="C00000"/>
            </w:tcBorders>
            <w:shd w:val="clear" w:color="auto" w:fill="C00000"/>
            <w:noWrap/>
            <w:tcMar>
              <w:top w:w="0" w:type="dxa"/>
              <w:left w:w="70" w:type="dxa"/>
              <w:bottom w:w="0" w:type="dxa"/>
              <w:right w:w="70" w:type="dxa"/>
            </w:tcMar>
            <w:vAlign w:val="bottom"/>
            <w:hideMark/>
          </w:tcPr>
          <w:p w:rsidR="00460DEB" w:rsidRPr="004C5551" w:rsidRDefault="002E541A" w:rsidP="00460DEB">
            <w:pPr>
              <w:jc w:val="center"/>
              <w:rPr>
                <w:rFonts w:eastAsiaTheme="minorHAnsi"/>
                <w:b/>
                <w:bCs/>
                <w:color w:val="FFFFFF"/>
                <w:szCs w:val="22"/>
              </w:rPr>
            </w:pPr>
            <w:r w:rsidRPr="004C5551">
              <w:rPr>
                <w:b/>
                <w:bCs/>
                <w:color w:val="FFFFFF"/>
              </w:rPr>
              <w:t>Ženy</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pPr>
              <w:rPr>
                <w:rFonts w:eastAsiaTheme="minorHAnsi"/>
                <w:b/>
                <w:bCs/>
                <w:color w:val="000000"/>
                <w:szCs w:val="22"/>
              </w:rPr>
            </w:pPr>
            <w:r w:rsidRPr="004C5551">
              <w:rPr>
                <w:b/>
                <w:bCs/>
                <w:color w:val="000000"/>
              </w:rPr>
              <w:t>Spolu</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70,3</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77,6</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62,9</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0,5</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0,4</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0,5</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pPr>
              <w:rPr>
                <w:rFonts w:eastAsiaTheme="minorHAnsi"/>
                <w:color w:val="000000"/>
                <w:szCs w:val="22"/>
              </w:rPr>
            </w:pPr>
            <w:r w:rsidRPr="004C5551">
              <w:rPr>
                <w:color w:val="000000"/>
              </w:rPr>
              <w:t>v tom vzdelanie</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 </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základné</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28,5</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31,9</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25,5</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0,3</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0,4</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0,1</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stredné odborné (učňovské) bez mat.</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76,3</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82,</w:t>
            </w:r>
            <w:r w:rsidR="006C6492" w:rsidRPr="004C5551">
              <w:rPr>
                <w:color w:val="000000"/>
              </w:rPr>
              <w:t>7</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66,9</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-0,6</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-1,2</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0,2</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stredné odborné (učňovské) s mat.</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86,0</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93,2</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75,7</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-3,4</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-0,3</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-7,6</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úplné stredné všeobecné</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47,2</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51,1</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44,7</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-2,3</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-3,</w:t>
            </w:r>
            <w:r w:rsidR="006C6492" w:rsidRPr="004C5551">
              <w:rPr>
                <w:color w:val="000000"/>
              </w:rPr>
              <w:t>5</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-1,4</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úplné stredné odborné</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color w:val="000000"/>
              </w:rPr>
            </w:pPr>
            <w:r w:rsidRPr="004C5551">
              <w:rPr>
                <w:color w:val="000000"/>
              </w:rPr>
              <w:t>80,9</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88,8</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73,4</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1,</w:t>
            </w:r>
            <w:r w:rsidR="006C6492" w:rsidRPr="004C5551">
              <w:rPr>
                <w:color w:val="000000"/>
              </w:rPr>
              <w:t>0</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0,8</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1,</w:t>
            </w:r>
            <w:r w:rsidR="006C6492" w:rsidRPr="004C5551">
              <w:rPr>
                <w:color w:val="000000"/>
              </w:rPr>
              <w:t>0</w:t>
            </w:r>
          </w:p>
        </w:tc>
      </w:tr>
      <w:tr w:rsidR="002E541A" w:rsidRPr="004C5551" w:rsidTr="002E541A">
        <w:trPr>
          <w:trHeight w:val="300"/>
        </w:trPr>
        <w:tc>
          <w:tcPr>
            <w:tcW w:w="2017" w:type="pct"/>
            <w:tcBorders>
              <w:top w:val="nil"/>
              <w:left w:val="single" w:sz="8" w:space="0" w:color="C00000"/>
              <w:bottom w:val="nil"/>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vyššie odborné</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color w:val="000000"/>
              </w:rPr>
            </w:pPr>
            <w:r w:rsidRPr="004C5551">
              <w:rPr>
                <w:color w:val="000000"/>
              </w:rPr>
              <w:t>75,3</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90,8</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68,0</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-2,6</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5,</w:t>
            </w:r>
            <w:r w:rsidR="006C6492" w:rsidRPr="004C5551">
              <w:rPr>
                <w:color w:val="000000"/>
              </w:rPr>
              <w:t>7</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-6,7</w:t>
            </w:r>
          </w:p>
        </w:tc>
      </w:tr>
      <w:tr w:rsidR="002E541A" w:rsidRPr="004C5551" w:rsidTr="002E541A">
        <w:trPr>
          <w:trHeight w:val="300"/>
        </w:trPr>
        <w:tc>
          <w:tcPr>
            <w:tcW w:w="2017"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 xml:space="preserve">vysokoškolské </w:t>
            </w:r>
            <w:r w:rsidR="00423669" w:rsidRPr="004C5551">
              <w:t>–</w:t>
            </w:r>
            <w:r w:rsidRPr="004C5551">
              <w:t xml:space="preserve"> 1. stupeň</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color w:val="000000"/>
              </w:rPr>
            </w:pPr>
            <w:r w:rsidRPr="004C5551">
              <w:rPr>
                <w:color w:val="000000"/>
              </w:rPr>
              <w:t>61,4</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63,6</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60,1</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5,</w:t>
            </w:r>
            <w:r w:rsidR="006C6492" w:rsidRPr="004C5551">
              <w:rPr>
                <w:color w:val="000000"/>
              </w:rPr>
              <w:t>3</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460DEB" w:rsidRPr="004C5551" w:rsidRDefault="002E541A" w:rsidP="006C6492">
            <w:pPr>
              <w:ind w:right="113" w:firstLine="57"/>
              <w:jc w:val="right"/>
              <w:rPr>
                <w:rFonts w:eastAsiaTheme="minorHAnsi"/>
                <w:color w:val="000000"/>
                <w:szCs w:val="22"/>
              </w:rPr>
            </w:pPr>
            <w:r w:rsidRPr="004C5551">
              <w:rPr>
                <w:color w:val="000000"/>
              </w:rPr>
              <w:t>6,</w:t>
            </w:r>
            <w:r w:rsidR="006C6492" w:rsidRPr="004C5551">
              <w:rPr>
                <w:color w:val="000000"/>
              </w:rPr>
              <w:t>6</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460DEB" w:rsidRPr="004C5551" w:rsidRDefault="002E541A" w:rsidP="00BA6C33">
            <w:pPr>
              <w:ind w:right="113" w:firstLine="57"/>
              <w:jc w:val="right"/>
              <w:rPr>
                <w:rFonts w:eastAsiaTheme="minorHAnsi"/>
                <w:color w:val="000000"/>
                <w:szCs w:val="22"/>
              </w:rPr>
            </w:pPr>
            <w:r w:rsidRPr="004C5551">
              <w:rPr>
                <w:color w:val="000000"/>
              </w:rPr>
              <w:t>4,6</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 xml:space="preserve">vysokoškolské </w:t>
            </w:r>
            <w:r w:rsidR="00423669" w:rsidRPr="004C5551">
              <w:t>–</w:t>
            </w:r>
            <w:r w:rsidRPr="004C5551">
              <w:t xml:space="preserve"> 2. stupeň</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86,1</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92,8</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80,5</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-0,5</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-0,1</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2E541A" w:rsidRPr="004C5551" w:rsidRDefault="002E541A" w:rsidP="006C6492">
            <w:pPr>
              <w:ind w:right="113" w:firstLine="57"/>
              <w:jc w:val="right"/>
              <w:rPr>
                <w:color w:val="000000"/>
              </w:rPr>
            </w:pPr>
            <w:r w:rsidRPr="004C5551">
              <w:rPr>
                <w:color w:val="000000"/>
              </w:rPr>
              <w:t>-0,</w:t>
            </w:r>
            <w:r w:rsidR="006C6492" w:rsidRPr="004C5551">
              <w:rPr>
                <w:color w:val="000000"/>
              </w:rPr>
              <w:t>9</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 xml:space="preserve">vysokoškolské </w:t>
            </w:r>
            <w:r w:rsidR="00423669" w:rsidRPr="004C5551">
              <w:t>–</w:t>
            </w:r>
            <w:r w:rsidRPr="004C5551">
              <w:t xml:space="preserve"> 3. stupeň</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87,0</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95,2</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76,7</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2,9</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2E541A" w:rsidP="006C6492">
            <w:pPr>
              <w:ind w:right="113" w:firstLine="57"/>
              <w:jc w:val="right"/>
              <w:rPr>
                <w:color w:val="000000"/>
              </w:rPr>
            </w:pPr>
            <w:r w:rsidRPr="004C5551">
              <w:rPr>
                <w:color w:val="000000"/>
              </w:rPr>
              <w:t>2,</w:t>
            </w:r>
            <w:r w:rsidR="006C6492" w:rsidRPr="004C5551">
              <w:rPr>
                <w:color w:val="000000"/>
              </w:rPr>
              <w:t>7</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2E541A" w:rsidRPr="004C5551" w:rsidRDefault="002E541A" w:rsidP="00BA6C33">
            <w:pPr>
              <w:ind w:right="113" w:firstLine="57"/>
              <w:jc w:val="right"/>
              <w:rPr>
                <w:color w:val="000000"/>
              </w:rPr>
            </w:pPr>
            <w:r w:rsidRPr="004C5551">
              <w:rPr>
                <w:color w:val="000000"/>
              </w:rPr>
              <w:t>5,5</w:t>
            </w:r>
          </w:p>
        </w:tc>
      </w:tr>
      <w:tr w:rsidR="002E541A" w:rsidRPr="004C5551" w:rsidTr="002E541A">
        <w:trPr>
          <w:trHeight w:val="300"/>
        </w:trPr>
        <w:tc>
          <w:tcPr>
            <w:tcW w:w="2017" w:type="pct"/>
            <w:tcBorders>
              <w:top w:val="nil"/>
              <w:left w:val="single" w:sz="8" w:space="0" w:color="C00000"/>
              <w:bottom w:val="single" w:sz="8" w:space="0" w:color="C00000"/>
              <w:right w:val="nil"/>
            </w:tcBorders>
            <w:noWrap/>
            <w:tcMar>
              <w:top w:w="0" w:type="dxa"/>
              <w:left w:w="70" w:type="dxa"/>
              <w:bottom w:w="0" w:type="dxa"/>
              <w:right w:w="70" w:type="dxa"/>
            </w:tcMar>
            <w:vAlign w:val="bottom"/>
            <w:hideMark/>
          </w:tcPr>
          <w:p w:rsidR="002E541A" w:rsidRPr="004C5551" w:rsidRDefault="002E541A" w:rsidP="003D4864">
            <w:pPr>
              <w:ind w:left="284"/>
              <w:rPr>
                <w:rFonts w:eastAsiaTheme="minorHAnsi"/>
                <w:szCs w:val="22"/>
              </w:rPr>
            </w:pPr>
            <w:r w:rsidRPr="004C5551">
              <w:t>bez školského vzdelania</w:t>
            </w:r>
          </w:p>
        </w:tc>
        <w:tc>
          <w:tcPr>
            <w:tcW w:w="482"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2,0</w:t>
            </w:r>
          </w:p>
        </w:tc>
        <w:tc>
          <w:tcPr>
            <w:tcW w:w="439"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1,6</w:t>
            </w:r>
          </w:p>
        </w:tc>
        <w:tc>
          <w:tcPr>
            <w:tcW w:w="430"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2,6</w:t>
            </w:r>
          </w:p>
        </w:tc>
        <w:tc>
          <w:tcPr>
            <w:tcW w:w="583"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2,0</w:t>
            </w:r>
          </w:p>
        </w:tc>
        <w:tc>
          <w:tcPr>
            <w:tcW w:w="531" w:type="pct"/>
            <w:tcBorders>
              <w:top w:val="nil"/>
              <w:left w:val="nil"/>
              <w:bottom w:val="single" w:sz="8" w:space="0" w:color="C00000"/>
              <w:right w:val="nil"/>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1,6</w:t>
            </w:r>
          </w:p>
        </w:tc>
        <w:tc>
          <w:tcPr>
            <w:tcW w:w="518" w:type="pct"/>
            <w:tcBorders>
              <w:top w:val="nil"/>
              <w:left w:val="nil"/>
              <w:bottom w:val="single" w:sz="8" w:space="0" w:color="C00000"/>
              <w:right w:val="single" w:sz="8" w:space="0" w:color="C00000"/>
            </w:tcBorders>
            <w:noWrap/>
            <w:tcMar>
              <w:top w:w="0" w:type="dxa"/>
              <w:left w:w="70" w:type="dxa"/>
              <w:bottom w:w="0" w:type="dxa"/>
              <w:right w:w="70" w:type="dxa"/>
            </w:tcMar>
            <w:vAlign w:val="bottom"/>
            <w:hideMark/>
          </w:tcPr>
          <w:p w:rsidR="002E541A" w:rsidRPr="004C5551" w:rsidRDefault="006C6492" w:rsidP="006C6492">
            <w:pPr>
              <w:ind w:right="113" w:firstLine="57"/>
              <w:jc w:val="right"/>
              <w:rPr>
                <w:color w:val="000000"/>
              </w:rPr>
            </w:pPr>
            <w:r w:rsidRPr="004C5551">
              <w:rPr>
                <w:color w:val="000000"/>
              </w:rPr>
              <w:t>2,6</w:t>
            </w:r>
          </w:p>
        </w:tc>
      </w:tr>
    </w:tbl>
    <w:p w:rsidR="002E541A" w:rsidRPr="004C5551" w:rsidRDefault="002E541A" w:rsidP="001C751A">
      <w:pPr>
        <w:pStyle w:val="zdroj"/>
        <w:rPr>
          <w:rFonts w:eastAsiaTheme="minorHAnsi"/>
          <w:szCs w:val="22"/>
          <w:lang w:eastAsia="en-US"/>
        </w:rPr>
      </w:pPr>
      <w:r w:rsidRPr="004C5551">
        <w:t>Zdroj: ŠÚ SR, VZPS</w:t>
      </w:r>
    </w:p>
    <w:p w:rsidR="00C46F26" w:rsidRPr="004C5551" w:rsidRDefault="00C46F26" w:rsidP="00D6574F">
      <w:pPr>
        <w:ind w:firstLine="431"/>
      </w:pPr>
      <w:r w:rsidRPr="004C5551">
        <w:t>Jednotlivé kraje sa na celkovom počte ekonomicky aktívnych obyvateľov v roku 2014 podieľali v rozpätí od 10,</w:t>
      </w:r>
      <w:r w:rsidR="009425AA" w:rsidRPr="004C5551">
        <w:t>9 </w:t>
      </w:r>
      <w:r w:rsidRPr="004C5551">
        <w:t>% do 14,</w:t>
      </w:r>
      <w:r w:rsidR="009425AA" w:rsidRPr="004C5551">
        <w:t>5 </w:t>
      </w:r>
      <w:r w:rsidRPr="004C5551">
        <w:t>%. Najväčší počet ekonomicky aktívnych obyvateľov bol v Košickom a Prešovskom kraji (spolu 28,</w:t>
      </w:r>
      <w:r w:rsidR="009425AA" w:rsidRPr="004C5551">
        <w:t>3 </w:t>
      </w:r>
      <w:r w:rsidRPr="004C5551">
        <w:t>% z celkového počtu ekonomicky aktívnych obyvateľov). Najvyšší podiel pracujúcich z ekonomicky aktívnych obyvateľov mal Bratislavský kraj (94,</w:t>
      </w:r>
      <w:r w:rsidR="009425AA" w:rsidRPr="004C5551">
        <w:t>0 </w:t>
      </w:r>
      <w:r w:rsidRPr="004C5551">
        <w:t>%), najnižší bol v Banskobystrickom (81,</w:t>
      </w:r>
      <w:r w:rsidR="009425AA" w:rsidRPr="004C5551">
        <w:t>7 </w:t>
      </w:r>
      <w:r w:rsidRPr="004C5551">
        <w:t>%), Prešovskom (82,</w:t>
      </w:r>
      <w:r w:rsidR="009425AA" w:rsidRPr="004C5551">
        <w:t>5 </w:t>
      </w:r>
      <w:r w:rsidRPr="004C5551">
        <w:t xml:space="preserve">%) </w:t>
      </w:r>
      <w:r w:rsidR="00BD494D" w:rsidRPr="004C5551">
        <w:t>a </w:t>
      </w:r>
      <w:r w:rsidRPr="004C5551">
        <w:t>Košickom kraji (84,4 %).</w:t>
      </w:r>
    </w:p>
    <w:p w:rsidR="00A966B5" w:rsidRPr="004C5551" w:rsidRDefault="00A966B5" w:rsidP="00ED16E0">
      <w:pPr>
        <w:pStyle w:val="Nadpis6"/>
      </w:pPr>
      <w:bookmarkStart w:id="93" w:name="_Toc422233405"/>
      <w:r w:rsidRPr="004C5551">
        <w:t>Vývoj zamestnanosti</w:t>
      </w:r>
      <w:bookmarkEnd w:id="93"/>
    </w:p>
    <w:p w:rsidR="00C46F26" w:rsidRPr="004C5551" w:rsidRDefault="00C46F26" w:rsidP="00D6574F">
      <w:pPr>
        <w:ind w:firstLine="431"/>
      </w:pPr>
      <w:r w:rsidRPr="004C5551">
        <w:rPr>
          <w:lang w:eastAsia="cs-CZ"/>
        </w:rPr>
        <w:t xml:space="preserve">Zamestnanosť možno sledovať na základe viacerých štatistických zisťovaní. Zisťovania sa odlišujú </w:t>
      </w:r>
      <w:r w:rsidRPr="004C5551">
        <w:t>konceptom zamestnanosti, definíciami a metodikou zberu údajov.</w:t>
      </w:r>
    </w:p>
    <w:p w:rsidR="00C46F26" w:rsidRPr="004C5551" w:rsidRDefault="00C46F26" w:rsidP="00D6574F">
      <w:pPr>
        <w:ind w:firstLine="431"/>
      </w:pPr>
      <w:r w:rsidRPr="004C5551">
        <w:t xml:space="preserve">Jednou z možností sledovania vývoja počtu pracujúcich resp. zamestnaných osôb sú </w:t>
      </w:r>
      <w:r w:rsidRPr="004C5551">
        <w:rPr>
          <w:b/>
          <w:i/>
        </w:rPr>
        <w:t xml:space="preserve">štatistiky </w:t>
      </w:r>
      <w:r w:rsidR="00460DEB" w:rsidRPr="004C5551">
        <w:rPr>
          <w:b/>
        </w:rPr>
        <w:t>Sociálnej poisťovne.</w:t>
      </w:r>
      <w:r w:rsidRPr="004C5551">
        <w:t xml:space="preserve"> Sociálna poisťovňa je verejnoprávna inštitúcia, ktorá vykonáva sociálne poistenie, t.j. nemocenské poistenie, dôchodkové poistenie (starobné a invalidné), úrazové poistenie, garančné poistenie a poistenie v nezamestnanosti a výber, registráciu a postúpenie povinných príspevkov na starobné dôchodkové sporenie. Vzhľadom na povinný charakter sociálneho poistenia a starobného dôchodkového sporenia, Sociálna poisťovňa disponuje údajmi o všetkých zamest</w:t>
      </w:r>
      <w:r w:rsidR="00FE22A8" w:rsidRPr="004C5551">
        <w:softHyphen/>
      </w:r>
      <w:r w:rsidRPr="004C5551">
        <w:t>ná</w:t>
      </w:r>
      <w:r w:rsidR="00FE22A8" w:rsidRPr="004C5551">
        <w:softHyphen/>
      </w:r>
      <w:r w:rsidRPr="004C5551">
        <w:t>va</w:t>
      </w:r>
      <w:r w:rsidR="00FE22A8" w:rsidRPr="004C5551">
        <w:softHyphen/>
      </w:r>
      <w:r w:rsidRPr="004C5551">
        <w:t>teľoch a zamestnancoch, za ktorých sa platí poistné na sociálne poistenie a povinné príspevky na</w:t>
      </w:r>
      <w:r w:rsidR="00BA6C33" w:rsidRPr="004C5551">
        <w:t> </w:t>
      </w:r>
      <w:r w:rsidRPr="004C5551">
        <w:t>starobné dôchodkové sporenie vrátane osôb pracujúcich na dohody o prácach mimo pracovného pomeru, ako aj o samostatne zárobkovo činných osobách. Definície zamestnávateľa, zamestnanca a samostatne zárobkovo činnej osoby vychádzajú zo zákona č</w:t>
      </w:r>
      <w:r w:rsidR="00FE22A8" w:rsidRPr="004C5551">
        <w:t>. </w:t>
      </w:r>
      <w:r w:rsidRPr="004C5551">
        <w:t xml:space="preserve">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w:t>
      </w:r>
      <w:r w:rsidR="00FE22A8" w:rsidRPr="004C5551">
        <w:t>H</w:t>
      </w:r>
      <w:r w:rsidRPr="004C5551">
        <w:t>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 základe ktorých nevzniká povinnosť platenia sociálneho poistenia (napr. samostatne zárobkovo činné osoby (SZČO), ktoré nedosahujú ustanovený príjem na vznik povinného sociálneho po</w:t>
      </w:r>
      <w:r w:rsidR="00803687" w:rsidRPr="004C5551">
        <w:t>i</w:t>
      </w:r>
      <w:r w:rsidRPr="004C5551">
        <w:t xml:space="preserve">stenia). Vývoj </w:t>
      </w:r>
      <w:r w:rsidR="000B6A63" w:rsidRPr="004C5551">
        <w:t xml:space="preserve">vykazovania </w:t>
      </w:r>
      <w:r w:rsidRPr="004C5551">
        <w:t>pracujúcich v štatistikách Sociálnej poisťovne môže byť ovplyvnený legislatívnymi zmenami v oblasti sociálneho poistenia.</w:t>
      </w:r>
    </w:p>
    <w:p w:rsidR="00C46F26" w:rsidRPr="004C5551" w:rsidRDefault="00C46F26" w:rsidP="00D6574F">
      <w:pPr>
        <w:ind w:firstLine="431"/>
      </w:pPr>
      <w:r w:rsidRPr="004C5551">
        <w:rPr>
          <w:b/>
        </w:rPr>
        <w:t>Štatistický úrad SR</w:t>
      </w:r>
      <w:r w:rsidRPr="004C5551">
        <w:t xml:space="preserve"> realizuje dve ďalšie zisťovania, ktorými je možné sledovať vývoj zamestnanosti a navzájom sa líšia metodikou zberu údajov.</w:t>
      </w:r>
    </w:p>
    <w:p w:rsidR="00C46F26" w:rsidRPr="004C5551" w:rsidRDefault="00C46F26" w:rsidP="00D6574F">
      <w:pPr>
        <w:ind w:firstLine="431"/>
      </w:pPr>
      <w:r w:rsidRPr="004C5551">
        <w:rPr>
          <w:i/>
        </w:rPr>
        <w:t>Výberové zisťovanie pracovných síl</w:t>
      </w:r>
      <w:r w:rsidRPr="004C5551">
        <w:t xml:space="preserve"> realizované ŠÚ SR v domácnostiach poskytuje medzinárodne porovnateľné údaje o ekonomickej aktivite, zamestnanosti, nezamestnanosti a ďalších dôležitých charakteristikách pracovnej sily obyvateľstva SR.</w:t>
      </w:r>
      <w:r w:rsidR="00073D95" w:rsidRPr="004C5551">
        <w:t xml:space="preserve"> </w:t>
      </w:r>
      <w:r w:rsidRPr="004C5551">
        <w:t xml:space="preserve">Za pracujúceho je považovaná osoba </w:t>
      </w:r>
      <w:r w:rsidR="00BD494D" w:rsidRPr="004C5551">
        <w:t>vo </w:t>
      </w:r>
      <w:r w:rsidRPr="004C5551">
        <w:t xml:space="preserve">veku </w:t>
      </w:r>
      <w:r w:rsidR="00BA6C33" w:rsidRPr="004C5551">
        <w:br/>
      </w:r>
      <w:r w:rsidRPr="004C5551">
        <w:t>od 15 rokov, ktorá v sledovanom týždni vykonávala aspoň jednu hodinu prácu za mzdu alebo prácu za</w:t>
      </w:r>
      <w:r w:rsidR="00BA6C33" w:rsidRPr="004C5551">
        <w:t> </w:t>
      </w:r>
      <w:r w:rsidRPr="004C5551">
        <w:t xml:space="preserve">účelom dosiahnutia zisku (prácu na plný alebo kratší pracovný čas, dočasnú, príležitostnú alebo sezónnu prácu), vypomáhajúci členovia domácností podnikateľov vrátane osôb pracujúcich v zahraničí do jedného roka, dochádzajúcich za prácou v zahraničí, osôb vykonávajúcich prácu </w:t>
      </w:r>
      <w:r w:rsidR="00BD494D" w:rsidRPr="004C5551">
        <w:t>na </w:t>
      </w:r>
      <w:r w:rsidRPr="004C5551">
        <w:t>základe dohôd a na platených aktivačných prácach. Za pracujúcu je považovaná aj osoba, ktorá v sledovanom týždni nepracovala pre chorobu, dovolenku, materskú dovolenku, školenie, zlé počasie, v dôsledku štrajku a výluky, s výnimkou osôb na dlhodobom neplatenom voľne a osôb na rodičovskej dovolenke.</w:t>
      </w:r>
    </w:p>
    <w:p w:rsidR="00460DEB" w:rsidRPr="004C5551" w:rsidRDefault="00C46F26" w:rsidP="00460DEB">
      <w:pPr>
        <w:ind w:firstLine="431"/>
      </w:pPr>
      <w:r w:rsidRPr="004C5551">
        <w:rPr>
          <w:i/>
        </w:rPr>
        <w:t>Podniková štatistika o zamestnancoch</w:t>
      </w:r>
      <w:r w:rsidRPr="004C5551">
        <w:t xml:space="preserve"> realizovaná ŠÚ SR vychádza zo štatistických zisťovaní v podnikoch (podnikové výkazníctvo) a zachytáva všetky odvetvia ekonomickej činnosti. Za zamestnancov podľa podnikového výkazníctva sa považujú všetci zamestnanci, ktorí majú dohodnutý pracovný pomer na neurčitý čas alebo na určitú dobu (bez ohľadu na ich štátnu príslušnosť), ktorí sú v pracovnom, služobnom, štátnozamestnaneckom alebo členskom pomere k zamestnávateľskej organizácii. Do počtu zamestnancov sa nezahŕňajú žiaci stredných odborných škôl vykonávajúcich odbornú prax (učni), osoby na materskej a rodičovskej dovolenke a osoby pracujúce na základe dohôd o prácach vykonávaných mimo pracovného pomeru, súkromní podnikatelia (resp. ich spoločníci), ktorí nemajú uzavretú pracovnú zmluvu v danej organizácii. Zamestnané osoby sú zamestnanci a podnikatelia.</w:t>
      </w:r>
    </w:p>
    <w:p w:rsidR="002B6992" w:rsidRPr="004C5551" w:rsidRDefault="002B6992" w:rsidP="00A81CA7">
      <w:pPr>
        <w:pStyle w:val="Nadpis41"/>
      </w:pPr>
      <w:r w:rsidRPr="004C5551">
        <w:t xml:space="preserve">Zamestnanosť v štatistikách Sociálnej poisťovne </w:t>
      </w:r>
    </w:p>
    <w:p w:rsidR="005E24E1" w:rsidRPr="004C5551" w:rsidRDefault="005E24E1" w:rsidP="00D6574F">
      <w:pPr>
        <w:ind w:firstLine="431"/>
        <w:rPr>
          <w:color w:val="000000" w:themeColor="text1"/>
        </w:rPr>
      </w:pPr>
      <w:r w:rsidRPr="004C5551">
        <w:rPr>
          <w:color w:val="000000" w:themeColor="text1"/>
        </w:rPr>
        <w:t>V roku 2014 Sociálna poisťovňa evidovala priemerne mesačne 162</w:t>
      </w:r>
      <w:r w:rsidR="00930A36" w:rsidRPr="004C5551">
        <w:rPr>
          <w:color w:val="000000" w:themeColor="text1"/>
        </w:rPr>
        <w:t> </w:t>
      </w:r>
      <w:r w:rsidRPr="004C5551">
        <w:rPr>
          <w:color w:val="000000" w:themeColor="text1"/>
        </w:rPr>
        <w:t>455 zamestnávateľov, ktorí z</w:t>
      </w:r>
      <w:r w:rsidR="00073D95" w:rsidRPr="004C5551">
        <w:rPr>
          <w:color w:val="000000" w:themeColor="text1"/>
        </w:rPr>
        <w:t xml:space="preserve">amestnávali priemerne mesačne </w:t>
      </w:r>
      <w:r w:rsidRPr="004C5551">
        <w:rPr>
          <w:color w:val="000000" w:themeColor="text1"/>
        </w:rPr>
        <w:t>1</w:t>
      </w:r>
      <w:r w:rsidR="00930A36" w:rsidRPr="004C5551">
        <w:rPr>
          <w:color w:val="000000" w:themeColor="text1"/>
        </w:rPr>
        <w:t> </w:t>
      </w:r>
      <w:r w:rsidRPr="004C5551">
        <w:rPr>
          <w:color w:val="000000" w:themeColor="text1"/>
        </w:rPr>
        <w:t>750</w:t>
      </w:r>
      <w:r w:rsidR="00930A36" w:rsidRPr="004C5551">
        <w:rPr>
          <w:color w:val="000000" w:themeColor="text1"/>
        </w:rPr>
        <w:t> </w:t>
      </w:r>
      <w:r w:rsidRPr="004C5551">
        <w:rPr>
          <w:color w:val="000000" w:themeColor="text1"/>
        </w:rPr>
        <w:t>652 zamestnancov v riadnom pracovnom pomere s pravidelným príjmom a</w:t>
      </w:r>
      <w:r w:rsidR="00930A36" w:rsidRPr="004C5551">
        <w:rPr>
          <w:color w:val="000000" w:themeColor="text1"/>
        </w:rPr>
        <w:t> </w:t>
      </w:r>
      <w:r w:rsidRPr="004C5551">
        <w:rPr>
          <w:color w:val="000000" w:themeColor="text1"/>
        </w:rPr>
        <w:t>50</w:t>
      </w:r>
      <w:r w:rsidR="00930A36" w:rsidRPr="004C5551">
        <w:rPr>
          <w:color w:val="000000" w:themeColor="text1"/>
        </w:rPr>
        <w:t> </w:t>
      </w:r>
      <w:r w:rsidRPr="004C5551">
        <w:rPr>
          <w:color w:val="000000" w:themeColor="text1"/>
        </w:rPr>
        <w:t xml:space="preserve">897 zamestnancov v riadnom pracovnom pomere s nepravidelným príjmom. Okrem riadnych pracovných zmlúv zamestnávatelia uzatvárali dohody o práci vykonávané mimo pracovného pomeru, ktorých </w:t>
      </w:r>
      <w:r w:rsidR="00073D95" w:rsidRPr="004C5551">
        <w:rPr>
          <w:color w:val="000000" w:themeColor="text1"/>
        </w:rPr>
        <w:t>počet dosiahol</w:t>
      </w:r>
      <w:r w:rsidR="0064752F" w:rsidRPr="004C5551">
        <w:rPr>
          <w:color w:val="000000" w:themeColor="text1"/>
        </w:rPr>
        <w:t xml:space="preserve"> </w:t>
      </w:r>
      <w:r w:rsidRPr="004C5551">
        <w:rPr>
          <w:color w:val="000000" w:themeColor="text1"/>
        </w:rPr>
        <w:t xml:space="preserve">v roku 2014 </w:t>
      </w:r>
      <w:r w:rsidR="008C0FFB" w:rsidRPr="004C5551">
        <w:rPr>
          <w:color w:val="000000" w:themeColor="text1"/>
        </w:rPr>
        <w:t>v</w:t>
      </w:r>
      <w:r w:rsidR="00073D95" w:rsidRPr="004C5551">
        <w:rPr>
          <w:color w:val="000000" w:themeColor="text1"/>
        </w:rPr>
        <w:t> </w:t>
      </w:r>
      <w:r w:rsidR="008C0FFB" w:rsidRPr="004C5551">
        <w:rPr>
          <w:color w:val="000000" w:themeColor="text1"/>
        </w:rPr>
        <w:t>priemere</w:t>
      </w:r>
      <w:r w:rsidR="00073D95" w:rsidRPr="004C5551">
        <w:rPr>
          <w:color w:val="000000" w:themeColor="text1"/>
        </w:rPr>
        <w:t xml:space="preserve"> </w:t>
      </w:r>
      <w:r w:rsidRPr="004C5551">
        <w:rPr>
          <w:color w:val="000000" w:themeColor="text1"/>
        </w:rPr>
        <w:t>mesačne</w:t>
      </w:r>
      <w:r w:rsidR="008C0FFB" w:rsidRPr="004C5551">
        <w:rPr>
          <w:color w:val="000000" w:themeColor="text1"/>
        </w:rPr>
        <w:t xml:space="preserve"> 440 074</w:t>
      </w:r>
      <w:r w:rsidRPr="004C5551">
        <w:rPr>
          <w:color w:val="000000" w:themeColor="text1"/>
        </w:rPr>
        <w:t xml:space="preserve">. </w:t>
      </w:r>
    </w:p>
    <w:p w:rsidR="008C0FFB" w:rsidRPr="004C5551" w:rsidRDefault="008C0FFB" w:rsidP="00D6574F">
      <w:pPr>
        <w:ind w:firstLine="431"/>
      </w:pPr>
      <w:r w:rsidRPr="004C5551">
        <w:t>Sociálna poisťovňa v roku 201</w:t>
      </w:r>
      <w:r w:rsidR="00F427FE" w:rsidRPr="004C5551">
        <w:t>4</w:t>
      </w:r>
      <w:r w:rsidRPr="004C5551">
        <w:t xml:space="preserve"> evidovala priemerne mesačne </w:t>
      </w:r>
      <w:r w:rsidR="00F427FE" w:rsidRPr="004C5551">
        <w:t>224 138</w:t>
      </w:r>
      <w:r w:rsidRPr="004C5551">
        <w:t xml:space="preserve"> povinne sociálne poistených samostatne zárobkovo činných osôb.</w:t>
      </w:r>
    </w:p>
    <w:p w:rsidR="00C54BC3" w:rsidRPr="004C5551" w:rsidRDefault="0043716A" w:rsidP="00C54BC3">
      <w:pPr>
        <w:ind w:firstLine="431"/>
        <w:rPr>
          <w:color w:val="000000" w:themeColor="text1"/>
        </w:rPr>
      </w:pPr>
      <w:r w:rsidRPr="004C5551">
        <w:rPr>
          <w:color w:val="000000" w:themeColor="text1"/>
        </w:rPr>
        <w:t>V roku 2014 sa zmenil trend vo vývoji počtu zamestnávateľov a </w:t>
      </w:r>
      <w:r w:rsidR="00A24487" w:rsidRPr="004C5551">
        <w:rPr>
          <w:color w:val="000000" w:themeColor="text1"/>
        </w:rPr>
        <w:t>p</w:t>
      </w:r>
      <w:r w:rsidR="00C54BC3" w:rsidRPr="004C5551">
        <w:rPr>
          <w:color w:val="000000" w:themeColor="text1"/>
        </w:rPr>
        <w:t>riemerný mesačný počet zamestnávateľov medziročne narástol o 3,18 % (o </w:t>
      </w:r>
      <w:r w:rsidR="00901489" w:rsidRPr="004C5551">
        <w:rPr>
          <w:color w:val="000000" w:themeColor="text1"/>
        </w:rPr>
        <w:t>5 006</w:t>
      </w:r>
      <w:r w:rsidR="00C54BC3" w:rsidRPr="004C5551">
        <w:rPr>
          <w:color w:val="000000" w:themeColor="text1"/>
        </w:rPr>
        <w:t>)</w:t>
      </w:r>
      <w:r w:rsidR="00A24487" w:rsidRPr="004C5551">
        <w:rPr>
          <w:color w:val="000000" w:themeColor="text1"/>
        </w:rPr>
        <w:t>.</w:t>
      </w:r>
      <w:r w:rsidR="00C54BC3" w:rsidRPr="004C5551">
        <w:rPr>
          <w:color w:val="000000" w:themeColor="text1"/>
        </w:rPr>
        <w:t xml:space="preserve"> </w:t>
      </w:r>
      <w:r w:rsidR="00A24487" w:rsidRPr="004C5551">
        <w:rPr>
          <w:color w:val="000000" w:themeColor="text1"/>
        </w:rPr>
        <w:t xml:space="preserve">Zároveň sa zrýchlil rast </w:t>
      </w:r>
      <w:r w:rsidR="00901489" w:rsidRPr="004C5551">
        <w:rPr>
          <w:color w:val="000000" w:themeColor="text1"/>
        </w:rPr>
        <w:t>priemern</w:t>
      </w:r>
      <w:r w:rsidR="00A24487" w:rsidRPr="004C5551">
        <w:rPr>
          <w:color w:val="000000" w:themeColor="text1"/>
        </w:rPr>
        <w:t>ého</w:t>
      </w:r>
      <w:r w:rsidR="00901489" w:rsidRPr="004C5551">
        <w:rPr>
          <w:color w:val="000000" w:themeColor="text1"/>
        </w:rPr>
        <w:t xml:space="preserve"> mesačn</w:t>
      </w:r>
      <w:r w:rsidR="00A24487" w:rsidRPr="004C5551">
        <w:rPr>
          <w:color w:val="000000" w:themeColor="text1"/>
        </w:rPr>
        <w:t>ého</w:t>
      </w:r>
      <w:r w:rsidR="00901489" w:rsidRPr="004C5551">
        <w:rPr>
          <w:color w:val="000000" w:themeColor="text1"/>
        </w:rPr>
        <w:t xml:space="preserve"> </w:t>
      </w:r>
      <w:r w:rsidR="00C54BC3" w:rsidRPr="004C5551">
        <w:rPr>
          <w:color w:val="000000" w:themeColor="text1"/>
        </w:rPr>
        <w:t>počt</w:t>
      </w:r>
      <w:r w:rsidR="00A24487" w:rsidRPr="004C5551">
        <w:rPr>
          <w:color w:val="000000" w:themeColor="text1"/>
        </w:rPr>
        <w:t>u</w:t>
      </w:r>
      <w:r w:rsidR="00C54BC3" w:rsidRPr="004C5551">
        <w:rPr>
          <w:color w:val="000000" w:themeColor="text1"/>
        </w:rPr>
        <w:t xml:space="preserve"> riadnych zamestnaní s pravidelným príjmom</w:t>
      </w:r>
      <w:r w:rsidR="00A24487" w:rsidRPr="004C5551">
        <w:rPr>
          <w:color w:val="000000" w:themeColor="text1"/>
        </w:rPr>
        <w:t>, ktoré v roku 2014</w:t>
      </w:r>
      <w:r w:rsidR="00C54BC3" w:rsidRPr="004C5551">
        <w:rPr>
          <w:color w:val="000000" w:themeColor="text1"/>
        </w:rPr>
        <w:t xml:space="preserve"> narástl</w:t>
      </w:r>
      <w:r w:rsidR="00A24487" w:rsidRPr="004C5551">
        <w:rPr>
          <w:color w:val="000000" w:themeColor="text1"/>
        </w:rPr>
        <w:t>i</w:t>
      </w:r>
      <w:r w:rsidR="00C54BC3" w:rsidRPr="004C5551">
        <w:rPr>
          <w:color w:val="000000" w:themeColor="text1"/>
        </w:rPr>
        <w:t xml:space="preserve"> o 1,94 % (o</w:t>
      </w:r>
      <w:r w:rsidR="00BA6C33" w:rsidRPr="004C5551">
        <w:rPr>
          <w:color w:val="000000" w:themeColor="text1"/>
        </w:rPr>
        <w:t> </w:t>
      </w:r>
      <w:r w:rsidR="00901489" w:rsidRPr="004C5551">
        <w:rPr>
          <w:color w:val="000000" w:themeColor="text1"/>
        </w:rPr>
        <w:t>33 333</w:t>
      </w:r>
      <w:r w:rsidR="00C54BC3" w:rsidRPr="004C5551">
        <w:rPr>
          <w:color w:val="000000" w:themeColor="text1"/>
        </w:rPr>
        <w:t xml:space="preserve">). Čo sa týka </w:t>
      </w:r>
      <w:r w:rsidR="00901489" w:rsidRPr="004C5551">
        <w:rPr>
          <w:color w:val="000000" w:themeColor="text1"/>
        </w:rPr>
        <w:t xml:space="preserve">priemerného mesačného počtu </w:t>
      </w:r>
      <w:r w:rsidR="00C54BC3" w:rsidRPr="004C5551">
        <w:rPr>
          <w:color w:val="000000" w:themeColor="text1"/>
        </w:rPr>
        <w:t xml:space="preserve">riadnych zamestnaní s nepravidelným príjmom, </w:t>
      </w:r>
      <w:r w:rsidR="00901489" w:rsidRPr="004C5551">
        <w:rPr>
          <w:color w:val="000000" w:themeColor="text1"/>
        </w:rPr>
        <w:t>tento</w:t>
      </w:r>
      <w:r w:rsidR="00C54BC3" w:rsidRPr="004C5551">
        <w:rPr>
          <w:color w:val="000000" w:themeColor="text1"/>
        </w:rPr>
        <w:t xml:space="preserve"> zaznamenal nárast o 8,11 % (o </w:t>
      </w:r>
      <w:r w:rsidR="00901489" w:rsidRPr="004C5551">
        <w:rPr>
          <w:color w:val="000000" w:themeColor="text1"/>
        </w:rPr>
        <w:t>3 818</w:t>
      </w:r>
      <w:r w:rsidR="00C54BC3" w:rsidRPr="004C5551">
        <w:rPr>
          <w:color w:val="000000" w:themeColor="text1"/>
        </w:rPr>
        <w:t>) a</w:t>
      </w:r>
      <w:r w:rsidR="00901489" w:rsidRPr="004C5551">
        <w:rPr>
          <w:color w:val="000000" w:themeColor="text1"/>
        </w:rPr>
        <w:t> priemerný mesačný počet dohôd</w:t>
      </w:r>
      <w:r w:rsidR="00C54BC3" w:rsidRPr="004C5551">
        <w:rPr>
          <w:color w:val="000000" w:themeColor="text1"/>
        </w:rPr>
        <w:t xml:space="preserve"> o práci mimo pracovného pomeru nárast o 7,89 % (o </w:t>
      </w:r>
      <w:r w:rsidR="00901489" w:rsidRPr="004C5551">
        <w:rPr>
          <w:color w:val="000000" w:themeColor="text1"/>
        </w:rPr>
        <w:t>32 164</w:t>
      </w:r>
      <w:r w:rsidR="00C54BC3" w:rsidRPr="004C5551">
        <w:rPr>
          <w:color w:val="000000" w:themeColor="text1"/>
        </w:rPr>
        <w:t xml:space="preserve">). Priemerný </w:t>
      </w:r>
      <w:r w:rsidR="00901489" w:rsidRPr="004C5551">
        <w:rPr>
          <w:color w:val="000000" w:themeColor="text1"/>
        </w:rPr>
        <w:t xml:space="preserve">mesačný </w:t>
      </w:r>
      <w:r w:rsidR="00C54BC3" w:rsidRPr="004C5551">
        <w:rPr>
          <w:color w:val="000000" w:themeColor="text1"/>
        </w:rPr>
        <w:t>počet samostatne zárobkovo činných osôb poklesol o 4,98 % , t.j. o 11 759 osôb).</w:t>
      </w:r>
    </w:p>
    <w:p w:rsidR="00C54BC3" w:rsidRPr="004C5551" w:rsidRDefault="00512A23" w:rsidP="00C54BC3">
      <w:pPr>
        <w:ind w:firstLine="431"/>
        <w:rPr>
          <w:color w:val="000000" w:themeColor="text1"/>
        </w:rPr>
      </w:pPr>
      <w:r w:rsidRPr="004C5551">
        <w:rPr>
          <w:color w:val="000000" w:themeColor="text1"/>
        </w:rPr>
        <w:t xml:space="preserve">Nárast a zároveň opačný trend vo vývoji nastal aj v celkovom počte evidovaných poistných vzťahov. </w:t>
      </w:r>
      <w:r w:rsidR="00C54BC3" w:rsidRPr="004C5551">
        <w:rPr>
          <w:color w:val="000000" w:themeColor="text1"/>
        </w:rPr>
        <w:t xml:space="preserve">Celkovo v roku 2014 Sociálna poisťovňa evidovala v priemere za mesiac </w:t>
      </w:r>
      <w:r w:rsidR="00BA6C33" w:rsidRPr="004C5551">
        <w:rPr>
          <w:color w:val="000000" w:themeColor="text1"/>
        </w:rPr>
        <w:br/>
      </w:r>
      <w:r w:rsidR="00C54BC3" w:rsidRPr="004C5551">
        <w:rPr>
          <w:color w:val="000000" w:themeColor="text1"/>
        </w:rPr>
        <w:t>2 465 761 poistných vzťahov, čo bolo o 57 557 viac poistných vzťahov ako v roku 2013 (o 2,39 %).</w:t>
      </w:r>
    </w:p>
    <w:p w:rsidR="005E24E1" w:rsidRPr="004C5551" w:rsidRDefault="005E24E1" w:rsidP="00F52C74">
      <w:pPr>
        <w:pStyle w:val="Nadpis7"/>
      </w:pPr>
      <w:r w:rsidRPr="004C5551">
        <w:t>Graf 2.</w:t>
      </w:r>
      <w:r w:rsidR="00AB3F7F" w:rsidRPr="004C5551">
        <w:t>1</w:t>
      </w:r>
      <w:r w:rsidRPr="004C5551">
        <w:t xml:space="preserve"> Počet zamestnávateľov evidovaných v Sociálnej poisťovni v rokoch 2013 a 2014</w:t>
      </w:r>
    </w:p>
    <w:p w:rsidR="005E24E1" w:rsidRPr="004C5551" w:rsidRDefault="005E24E1" w:rsidP="00F52C74">
      <w:pPr>
        <w:jc w:val="center"/>
      </w:pPr>
      <w:r w:rsidRPr="004C5551">
        <w:rPr>
          <w:noProof/>
        </w:rPr>
        <w:drawing>
          <wp:inline distT="0" distB="0" distL="0" distR="0" wp14:anchorId="164C00BB" wp14:editId="7CC4C47F">
            <wp:extent cx="4951562" cy="2044460"/>
            <wp:effectExtent l="0" t="0" r="1905" b="0"/>
            <wp:docPr id="4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24E1" w:rsidRPr="004C5551" w:rsidRDefault="005E24E1" w:rsidP="00357F70">
      <w:pPr>
        <w:pStyle w:val="zdroj"/>
        <w:spacing w:before="0"/>
      </w:pPr>
      <w:r w:rsidRPr="004C5551">
        <w:t>Zdroj: Sociálna poisťovňa</w:t>
      </w:r>
    </w:p>
    <w:p w:rsidR="00901489" w:rsidRPr="004C5551" w:rsidRDefault="00901489" w:rsidP="00901489">
      <w:pPr>
        <w:ind w:firstLine="431"/>
        <w:rPr>
          <w:color w:val="000000" w:themeColor="text1"/>
        </w:rPr>
      </w:pPr>
      <w:r w:rsidRPr="004C5551">
        <w:rPr>
          <w:color w:val="000000" w:themeColor="text1"/>
        </w:rPr>
        <w:t>V decembri 2014 Sociálna poisťovňa evidovala 164 547 zamestnávateľov, čo oproti decembru 2013 predstavuje nárast o 5 324 zamestnávateľov (</w:t>
      </w:r>
      <w:r w:rsidR="007977E6" w:rsidRPr="004C5551">
        <w:rPr>
          <w:color w:val="000000" w:themeColor="text1"/>
        </w:rPr>
        <w:t xml:space="preserve">o 2,34 %, nadpriemerný nárast </w:t>
      </w:r>
      <w:r w:rsidR="00C95247" w:rsidRPr="004C5551">
        <w:rPr>
          <w:color w:val="000000" w:themeColor="text1"/>
        </w:rPr>
        <w:t>oproti celoročnému</w:t>
      </w:r>
      <w:r w:rsidRPr="004C5551">
        <w:rPr>
          <w:color w:val="000000" w:themeColor="text1"/>
        </w:rPr>
        <w:t>).</w:t>
      </w:r>
    </w:p>
    <w:p w:rsidR="005E24E1" w:rsidRPr="004C5551" w:rsidRDefault="005E24E1" w:rsidP="00F52C74">
      <w:pPr>
        <w:pStyle w:val="Nadpis7"/>
      </w:pPr>
      <w:r w:rsidRPr="004C5551">
        <w:t>Graf 2.</w:t>
      </w:r>
      <w:r w:rsidR="00AB3F7F" w:rsidRPr="004C5551">
        <w:t>2</w:t>
      </w:r>
      <w:r w:rsidRPr="004C5551">
        <w:t xml:space="preserve"> Počet riadnych zamestnaní </w:t>
      </w:r>
      <w:r w:rsidR="0099074F" w:rsidRPr="004C5551">
        <w:t xml:space="preserve">s pravidelným príjmom </w:t>
      </w:r>
      <w:r w:rsidRPr="004C5551">
        <w:t>evidovaných v Sociálnej poisťovni v rokoch 2013 a 2014</w:t>
      </w:r>
    </w:p>
    <w:p w:rsidR="005E24E1" w:rsidRPr="004C5551" w:rsidRDefault="005E24E1" w:rsidP="005E24E1">
      <w:pPr>
        <w:ind w:left="567"/>
        <w:rPr>
          <w:i/>
          <w:sz w:val="20"/>
          <w:szCs w:val="20"/>
        </w:rPr>
      </w:pPr>
      <w:r w:rsidRPr="004C5551">
        <w:rPr>
          <w:noProof/>
        </w:rPr>
        <w:drawing>
          <wp:inline distT="0" distB="0" distL="0" distR="0" wp14:anchorId="23B32FAE" wp14:editId="2C38DD23">
            <wp:extent cx="5050465" cy="2445489"/>
            <wp:effectExtent l="0" t="0" r="0" b="0"/>
            <wp:docPr id="41"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24E1" w:rsidRPr="004C5551" w:rsidRDefault="005E24E1" w:rsidP="00357F70">
      <w:pPr>
        <w:pStyle w:val="zdroj"/>
        <w:spacing w:before="0"/>
      </w:pPr>
      <w:r w:rsidRPr="004C5551">
        <w:t>Zdroj: Sociálna poisťovňa</w:t>
      </w:r>
    </w:p>
    <w:p w:rsidR="007977E6" w:rsidRPr="004C5551" w:rsidRDefault="007977E6" w:rsidP="007977E6">
      <w:pPr>
        <w:ind w:firstLine="431"/>
        <w:rPr>
          <w:color w:val="000000" w:themeColor="text1"/>
        </w:rPr>
      </w:pPr>
      <w:r w:rsidRPr="004C5551">
        <w:rPr>
          <w:color w:val="000000" w:themeColor="text1"/>
        </w:rPr>
        <w:t>V decembri 2014 Sociálna poisťovňa evidovala 1 769 079 zamestnaní s pravidelným príjmom, čo oproti decembru 2013 predstavuje nárast o 37 630 zamestnaní (o 2,17 %, nadpriemerný nárast oproti celoročnému).</w:t>
      </w:r>
    </w:p>
    <w:p w:rsidR="005E24E1" w:rsidRPr="004C5551" w:rsidRDefault="005E24E1" w:rsidP="00885A81">
      <w:pPr>
        <w:pStyle w:val="Nadpis7"/>
        <w:jc w:val="both"/>
      </w:pPr>
      <w:r w:rsidRPr="004C5551">
        <w:t>Graf 2.</w:t>
      </w:r>
      <w:r w:rsidR="00AB3F7F" w:rsidRPr="004C5551">
        <w:t>3</w:t>
      </w:r>
      <w:r w:rsidR="00073D95" w:rsidRPr="004C5551">
        <w:t xml:space="preserve"> </w:t>
      </w:r>
      <w:r w:rsidRPr="004C5551">
        <w:t>Počet riadnych dohôd evidovaných v Sociálnej poisťovni v rokoch 2013 a 2014</w:t>
      </w:r>
    </w:p>
    <w:p w:rsidR="005E24E1" w:rsidRPr="004C5551" w:rsidRDefault="005E24E1" w:rsidP="005E24E1">
      <w:pPr>
        <w:spacing w:before="240"/>
        <w:jc w:val="center"/>
        <w:rPr>
          <w:b/>
          <w:noProof/>
        </w:rPr>
      </w:pPr>
      <w:r w:rsidRPr="004C5551">
        <w:rPr>
          <w:noProof/>
        </w:rPr>
        <w:drawing>
          <wp:inline distT="0" distB="0" distL="0" distR="0" wp14:anchorId="1C8840AA" wp14:editId="32256F08">
            <wp:extent cx="4572443" cy="2709973"/>
            <wp:effectExtent l="0" t="0" r="0" b="0"/>
            <wp:docPr id="4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24E1" w:rsidRPr="004C5551" w:rsidRDefault="005E24E1" w:rsidP="00357F70">
      <w:pPr>
        <w:pStyle w:val="zdroj"/>
      </w:pPr>
      <w:r w:rsidRPr="004C5551">
        <w:t>Zdroj: Sociálna poisťovňa</w:t>
      </w:r>
    </w:p>
    <w:p w:rsidR="00C95247" w:rsidRPr="004C5551" w:rsidRDefault="007977E6" w:rsidP="008E1A4D">
      <w:pPr>
        <w:ind w:firstLine="431"/>
        <w:rPr>
          <w:color w:val="000000" w:themeColor="text1"/>
        </w:rPr>
      </w:pPr>
      <w:r w:rsidRPr="004C5551">
        <w:rPr>
          <w:color w:val="000000" w:themeColor="text1"/>
        </w:rPr>
        <w:t>V decembri 2014 Sociálna poisťovňa evidovala 455 211 riadnych dohôd, čo oproti decembru 2013 predstavuje nárast o 14 895 dohôd (o 3,38 %, podpriemerný</w:t>
      </w:r>
      <w:r w:rsidR="00C95247" w:rsidRPr="004C5551">
        <w:rPr>
          <w:color w:val="000000" w:themeColor="text1"/>
        </w:rPr>
        <w:t xml:space="preserve"> nárast oproti celoročnému</w:t>
      </w:r>
      <w:r w:rsidRPr="004C5551">
        <w:rPr>
          <w:color w:val="000000" w:themeColor="text1"/>
        </w:rPr>
        <w:t>).</w:t>
      </w:r>
    </w:p>
    <w:p w:rsidR="008E1A4D" w:rsidRPr="004C5551" w:rsidRDefault="008E1A4D" w:rsidP="008E1A4D">
      <w:pPr>
        <w:ind w:firstLine="431"/>
        <w:rPr>
          <w:color w:val="000000" w:themeColor="text1"/>
        </w:rPr>
      </w:pPr>
    </w:p>
    <w:p w:rsidR="00BA6C33" w:rsidRPr="004C5551" w:rsidRDefault="00BA6C33">
      <w:pPr>
        <w:jc w:val="left"/>
        <w:rPr>
          <w:b/>
        </w:rPr>
      </w:pPr>
      <w:r w:rsidRPr="004C5551">
        <w:br w:type="page"/>
      </w:r>
    </w:p>
    <w:p w:rsidR="005E24E1" w:rsidRPr="004C5551" w:rsidRDefault="005E24E1" w:rsidP="00F52C74">
      <w:pPr>
        <w:pStyle w:val="Nadpis7"/>
      </w:pPr>
      <w:r w:rsidRPr="004C5551">
        <w:t>Graf 2.</w:t>
      </w:r>
      <w:r w:rsidR="00AB3F7F" w:rsidRPr="004C5551">
        <w:t>4</w:t>
      </w:r>
      <w:r w:rsidRPr="004C5551">
        <w:t xml:space="preserve"> Počet samostatne zárobkovo činných osôb evidovaných v Sociálnej poisťovni </w:t>
      </w:r>
      <w:r w:rsidR="00F52C74" w:rsidRPr="004C5551">
        <w:br/>
      </w:r>
      <w:r w:rsidRPr="004C5551">
        <w:t>v rokoch 2013 a 2014</w:t>
      </w:r>
    </w:p>
    <w:p w:rsidR="005E24E1" w:rsidRPr="004C5551" w:rsidRDefault="005E24E1" w:rsidP="005E24E1">
      <w:pPr>
        <w:spacing w:before="240"/>
        <w:jc w:val="center"/>
        <w:rPr>
          <w:noProof/>
        </w:rPr>
      </w:pPr>
      <w:r w:rsidRPr="004C5551">
        <w:rPr>
          <w:noProof/>
        </w:rPr>
        <w:drawing>
          <wp:inline distT="0" distB="0" distL="0" distR="0" wp14:anchorId="6121655D" wp14:editId="593A8A5C">
            <wp:extent cx="5165766" cy="2505694"/>
            <wp:effectExtent l="0" t="0" r="0" b="0"/>
            <wp:docPr id="43"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24E1" w:rsidRPr="004C5551" w:rsidRDefault="005E24E1" w:rsidP="00357F70">
      <w:pPr>
        <w:pStyle w:val="zdroj"/>
      </w:pPr>
      <w:r w:rsidRPr="004C5551">
        <w:t>Zdroj: Sociálna poisťovňa</w:t>
      </w:r>
    </w:p>
    <w:p w:rsidR="007977E6" w:rsidRPr="004C5551" w:rsidRDefault="007977E6" w:rsidP="007977E6">
      <w:pPr>
        <w:ind w:firstLine="431"/>
        <w:rPr>
          <w:color w:val="000000" w:themeColor="text1"/>
        </w:rPr>
      </w:pPr>
      <w:r w:rsidRPr="004C5551">
        <w:rPr>
          <w:color w:val="000000" w:themeColor="text1"/>
        </w:rPr>
        <w:t xml:space="preserve">V decembri 2014 Sociálna poisťovňa evidovala 224 758 samostatne zárobkovo činných osôb, čo oproti decembru 2013 predstavuje </w:t>
      </w:r>
      <w:r w:rsidR="00C95247" w:rsidRPr="004C5551">
        <w:rPr>
          <w:color w:val="000000" w:themeColor="text1"/>
        </w:rPr>
        <w:t>pokles</w:t>
      </w:r>
      <w:r w:rsidRPr="004C5551">
        <w:rPr>
          <w:color w:val="000000" w:themeColor="text1"/>
        </w:rPr>
        <w:t xml:space="preserve"> o</w:t>
      </w:r>
      <w:r w:rsidR="00C95247" w:rsidRPr="004C5551">
        <w:rPr>
          <w:color w:val="000000" w:themeColor="text1"/>
        </w:rPr>
        <w:t> 6 652 osôb</w:t>
      </w:r>
      <w:r w:rsidRPr="004C5551">
        <w:rPr>
          <w:color w:val="000000" w:themeColor="text1"/>
        </w:rPr>
        <w:t xml:space="preserve"> (o 2,</w:t>
      </w:r>
      <w:r w:rsidR="00C95247" w:rsidRPr="004C5551">
        <w:rPr>
          <w:color w:val="000000" w:themeColor="text1"/>
        </w:rPr>
        <w:t>87</w:t>
      </w:r>
      <w:r w:rsidRPr="004C5551">
        <w:rPr>
          <w:color w:val="000000" w:themeColor="text1"/>
        </w:rPr>
        <w:t xml:space="preserve"> %, </w:t>
      </w:r>
      <w:r w:rsidR="00C95247" w:rsidRPr="004C5551">
        <w:rPr>
          <w:color w:val="000000" w:themeColor="text1"/>
        </w:rPr>
        <w:t>pod</w:t>
      </w:r>
      <w:r w:rsidRPr="004C5551">
        <w:rPr>
          <w:color w:val="000000" w:themeColor="text1"/>
        </w:rPr>
        <w:t xml:space="preserve">priemerný </w:t>
      </w:r>
      <w:r w:rsidR="00C95247" w:rsidRPr="004C5551">
        <w:rPr>
          <w:color w:val="000000" w:themeColor="text1"/>
        </w:rPr>
        <w:t>pokles oproti celoročnému</w:t>
      </w:r>
      <w:r w:rsidRPr="004C5551">
        <w:rPr>
          <w:color w:val="000000" w:themeColor="text1"/>
        </w:rPr>
        <w:t>).</w:t>
      </w:r>
    </w:p>
    <w:p w:rsidR="00661FD1" w:rsidRPr="004C5551" w:rsidRDefault="00661FD1">
      <w:pPr>
        <w:jc w:val="left"/>
        <w:rPr>
          <w:rFonts w:eastAsiaTheme="minorHAnsi"/>
          <w:i/>
          <w:color w:val="000000"/>
          <w:sz w:val="20"/>
          <w:szCs w:val="20"/>
        </w:rPr>
      </w:pPr>
      <w:r w:rsidRPr="004C5551">
        <w:rPr>
          <w:rFonts w:eastAsiaTheme="minorHAnsi"/>
        </w:rPr>
        <w:br w:type="page"/>
      </w:r>
    </w:p>
    <w:p w:rsidR="00A966B5" w:rsidRPr="004C5551" w:rsidRDefault="00A966B5" w:rsidP="00ED16E0">
      <w:pPr>
        <w:pStyle w:val="Nadpis41"/>
      </w:pPr>
      <w:r w:rsidRPr="004C5551">
        <w:t>Zamestnanosť podľa výberového zisťovania pracovných síl</w:t>
      </w:r>
      <w:r w:rsidRPr="004C5551">
        <w:rPr>
          <w:rStyle w:val="Odkaznapoznmkupodiarou"/>
        </w:rPr>
        <w:footnoteReference w:id="12"/>
      </w:r>
      <w:r w:rsidR="00460902" w:rsidRPr="004C5551">
        <w:t xml:space="preserve"> ŠÚ SR</w:t>
      </w:r>
    </w:p>
    <w:p w:rsidR="00C46F26" w:rsidRPr="004C5551" w:rsidRDefault="00C46F26" w:rsidP="00D6574F">
      <w:pPr>
        <w:pStyle w:val="Normlnysozarkami2"/>
        <w:ind w:firstLine="431"/>
      </w:pPr>
      <w:r w:rsidRPr="004C5551">
        <w:rPr>
          <w:b/>
        </w:rPr>
        <w:t>Vývoj zamestnanosti</w:t>
      </w:r>
      <w:r w:rsidRPr="004C5551">
        <w:t xml:space="preserve"> v jednotlivých štvrťrokoch 2014 bol charakteristický postupným </w:t>
      </w:r>
      <w:r w:rsidRPr="004C5551">
        <w:rPr>
          <w:i/>
        </w:rPr>
        <w:t>zrýchľovaním</w:t>
      </w:r>
      <w:r w:rsidRPr="004C5551">
        <w:t xml:space="preserve"> jej medziročného rastu z 0,</w:t>
      </w:r>
      <w:r w:rsidR="009425AA" w:rsidRPr="004C5551">
        <w:t>2 </w:t>
      </w:r>
      <w:r w:rsidRPr="004C5551">
        <w:t>% v 1.</w:t>
      </w:r>
      <w:r w:rsidR="00D15FC4" w:rsidRPr="004C5551">
        <w:t> </w:t>
      </w:r>
      <w:r w:rsidRPr="004C5551">
        <w:t>štvrťroku na 2,</w:t>
      </w:r>
      <w:r w:rsidR="009425AA" w:rsidRPr="004C5551">
        <w:t>7 </w:t>
      </w:r>
      <w:r w:rsidRPr="004C5551">
        <w:t>% v 4.</w:t>
      </w:r>
      <w:r w:rsidR="00D15FC4" w:rsidRPr="004C5551">
        <w:t> </w:t>
      </w:r>
      <w:r w:rsidRPr="004C5551">
        <w:t xml:space="preserve">štvrťroku. Celkový priemerný počet pracujúcich sa v priemere za rok 2014 medziročne zvýšil o 33,7 tis. osôb, resp. o 1,4 % na 2 363,0 tis. </w:t>
      </w:r>
    </w:p>
    <w:p w:rsidR="00C46F26" w:rsidRPr="004C5551" w:rsidRDefault="00C46F26" w:rsidP="00D6574F">
      <w:pPr>
        <w:pStyle w:val="Normlnysozarkami2"/>
        <w:ind w:firstLine="431"/>
      </w:pPr>
      <w:r w:rsidRPr="004C5551">
        <w:rPr>
          <w:b/>
          <w:i/>
        </w:rPr>
        <w:t>Z hľadiska postavenia v zamestnaní</w:t>
      </w:r>
      <w:r w:rsidRPr="004C5551">
        <w:t xml:space="preserve"> najvýraznejšie vzrástol počet zamestnancov (o</w:t>
      </w:r>
      <w:r w:rsidR="00D15FC4" w:rsidRPr="004C5551">
        <w:t> </w:t>
      </w:r>
      <w:r w:rsidRPr="004C5551">
        <w:t>32,2 tis., resp. o 1,6 %). Mierne sa zvýšil počet podnikateľov (o 1,4 tis., resp. o 0,4</w:t>
      </w:r>
      <w:r w:rsidR="009425AA" w:rsidRPr="004C5551">
        <w:t> %</w:t>
      </w:r>
      <w:r w:rsidRPr="004C5551">
        <w:t>), a to v dôsledku rastu počtu podnikateľov so zamestnancami (o</w:t>
      </w:r>
      <w:r w:rsidR="00D15FC4" w:rsidRPr="004C5551">
        <w:t> </w:t>
      </w:r>
      <w:r w:rsidRPr="004C5551">
        <w:t>3,6 tis., resp. o</w:t>
      </w:r>
      <w:r w:rsidR="00D15FC4" w:rsidRPr="004C5551">
        <w:t> </w:t>
      </w:r>
      <w:r w:rsidRPr="004C5551">
        <w:t>4,9</w:t>
      </w:r>
      <w:r w:rsidR="009425AA" w:rsidRPr="004C5551">
        <w:t> %</w:t>
      </w:r>
      <w:r w:rsidRPr="004C5551">
        <w:t>). Počet podnikateľov bez zamest</w:t>
      </w:r>
      <w:r w:rsidR="00D15FC4" w:rsidRPr="004C5551">
        <w:softHyphen/>
      </w:r>
      <w:r w:rsidRPr="004C5551">
        <w:t>nancov medziročne poklesol (o 2,1 tis., resp. o 0,7</w:t>
      </w:r>
      <w:r w:rsidR="009425AA" w:rsidRPr="004C5551">
        <w:t> %</w:t>
      </w:r>
      <w:r w:rsidRPr="004C5551">
        <w:t xml:space="preserve">). Počet vypomáhajúcich členov domácnosti vzrástol o 0,1 tis. na 1,8 tis. </w:t>
      </w:r>
    </w:p>
    <w:p w:rsidR="00C46F26" w:rsidRPr="004C5551" w:rsidRDefault="00C46F26" w:rsidP="00D6574F">
      <w:pPr>
        <w:pStyle w:val="Default"/>
        <w:ind w:firstLine="431"/>
        <w:jc w:val="both"/>
        <w:rPr>
          <w:rFonts w:ascii="Times New Roman" w:hAnsi="Times New Roman" w:cs="Times New Roman"/>
          <w:color w:val="auto"/>
          <w:sz w:val="22"/>
          <w:szCs w:val="22"/>
        </w:rPr>
      </w:pPr>
      <w:r w:rsidRPr="004C5551">
        <w:rPr>
          <w:rFonts w:ascii="Times New Roman" w:hAnsi="Times New Roman" w:cs="Times New Roman"/>
          <w:b/>
          <w:i/>
          <w:color w:val="auto"/>
          <w:sz w:val="22"/>
          <w:szCs w:val="22"/>
        </w:rPr>
        <w:t>Z hľadiska pohlavia</w:t>
      </w:r>
      <w:r w:rsidRPr="004C5551">
        <w:rPr>
          <w:rFonts w:ascii="Times New Roman" w:hAnsi="Times New Roman" w:cs="Times New Roman"/>
          <w:color w:val="auto"/>
          <w:sz w:val="22"/>
          <w:szCs w:val="22"/>
        </w:rPr>
        <w:t xml:space="preserve"> vzrástol tak počet pracujúcich žien (o takmer 13 tis.), ako aj počet pracujúcich mužov (o približne 21 tis.)</w:t>
      </w:r>
    </w:p>
    <w:p w:rsidR="00C46F26" w:rsidRPr="004C5551" w:rsidRDefault="00C46F26" w:rsidP="00D6574F">
      <w:pPr>
        <w:pStyle w:val="Normlnysozarkami2"/>
        <w:ind w:firstLine="431"/>
      </w:pPr>
      <w:r w:rsidRPr="004C5551">
        <w:t xml:space="preserve">V roku 2014 sa zvýšil podiel pracujúcich na </w:t>
      </w:r>
      <w:r w:rsidRPr="004C5551">
        <w:rPr>
          <w:b/>
          <w:i/>
        </w:rPr>
        <w:t>kratší pracovný čas</w:t>
      </w:r>
      <w:r w:rsidRPr="004C5551">
        <w:t>. Takúto možnosť práce využilo v priemere 5,</w:t>
      </w:r>
      <w:r w:rsidR="006C6492" w:rsidRPr="004C5551">
        <w:t>2</w:t>
      </w:r>
      <w:r w:rsidR="009425AA" w:rsidRPr="004C5551">
        <w:t> %</w:t>
      </w:r>
      <w:r w:rsidR="00073D95" w:rsidRPr="004C5551">
        <w:t xml:space="preserve"> </w:t>
      </w:r>
      <w:r w:rsidRPr="004C5551">
        <w:t xml:space="preserve">z celkového počtu zamestnancov (v roku 2013 to bolo </w:t>
      </w:r>
      <w:r w:rsidR="006C6492" w:rsidRPr="004C5551">
        <w:t>4,8</w:t>
      </w:r>
      <w:r w:rsidR="009425AA" w:rsidRPr="004C5551">
        <w:t> %</w:t>
      </w:r>
      <w:r w:rsidRPr="004C5551">
        <w:t>). U žien bol tento podiel tradične vyšší (</w:t>
      </w:r>
      <w:r w:rsidR="006C6492" w:rsidRPr="004C5551">
        <w:t>6,9</w:t>
      </w:r>
      <w:r w:rsidR="009425AA" w:rsidRPr="004C5551">
        <w:t> %</w:t>
      </w:r>
      <w:r w:rsidRPr="004C5551">
        <w:t>) ako u mužov (</w:t>
      </w:r>
      <w:r w:rsidR="006C6492" w:rsidRPr="004C5551">
        <w:t>3,9</w:t>
      </w:r>
      <w:r w:rsidR="009425AA" w:rsidRPr="004C5551">
        <w:t> %</w:t>
      </w:r>
      <w:r w:rsidRPr="004C5551">
        <w:t xml:space="preserve">). </w:t>
      </w:r>
    </w:p>
    <w:p w:rsidR="00C46F26" w:rsidRPr="004C5551" w:rsidRDefault="00C46F26" w:rsidP="00D6574F">
      <w:pPr>
        <w:pStyle w:val="Normlnysozarkami2"/>
        <w:ind w:firstLine="431"/>
      </w:pPr>
      <w:r w:rsidRPr="004C5551">
        <w:rPr>
          <w:b/>
          <w:i/>
        </w:rPr>
        <w:t>Z hľadiska veku</w:t>
      </w:r>
      <w:r w:rsidRPr="004C5551">
        <w:t xml:space="preserve"> rast zamestnanosti zaznamenali 5-ročné vekové skupiny od 15 do 24 rokov, vekové skupiny od 35 do 44 rokov a 55 a viac rokov. V</w:t>
      </w:r>
      <w:r w:rsidR="00C54BC3" w:rsidRPr="004C5551">
        <w:t xml:space="preserve">o </w:t>
      </w:r>
      <w:r w:rsidRPr="004C5551">
        <w:t xml:space="preserve">vekových skupinách </w:t>
      </w:r>
      <w:r w:rsidR="00C54BC3" w:rsidRPr="004C5551">
        <w:t>od 25 do 34 rokov a</w:t>
      </w:r>
      <w:r w:rsidR="00274F35" w:rsidRPr="004C5551">
        <w:t> </w:t>
      </w:r>
      <w:r w:rsidR="00C54BC3" w:rsidRPr="004C5551">
        <w:t>od</w:t>
      </w:r>
      <w:r w:rsidR="00274F35" w:rsidRPr="004C5551">
        <w:t> </w:t>
      </w:r>
      <w:r w:rsidR="00C54BC3" w:rsidRPr="004C5551">
        <w:t xml:space="preserve">45 do 54 rokov </w:t>
      </w:r>
      <w:r w:rsidRPr="004C5551">
        <w:t>počet pracujúcich medziročne poklesol.</w:t>
      </w:r>
    </w:p>
    <w:p w:rsidR="00C46F26" w:rsidRPr="004C5551" w:rsidRDefault="00C46F26" w:rsidP="00357F70">
      <w:pPr>
        <w:pStyle w:val="Nadpis7"/>
      </w:pPr>
      <w:r w:rsidRPr="004C5551">
        <w:t>Tabuľka 2.3 Pracujúci podľa veku v roku 2014 (priemer za rok)</w:t>
      </w:r>
    </w:p>
    <w:tbl>
      <w:tblPr>
        <w:tblW w:w="7938"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000" w:firstRow="0" w:lastRow="0" w:firstColumn="0" w:lastColumn="0" w:noHBand="0" w:noVBand="0"/>
      </w:tblPr>
      <w:tblGrid>
        <w:gridCol w:w="2116"/>
        <w:gridCol w:w="2058"/>
        <w:gridCol w:w="1882"/>
        <w:gridCol w:w="1882"/>
      </w:tblGrid>
      <w:tr w:rsidR="00C46F26" w:rsidRPr="004C5551" w:rsidTr="00C46F26">
        <w:trPr>
          <w:trHeight w:val="701"/>
          <w:jc w:val="center"/>
        </w:trPr>
        <w:tc>
          <w:tcPr>
            <w:tcW w:w="2041"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Ukazovateľ</w:t>
            </w:r>
          </w:p>
        </w:tc>
        <w:tc>
          <w:tcPr>
            <w:tcW w:w="1984"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Počet pracujúcich</w:t>
            </w:r>
          </w:p>
          <w:p w:rsidR="00C46F26" w:rsidRPr="004C5551" w:rsidRDefault="00C46F26" w:rsidP="00C46F26">
            <w:pPr>
              <w:jc w:val="center"/>
              <w:rPr>
                <w:b/>
                <w:color w:val="FFFFFF" w:themeColor="background1"/>
              </w:rPr>
            </w:pPr>
            <w:r w:rsidRPr="004C5551">
              <w:rPr>
                <w:b/>
                <w:color w:val="FFFFFF" w:themeColor="background1"/>
              </w:rPr>
              <w:t>(v tis. osôb)</w:t>
            </w:r>
          </w:p>
        </w:tc>
        <w:tc>
          <w:tcPr>
            <w:tcW w:w="1814"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Podiel na SR</w:t>
            </w:r>
          </w:p>
          <w:p w:rsidR="00C46F26" w:rsidRPr="004C5551" w:rsidRDefault="00C46F26" w:rsidP="00C46F26">
            <w:pPr>
              <w:jc w:val="center"/>
              <w:rPr>
                <w:b/>
                <w:color w:val="FFFFFF" w:themeColor="background1"/>
              </w:rPr>
            </w:pPr>
            <w:r w:rsidRPr="004C5551">
              <w:rPr>
                <w:b/>
                <w:color w:val="FFFFFF" w:themeColor="background1"/>
              </w:rPr>
              <w:t>(v</w:t>
            </w:r>
            <w:r w:rsidR="009425AA" w:rsidRPr="004C5551">
              <w:rPr>
                <w:b/>
                <w:color w:val="FFFFFF" w:themeColor="background1"/>
              </w:rPr>
              <w:t> %</w:t>
            </w:r>
            <w:r w:rsidRPr="004C5551">
              <w:rPr>
                <w:b/>
                <w:color w:val="FFFFFF" w:themeColor="background1"/>
              </w:rPr>
              <w:t>)</w:t>
            </w:r>
          </w:p>
        </w:tc>
        <w:tc>
          <w:tcPr>
            <w:tcW w:w="1814" w:type="dxa"/>
            <w:shd w:val="clear" w:color="auto" w:fill="BF0000" w:themeFill="accent3" w:themeFillShade="BF"/>
            <w:vAlign w:val="center"/>
          </w:tcPr>
          <w:p w:rsidR="00C46F26" w:rsidRPr="004C5551" w:rsidRDefault="00C46F26" w:rsidP="00C46F26">
            <w:pPr>
              <w:jc w:val="center"/>
              <w:rPr>
                <w:b/>
                <w:color w:val="FFFFFF" w:themeColor="background1"/>
                <w:vertAlign w:val="superscript"/>
              </w:rPr>
            </w:pPr>
            <w:r w:rsidRPr="004C5551">
              <w:rPr>
                <w:b/>
                <w:color w:val="FFFFFF" w:themeColor="background1"/>
              </w:rPr>
              <w:t>Index</w:t>
            </w:r>
          </w:p>
          <w:p w:rsidR="00C46F26" w:rsidRPr="004C5551" w:rsidRDefault="00C46F26" w:rsidP="00C46F26">
            <w:pPr>
              <w:jc w:val="center"/>
              <w:rPr>
                <w:b/>
                <w:color w:val="FFFFFF" w:themeColor="background1"/>
              </w:rPr>
            </w:pPr>
            <w:r w:rsidRPr="004C5551">
              <w:rPr>
                <w:b/>
                <w:color w:val="FFFFFF" w:themeColor="background1"/>
              </w:rPr>
              <w:t>2014/2013</w:t>
            </w:r>
          </w:p>
        </w:tc>
      </w:tr>
      <w:tr w:rsidR="00C46F26" w:rsidRPr="004C5551" w:rsidTr="00C46F26">
        <w:trPr>
          <w:trHeight w:val="255"/>
          <w:jc w:val="center"/>
        </w:trPr>
        <w:tc>
          <w:tcPr>
            <w:tcW w:w="2041" w:type="dxa"/>
            <w:vAlign w:val="center"/>
          </w:tcPr>
          <w:p w:rsidR="00C46F26" w:rsidRPr="004C5551" w:rsidRDefault="00C46F26" w:rsidP="00C46F26">
            <w:pPr>
              <w:rPr>
                <w:b/>
                <w:sz w:val="20"/>
                <w:szCs w:val="20"/>
              </w:rPr>
            </w:pPr>
            <w:r w:rsidRPr="004C5551">
              <w:rPr>
                <w:b/>
                <w:sz w:val="20"/>
                <w:szCs w:val="20"/>
              </w:rPr>
              <w:t>Spolu</w:t>
            </w:r>
          </w:p>
        </w:tc>
        <w:tc>
          <w:tcPr>
            <w:tcW w:w="1984" w:type="dxa"/>
            <w:vAlign w:val="center"/>
          </w:tcPr>
          <w:p w:rsidR="00C46F26" w:rsidRPr="004C5551" w:rsidRDefault="00C46F26" w:rsidP="00C46F26">
            <w:pPr>
              <w:ind w:right="752"/>
              <w:jc w:val="right"/>
              <w:rPr>
                <w:b/>
                <w:bCs/>
                <w:sz w:val="20"/>
                <w:szCs w:val="20"/>
              </w:rPr>
            </w:pPr>
            <w:r w:rsidRPr="004C5551">
              <w:rPr>
                <w:b/>
                <w:bCs/>
                <w:sz w:val="20"/>
                <w:szCs w:val="20"/>
              </w:rPr>
              <w:t>2 363,0</w:t>
            </w:r>
          </w:p>
        </w:tc>
        <w:tc>
          <w:tcPr>
            <w:tcW w:w="1814" w:type="dxa"/>
            <w:vAlign w:val="center"/>
          </w:tcPr>
          <w:p w:rsidR="00C46F26" w:rsidRPr="004C5551" w:rsidRDefault="00C46F26" w:rsidP="00C46F26">
            <w:pPr>
              <w:ind w:right="752"/>
              <w:jc w:val="right"/>
              <w:rPr>
                <w:b/>
                <w:bCs/>
                <w:sz w:val="20"/>
                <w:szCs w:val="20"/>
              </w:rPr>
            </w:pPr>
            <w:r w:rsidRPr="004C5551">
              <w:rPr>
                <w:b/>
                <w:bCs/>
                <w:sz w:val="20"/>
                <w:szCs w:val="20"/>
              </w:rPr>
              <w:t>100,0</w:t>
            </w:r>
          </w:p>
        </w:tc>
        <w:tc>
          <w:tcPr>
            <w:tcW w:w="1814" w:type="dxa"/>
            <w:vAlign w:val="center"/>
          </w:tcPr>
          <w:p w:rsidR="00C46F26" w:rsidRPr="004C5551" w:rsidRDefault="00C46F26" w:rsidP="00C46F26">
            <w:pPr>
              <w:ind w:right="752"/>
              <w:jc w:val="right"/>
              <w:rPr>
                <w:b/>
                <w:bCs/>
                <w:sz w:val="20"/>
                <w:szCs w:val="20"/>
              </w:rPr>
            </w:pPr>
            <w:r w:rsidRPr="004C5551">
              <w:rPr>
                <w:b/>
                <w:bCs/>
                <w:sz w:val="20"/>
                <w:szCs w:val="20"/>
              </w:rPr>
              <w:t>101,4</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v tom veková skupina:</w:t>
            </w:r>
          </w:p>
        </w:tc>
        <w:tc>
          <w:tcPr>
            <w:tcW w:w="1984" w:type="dxa"/>
            <w:vAlign w:val="center"/>
          </w:tcPr>
          <w:p w:rsidR="00C46F26" w:rsidRPr="004C5551" w:rsidRDefault="00C46F26" w:rsidP="00C46F26">
            <w:pPr>
              <w:ind w:right="752"/>
              <w:jc w:val="right"/>
              <w:rPr>
                <w:b/>
                <w:bCs/>
                <w:sz w:val="20"/>
                <w:szCs w:val="20"/>
              </w:rPr>
            </w:pPr>
          </w:p>
        </w:tc>
        <w:tc>
          <w:tcPr>
            <w:tcW w:w="1814" w:type="dxa"/>
            <w:vAlign w:val="center"/>
          </w:tcPr>
          <w:p w:rsidR="00C46F26" w:rsidRPr="004C5551" w:rsidRDefault="00C46F26" w:rsidP="00C46F26">
            <w:pPr>
              <w:ind w:right="752"/>
              <w:jc w:val="right"/>
              <w:rPr>
                <w:b/>
                <w:bCs/>
                <w:sz w:val="20"/>
                <w:szCs w:val="20"/>
              </w:rPr>
            </w:pPr>
          </w:p>
        </w:tc>
        <w:tc>
          <w:tcPr>
            <w:tcW w:w="1814" w:type="dxa"/>
            <w:vAlign w:val="center"/>
          </w:tcPr>
          <w:p w:rsidR="00C46F26" w:rsidRPr="004C5551" w:rsidRDefault="00C46F26" w:rsidP="00C46F26">
            <w:pPr>
              <w:ind w:right="752"/>
              <w:jc w:val="right"/>
              <w:rPr>
                <w:b/>
                <w:bCs/>
                <w:sz w:val="20"/>
                <w:szCs w:val="20"/>
              </w:rPr>
            </w:pP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15 </w:t>
            </w:r>
            <w:r w:rsidRPr="004C5551">
              <w:rPr>
                <w:color w:val="000000" w:themeColor="text1"/>
                <w:sz w:val="20"/>
                <w:szCs w:val="20"/>
              </w:rPr>
              <w:t>–</w:t>
            </w:r>
            <w:r w:rsidRPr="004C5551">
              <w:rPr>
                <w:sz w:val="20"/>
                <w:szCs w:val="20"/>
              </w:rPr>
              <w:t xml:space="preserve"> 19 rokov</w:t>
            </w:r>
          </w:p>
        </w:tc>
        <w:tc>
          <w:tcPr>
            <w:tcW w:w="1984" w:type="dxa"/>
            <w:vAlign w:val="center"/>
          </w:tcPr>
          <w:p w:rsidR="00C46F26" w:rsidRPr="004C5551" w:rsidRDefault="00C46F26" w:rsidP="00C46F26">
            <w:pPr>
              <w:ind w:right="752"/>
              <w:jc w:val="right"/>
              <w:rPr>
                <w:sz w:val="20"/>
                <w:szCs w:val="20"/>
              </w:rPr>
            </w:pPr>
            <w:r w:rsidRPr="004C5551">
              <w:rPr>
                <w:sz w:val="20"/>
                <w:szCs w:val="20"/>
              </w:rPr>
              <w:t>8,4</w:t>
            </w:r>
          </w:p>
        </w:tc>
        <w:tc>
          <w:tcPr>
            <w:tcW w:w="1814" w:type="dxa"/>
            <w:vAlign w:val="center"/>
          </w:tcPr>
          <w:p w:rsidR="00C46F26" w:rsidRPr="004C5551" w:rsidRDefault="00C46F26" w:rsidP="00C46F26">
            <w:pPr>
              <w:ind w:right="752"/>
              <w:jc w:val="right"/>
              <w:rPr>
                <w:sz w:val="20"/>
                <w:szCs w:val="20"/>
              </w:rPr>
            </w:pPr>
            <w:r w:rsidRPr="004C5551">
              <w:rPr>
                <w:sz w:val="20"/>
                <w:szCs w:val="20"/>
              </w:rPr>
              <w:t>0,4</w:t>
            </w:r>
          </w:p>
        </w:tc>
        <w:tc>
          <w:tcPr>
            <w:tcW w:w="1814" w:type="dxa"/>
            <w:vAlign w:val="center"/>
          </w:tcPr>
          <w:p w:rsidR="00C46F26" w:rsidRPr="004C5551" w:rsidRDefault="00C46F26" w:rsidP="00C46F26">
            <w:pPr>
              <w:ind w:right="752"/>
              <w:jc w:val="right"/>
              <w:rPr>
                <w:sz w:val="20"/>
                <w:szCs w:val="20"/>
              </w:rPr>
            </w:pPr>
            <w:r w:rsidRPr="004C5551">
              <w:rPr>
                <w:sz w:val="20"/>
                <w:szCs w:val="20"/>
              </w:rPr>
              <w:t>115,1</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20 </w:t>
            </w:r>
            <w:r w:rsidRPr="004C5551">
              <w:rPr>
                <w:color w:val="000000" w:themeColor="text1"/>
                <w:sz w:val="20"/>
                <w:szCs w:val="20"/>
              </w:rPr>
              <w:t>–</w:t>
            </w:r>
            <w:r w:rsidRPr="004C5551">
              <w:rPr>
                <w:sz w:val="20"/>
                <w:szCs w:val="20"/>
              </w:rPr>
              <w:t xml:space="preserve"> 24 rokov</w:t>
            </w:r>
          </w:p>
        </w:tc>
        <w:tc>
          <w:tcPr>
            <w:tcW w:w="1984" w:type="dxa"/>
            <w:vAlign w:val="center"/>
          </w:tcPr>
          <w:p w:rsidR="00C46F26" w:rsidRPr="004C5551" w:rsidRDefault="00C46F26" w:rsidP="00C46F26">
            <w:pPr>
              <w:ind w:right="752"/>
              <w:jc w:val="right"/>
              <w:rPr>
                <w:sz w:val="20"/>
                <w:szCs w:val="20"/>
              </w:rPr>
            </w:pPr>
            <w:r w:rsidRPr="004C5551">
              <w:rPr>
                <w:sz w:val="20"/>
                <w:szCs w:val="20"/>
              </w:rPr>
              <w:t>140,2</w:t>
            </w:r>
          </w:p>
        </w:tc>
        <w:tc>
          <w:tcPr>
            <w:tcW w:w="1814" w:type="dxa"/>
            <w:vAlign w:val="center"/>
          </w:tcPr>
          <w:p w:rsidR="00C46F26" w:rsidRPr="004C5551" w:rsidRDefault="00C46F26" w:rsidP="00C46F26">
            <w:pPr>
              <w:ind w:right="752"/>
              <w:jc w:val="right"/>
              <w:rPr>
                <w:sz w:val="20"/>
                <w:szCs w:val="20"/>
              </w:rPr>
            </w:pPr>
            <w:r w:rsidRPr="004C5551">
              <w:rPr>
                <w:sz w:val="20"/>
                <w:szCs w:val="20"/>
              </w:rPr>
              <w:t>5,9</w:t>
            </w:r>
          </w:p>
        </w:tc>
        <w:tc>
          <w:tcPr>
            <w:tcW w:w="1814" w:type="dxa"/>
            <w:vAlign w:val="center"/>
          </w:tcPr>
          <w:p w:rsidR="00C46F26" w:rsidRPr="004C5551" w:rsidRDefault="00C46F26" w:rsidP="00C46F26">
            <w:pPr>
              <w:ind w:right="752"/>
              <w:jc w:val="right"/>
              <w:rPr>
                <w:sz w:val="20"/>
                <w:szCs w:val="20"/>
              </w:rPr>
            </w:pPr>
            <w:r w:rsidRPr="004C5551">
              <w:rPr>
                <w:sz w:val="20"/>
                <w:szCs w:val="20"/>
              </w:rPr>
              <w:t>102,6</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25 </w:t>
            </w:r>
            <w:r w:rsidRPr="004C5551">
              <w:rPr>
                <w:color w:val="000000" w:themeColor="text1"/>
                <w:sz w:val="20"/>
                <w:szCs w:val="20"/>
              </w:rPr>
              <w:t>–</w:t>
            </w:r>
            <w:r w:rsidRPr="004C5551">
              <w:rPr>
                <w:sz w:val="20"/>
                <w:szCs w:val="20"/>
              </w:rPr>
              <w:t xml:space="preserve"> 29 rokov</w:t>
            </w:r>
          </w:p>
        </w:tc>
        <w:tc>
          <w:tcPr>
            <w:tcW w:w="1984" w:type="dxa"/>
            <w:vAlign w:val="center"/>
          </w:tcPr>
          <w:p w:rsidR="00C46F26" w:rsidRPr="004C5551" w:rsidRDefault="00C46F26" w:rsidP="00C46F26">
            <w:pPr>
              <w:ind w:right="752"/>
              <w:jc w:val="right"/>
              <w:rPr>
                <w:sz w:val="20"/>
                <w:szCs w:val="20"/>
              </w:rPr>
            </w:pPr>
            <w:r w:rsidRPr="004C5551">
              <w:rPr>
                <w:sz w:val="20"/>
                <w:szCs w:val="20"/>
              </w:rPr>
              <w:t>286,3</w:t>
            </w:r>
          </w:p>
        </w:tc>
        <w:tc>
          <w:tcPr>
            <w:tcW w:w="1814" w:type="dxa"/>
            <w:vAlign w:val="center"/>
          </w:tcPr>
          <w:p w:rsidR="00C46F26" w:rsidRPr="004C5551" w:rsidRDefault="00C46F26" w:rsidP="00C46F26">
            <w:pPr>
              <w:ind w:right="752"/>
              <w:jc w:val="right"/>
              <w:rPr>
                <w:sz w:val="20"/>
                <w:szCs w:val="20"/>
              </w:rPr>
            </w:pPr>
            <w:r w:rsidRPr="004C5551">
              <w:rPr>
                <w:sz w:val="20"/>
                <w:szCs w:val="20"/>
              </w:rPr>
              <w:t>12,1</w:t>
            </w:r>
          </w:p>
        </w:tc>
        <w:tc>
          <w:tcPr>
            <w:tcW w:w="1814" w:type="dxa"/>
            <w:vAlign w:val="center"/>
          </w:tcPr>
          <w:p w:rsidR="00C46F26" w:rsidRPr="004C5551" w:rsidRDefault="00C46F26" w:rsidP="00C46F26">
            <w:pPr>
              <w:ind w:right="752"/>
              <w:jc w:val="right"/>
              <w:rPr>
                <w:sz w:val="20"/>
                <w:szCs w:val="20"/>
              </w:rPr>
            </w:pPr>
            <w:r w:rsidRPr="004C5551">
              <w:rPr>
                <w:sz w:val="20"/>
                <w:szCs w:val="20"/>
              </w:rPr>
              <w:t>99,8</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30 </w:t>
            </w:r>
            <w:r w:rsidRPr="004C5551">
              <w:rPr>
                <w:color w:val="000000" w:themeColor="text1"/>
                <w:sz w:val="20"/>
                <w:szCs w:val="20"/>
              </w:rPr>
              <w:t>–</w:t>
            </w:r>
            <w:r w:rsidRPr="004C5551">
              <w:rPr>
                <w:sz w:val="20"/>
                <w:szCs w:val="20"/>
              </w:rPr>
              <w:t xml:space="preserve"> 34 rokov</w:t>
            </w:r>
          </w:p>
        </w:tc>
        <w:tc>
          <w:tcPr>
            <w:tcW w:w="1984" w:type="dxa"/>
            <w:vAlign w:val="center"/>
          </w:tcPr>
          <w:p w:rsidR="00C46F26" w:rsidRPr="004C5551" w:rsidRDefault="00C46F26" w:rsidP="00C46F26">
            <w:pPr>
              <w:ind w:right="752"/>
              <w:jc w:val="right"/>
              <w:rPr>
                <w:sz w:val="20"/>
                <w:szCs w:val="20"/>
              </w:rPr>
            </w:pPr>
            <w:r w:rsidRPr="004C5551">
              <w:rPr>
                <w:sz w:val="20"/>
                <w:szCs w:val="20"/>
              </w:rPr>
              <w:t>313,0</w:t>
            </w:r>
          </w:p>
        </w:tc>
        <w:tc>
          <w:tcPr>
            <w:tcW w:w="1814" w:type="dxa"/>
            <w:vAlign w:val="center"/>
          </w:tcPr>
          <w:p w:rsidR="00C46F26" w:rsidRPr="004C5551" w:rsidRDefault="00C46F26" w:rsidP="00C46F26">
            <w:pPr>
              <w:ind w:right="752"/>
              <w:jc w:val="right"/>
              <w:rPr>
                <w:sz w:val="20"/>
                <w:szCs w:val="20"/>
              </w:rPr>
            </w:pPr>
            <w:r w:rsidRPr="004C5551">
              <w:rPr>
                <w:sz w:val="20"/>
                <w:szCs w:val="20"/>
              </w:rPr>
              <w:t>13,2</w:t>
            </w:r>
          </w:p>
        </w:tc>
        <w:tc>
          <w:tcPr>
            <w:tcW w:w="1814" w:type="dxa"/>
            <w:vAlign w:val="center"/>
          </w:tcPr>
          <w:p w:rsidR="00C46F26" w:rsidRPr="004C5551" w:rsidRDefault="00C46F26" w:rsidP="00C46F26">
            <w:pPr>
              <w:ind w:right="752"/>
              <w:jc w:val="right"/>
              <w:rPr>
                <w:sz w:val="20"/>
                <w:szCs w:val="20"/>
              </w:rPr>
            </w:pPr>
            <w:r w:rsidRPr="004C5551">
              <w:rPr>
                <w:sz w:val="20"/>
                <w:szCs w:val="20"/>
              </w:rPr>
              <w:t>96,2</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35 </w:t>
            </w:r>
            <w:r w:rsidRPr="004C5551">
              <w:rPr>
                <w:color w:val="000000" w:themeColor="text1"/>
                <w:sz w:val="20"/>
                <w:szCs w:val="20"/>
              </w:rPr>
              <w:t>–</w:t>
            </w:r>
            <w:r w:rsidRPr="004C5551">
              <w:rPr>
                <w:sz w:val="20"/>
                <w:szCs w:val="20"/>
              </w:rPr>
              <w:t xml:space="preserve"> 39 rokov</w:t>
            </w:r>
          </w:p>
        </w:tc>
        <w:tc>
          <w:tcPr>
            <w:tcW w:w="1984" w:type="dxa"/>
            <w:vAlign w:val="center"/>
          </w:tcPr>
          <w:p w:rsidR="00C46F26" w:rsidRPr="004C5551" w:rsidRDefault="00C46F26" w:rsidP="00C46F26">
            <w:pPr>
              <w:ind w:right="752"/>
              <w:jc w:val="right"/>
              <w:rPr>
                <w:sz w:val="20"/>
                <w:szCs w:val="20"/>
              </w:rPr>
            </w:pPr>
            <w:r w:rsidRPr="004C5551">
              <w:rPr>
                <w:sz w:val="20"/>
                <w:szCs w:val="20"/>
              </w:rPr>
              <w:t>367,7</w:t>
            </w:r>
          </w:p>
        </w:tc>
        <w:tc>
          <w:tcPr>
            <w:tcW w:w="1814" w:type="dxa"/>
            <w:vAlign w:val="center"/>
          </w:tcPr>
          <w:p w:rsidR="00C46F26" w:rsidRPr="004C5551" w:rsidRDefault="00C46F26" w:rsidP="00C46F26">
            <w:pPr>
              <w:ind w:right="752"/>
              <w:jc w:val="right"/>
              <w:rPr>
                <w:sz w:val="20"/>
                <w:szCs w:val="20"/>
              </w:rPr>
            </w:pPr>
            <w:r w:rsidRPr="004C5551">
              <w:rPr>
                <w:sz w:val="20"/>
                <w:szCs w:val="20"/>
              </w:rPr>
              <w:t>15,6</w:t>
            </w:r>
          </w:p>
        </w:tc>
        <w:tc>
          <w:tcPr>
            <w:tcW w:w="1814" w:type="dxa"/>
            <w:vAlign w:val="center"/>
          </w:tcPr>
          <w:p w:rsidR="00C46F26" w:rsidRPr="004C5551" w:rsidRDefault="00C46F26" w:rsidP="00C46F26">
            <w:pPr>
              <w:ind w:right="752"/>
              <w:jc w:val="right"/>
              <w:rPr>
                <w:sz w:val="20"/>
                <w:szCs w:val="20"/>
              </w:rPr>
            </w:pPr>
            <w:r w:rsidRPr="004C5551">
              <w:rPr>
                <w:sz w:val="20"/>
                <w:szCs w:val="20"/>
              </w:rPr>
              <w:t>104,0</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40 </w:t>
            </w:r>
            <w:r w:rsidRPr="004C5551">
              <w:rPr>
                <w:color w:val="000000" w:themeColor="text1"/>
                <w:sz w:val="20"/>
                <w:szCs w:val="20"/>
              </w:rPr>
              <w:t>–</w:t>
            </w:r>
            <w:r w:rsidRPr="004C5551">
              <w:rPr>
                <w:sz w:val="20"/>
                <w:szCs w:val="20"/>
              </w:rPr>
              <w:t xml:space="preserve"> 44 rokov</w:t>
            </w:r>
          </w:p>
        </w:tc>
        <w:tc>
          <w:tcPr>
            <w:tcW w:w="1984" w:type="dxa"/>
            <w:vAlign w:val="center"/>
          </w:tcPr>
          <w:p w:rsidR="00C46F26" w:rsidRPr="004C5551" w:rsidRDefault="00C46F26" w:rsidP="00C46F26">
            <w:pPr>
              <w:ind w:right="752"/>
              <w:jc w:val="right"/>
              <w:rPr>
                <w:sz w:val="20"/>
                <w:szCs w:val="20"/>
              </w:rPr>
            </w:pPr>
            <w:r w:rsidRPr="004C5551">
              <w:rPr>
                <w:sz w:val="20"/>
                <w:szCs w:val="20"/>
              </w:rPr>
              <w:t>326,3</w:t>
            </w:r>
          </w:p>
        </w:tc>
        <w:tc>
          <w:tcPr>
            <w:tcW w:w="1814" w:type="dxa"/>
            <w:vAlign w:val="center"/>
          </w:tcPr>
          <w:p w:rsidR="00C46F26" w:rsidRPr="004C5551" w:rsidRDefault="00C46F26" w:rsidP="00C46F26">
            <w:pPr>
              <w:ind w:right="752"/>
              <w:jc w:val="right"/>
              <w:rPr>
                <w:sz w:val="20"/>
                <w:szCs w:val="20"/>
              </w:rPr>
            </w:pPr>
            <w:r w:rsidRPr="004C5551">
              <w:rPr>
                <w:sz w:val="20"/>
                <w:szCs w:val="20"/>
              </w:rPr>
              <w:t>13,8</w:t>
            </w:r>
          </w:p>
        </w:tc>
        <w:tc>
          <w:tcPr>
            <w:tcW w:w="1814" w:type="dxa"/>
            <w:vAlign w:val="center"/>
          </w:tcPr>
          <w:p w:rsidR="00C46F26" w:rsidRPr="004C5551" w:rsidRDefault="00C46F26" w:rsidP="00C46F26">
            <w:pPr>
              <w:ind w:right="752"/>
              <w:jc w:val="right"/>
              <w:rPr>
                <w:sz w:val="20"/>
                <w:szCs w:val="20"/>
              </w:rPr>
            </w:pPr>
            <w:r w:rsidRPr="004C5551">
              <w:rPr>
                <w:sz w:val="20"/>
                <w:szCs w:val="20"/>
              </w:rPr>
              <w:t>106,1</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45 </w:t>
            </w:r>
            <w:r w:rsidRPr="004C5551">
              <w:rPr>
                <w:color w:val="000000" w:themeColor="text1"/>
                <w:sz w:val="20"/>
                <w:szCs w:val="20"/>
              </w:rPr>
              <w:t>–</w:t>
            </w:r>
            <w:r w:rsidRPr="004C5551">
              <w:rPr>
                <w:sz w:val="20"/>
                <w:szCs w:val="20"/>
              </w:rPr>
              <w:t xml:space="preserve"> 49 rokov</w:t>
            </w:r>
          </w:p>
        </w:tc>
        <w:tc>
          <w:tcPr>
            <w:tcW w:w="1984" w:type="dxa"/>
            <w:vAlign w:val="center"/>
          </w:tcPr>
          <w:p w:rsidR="00C46F26" w:rsidRPr="004C5551" w:rsidRDefault="00C46F26" w:rsidP="00C46F26">
            <w:pPr>
              <w:ind w:right="752"/>
              <w:jc w:val="right"/>
              <w:rPr>
                <w:sz w:val="20"/>
                <w:szCs w:val="20"/>
              </w:rPr>
            </w:pPr>
            <w:r w:rsidRPr="004C5551">
              <w:rPr>
                <w:sz w:val="20"/>
                <w:szCs w:val="20"/>
              </w:rPr>
              <w:t>296,0</w:t>
            </w:r>
          </w:p>
        </w:tc>
        <w:tc>
          <w:tcPr>
            <w:tcW w:w="1814" w:type="dxa"/>
            <w:vAlign w:val="center"/>
          </w:tcPr>
          <w:p w:rsidR="00C46F26" w:rsidRPr="004C5551" w:rsidRDefault="00C46F26" w:rsidP="00C46F26">
            <w:pPr>
              <w:ind w:right="752"/>
              <w:jc w:val="right"/>
              <w:rPr>
                <w:sz w:val="20"/>
                <w:szCs w:val="20"/>
              </w:rPr>
            </w:pPr>
            <w:r w:rsidRPr="004C5551">
              <w:rPr>
                <w:sz w:val="20"/>
                <w:szCs w:val="20"/>
              </w:rPr>
              <w:t>12,5</w:t>
            </w:r>
          </w:p>
        </w:tc>
        <w:tc>
          <w:tcPr>
            <w:tcW w:w="1814" w:type="dxa"/>
            <w:vAlign w:val="center"/>
          </w:tcPr>
          <w:p w:rsidR="00C46F26" w:rsidRPr="004C5551" w:rsidRDefault="00C46F26" w:rsidP="00C46F26">
            <w:pPr>
              <w:ind w:right="752"/>
              <w:jc w:val="right"/>
              <w:rPr>
                <w:sz w:val="20"/>
                <w:szCs w:val="20"/>
              </w:rPr>
            </w:pPr>
            <w:r w:rsidRPr="004C5551">
              <w:rPr>
                <w:sz w:val="20"/>
                <w:szCs w:val="20"/>
              </w:rPr>
              <w:t>99,8</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50 </w:t>
            </w:r>
            <w:r w:rsidRPr="004C5551">
              <w:rPr>
                <w:color w:val="000000" w:themeColor="text1"/>
                <w:sz w:val="20"/>
                <w:szCs w:val="20"/>
              </w:rPr>
              <w:t>–</w:t>
            </w:r>
            <w:r w:rsidRPr="004C5551">
              <w:rPr>
                <w:sz w:val="20"/>
                <w:szCs w:val="20"/>
              </w:rPr>
              <w:t xml:space="preserve"> 54 rokov</w:t>
            </w:r>
          </w:p>
        </w:tc>
        <w:tc>
          <w:tcPr>
            <w:tcW w:w="1984" w:type="dxa"/>
            <w:vAlign w:val="center"/>
          </w:tcPr>
          <w:p w:rsidR="00C46F26" w:rsidRPr="004C5551" w:rsidRDefault="00C46F26" w:rsidP="00C46F26">
            <w:pPr>
              <w:ind w:right="752"/>
              <w:jc w:val="right"/>
              <w:rPr>
                <w:sz w:val="20"/>
                <w:szCs w:val="20"/>
              </w:rPr>
            </w:pPr>
            <w:r w:rsidRPr="004C5551">
              <w:rPr>
                <w:sz w:val="20"/>
                <w:szCs w:val="20"/>
              </w:rPr>
              <w:t>283,3</w:t>
            </w:r>
          </w:p>
        </w:tc>
        <w:tc>
          <w:tcPr>
            <w:tcW w:w="1814" w:type="dxa"/>
            <w:vAlign w:val="center"/>
          </w:tcPr>
          <w:p w:rsidR="00C46F26" w:rsidRPr="004C5551" w:rsidRDefault="00C46F26" w:rsidP="00C46F26">
            <w:pPr>
              <w:ind w:right="752"/>
              <w:jc w:val="right"/>
              <w:rPr>
                <w:sz w:val="20"/>
                <w:szCs w:val="20"/>
              </w:rPr>
            </w:pPr>
            <w:r w:rsidRPr="004C5551">
              <w:rPr>
                <w:sz w:val="20"/>
                <w:szCs w:val="20"/>
              </w:rPr>
              <w:t>12,0</w:t>
            </w:r>
          </w:p>
        </w:tc>
        <w:tc>
          <w:tcPr>
            <w:tcW w:w="1814" w:type="dxa"/>
            <w:vAlign w:val="center"/>
          </w:tcPr>
          <w:p w:rsidR="00C46F26" w:rsidRPr="004C5551" w:rsidRDefault="00C46F26" w:rsidP="00C46F26">
            <w:pPr>
              <w:ind w:right="752"/>
              <w:jc w:val="right"/>
              <w:rPr>
                <w:sz w:val="20"/>
                <w:szCs w:val="20"/>
              </w:rPr>
            </w:pPr>
            <w:r w:rsidRPr="004C5551">
              <w:rPr>
                <w:sz w:val="20"/>
                <w:szCs w:val="20"/>
              </w:rPr>
              <w:t>99,5</w:t>
            </w:r>
          </w:p>
        </w:tc>
      </w:tr>
      <w:tr w:rsidR="00C46F26" w:rsidRPr="004C5551" w:rsidTr="00C46F26">
        <w:trPr>
          <w:trHeight w:val="255"/>
          <w:jc w:val="center"/>
        </w:trPr>
        <w:tc>
          <w:tcPr>
            <w:tcW w:w="2041" w:type="dxa"/>
            <w:vAlign w:val="center"/>
          </w:tcPr>
          <w:p w:rsidR="00C46F26" w:rsidRPr="004C5551" w:rsidRDefault="00C46F26" w:rsidP="00C46F26">
            <w:pPr>
              <w:jc w:val="left"/>
              <w:rPr>
                <w:sz w:val="20"/>
                <w:szCs w:val="20"/>
              </w:rPr>
            </w:pPr>
            <w:r w:rsidRPr="004C5551">
              <w:rPr>
                <w:sz w:val="20"/>
                <w:szCs w:val="20"/>
              </w:rPr>
              <w:t xml:space="preserve">55 </w:t>
            </w:r>
            <w:r w:rsidRPr="004C5551">
              <w:rPr>
                <w:color w:val="000000" w:themeColor="text1"/>
                <w:sz w:val="20"/>
                <w:szCs w:val="20"/>
              </w:rPr>
              <w:t>–</w:t>
            </w:r>
            <w:r w:rsidRPr="004C5551">
              <w:rPr>
                <w:sz w:val="20"/>
                <w:szCs w:val="20"/>
              </w:rPr>
              <w:t xml:space="preserve"> 59 rokov</w:t>
            </w:r>
          </w:p>
        </w:tc>
        <w:tc>
          <w:tcPr>
            <w:tcW w:w="1984" w:type="dxa"/>
            <w:vAlign w:val="center"/>
          </w:tcPr>
          <w:p w:rsidR="00C46F26" w:rsidRPr="004C5551" w:rsidRDefault="00C46F26" w:rsidP="00C46F26">
            <w:pPr>
              <w:ind w:right="752"/>
              <w:jc w:val="right"/>
              <w:rPr>
                <w:sz w:val="20"/>
                <w:szCs w:val="20"/>
              </w:rPr>
            </w:pPr>
            <w:r w:rsidRPr="004C5551">
              <w:rPr>
                <w:sz w:val="20"/>
                <w:szCs w:val="20"/>
              </w:rPr>
              <w:t>255,0</w:t>
            </w:r>
          </w:p>
        </w:tc>
        <w:tc>
          <w:tcPr>
            <w:tcW w:w="1814" w:type="dxa"/>
            <w:vAlign w:val="center"/>
          </w:tcPr>
          <w:p w:rsidR="00C46F26" w:rsidRPr="004C5551" w:rsidRDefault="00C46F26" w:rsidP="00C46F26">
            <w:pPr>
              <w:ind w:right="752"/>
              <w:jc w:val="right"/>
              <w:rPr>
                <w:sz w:val="20"/>
                <w:szCs w:val="20"/>
              </w:rPr>
            </w:pPr>
            <w:r w:rsidRPr="004C5551">
              <w:rPr>
                <w:sz w:val="20"/>
                <w:szCs w:val="20"/>
              </w:rPr>
              <w:t>10,8</w:t>
            </w:r>
          </w:p>
        </w:tc>
        <w:tc>
          <w:tcPr>
            <w:tcW w:w="1814" w:type="dxa"/>
            <w:vAlign w:val="center"/>
          </w:tcPr>
          <w:p w:rsidR="00C46F26" w:rsidRPr="004C5551" w:rsidRDefault="00C46F26" w:rsidP="00C46F26">
            <w:pPr>
              <w:ind w:right="752"/>
              <w:jc w:val="right"/>
              <w:rPr>
                <w:sz w:val="20"/>
                <w:szCs w:val="20"/>
              </w:rPr>
            </w:pPr>
            <w:r w:rsidRPr="004C5551">
              <w:rPr>
                <w:sz w:val="20"/>
                <w:szCs w:val="20"/>
              </w:rPr>
              <w:t>102,3</w:t>
            </w:r>
          </w:p>
        </w:tc>
      </w:tr>
      <w:tr w:rsidR="00C46F26" w:rsidRPr="004C5551" w:rsidTr="00C46F26">
        <w:trPr>
          <w:trHeight w:val="255"/>
          <w:jc w:val="center"/>
        </w:trPr>
        <w:tc>
          <w:tcPr>
            <w:tcW w:w="2041" w:type="dxa"/>
            <w:vAlign w:val="center"/>
          </w:tcPr>
          <w:p w:rsidR="00C46F26" w:rsidRPr="004C5551" w:rsidRDefault="00C46F26" w:rsidP="00C46F26">
            <w:pPr>
              <w:jc w:val="left"/>
            </w:pPr>
            <w:r w:rsidRPr="004C5551">
              <w:t xml:space="preserve">60 </w:t>
            </w:r>
            <w:r w:rsidRPr="004C5551">
              <w:rPr>
                <w:color w:val="000000" w:themeColor="text1"/>
              </w:rPr>
              <w:t>–</w:t>
            </w:r>
            <w:r w:rsidRPr="004C5551">
              <w:t xml:space="preserve"> 64 rokov</w:t>
            </w:r>
          </w:p>
        </w:tc>
        <w:tc>
          <w:tcPr>
            <w:tcW w:w="1984" w:type="dxa"/>
            <w:vAlign w:val="center"/>
          </w:tcPr>
          <w:p w:rsidR="00C46F26" w:rsidRPr="004C5551" w:rsidRDefault="00C46F26" w:rsidP="00C46F26">
            <w:pPr>
              <w:ind w:right="752"/>
              <w:jc w:val="right"/>
              <w:rPr>
                <w:sz w:val="20"/>
                <w:szCs w:val="20"/>
              </w:rPr>
            </w:pPr>
            <w:r w:rsidRPr="004C5551">
              <w:rPr>
                <w:sz w:val="20"/>
                <w:szCs w:val="20"/>
              </w:rPr>
              <w:t>73,2</w:t>
            </w:r>
          </w:p>
        </w:tc>
        <w:tc>
          <w:tcPr>
            <w:tcW w:w="1814" w:type="dxa"/>
            <w:vAlign w:val="center"/>
          </w:tcPr>
          <w:p w:rsidR="00C46F26" w:rsidRPr="004C5551" w:rsidRDefault="00C46F26" w:rsidP="00C46F26">
            <w:pPr>
              <w:ind w:right="752"/>
              <w:jc w:val="right"/>
              <w:rPr>
                <w:sz w:val="20"/>
                <w:szCs w:val="20"/>
              </w:rPr>
            </w:pPr>
            <w:r w:rsidRPr="004C5551">
              <w:rPr>
                <w:sz w:val="20"/>
                <w:szCs w:val="20"/>
              </w:rPr>
              <w:t>3,1</w:t>
            </w:r>
          </w:p>
        </w:tc>
        <w:tc>
          <w:tcPr>
            <w:tcW w:w="1814" w:type="dxa"/>
            <w:vAlign w:val="center"/>
          </w:tcPr>
          <w:p w:rsidR="00C46F26" w:rsidRPr="004C5551" w:rsidRDefault="00C46F26" w:rsidP="00C46F26">
            <w:pPr>
              <w:ind w:right="752"/>
              <w:jc w:val="right"/>
              <w:rPr>
                <w:sz w:val="20"/>
                <w:szCs w:val="20"/>
              </w:rPr>
            </w:pPr>
            <w:r w:rsidRPr="004C5551">
              <w:rPr>
                <w:sz w:val="20"/>
                <w:szCs w:val="20"/>
              </w:rPr>
              <w:t>104,9</w:t>
            </w:r>
          </w:p>
        </w:tc>
      </w:tr>
      <w:tr w:rsidR="00C46F26" w:rsidRPr="004C5551" w:rsidTr="00C46F26">
        <w:trPr>
          <w:trHeight w:val="255"/>
          <w:jc w:val="center"/>
        </w:trPr>
        <w:tc>
          <w:tcPr>
            <w:tcW w:w="2041" w:type="dxa"/>
            <w:vAlign w:val="center"/>
          </w:tcPr>
          <w:p w:rsidR="00C46F26" w:rsidRPr="004C5551" w:rsidRDefault="00C46F26" w:rsidP="00C46F26">
            <w:pPr>
              <w:jc w:val="left"/>
            </w:pPr>
            <w:r w:rsidRPr="004C5551">
              <w:t>65 a viac rokov</w:t>
            </w:r>
          </w:p>
        </w:tc>
        <w:tc>
          <w:tcPr>
            <w:tcW w:w="1984" w:type="dxa"/>
            <w:vAlign w:val="center"/>
          </w:tcPr>
          <w:p w:rsidR="00C46F26" w:rsidRPr="004C5551" w:rsidRDefault="00C46F26" w:rsidP="00C46F26">
            <w:pPr>
              <w:ind w:right="752"/>
              <w:jc w:val="right"/>
              <w:rPr>
                <w:sz w:val="20"/>
                <w:szCs w:val="20"/>
              </w:rPr>
            </w:pPr>
            <w:r w:rsidRPr="004C5551">
              <w:rPr>
                <w:sz w:val="20"/>
                <w:szCs w:val="20"/>
              </w:rPr>
              <w:t>13,9</w:t>
            </w:r>
          </w:p>
        </w:tc>
        <w:tc>
          <w:tcPr>
            <w:tcW w:w="1814" w:type="dxa"/>
            <w:vAlign w:val="center"/>
          </w:tcPr>
          <w:p w:rsidR="00C46F26" w:rsidRPr="004C5551" w:rsidRDefault="00C46F26" w:rsidP="00C46F26">
            <w:pPr>
              <w:ind w:right="752"/>
              <w:jc w:val="right"/>
              <w:rPr>
                <w:sz w:val="20"/>
                <w:szCs w:val="20"/>
              </w:rPr>
            </w:pPr>
            <w:r w:rsidRPr="004C5551">
              <w:rPr>
                <w:sz w:val="20"/>
                <w:szCs w:val="20"/>
              </w:rPr>
              <w:t>0,6</w:t>
            </w:r>
          </w:p>
        </w:tc>
        <w:tc>
          <w:tcPr>
            <w:tcW w:w="1814" w:type="dxa"/>
            <w:vAlign w:val="center"/>
          </w:tcPr>
          <w:p w:rsidR="00C46F26" w:rsidRPr="004C5551" w:rsidRDefault="00C46F26" w:rsidP="00C46F26">
            <w:pPr>
              <w:ind w:right="752"/>
              <w:jc w:val="right"/>
              <w:rPr>
                <w:sz w:val="20"/>
                <w:szCs w:val="20"/>
              </w:rPr>
            </w:pPr>
            <w:r w:rsidRPr="004C5551">
              <w:rPr>
                <w:sz w:val="20"/>
                <w:szCs w:val="20"/>
              </w:rPr>
              <w:t>118,8</w:t>
            </w:r>
          </w:p>
        </w:tc>
      </w:tr>
    </w:tbl>
    <w:p w:rsidR="00C46F26" w:rsidRPr="004C5551" w:rsidRDefault="00C46F26" w:rsidP="00357F70">
      <w:pPr>
        <w:pStyle w:val="zdroj"/>
      </w:pPr>
      <w:r w:rsidRPr="004C5551">
        <w:t xml:space="preserve">Zdroj: ŠÚ SR, VZPS </w:t>
      </w:r>
    </w:p>
    <w:p w:rsidR="00C46F26" w:rsidRPr="004C5551" w:rsidRDefault="00C46F26" w:rsidP="00D6574F">
      <w:pPr>
        <w:ind w:firstLine="431"/>
      </w:pPr>
      <w:r w:rsidRPr="004C5551">
        <w:t xml:space="preserve">Vývoj zamestnanosti </w:t>
      </w:r>
      <w:r w:rsidRPr="004C5551">
        <w:rPr>
          <w:b/>
          <w:i/>
        </w:rPr>
        <w:t>podľa vzdelania</w:t>
      </w:r>
      <w:r w:rsidRPr="004C5551">
        <w:t xml:space="preserve"> je výsledkom vývoja na strane ponuky práce i dopytu po práci. V porovnaní s rokom 2013 výrazne vzrástol počet pracujúcich s úplným stredným odborným (učňovským) vzdelaním s maturitou. Naj</w:t>
      </w:r>
      <w:r w:rsidR="00C54BC3" w:rsidRPr="004C5551">
        <w:t>väčší relatívny</w:t>
      </w:r>
      <w:r w:rsidRPr="004C5551">
        <w:t xml:space="preserve"> pokles zaznamenala zamestnanosť v skupine osôb s úplným stredným všeobecným vzdelaním s maturitou.</w:t>
      </w:r>
    </w:p>
    <w:p w:rsidR="00C46F26" w:rsidRPr="004C5551" w:rsidRDefault="00C46F26" w:rsidP="00D6574F">
      <w:pPr>
        <w:ind w:firstLine="431"/>
      </w:pPr>
      <w:r w:rsidRPr="004C5551">
        <w:t>Najväčší podiel na celkovej zamestnanosti mali osoby s úplným stredným odborným vzdelaním s</w:t>
      </w:r>
      <w:r w:rsidR="00274F35" w:rsidRPr="004C5551">
        <w:t> </w:t>
      </w:r>
      <w:r w:rsidRPr="004C5551">
        <w:t>maturitou, so stredným odborným vzdelaním bez maturity a s vysokoškolským vzdelaním, ktoré sa v roku 2014 podieľali približne 85</w:t>
      </w:r>
      <w:r w:rsidR="009425AA" w:rsidRPr="004C5551">
        <w:t> %</w:t>
      </w:r>
      <w:r w:rsidRPr="004C5551">
        <w:t xml:space="preserve"> na celkovej zamestnanosti SR.</w:t>
      </w:r>
    </w:p>
    <w:p w:rsidR="00357F70" w:rsidRPr="004C5551" w:rsidRDefault="00357F70">
      <w:pPr>
        <w:jc w:val="left"/>
        <w:rPr>
          <w:b/>
        </w:rPr>
      </w:pPr>
      <w:r w:rsidRPr="004C5551">
        <w:br w:type="page"/>
      </w:r>
    </w:p>
    <w:p w:rsidR="00C46F26" w:rsidRPr="004C5551" w:rsidRDefault="00C46F26" w:rsidP="00357F70">
      <w:pPr>
        <w:pStyle w:val="Nadpis7"/>
      </w:pPr>
      <w:r w:rsidRPr="004C5551">
        <w:t xml:space="preserve">Tabuľka 2.4 Pracujúci podľa vzdelania v roku 2014 (priemer za rok) </w:t>
      </w:r>
    </w:p>
    <w:tbl>
      <w:tblPr>
        <w:tblW w:w="8239" w:type="dxa"/>
        <w:jc w:val="center"/>
        <w:tblInd w:w="361" w:type="dxa"/>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Look w:val="01E0" w:firstRow="1" w:lastRow="1" w:firstColumn="1" w:lastColumn="1" w:noHBand="0" w:noVBand="0"/>
      </w:tblPr>
      <w:tblGrid>
        <w:gridCol w:w="2593"/>
        <w:gridCol w:w="1960"/>
        <w:gridCol w:w="1843"/>
        <w:gridCol w:w="1843"/>
      </w:tblGrid>
      <w:tr w:rsidR="00C46F26" w:rsidRPr="004C5551" w:rsidTr="00C46F26">
        <w:trPr>
          <w:jc w:val="center"/>
        </w:trPr>
        <w:tc>
          <w:tcPr>
            <w:tcW w:w="2593"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Ukazovateľ</w:t>
            </w:r>
          </w:p>
        </w:tc>
        <w:tc>
          <w:tcPr>
            <w:tcW w:w="1960"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Počet pracujúcich</w:t>
            </w:r>
          </w:p>
          <w:p w:rsidR="00C46F26" w:rsidRPr="004C5551" w:rsidRDefault="00C46F26" w:rsidP="00C46F26">
            <w:pPr>
              <w:jc w:val="center"/>
              <w:rPr>
                <w:b/>
                <w:color w:val="FFFFFF" w:themeColor="background1"/>
              </w:rPr>
            </w:pPr>
            <w:r w:rsidRPr="004C5551">
              <w:rPr>
                <w:b/>
                <w:color w:val="FFFFFF" w:themeColor="background1"/>
              </w:rPr>
              <w:t>(v tis. osôb)</w:t>
            </w:r>
          </w:p>
        </w:tc>
        <w:tc>
          <w:tcPr>
            <w:tcW w:w="1843"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Podiel na SR</w:t>
            </w:r>
          </w:p>
          <w:p w:rsidR="00C46F26" w:rsidRPr="004C5551" w:rsidRDefault="00C46F26" w:rsidP="00C46F26">
            <w:pPr>
              <w:jc w:val="center"/>
              <w:rPr>
                <w:b/>
                <w:color w:val="FFFFFF" w:themeColor="background1"/>
              </w:rPr>
            </w:pPr>
            <w:r w:rsidRPr="004C5551">
              <w:rPr>
                <w:b/>
                <w:color w:val="FFFFFF" w:themeColor="background1"/>
              </w:rPr>
              <w:t>(v</w:t>
            </w:r>
            <w:r w:rsidR="009425AA" w:rsidRPr="004C5551">
              <w:rPr>
                <w:b/>
                <w:color w:val="FFFFFF" w:themeColor="background1"/>
              </w:rPr>
              <w:t> %</w:t>
            </w:r>
            <w:r w:rsidRPr="004C5551">
              <w:rPr>
                <w:b/>
                <w:color w:val="FFFFFF" w:themeColor="background1"/>
              </w:rPr>
              <w:t>)</w:t>
            </w:r>
          </w:p>
        </w:tc>
        <w:tc>
          <w:tcPr>
            <w:tcW w:w="1843"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Index</w:t>
            </w:r>
          </w:p>
          <w:p w:rsidR="00C46F26" w:rsidRPr="004C5551" w:rsidRDefault="00C46F26" w:rsidP="00C46F26">
            <w:pPr>
              <w:jc w:val="center"/>
              <w:rPr>
                <w:b/>
                <w:color w:val="FFFFFF" w:themeColor="background1"/>
              </w:rPr>
            </w:pPr>
            <w:r w:rsidRPr="004C5551">
              <w:rPr>
                <w:b/>
                <w:color w:val="FFFFFF" w:themeColor="background1"/>
              </w:rPr>
              <w:t>2014/2013</w:t>
            </w:r>
          </w:p>
        </w:tc>
      </w:tr>
      <w:tr w:rsidR="00C46F26" w:rsidRPr="004C5551" w:rsidTr="00C46F26">
        <w:trPr>
          <w:trHeight w:val="255"/>
          <w:jc w:val="center"/>
        </w:trPr>
        <w:tc>
          <w:tcPr>
            <w:tcW w:w="2593" w:type="dxa"/>
            <w:vAlign w:val="center"/>
          </w:tcPr>
          <w:p w:rsidR="00C46F26" w:rsidRPr="004C5551" w:rsidRDefault="00C46F26" w:rsidP="00C46F26">
            <w:pPr>
              <w:jc w:val="left"/>
              <w:rPr>
                <w:b/>
              </w:rPr>
            </w:pPr>
            <w:r w:rsidRPr="004C5551">
              <w:rPr>
                <w:b/>
              </w:rPr>
              <w:t>Spolu</w:t>
            </w:r>
          </w:p>
        </w:tc>
        <w:tc>
          <w:tcPr>
            <w:tcW w:w="1960" w:type="dxa"/>
            <w:vAlign w:val="center"/>
          </w:tcPr>
          <w:p w:rsidR="00C46F26" w:rsidRPr="004C5551" w:rsidRDefault="00C46F26" w:rsidP="00C46F26">
            <w:pPr>
              <w:ind w:right="607"/>
              <w:jc w:val="right"/>
              <w:rPr>
                <w:b/>
              </w:rPr>
            </w:pPr>
            <w:r w:rsidRPr="004C5551">
              <w:rPr>
                <w:b/>
              </w:rPr>
              <w:t>2 363,0</w:t>
            </w:r>
          </w:p>
        </w:tc>
        <w:tc>
          <w:tcPr>
            <w:tcW w:w="1843" w:type="dxa"/>
            <w:vAlign w:val="center"/>
          </w:tcPr>
          <w:p w:rsidR="00C46F26" w:rsidRPr="004C5551" w:rsidRDefault="00C46F26" w:rsidP="00C46F26">
            <w:pPr>
              <w:ind w:right="607"/>
              <w:jc w:val="right"/>
              <w:rPr>
                <w:b/>
              </w:rPr>
            </w:pPr>
            <w:r w:rsidRPr="004C5551">
              <w:rPr>
                <w:b/>
              </w:rPr>
              <w:t>100,0</w:t>
            </w:r>
          </w:p>
        </w:tc>
        <w:tc>
          <w:tcPr>
            <w:tcW w:w="1843" w:type="dxa"/>
            <w:vAlign w:val="center"/>
          </w:tcPr>
          <w:p w:rsidR="00C46F26" w:rsidRPr="004C5551" w:rsidRDefault="00C46F26" w:rsidP="00C46F26">
            <w:pPr>
              <w:ind w:right="607"/>
              <w:jc w:val="right"/>
              <w:rPr>
                <w:b/>
              </w:rPr>
            </w:pPr>
            <w:r w:rsidRPr="004C5551">
              <w:rPr>
                <w:b/>
              </w:rPr>
              <w:t>101,4</w:t>
            </w:r>
          </w:p>
        </w:tc>
      </w:tr>
      <w:tr w:rsidR="00C46F26" w:rsidRPr="004C5551" w:rsidTr="00C46F26">
        <w:trPr>
          <w:trHeight w:val="255"/>
          <w:jc w:val="center"/>
        </w:trPr>
        <w:tc>
          <w:tcPr>
            <w:tcW w:w="8239" w:type="dxa"/>
            <w:gridSpan w:val="4"/>
            <w:vAlign w:val="center"/>
          </w:tcPr>
          <w:p w:rsidR="00C46F26" w:rsidRPr="004C5551" w:rsidRDefault="00C46F26" w:rsidP="00C46F26">
            <w:pPr>
              <w:ind w:right="607"/>
              <w:jc w:val="left"/>
            </w:pPr>
            <w:r w:rsidRPr="004C5551">
              <w:t>v tom vzdelanie:</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Základné</w:t>
            </w:r>
          </w:p>
        </w:tc>
        <w:tc>
          <w:tcPr>
            <w:tcW w:w="1960" w:type="dxa"/>
            <w:vAlign w:val="center"/>
          </w:tcPr>
          <w:p w:rsidR="00C46F26" w:rsidRPr="004C5551" w:rsidRDefault="00C46F26" w:rsidP="00C46F26">
            <w:pPr>
              <w:ind w:right="607"/>
              <w:jc w:val="right"/>
            </w:pPr>
            <w:r w:rsidRPr="004C5551">
              <w:t>85,9</w:t>
            </w:r>
          </w:p>
        </w:tc>
        <w:tc>
          <w:tcPr>
            <w:tcW w:w="1843" w:type="dxa"/>
            <w:vAlign w:val="center"/>
          </w:tcPr>
          <w:p w:rsidR="00C46F26" w:rsidRPr="004C5551" w:rsidRDefault="00C46F26" w:rsidP="00C46F26">
            <w:pPr>
              <w:ind w:right="607"/>
              <w:jc w:val="right"/>
            </w:pPr>
            <w:r w:rsidRPr="004C5551">
              <w:t>3,6</w:t>
            </w:r>
          </w:p>
        </w:tc>
        <w:tc>
          <w:tcPr>
            <w:tcW w:w="1843" w:type="dxa"/>
            <w:vAlign w:val="center"/>
          </w:tcPr>
          <w:p w:rsidR="00C46F26" w:rsidRPr="004C5551" w:rsidRDefault="00C46F26" w:rsidP="00C46F26">
            <w:pPr>
              <w:ind w:right="607"/>
              <w:jc w:val="right"/>
            </w:pPr>
            <w:r w:rsidRPr="004C5551">
              <w:t>93,9</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Stredné odborné (učňovské) bez maturity</w:t>
            </w:r>
          </w:p>
        </w:tc>
        <w:tc>
          <w:tcPr>
            <w:tcW w:w="1960" w:type="dxa"/>
            <w:vAlign w:val="center"/>
          </w:tcPr>
          <w:p w:rsidR="00C46F26" w:rsidRPr="004C5551" w:rsidRDefault="00C46F26" w:rsidP="00C46F26">
            <w:pPr>
              <w:ind w:right="607"/>
              <w:jc w:val="right"/>
            </w:pPr>
            <w:r w:rsidRPr="004C5551">
              <w:t>678,7</w:t>
            </w:r>
          </w:p>
        </w:tc>
        <w:tc>
          <w:tcPr>
            <w:tcW w:w="1843" w:type="dxa"/>
            <w:vAlign w:val="center"/>
          </w:tcPr>
          <w:p w:rsidR="00C46F26" w:rsidRPr="004C5551" w:rsidRDefault="00C46F26" w:rsidP="00C46F26">
            <w:pPr>
              <w:ind w:right="607"/>
              <w:jc w:val="right"/>
            </w:pPr>
            <w:r w:rsidRPr="004C5551">
              <w:t>28,7</w:t>
            </w:r>
          </w:p>
        </w:tc>
        <w:tc>
          <w:tcPr>
            <w:tcW w:w="1843" w:type="dxa"/>
            <w:vAlign w:val="center"/>
          </w:tcPr>
          <w:p w:rsidR="00C46F26" w:rsidRPr="004C5551" w:rsidRDefault="00C46F26" w:rsidP="00C46F26">
            <w:pPr>
              <w:ind w:right="607"/>
              <w:jc w:val="right"/>
            </w:pPr>
            <w:r w:rsidRPr="004C5551">
              <w:t>96,9</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Úplné stredné odborné (učňovské) s maturitou</w:t>
            </w:r>
          </w:p>
        </w:tc>
        <w:tc>
          <w:tcPr>
            <w:tcW w:w="1960" w:type="dxa"/>
            <w:vAlign w:val="center"/>
          </w:tcPr>
          <w:p w:rsidR="00C46F26" w:rsidRPr="004C5551" w:rsidRDefault="00C46F26" w:rsidP="00C46F26">
            <w:pPr>
              <w:ind w:right="607"/>
              <w:jc w:val="right"/>
            </w:pPr>
            <w:r w:rsidRPr="004C5551">
              <w:t>146,1</w:t>
            </w:r>
          </w:p>
        </w:tc>
        <w:tc>
          <w:tcPr>
            <w:tcW w:w="1843" w:type="dxa"/>
            <w:vAlign w:val="center"/>
          </w:tcPr>
          <w:p w:rsidR="00C46F26" w:rsidRPr="004C5551" w:rsidRDefault="00C46F26" w:rsidP="00C46F26">
            <w:pPr>
              <w:ind w:right="607"/>
              <w:jc w:val="right"/>
            </w:pPr>
            <w:r w:rsidRPr="004C5551">
              <w:t>6,2</w:t>
            </w:r>
          </w:p>
        </w:tc>
        <w:tc>
          <w:tcPr>
            <w:tcW w:w="1843" w:type="dxa"/>
            <w:vAlign w:val="center"/>
          </w:tcPr>
          <w:p w:rsidR="00C46F26" w:rsidRPr="004C5551" w:rsidRDefault="00C46F26" w:rsidP="00C46F26">
            <w:pPr>
              <w:ind w:right="607"/>
              <w:jc w:val="right"/>
            </w:pPr>
            <w:r w:rsidRPr="004C5551">
              <w:t>159,2</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Úplné stredné všeobecné s maturitou</w:t>
            </w:r>
          </w:p>
        </w:tc>
        <w:tc>
          <w:tcPr>
            <w:tcW w:w="1960" w:type="dxa"/>
            <w:vAlign w:val="center"/>
          </w:tcPr>
          <w:p w:rsidR="00C46F26" w:rsidRPr="004C5551" w:rsidRDefault="00C46F26" w:rsidP="00C46F26">
            <w:pPr>
              <w:ind w:right="607"/>
              <w:jc w:val="right"/>
            </w:pPr>
            <w:r w:rsidRPr="004C5551">
              <w:t>91,6</w:t>
            </w:r>
          </w:p>
        </w:tc>
        <w:tc>
          <w:tcPr>
            <w:tcW w:w="1843" w:type="dxa"/>
            <w:vAlign w:val="center"/>
          </w:tcPr>
          <w:p w:rsidR="00C46F26" w:rsidRPr="004C5551" w:rsidRDefault="00C46F26" w:rsidP="00C46F26">
            <w:pPr>
              <w:ind w:right="607"/>
              <w:jc w:val="right"/>
            </w:pPr>
            <w:r w:rsidRPr="004C5551">
              <w:t>3,9</w:t>
            </w:r>
          </w:p>
        </w:tc>
        <w:tc>
          <w:tcPr>
            <w:tcW w:w="1843" w:type="dxa"/>
            <w:vAlign w:val="center"/>
          </w:tcPr>
          <w:p w:rsidR="00C46F26" w:rsidRPr="004C5551" w:rsidRDefault="00C46F26" w:rsidP="00C46F26">
            <w:pPr>
              <w:ind w:right="607"/>
              <w:jc w:val="right"/>
            </w:pPr>
            <w:r w:rsidRPr="004C5551">
              <w:t>91,5</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Úplné stredné odborné s maturitou</w:t>
            </w:r>
          </w:p>
        </w:tc>
        <w:tc>
          <w:tcPr>
            <w:tcW w:w="1960" w:type="dxa"/>
            <w:vAlign w:val="center"/>
          </w:tcPr>
          <w:p w:rsidR="00C46F26" w:rsidRPr="004C5551" w:rsidRDefault="00C46F26" w:rsidP="00C46F26">
            <w:pPr>
              <w:ind w:right="607"/>
              <w:jc w:val="right"/>
            </w:pPr>
            <w:r w:rsidRPr="004C5551">
              <w:t>809,7</w:t>
            </w:r>
          </w:p>
        </w:tc>
        <w:tc>
          <w:tcPr>
            <w:tcW w:w="1843" w:type="dxa"/>
            <w:vAlign w:val="center"/>
          </w:tcPr>
          <w:p w:rsidR="00C46F26" w:rsidRPr="004C5551" w:rsidRDefault="00C46F26" w:rsidP="00C46F26">
            <w:pPr>
              <w:ind w:right="607"/>
              <w:jc w:val="right"/>
            </w:pPr>
            <w:r w:rsidRPr="004C5551">
              <w:t>34,3</w:t>
            </w:r>
          </w:p>
        </w:tc>
        <w:tc>
          <w:tcPr>
            <w:tcW w:w="1843" w:type="dxa"/>
            <w:vAlign w:val="center"/>
          </w:tcPr>
          <w:p w:rsidR="00C46F26" w:rsidRPr="004C5551" w:rsidRDefault="00C46F26" w:rsidP="00C46F26">
            <w:pPr>
              <w:ind w:right="607"/>
              <w:jc w:val="right"/>
            </w:pPr>
            <w:r w:rsidRPr="004C5551">
              <w:t>97,6</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Vyššie odborné</w:t>
            </w:r>
          </w:p>
        </w:tc>
        <w:tc>
          <w:tcPr>
            <w:tcW w:w="1960" w:type="dxa"/>
            <w:vAlign w:val="center"/>
          </w:tcPr>
          <w:p w:rsidR="00C46F26" w:rsidRPr="004C5551" w:rsidRDefault="00C46F26" w:rsidP="00C46F26">
            <w:pPr>
              <w:ind w:right="607"/>
              <w:jc w:val="right"/>
            </w:pPr>
            <w:r w:rsidRPr="004C5551">
              <w:t>24,6</w:t>
            </w:r>
          </w:p>
        </w:tc>
        <w:tc>
          <w:tcPr>
            <w:tcW w:w="1843" w:type="dxa"/>
            <w:vAlign w:val="center"/>
          </w:tcPr>
          <w:p w:rsidR="00C46F26" w:rsidRPr="004C5551" w:rsidRDefault="00C46F26" w:rsidP="00C46F26">
            <w:pPr>
              <w:ind w:right="607"/>
              <w:jc w:val="right"/>
            </w:pPr>
            <w:r w:rsidRPr="004C5551">
              <w:t>1,0</w:t>
            </w:r>
          </w:p>
        </w:tc>
        <w:tc>
          <w:tcPr>
            <w:tcW w:w="1843" w:type="dxa"/>
            <w:vAlign w:val="center"/>
          </w:tcPr>
          <w:p w:rsidR="00C46F26" w:rsidRPr="004C5551" w:rsidRDefault="00C46F26" w:rsidP="00C46F26">
            <w:pPr>
              <w:ind w:right="607"/>
              <w:jc w:val="right"/>
            </w:pPr>
            <w:r w:rsidRPr="004C5551">
              <w:t>95,3</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Vysokoškolské</w:t>
            </w:r>
          </w:p>
        </w:tc>
        <w:tc>
          <w:tcPr>
            <w:tcW w:w="1960" w:type="dxa"/>
            <w:vAlign w:val="center"/>
          </w:tcPr>
          <w:p w:rsidR="00C46F26" w:rsidRPr="004C5551" w:rsidRDefault="00C46F26" w:rsidP="00C46F26">
            <w:pPr>
              <w:ind w:right="607"/>
              <w:jc w:val="right"/>
            </w:pPr>
            <w:r w:rsidRPr="004C5551">
              <w:t>526,4</w:t>
            </w:r>
          </w:p>
        </w:tc>
        <w:tc>
          <w:tcPr>
            <w:tcW w:w="1843" w:type="dxa"/>
            <w:vAlign w:val="center"/>
          </w:tcPr>
          <w:p w:rsidR="00C46F26" w:rsidRPr="004C5551" w:rsidRDefault="00C46F26" w:rsidP="00C46F26">
            <w:pPr>
              <w:ind w:right="607"/>
              <w:jc w:val="right"/>
            </w:pPr>
            <w:r w:rsidRPr="004C5551">
              <w:t>22,3</w:t>
            </w:r>
          </w:p>
        </w:tc>
        <w:tc>
          <w:tcPr>
            <w:tcW w:w="1843" w:type="dxa"/>
            <w:vAlign w:val="center"/>
          </w:tcPr>
          <w:p w:rsidR="00C46F26" w:rsidRPr="004C5551" w:rsidRDefault="00C46F26" w:rsidP="00C46F26">
            <w:pPr>
              <w:ind w:right="607"/>
              <w:jc w:val="right"/>
            </w:pPr>
            <w:r w:rsidRPr="004C5551">
              <w:t>107,3</w:t>
            </w:r>
          </w:p>
        </w:tc>
      </w:tr>
      <w:tr w:rsidR="00C46F26" w:rsidRPr="004C5551" w:rsidTr="00C46F26">
        <w:trPr>
          <w:trHeight w:val="255"/>
          <w:jc w:val="center"/>
        </w:trPr>
        <w:tc>
          <w:tcPr>
            <w:tcW w:w="2593" w:type="dxa"/>
            <w:vAlign w:val="center"/>
          </w:tcPr>
          <w:p w:rsidR="00C46F26" w:rsidRPr="004C5551" w:rsidRDefault="00C46F26" w:rsidP="00C46F26">
            <w:pPr>
              <w:jc w:val="left"/>
            </w:pPr>
            <w:r w:rsidRPr="004C5551">
              <w:t>Bez vzdelania</w:t>
            </w:r>
          </w:p>
        </w:tc>
        <w:tc>
          <w:tcPr>
            <w:tcW w:w="1960" w:type="dxa"/>
            <w:vAlign w:val="center"/>
          </w:tcPr>
          <w:p w:rsidR="00C46F26" w:rsidRPr="004C5551" w:rsidRDefault="00C46F26" w:rsidP="00C46F26">
            <w:pPr>
              <w:ind w:right="607"/>
              <w:jc w:val="right"/>
              <w:rPr>
                <w:sz w:val="20"/>
                <w:szCs w:val="20"/>
              </w:rPr>
            </w:pPr>
            <w:r w:rsidRPr="004C5551">
              <w:rPr>
                <w:sz w:val="20"/>
                <w:szCs w:val="20"/>
              </w:rPr>
              <w:t>0,1</w:t>
            </w:r>
          </w:p>
        </w:tc>
        <w:tc>
          <w:tcPr>
            <w:tcW w:w="1843" w:type="dxa"/>
            <w:vAlign w:val="center"/>
          </w:tcPr>
          <w:p w:rsidR="00C46F26" w:rsidRPr="004C5551" w:rsidRDefault="00C46F26" w:rsidP="00C46F26">
            <w:pPr>
              <w:ind w:right="607"/>
              <w:jc w:val="right"/>
            </w:pPr>
            <w:r w:rsidRPr="004C5551">
              <w:t>0,0</w:t>
            </w:r>
          </w:p>
        </w:tc>
        <w:tc>
          <w:tcPr>
            <w:tcW w:w="1843" w:type="dxa"/>
            <w:vAlign w:val="center"/>
          </w:tcPr>
          <w:p w:rsidR="00C46F26" w:rsidRPr="004C5551" w:rsidRDefault="00C46F26" w:rsidP="00073D95">
            <w:pPr>
              <w:ind w:right="750"/>
              <w:jc w:val="right"/>
            </w:pPr>
            <w:r w:rsidRPr="004C5551">
              <w:t>-</w:t>
            </w:r>
          </w:p>
        </w:tc>
      </w:tr>
    </w:tbl>
    <w:p w:rsidR="00C46F26" w:rsidRPr="004C5551" w:rsidRDefault="00C46F26" w:rsidP="00357F70">
      <w:pPr>
        <w:pStyle w:val="zdroj"/>
      </w:pPr>
      <w:r w:rsidRPr="004C5551">
        <w:t xml:space="preserve">Zdroj: ŠÚ SR, VZPS </w:t>
      </w:r>
    </w:p>
    <w:p w:rsidR="00C46F26" w:rsidRPr="004C5551" w:rsidRDefault="00C46F26" w:rsidP="00D6574F">
      <w:pPr>
        <w:ind w:firstLine="431"/>
        <w:rPr>
          <w:color w:val="000000" w:themeColor="text1"/>
        </w:rPr>
      </w:pPr>
      <w:r w:rsidRPr="004C5551">
        <w:rPr>
          <w:b/>
          <w:i/>
          <w:color w:val="000000" w:themeColor="text1"/>
        </w:rPr>
        <w:t>Z regionálneho hľadiska</w:t>
      </w:r>
      <w:r w:rsidRPr="004C5551">
        <w:rPr>
          <w:i/>
          <w:color w:val="000000" w:themeColor="text1"/>
        </w:rPr>
        <w:t xml:space="preserve"> </w:t>
      </w:r>
      <w:r w:rsidRPr="004C5551">
        <w:rPr>
          <w:color w:val="000000" w:themeColor="text1"/>
        </w:rPr>
        <w:t>medziročný rast počtu pracujúcich zaznamenali</w:t>
      </w:r>
      <w:r w:rsidRPr="004C5551" w:rsidDel="0048512C">
        <w:rPr>
          <w:color w:val="000000" w:themeColor="text1"/>
        </w:rPr>
        <w:t xml:space="preserve"> </w:t>
      </w:r>
      <w:r w:rsidRPr="004C5551">
        <w:rPr>
          <w:color w:val="000000" w:themeColor="text1"/>
        </w:rPr>
        <w:t>všetky kraje (v</w:t>
      </w:r>
      <w:r w:rsidR="00357F70" w:rsidRPr="004C5551">
        <w:rPr>
          <w:color w:val="000000" w:themeColor="text1"/>
        </w:rPr>
        <w:t> </w:t>
      </w:r>
      <w:r w:rsidRPr="004C5551">
        <w:rPr>
          <w:color w:val="000000" w:themeColor="text1"/>
        </w:rPr>
        <w:t>rozsahu od 0,1</w:t>
      </w:r>
      <w:r w:rsidR="009425AA" w:rsidRPr="004C5551">
        <w:rPr>
          <w:color w:val="000000" w:themeColor="text1"/>
        </w:rPr>
        <w:t> %</w:t>
      </w:r>
      <w:r w:rsidRPr="004C5551">
        <w:rPr>
          <w:color w:val="000000" w:themeColor="text1"/>
        </w:rPr>
        <w:t xml:space="preserve"> do 3,5</w:t>
      </w:r>
      <w:r w:rsidR="009425AA" w:rsidRPr="004C5551">
        <w:rPr>
          <w:color w:val="000000" w:themeColor="text1"/>
        </w:rPr>
        <w:t> %</w:t>
      </w:r>
      <w:r w:rsidRPr="004C5551">
        <w:rPr>
          <w:color w:val="000000" w:themeColor="text1"/>
        </w:rPr>
        <w:t xml:space="preserve">) s výnimkou Trnavského. </w:t>
      </w:r>
    </w:p>
    <w:p w:rsidR="00C46F26" w:rsidRPr="004C5551" w:rsidRDefault="00C46F26" w:rsidP="00357F70">
      <w:pPr>
        <w:pStyle w:val="Nadpis7"/>
      </w:pPr>
      <w:r w:rsidRPr="004C5551">
        <w:t xml:space="preserve">Tabuľka 2.5 Pracujúci podľa krajov v roku 2014 (priemer za rok) </w:t>
      </w:r>
    </w:p>
    <w:tbl>
      <w:tblPr>
        <w:tblW w:w="7251" w:type="dxa"/>
        <w:jc w:val="center"/>
        <w:tblInd w:w="98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1695"/>
        <w:gridCol w:w="2098"/>
        <w:gridCol w:w="1701"/>
        <w:gridCol w:w="1757"/>
      </w:tblGrid>
      <w:tr w:rsidR="00C46F26" w:rsidRPr="004C5551" w:rsidTr="00C46F26">
        <w:trPr>
          <w:trHeight w:val="345"/>
          <w:jc w:val="center"/>
        </w:trPr>
        <w:tc>
          <w:tcPr>
            <w:tcW w:w="1695"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Kraj</w:t>
            </w:r>
          </w:p>
        </w:tc>
        <w:tc>
          <w:tcPr>
            <w:tcW w:w="2098"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Počet pracujúcich</w:t>
            </w:r>
          </w:p>
          <w:p w:rsidR="00C46F26" w:rsidRPr="004C5551" w:rsidRDefault="00C46F26" w:rsidP="00C46F26">
            <w:pPr>
              <w:jc w:val="center"/>
              <w:rPr>
                <w:b/>
                <w:color w:val="FFFFFF" w:themeColor="background1"/>
              </w:rPr>
            </w:pPr>
            <w:r w:rsidRPr="004C5551">
              <w:rPr>
                <w:b/>
                <w:color w:val="FFFFFF" w:themeColor="background1"/>
              </w:rPr>
              <w:t>(v tis. osôb)</w:t>
            </w:r>
          </w:p>
        </w:tc>
        <w:tc>
          <w:tcPr>
            <w:tcW w:w="1701" w:type="dxa"/>
            <w:shd w:val="clear" w:color="auto" w:fill="BF0000" w:themeFill="accent3" w:themeFillShade="BF"/>
            <w:vAlign w:val="center"/>
          </w:tcPr>
          <w:p w:rsidR="00C46F26" w:rsidRPr="004C5551" w:rsidRDefault="00C46F26" w:rsidP="00C46F26">
            <w:pPr>
              <w:jc w:val="center"/>
              <w:rPr>
                <w:b/>
                <w:color w:val="FFFFFF" w:themeColor="background1"/>
              </w:rPr>
            </w:pPr>
            <w:r w:rsidRPr="004C5551">
              <w:rPr>
                <w:b/>
                <w:color w:val="FFFFFF" w:themeColor="background1"/>
              </w:rPr>
              <w:t>Podiel na SR</w:t>
            </w:r>
          </w:p>
          <w:p w:rsidR="00C46F26" w:rsidRPr="004C5551" w:rsidRDefault="00C46F26" w:rsidP="00C46F26">
            <w:pPr>
              <w:jc w:val="center"/>
              <w:rPr>
                <w:b/>
                <w:color w:val="FFFFFF" w:themeColor="background1"/>
              </w:rPr>
            </w:pPr>
            <w:r w:rsidRPr="004C5551">
              <w:rPr>
                <w:b/>
                <w:color w:val="FFFFFF" w:themeColor="background1"/>
              </w:rPr>
              <w:t>(v</w:t>
            </w:r>
            <w:r w:rsidR="009425AA" w:rsidRPr="004C5551">
              <w:rPr>
                <w:b/>
                <w:color w:val="FFFFFF" w:themeColor="background1"/>
              </w:rPr>
              <w:t> %</w:t>
            </w:r>
            <w:r w:rsidRPr="004C5551">
              <w:rPr>
                <w:b/>
                <w:color w:val="FFFFFF" w:themeColor="background1"/>
              </w:rPr>
              <w:t>)</w:t>
            </w:r>
          </w:p>
        </w:tc>
        <w:tc>
          <w:tcPr>
            <w:tcW w:w="1757" w:type="dxa"/>
            <w:shd w:val="clear" w:color="auto" w:fill="BF0000" w:themeFill="accent3" w:themeFillShade="BF"/>
            <w:vAlign w:val="center"/>
          </w:tcPr>
          <w:p w:rsidR="00C46F26" w:rsidRPr="004C5551" w:rsidRDefault="00C46F26" w:rsidP="00C46F26">
            <w:pPr>
              <w:jc w:val="center"/>
              <w:rPr>
                <w:b/>
                <w:color w:val="FFFFFF" w:themeColor="background1"/>
                <w:vertAlign w:val="superscript"/>
              </w:rPr>
            </w:pPr>
            <w:r w:rsidRPr="004C5551">
              <w:rPr>
                <w:b/>
                <w:color w:val="FFFFFF" w:themeColor="background1"/>
              </w:rPr>
              <w:t>Index</w:t>
            </w:r>
          </w:p>
          <w:p w:rsidR="00C46F26" w:rsidRPr="004C5551" w:rsidRDefault="00C46F26" w:rsidP="00C46F26">
            <w:pPr>
              <w:jc w:val="center"/>
              <w:rPr>
                <w:b/>
                <w:color w:val="FFFFFF" w:themeColor="background1"/>
              </w:rPr>
            </w:pPr>
            <w:r w:rsidRPr="004C5551">
              <w:rPr>
                <w:b/>
                <w:color w:val="FFFFFF" w:themeColor="background1"/>
              </w:rPr>
              <w:t>2014/2013</w:t>
            </w:r>
          </w:p>
        </w:tc>
      </w:tr>
      <w:tr w:rsidR="00C46F26" w:rsidRPr="004C5551" w:rsidTr="00C46F26">
        <w:trPr>
          <w:trHeight w:val="255"/>
          <w:jc w:val="center"/>
        </w:trPr>
        <w:tc>
          <w:tcPr>
            <w:tcW w:w="1695" w:type="dxa"/>
            <w:vAlign w:val="center"/>
          </w:tcPr>
          <w:p w:rsidR="00C46F26" w:rsidRPr="004C5551" w:rsidRDefault="00C46F26" w:rsidP="00C46F26">
            <w:pPr>
              <w:rPr>
                <w:b/>
              </w:rPr>
            </w:pPr>
            <w:r w:rsidRPr="004C5551">
              <w:rPr>
                <w:b/>
              </w:rPr>
              <w:t>SR spolu</w:t>
            </w:r>
          </w:p>
        </w:tc>
        <w:tc>
          <w:tcPr>
            <w:tcW w:w="2098" w:type="dxa"/>
            <w:vAlign w:val="center"/>
          </w:tcPr>
          <w:p w:rsidR="00C46F26" w:rsidRPr="004C5551" w:rsidRDefault="00C46F26" w:rsidP="00C46F26">
            <w:pPr>
              <w:ind w:right="687"/>
              <w:jc w:val="right"/>
              <w:rPr>
                <w:b/>
              </w:rPr>
            </w:pPr>
            <w:r w:rsidRPr="004C5551">
              <w:rPr>
                <w:b/>
              </w:rPr>
              <w:t>2 363,0</w:t>
            </w:r>
          </w:p>
        </w:tc>
        <w:tc>
          <w:tcPr>
            <w:tcW w:w="1701" w:type="dxa"/>
            <w:vAlign w:val="center"/>
          </w:tcPr>
          <w:p w:rsidR="00C46F26" w:rsidRPr="004C5551" w:rsidRDefault="00C46F26" w:rsidP="00C46F26">
            <w:pPr>
              <w:ind w:right="687"/>
              <w:jc w:val="right"/>
              <w:rPr>
                <w:b/>
              </w:rPr>
            </w:pPr>
            <w:r w:rsidRPr="004C5551">
              <w:rPr>
                <w:b/>
              </w:rPr>
              <w:t>100,0</w:t>
            </w:r>
          </w:p>
        </w:tc>
        <w:tc>
          <w:tcPr>
            <w:tcW w:w="1757" w:type="dxa"/>
            <w:vAlign w:val="center"/>
          </w:tcPr>
          <w:p w:rsidR="00C46F26" w:rsidRPr="004C5551" w:rsidRDefault="00C46F26" w:rsidP="00C46F26">
            <w:pPr>
              <w:ind w:right="687"/>
              <w:jc w:val="right"/>
              <w:rPr>
                <w:b/>
              </w:rPr>
            </w:pPr>
            <w:r w:rsidRPr="004C5551">
              <w:rPr>
                <w:b/>
              </w:rPr>
              <w:t>101,4</w:t>
            </w:r>
          </w:p>
        </w:tc>
      </w:tr>
      <w:tr w:rsidR="00C46F26" w:rsidRPr="004C5551" w:rsidTr="00C46F26">
        <w:trPr>
          <w:trHeight w:val="255"/>
          <w:jc w:val="center"/>
        </w:trPr>
        <w:tc>
          <w:tcPr>
            <w:tcW w:w="1695" w:type="dxa"/>
            <w:vAlign w:val="center"/>
          </w:tcPr>
          <w:p w:rsidR="00C46F26" w:rsidRPr="004C5551" w:rsidRDefault="00C46F26" w:rsidP="00C46F26">
            <w:r w:rsidRPr="004C5551">
              <w:t>v tom:</w:t>
            </w:r>
          </w:p>
        </w:tc>
        <w:tc>
          <w:tcPr>
            <w:tcW w:w="2098" w:type="dxa"/>
            <w:vAlign w:val="center"/>
          </w:tcPr>
          <w:p w:rsidR="00C46F26" w:rsidRPr="004C5551" w:rsidRDefault="00C46F26" w:rsidP="00C46F26">
            <w:pPr>
              <w:ind w:right="687"/>
              <w:jc w:val="right"/>
            </w:pPr>
          </w:p>
        </w:tc>
        <w:tc>
          <w:tcPr>
            <w:tcW w:w="1701" w:type="dxa"/>
            <w:vAlign w:val="center"/>
          </w:tcPr>
          <w:p w:rsidR="00C46F26" w:rsidRPr="004C5551" w:rsidRDefault="00C46F26" w:rsidP="00C46F26">
            <w:pPr>
              <w:ind w:right="687"/>
              <w:jc w:val="right"/>
            </w:pPr>
          </w:p>
        </w:tc>
        <w:tc>
          <w:tcPr>
            <w:tcW w:w="1757" w:type="dxa"/>
            <w:vAlign w:val="center"/>
          </w:tcPr>
          <w:p w:rsidR="00C46F26" w:rsidRPr="004C5551" w:rsidRDefault="00C46F26" w:rsidP="00C46F26">
            <w:pPr>
              <w:ind w:right="687"/>
              <w:jc w:val="right"/>
            </w:pPr>
          </w:p>
        </w:tc>
      </w:tr>
      <w:tr w:rsidR="00C46F26" w:rsidRPr="004C5551" w:rsidTr="00C46F26">
        <w:trPr>
          <w:trHeight w:val="255"/>
          <w:jc w:val="center"/>
        </w:trPr>
        <w:tc>
          <w:tcPr>
            <w:tcW w:w="1695" w:type="dxa"/>
            <w:vAlign w:val="center"/>
          </w:tcPr>
          <w:p w:rsidR="00C46F26" w:rsidRPr="004C5551" w:rsidRDefault="00C46F26" w:rsidP="00C46F26">
            <w:r w:rsidRPr="004C5551">
              <w:t>Bratislavský</w:t>
            </w:r>
          </w:p>
        </w:tc>
        <w:tc>
          <w:tcPr>
            <w:tcW w:w="2098" w:type="dxa"/>
            <w:vAlign w:val="center"/>
          </w:tcPr>
          <w:p w:rsidR="00C46F26" w:rsidRPr="004C5551" w:rsidRDefault="00C46F26" w:rsidP="00C46F26">
            <w:pPr>
              <w:ind w:right="687"/>
              <w:jc w:val="right"/>
            </w:pPr>
            <w:r w:rsidRPr="004C5551">
              <w:t>315,6</w:t>
            </w:r>
          </w:p>
        </w:tc>
        <w:tc>
          <w:tcPr>
            <w:tcW w:w="1701" w:type="dxa"/>
            <w:vAlign w:val="center"/>
          </w:tcPr>
          <w:p w:rsidR="00C46F26" w:rsidRPr="004C5551" w:rsidRDefault="00C46F26" w:rsidP="00C46F26">
            <w:pPr>
              <w:ind w:right="687"/>
              <w:jc w:val="right"/>
            </w:pPr>
            <w:r w:rsidRPr="004C5551">
              <w:t>13,4</w:t>
            </w:r>
          </w:p>
        </w:tc>
        <w:tc>
          <w:tcPr>
            <w:tcW w:w="1757" w:type="dxa"/>
            <w:vAlign w:val="center"/>
          </w:tcPr>
          <w:p w:rsidR="00C46F26" w:rsidRPr="004C5551" w:rsidRDefault="00C46F26" w:rsidP="00C46F26">
            <w:pPr>
              <w:ind w:right="687"/>
              <w:jc w:val="right"/>
            </w:pPr>
            <w:r w:rsidRPr="004C5551">
              <w:t>100,1</w:t>
            </w:r>
          </w:p>
        </w:tc>
      </w:tr>
      <w:tr w:rsidR="00C46F26" w:rsidRPr="004C5551" w:rsidTr="00C46F26">
        <w:trPr>
          <w:trHeight w:val="255"/>
          <w:jc w:val="center"/>
        </w:trPr>
        <w:tc>
          <w:tcPr>
            <w:tcW w:w="1695" w:type="dxa"/>
            <w:vAlign w:val="center"/>
          </w:tcPr>
          <w:p w:rsidR="00C46F26" w:rsidRPr="004C5551" w:rsidRDefault="00C46F26" w:rsidP="00C46F26">
            <w:r w:rsidRPr="004C5551">
              <w:t>Trnavský</w:t>
            </w:r>
          </w:p>
        </w:tc>
        <w:tc>
          <w:tcPr>
            <w:tcW w:w="2098" w:type="dxa"/>
            <w:vAlign w:val="center"/>
          </w:tcPr>
          <w:p w:rsidR="00C46F26" w:rsidRPr="004C5551" w:rsidRDefault="00C46F26" w:rsidP="00C46F26">
            <w:pPr>
              <w:ind w:right="687"/>
              <w:jc w:val="right"/>
            </w:pPr>
            <w:r w:rsidRPr="004C5551">
              <w:t>261,6</w:t>
            </w:r>
          </w:p>
        </w:tc>
        <w:tc>
          <w:tcPr>
            <w:tcW w:w="1701" w:type="dxa"/>
            <w:vAlign w:val="center"/>
          </w:tcPr>
          <w:p w:rsidR="00C46F26" w:rsidRPr="004C5551" w:rsidRDefault="00C46F26" w:rsidP="00C46F26">
            <w:pPr>
              <w:ind w:right="687"/>
              <w:jc w:val="right"/>
            </w:pPr>
            <w:r w:rsidRPr="004C5551">
              <w:t>11,1</w:t>
            </w:r>
          </w:p>
        </w:tc>
        <w:tc>
          <w:tcPr>
            <w:tcW w:w="1757" w:type="dxa"/>
            <w:vAlign w:val="center"/>
          </w:tcPr>
          <w:p w:rsidR="00C46F26" w:rsidRPr="004C5551" w:rsidRDefault="00C46F26" w:rsidP="00C46F26">
            <w:pPr>
              <w:ind w:right="687"/>
              <w:jc w:val="right"/>
            </w:pPr>
            <w:r w:rsidRPr="004C5551">
              <w:t>99,9</w:t>
            </w:r>
          </w:p>
        </w:tc>
      </w:tr>
      <w:tr w:rsidR="00C46F26" w:rsidRPr="004C5551" w:rsidTr="00C46F26">
        <w:trPr>
          <w:trHeight w:val="255"/>
          <w:jc w:val="center"/>
        </w:trPr>
        <w:tc>
          <w:tcPr>
            <w:tcW w:w="1695" w:type="dxa"/>
            <w:vAlign w:val="center"/>
          </w:tcPr>
          <w:p w:rsidR="00C46F26" w:rsidRPr="004C5551" w:rsidRDefault="00C46F26" w:rsidP="00C46F26">
            <w:r w:rsidRPr="004C5551">
              <w:t>Trenčiansky</w:t>
            </w:r>
          </w:p>
        </w:tc>
        <w:tc>
          <w:tcPr>
            <w:tcW w:w="2098" w:type="dxa"/>
            <w:vAlign w:val="center"/>
          </w:tcPr>
          <w:p w:rsidR="00C46F26" w:rsidRPr="004C5551" w:rsidRDefault="00C46F26" w:rsidP="00C46F26">
            <w:pPr>
              <w:ind w:right="687"/>
              <w:jc w:val="right"/>
            </w:pPr>
            <w:r w:rsidRPr="004C5551">
              <w:t>270,2</w:t>
            </w:r>
          </w:p>
        </w:tc>
        <w:tc>
          <w:tcPr>
            <w:tcW w:w="1701" w:type="dxa"/>
            <w:vAlign w:val="center"/>
          </w:tcPr>
          <w:p w:rsidR="00C46F26" w:rsidRPr="004C5551" w:rsidRDefault="00C46F26" w:rsidP="00C46F26">
            <w:pPr>
              <w:ind w:right="687"/>
              <w:jc w:val="right"/>
            </w:pPr>
            <w:r w:rsidRPr="004C5551">
              <w:t>11,4</w:t>
            </w:r>
          </w:p>
        </w:tc>
        <w:tc>
          <w:tcPr>
            <w:tcW w:w="1757" w:type="dxa"/>
            <w:vAlign w:val="center"/>
          </w:tcPr>
          <w:p w:rsidR="00C46F26" w:rsidRPr="004C5551" w:rsidRDefault="00C46F26" w:rsidP="00C46F26">
            <w:pPr>
              <w:ind w:right="687"/>
              <w:jc w:val="right"/>
            </w:pPr>
            <w:r w:rsidRPr="004C5551">
              <w:t>102,6</w:t>
            </w:r>
          </w:p>
        </w:tc>
      </w:tr>
      <w:tr w:rsidR="00C46F26" w:rsidRPr="004C5551" w:rsidTr="00C46F26">
        <w:trPr>
          <w:trHeight w:val="255"/>
          <w:jc w:val="center"/>
        </w:trPr>
        <w:tc>
          <w:tcPr>
            <w:tcW w:w="1695" w:type="dxa"/>
            <w:vAlign w:val="center"/>
          </w:tcPr>
          <w:p w:rsidR="00C46F26" w:rsidRPr="004C5551" w:rsidRDefault="00C46F26" w:rsidP="00C46F26">
            <w:r w:rsidRPr="004C5551">
              <w:t>Nitriansky</w:t>
            </w:r>
          </w:p>
        </w:tc>
        <w:tc>
          <w:tcPr>
            <w:tcW w:w="2098" w:type="dxa"/>
            <w:vAlign w:val="center"/>
          </w:tcPr>
          <w:p w:rsidR="00C46F26" w:rsidRPr="004C5551" w:rsidRDefault="00C46F26" w:rsidP="00C46F26">
            <w:pPr>
              <w:ind w:right="687"/>
              <w:jc w:val="right"/>
            </w:pPr>
            <w:r w:rsidRPr="004C5551">
              <w:t>306,3</w:t>
            </w:r>
          </w:p>
        </w:tc>
        <w:tc>
          <w:tcPr>
            <w:tcW w:w="1701" w:type="dxa"/>
            <w:vAlign w:val="center"/>
          </w:tcPr>
          <w:p w:rsidR="00C46F26" w:rsidRPr="004C5551" w:rsidRDefault="00C46F26" w:rsidP="00C46F26">
            <w:pPr>
              <w:ind w:right="687"/>
              <w:jc w:val="right"/>
            </w:pPr>
            <w:r w:rsidRPr="004C5551">
              <w:t>13,0</w:t>
            </w:r>
          </w:p>
        </w:tc>
        <w:tc>
          <w:tcPr>
            <w:tcW w:w="1757" w:type="dxa"/>
            <w:vAlign w:val="center"/>
          </w:tcPr>
          <w:p w:rsidR="00C46F26" w:rsidRPr="004C5551" w:rsidRDefault="00C46F26" w:rsidP="00C46F26">
            <w:pPr>
              <w:ind w:right="687"/>
              <w:jc w:val="right"/>
            </w:pPr>
            <w:r w:rsidRPr="004C5551">
              <w:t>102,2</w:t>
            </w:r>
          </w:p>
        </w:tc>
      </w:tr>
      <w:tr w:rsidR="00C46F26" w:rsidRPr="004C5551" w:rsidTr="00C46F26">
        <w:trPr>
          <w:trHeight w:val="255"/>
          <w:jc w:val="center"/>
        </w:trPr>
        <w:tc>
          <w:tcPr>
            <w:tcW w:w="1695" w:type="dxa"/>
            <w:vAlign w:val="center"/>
          </w:tcPr>
          <w:p w:rsidR="00C46F26" w:rsidRPr="004C5551" w:rsidRDefault="00C46F26" w:rsidP="00C46F26">
            <w:r w:rsidRPr="004C5551">
              <w:t>Žilinský</w:t>
            </w:r>
          </w:p>
        </w:tc>
        <w:tc>
          <w:tcPr>
            <w:tcW w:w="2098" w:type="dxa"/>
            <w:vAlign w:val="center"/>
          </w:tcPr>
          <w:p w:rsidR="00C46F26" w:rsidRPr="004C5551" w:rsidRDefault="00C46F26" w:rsidP="00C46F26">
            <w:pPr>
              <w:ind w:right="687"/>
              <w:jc w:val="right"/>
            </w:pPr>
            <w:r w:rsidRPr="004C5551">
              <w:t>292,3</w:t>
            </w:r>
          </w:p>
        </w:tc>
        <w:tc>
          <w:tcPr>
            <w:tcW w:w="1701" w:type="dxa"/>
            <w:vAlign w:val="center"/>
          </w:tcPr>
          <w:p w:rsidR="00C46F26" w:rsidRPr="004C5551" w:rsidRDefault="00C46F26" w:rsidP="00C46F26">
            <w:pPr>
              <w:ind w:right="687"/>
              <w:jc w:val="right"/>
            </w:pPr>
            <w:r w:rsidRPr="004C5551">
              <w:t>12,4</w:t>
            </w:r>
          </w:p>
        </w:tc>
        <w:tc>
          <w:tcPr>
            <w:tcW w:w="1757" w:type="dxa"/>
            <w:vAlign w:val="center"/>
          </w:tcPr>
          <w:p w:rsidR="00C46F26" w:rsidRPr="004C5551" w:rsidRDefault="00C46F26" w:rsidP="00C46F26">
            <w:pPr>
              <w:ind w:right="687"/>
              <w:jc w:val="right"/>
            </w:pPr>
            <w:r w:rsidRPr="004C5551">
              <w:t>100,9</w:t>
            </w:r>
          </w:p>
        </w:tc>
      </w:tr>
      <w:tr w:rsidR="00C46F26" w:rsidRPr="004C5551" w:rsidTr="00C46F26">
        <w:trPr>
          <w:trHeight w:val="255"/>
          <w:jc w:val="center"/>
        </w:trPr>
        <w:tc>
          <w:tcPr>
            <w:tcW w:w="1695" w:type="dxa"/>
            <w:vAlign w:val="center"/>
          </w:tcPr>
          <w:p w:rsidR="00C46F26" w:rsidRPr="004C5551" w:rsidRDefault="00C46F26" w:rsidP="00C46F26">
            <w:r w:rsidRPr="004C5551">
              <w:t>Banskobystrický</w:t>
            </w:r>
          </w:p>
        </w:tc>
        <w:tc>
          <w:tcPr>
            <w:tcW w:w="2098" w:type="dxa"/>
            <w:vAlign w:val="center"/>
          </w:tcPr>
          <w:p w:rsidR="00C46F26" w:rsidRPr="004C5551" w:rsidRDefault="00C46F26" w:rsidP="00C46F26">
            <w:pPr>
              <w:ind w:right="687"/>
              <w:jc w:val="right"/>
            </w:pPr>
            <w:r w:rsidRPr="004C5551">
              <w:t>275,8</w:t>
            </w:r>
          </w:p>
        </w:tc>
        <w:tc>
          <w:tcPr>
            <w:tcW w:w="1701" w:type="dxa"/>
            <w:vAlign w:val="center"/>
          </w:tcPr>
          <w:p w:rsidR="00C46F26" w:rsidRPr="004C5551" w:rsidRDefault="00C46F26" w:rsidP="00C46F26">
            <w:pPr>
              <w:ind w:right="687"/>
              <w:jc w:val="right"/>
            </w:pPr>
            <w:r w:rsidRPr="004C5551">
              <w:t>11,7</w:t>
            </w:r>
          </w:p>
        </w:tc>
        <w:tc>
          <w:tcPr>
            <w:tcW w:w="1757" w:type="dxa"/>
            <w:vAlign w:val="center"/>
          </w:tcPr>
          <w:p w:rsidR="00C46F26" w:rsidRPr="004C5551" w:rsidRDefault="00C46F26" w:rsidP="00C46F26">
            <w:pPr>
              <w:ind w:right="687"/>
              <w:jc w:val="right"/>
            </w:pPr>
            <w:r w:rsidRPr="004C5551">
              <w:t>100,6</w:t>
            </w:r>
          </w:p>
        </w:tc>
      </w:tr>
      <w:tr w:rsidR="00C46F26" w:rsidRPr="004C5551" w:rsidTr="00C46F26">
        <w:trPr>
          <w:trHeight w:val="255"/>
          <w:jc w:val="center"/>
        </w:trPr>
        <w:tc>
          <w:tcPr>
            <w:tcW w:w="1695" w:type="dxa"/>
            <w:vAlign w:val="center"/>
          </w:tcPr>
          <w:p w:rsidR="00C46F26" w:rsidRPr="004C5551" w:rsidRDefault="00C46F26" w:rsidP="00C46F26">
            <w:r w:rsidRPr="004C5551">
              <w:t>Prešovský</w:t>
            </w:r>
          </w:p>
        </w:tc>
        <w:tc>
          <w:tcPr>
            <w:tcW w:w="2098" w:type="dxa"/>
            <w:vAlign w:val="center"/>
          </w:tcPr>
          <w:p w:rsidR="00C46F26" w:rsidRPr="004C5551" w:rsidRDefault="00C46F26" w:rsidP="00C46F26">
            <w:pPr>
              <w:ind w:right="687"/>
              <w:jc w:val="right"/>
            </w:pPr>
            <w:r w:rsidRPr="004C5551">
              <w:t>325,7</w:t>
            </w:r>
          </w:p>
        </w:tc>
        <w:tc>
          <w:tcPr>
            <w:tcW w:w="1701" w:type="dxa"/>
            <w:vAlign w:val="center"/>
          </w:tcPr>
          <w:p w:rsidR="00C46F26" w:rsidRPr="004C5551" w:rsidRDefault="00C46F26" w:rsidP="00C46F26">
            <w:pPr>
              <w:ind w:right="687"/>
              <w:jc w:val="right"/>
            </w:pPr>
            <w:r w:rsidRPr="004C5551">
              <w:t>13,8</w:t>
            </w:r>
          </w:p>
        </w:tc>
        <w:tc>
          <w:tcPr>
            <w:tcW w:w="1757" w:type="dxa"/>
            <w:vAlign w:val="center"/>
          </w:tcPr>
          <w:p w:rsidR="00C46F26" w:rsidRPr="004C5551" w:rsidRDefault="00C46F26" w:rsidP="00C46F26">
            <w:pPr>
              <w:ind w:right="687"/>
              <w:jc w:val="right"/>
            </w:pPr>
            <w:r w:rsidRPr="004C5551">
              <w:t>101,7</w:t>
            </w:r>
          </w:p>
        </w:tc>
      </w:tr>
      <w:tr w:rsidR="00C46F26" w:rsidRPr="004C5551" w:rsidTr="00C46F26">
        <w:trPr>
          <w:trHeight w:val="255"/>
          <w:jc w:val="center"/>
        </w:trPr>
        <w:tc>
          <w:tcPr>
            <w:tcW w:w="1695" w:type="dxa"/>
            <w:vAlign w:val="center"/>
          </w:tcPr>
          <w:p w:rsidR="00C46F26" w:rsidRPr="004C5551" w:rsidRDefault="00C46F26" w:rsidP="00C46F26">
            <w:r w:rsidRPr="004C5551">
              <w:t>Košický</w:t>
            </w:r>
          </w:p>
        </w:tc>
        <w:tc>
          <w:tcPr>
            <w:tcW w:w="2098" w:type="dxa"/>
            <w:vAlign w:val="center"/>
          </w:tcPr>
          <w:p w:rsidR="00C46F26" w:rsidRPr="004C5551" w:rsidRDefault="00C46F26" w:rsidP="00C46F26">
            <w:pPr>
              <w:ind w:right="687"/>
              <w:jc w:val="right"/>
            </w:pPr>
            <w:r w:rsidRPr="004C5551">
              <w:t>315,7</w:t>
            </w:r>
          </w:p>
        </w:tc>
        <w:tc>
          <w:tcPr>
            <w:tcW w:w="1701" w:type="dxa"/>
            <w:vAlign w:val="center"/>
          </w:tcPr>
          <w:p w:rsidR="00C46F26" w:rsidRPr="004C5551" w:rsidRDefault="00C46F26" w:rsidP="00C46F26">
            <w:pPr>
              <w:ind w:right="687"/>
              <w:jc w:val="right"/>
            </w:pPr>
            <w:r w:rsidRPr="004C5551">
              <w:t>13,4</w:t>
            </w:r>
          </w:p>
        </w:tc>
        <w:tc>
          <w:tcPr>
            <w:tcW w:w="1757" w:type="dxa"/>
            <w:vAlign w:val="center"/>
          </w:tcPr>
          <w:p w:rsidR="00C46F26" w:rsidRPr="004C5551" w:rsidRDefault="00C46F26" w:rsidP="00C46F26">
            <w:pPr>
              <w:ind w:right="687"/>
              <w:jc w:val="right"/>
            </w:pPr>
            <w:r w:rsidRPr="004C5551">
              <w:t>103,5</w:t>
            </w:r>
          </w:p>
        </w:tc>
      </w:tr>
    </w:tbl>
    <w:p w:rsidR="00C46F26" w:rsidRPr="004C5551" w:rsidRDefault="00C46F26" w:rsidP="00357F70">
      <w:pPr>
        <w:pStyle w:val="zdroj"/>
      </w:pPr>
      <w:r w:rsidRPr="004C5551">
        <w:t>Zdroj: ŠÚ SR, VZPS</w:t>
      </w:r>
    </w:p>
    <w:p w:rsidR="00C46F26" w:rsidRPr="004C5551" w:rsidRDefault="00C46F26" w:rsidP="00D6574F">
      <w:pPr>
        <w:pStyle w:val="Normlnysozarkami2"/>
        <w:ind w:firstLine="431"/>
      </w:pPr>
      <w:r w:rsidRPr="004C5551">
        <w:t xml:space="preserve">Z celkového počtu pracujúcich SR v roku 2014 </w:t>
      </w:r>
      <w:r w:rsidRPr="004C5551">
        <w:rPr>
          <w:b/>
        </w:rPr>
        <w:t>pracovalo v zahraničí</w:t>
      </w:r>
      <w:r w:rsidRPr="004C5551">
        <w:rPr>
          <w:rStyle w:val="Odkaznapoznmkupodiarou"/>
        </w:rPr>
        <w:footnoteReference w:id="13"/>
      </w:r>
      <w:r w:rsidRPr="004C5551">
        <w:t xml:space="preserve"> 134,0 tis. osôb. Počet krátkodobo pracujúcich v zahraničí sa medziročne znížil o 2,4 tis., resp. o 1,8</w:t>
      </w:r>
      <w:r w:rsidR="009425AA" w:rsidRPr="004C5551">
        <w:t> %</w:t>
      </w:r>
      <w:r w:rsidRPr="004C5551">
        <w:t xml:space="preserve"> a ich podiel na</w:t>
      </w:r>
      <w:r w:rsidR="00357F70" w:rsidRPr="004C5551">
        <w:t> </w:t>
      </w:r>
      <w:r w:rsidRPr="004C5551">
        <w:t xml:space="preserve">celkovej zamestnanosti SR sa </w:t>
      </w:r>
      <w:r w:rsidR="00614AF9" w:rsidRPr="004C5551">
        <w:t>znížil</w:t>
      </w:r>
      <w:r w:rsidRPr="004C5551">
        <w:t xml:space="preserve"> o 0,2 p. b. na 5,7</w:t>
      </w:r>
      <w:r w:rsidR="009425AA" w:rsidRPr="004C5551">
        <w:t> %</w:t>
      </w:r>
      <w:r w:rsidRPr="004C5551">
        <w:t>. Najviac osôb, ktoré si našli prácu v</w:t>
      </w:r>
      <w:r w:rsidR="00357F70" w:rsidRPr="004C5551">
        <w:t> </w:t>
      </w:r>
      <w:r w:rsidRPr="004C5551">
        <w:t>zahraničí, bolo z Prešovského kraja. Z európskych krajín pracovali slovenskí občania najmä v</w:t>
      </w:r>
      <w:r w:rsidR="00357F70" w:rsidRPr="004C5551">
        <w:t> </w:t>
      </w:r>
      <w:r w:rsidRPr="004C5551">
        <w:t>Českej republike a v Rakúsku. Medzi migrantmi prevládali pracujúci v stavebníctve (30,3</w:t>
      </w:r>
      <w:r w:rsidR="009425AA" w:rsidRPr="004C5551">
        <w:t> %</w:t>
      </w:r>
      <w:r w:rsidRPr="004C5551">
        <w:t>), v priemyselných odvetviach (21,5</w:t>
      </w:r>
      <w:r w:rsidR="009425AA" w:rsidRPr="004C5551">
        <w:t> %</w:t>
      </w:r>
      <w:r w:rsidRPr="004C5551">
        <w:t>) a v zdravotníctve a sociálnych službách (18,4</w:t>
      </w:r>
      <w:r w:rsidR="009425AA" w:rsidRPr="004C5551">
        <w:t> %</w:t>
      </w:r>
      <w:r w:rsidRPr="004C5551">
        <w:t xml:space="preserve">). </w:t>
      </w:r>
    </w:p>
    <w:p w:rsidR="00357F70" w:rsidRPr="004C5551" w:rsidRDefault="00357F70">
      <w:pPr>
        <w:jc w:val="left"/>
        <w:rPr>
          <w:b/>
        </w:rPr>
      </w:pPr>
      <w:r w:rsidRPr="004C5551">
        <w:br w:type="page"/>
      </w:r>
    </w:p>
    <w:p w:rsidR="00C46F26" w:rsidRPr="004C5551" w:rsidRDefault="00C46F26" w:rsidP="00357F70">
      <w:pPr>
        <w:pStyle w:val="Nadpis7"/>
      </w:pPr>
      <w:r w:rsidRPr="004C5551">
        <w:t>Tabuľka 2.6 Vývoj zahraničnej pracovnej migrácie podľa krajov v roku 2014</w:t>
      </w:r>
    </w:p>
    <w:tbl>
      <w:tblPr>
        <w:tblW w:w="853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A0" w:firstRow="1" w:lastRow="0" w:firstColumn="1" w:lastColumn="0" w:noHBand="0" w:noVBand="0"/>
      </w:tblPr>
      <w:tblGrid>
        <w:gridCol w:w="1814"/>
        <w:gridCol w:w="1612"/>
        <w:gridCol w:w="1389"/>
        <w:gridCol w:w="1191"/>
        <w:gridCol w:w="2527"/>
      </w:tblGrid>
      <w:tr w:rsidR="00C46F26" w:rsidRPr="004C5551" w:rsidTr="00357F70">
        <w:trPr>
          <w:trHeight w:val="454"/>
          <w:jc w:val="center"/>
        </w:trPr>
        <w:tc>
          <w:tcPr>
            <w:tcW w:w="1814" w:type="dxa"/>
            <w:vMerge w:val="restart"/>
            <w:shd w:val="clear" w:color="auto" w:fill="BF0000" w:themeFill="accent3" w:themeFillShade="BF"/>
            <w:noWrap/>
            <w:vAlign w:val="center"/>
          </w:tcPr>
          <w:p w:rsidR="00C46F26" w:rsidRPr="004C5551" w:rsidRDefault="00C46F26" w:rsidP="00C46F26">
            <w:pPr>
              <w:jc w:val="center"/>
              <w:rPr>
                <w:b/>
                <w:bCs/>
                <w:color w:val="FFFFFF" w:themeColor="background1"/>
                <w:szCs w:val="20"/>
              </w:rPr>
            </w:pPr>
            <w:r w:rsidRPr="004C5551">
              <w:rPr>
                <w:b/>
                <w:bCs/>
                <w:color w:val="FFFFFF" w:themeColor="background1"/>
                <w:szCs w:val="20"/>
              </w:rPr>
              <w:t>Kraj</w:t>
            </w:r>
          </w:p>
        </w:tc>
        <w:tc>
          <w:tcPr>
            <w:tcW w:w="1612" w:type="dxa"/>
            <w:vMerge w:val="restart"/>
            <w:shd w:val="clear" w:color="auto" w:fill="BF0000" w:themeFill="accent3" w:themeFillShade="BF"/>
            <w:vAlign w:val="center"/>
          </w:tcPr>
          <w:p w:rsidR="00C46F26" w:rsidRPr="004C5551" w:rsidRDefault="00C46F26" w:rsidP="00C46F26">
            <w:pPr>
              <w:jc w:val="center"/>
              <w:rPr>
                <w:b/>
                <w:bCs/>
                <w:color w:val="FFFFFF" w:themeColor="background1"/>
                <w:szCs w:val="20"/>
              </w:rPr>
            </w:pPr>
            <w:r w:rsidRPr="004C5551">
              <w:rPr>
                <w:b/>
                <w:bCs/>
                <w:color w:val="FFFFFF" w:themeColor="background1"/>
                <w:szCs w:val="20"/>
              </w:rPr>
              <w:t>Pracujúci v zahraničí</w:t>
            </w:r>
          </w:p>
          <w:p w:rsidR="00C46F26" w:rsidRPr="004C5551" w:rsidRDefault="00C46F26" w:rsidP="00C46F26">
            <w:pPr>
              <w:jc w:val="center"/>
              <w:rPr>
                <w:b/>
                <w:bCs/>
                <w:color w:val="FFFFFF" w:themeColor="background1"/>
                <w:szCs w:val="20"/>
              </w:rPr>
            </w:pPr>
            <w:r w:rsidRPr="004C5551">
              <w:rPr>
                <w:b/>
                <w:bCs/>
                <w:color w:val="FFFFFF" w:themeColor="background1"/>
                <w:szCs w:val="20"/>
              </w:rPr>
              <w:t>(v tis. osôb)</w:t>
            </w:r>
          </w:p>
        </w:tc>
        <w:tc>
          <w:tcPr>
            <w:tcW w:w="1389" w:type="dxa"/>
            <w:vMerge w:val="restart"/>
            <w:shd w:val="clear" w:color="auto" w:fill="BF0000" w:themeFill="accent3" w:themeFillShade="BF"/>
            <w:vAlign w:val="center"/>
          </w:tcPr>
          <w:p w:rsidR="00C46F26" w:rsidRPr="004C5551" w:rsidRDefault="00C46F26" w:rsidP="00C46F26">
            <w:pPr>
              <w:jc w:val="center"/>
              <w:rPr>
                <w:b/>
                <w:bCs/>
                <w:color w:val="FFFFFF" w:themeColor="background1"/>
                <w:szCs w:val="20"/>
                <w:vertAlign w:val="superscript"/>
              </w:rPr>
            </w:pPr>
            <w:r w:rsidRPr="004C5551">
              <w:rPr>
                <w:b/>
                <w:bCs/>
                <w:color w:val="FFFFFF" w:themeColor="background1"/>
                <w:szCs w:val="20"/>
              </w:rPr>
              <w:t>index 2014/2013</w:t>
            </w:r>
          </w:p>
        </w:tc>
        <w:tc>
          <w:tcPr>
            <w:tcW w:w="1191" w:type="dxa"/>
            <w:vMerge w:val="restart"/>
            <w:shd w:val="clear" w:color="auto" w:fill="BF0000" w:themeFill="accent3" w:themeFillShade="BF"/>
            <w:vAlign w:val="center"/>
          </w:tcPr>
          <w:p w:rsidR="00C46F26" w:rsidRPr="004C5551" w:rsidRDefault="00C46F26" w:rsidP="00C46F26">
            <w:pPr>
              <w:jc w:val="center"/>
              <w:rPr>
                <w:b/>
                <w:bCs/>
                <w:color w:val="FFFFFF" w:themeColor="background1"/>
                <w:szCs w:val="20"/>
              </w:rPr>
            </w:pPr>
            <w:r w:rsidRPr="004C5551">
              <w:rPr>
                <w:b/>
                <w:bCs/>
                <w:color w:val="FFFFFF" w:themeColor="background1"/>
                <w:szCs w:val="20"/>
              </w:rPr>
              <w:t>Podiel na SR</w:t>
            </w:r>
          </w:p>
          <w:p w:rsidR="00C46F26" w:rsidRPr="004C5551" w:rsidRDefault="00C46F26" w:rsidP="00C46F26">
            <w:pPr>
              <w:jc w:val="center"/>
              <w:rPr>
                <w:b/>
                <w:bCs/>
                <w:color w:val="FFFFFF" w:themeColor="background1"/>
                <w:szCs w:val="20"/>
              </w:rPr>
            </w:pPr>
            <w:r w:rsidRPr="004C5551">
              <w:rPr>
                <w:b/>
                <w:bCs/>
                <w:color w:val="FFFFFF" w:themeColor="background1"/>
                <w:szCs w:val="20"/>
              </w:rPr>
              <w:t>(v</w:t>
            </w:r>
            <w:r w:rsidR="009425AA" w:rsidRPr="004C5551">
              <w:rPr>
                <w:b/>
                <w:bCs/>
                <w:color w:val="FFFFFF" w:themeColor="background1"/>
                <w:szCs w:val="20"/>
              </w:rPr>
              <w:t> %</w:t>
            </w:r>
            <w:r w:rsidRPr="004C5551">
              <w:rPr>
                <w:b/>
                <w:bCs/>
                <w:color w:val="FFFFFF" w:themeColor="background1"/>
                <w:szCs w:val="20"/>
              </w:rPr>
              <w:t>)</w:t>
            </w:r>
          </w:p>
        </w:tc>
        <w:tc>
          <w:tcPr>
            <w:tcW w:w="2527" w:type="dxa"/>
            <w:vMerge w:val="restart"/>
            <w:shd w:val="clear" w:color="auto" w:fill="BF0000" w:themeFill="accent3" w:themeFillShade="BF"/>
            <w:vAlign w:val="center"/>
          </w:tcPr>
          <w:p w:rsidR="00C46F26" w:rsidRPr="004C5551" w:rsidRDefault="00C46F26" w:rsidP="00357F70">
            <w:pPr>
              <w:jc w:val="center"/>
              <w:rPr>
                <w:b/>
                <w:bCs/>
                <w:color w:val="FFFFFF" w:themeColor="background1"/>
                <w:szCs w:val="20"/>
              </w:rPr>
            </w:pPr>
            <w:r w:rsidRPr="004C5551">
              <w:rPr>
                <w:b/>
                <w:bCs/>
                <w:color w:val="FFFFFF" w:themeColor="background1"/>
                <w:szCs w:val="20"/>
              </w:rPr>
              <w:t>Podiel pracujúcich v zahraničí na celkovej zamestnanosti SR, resp. kraja</w:t>
            </w:r>
            <w:r w:rsidR="00357F70" w:rsidRPr="004C5551">
              <w:rPr>
                <w:b/>
                <w:bCs/>
                <w:color w:val="FFFFFF" w:themeColor="background1"/>
                <w:szCs w:val="20"/>
              </w:rPr>
              <w:t xml:space="preserve"> </w:t>
            </w:r>
            <w:r w:rsidRPr="004C5551">
              <w:rPr>
                <w:b/>
                <w:bCs/>
                <w:color w:val="FFFFFF" w:themeColor="background1"/>
                <w:szCs w:val="20"/>
              </w:rPr>
              <w:t>(v</w:t>
            </w:r>
            <w:r w:rsidR="009425AA" w:rsidRPr="004C5551">
              <w:rPr>
                <w:b/>
                <w:bCs/>
                <w:color w:val="FFFFFF" w:themeColor="background1"/>
                <w:szCs w:val="20"/>
              </w:rPr>
              <w:t> %</w:t>
            </w:r>
            <w:r w:rsidRPr="004C5551">
              <w:rPr>
                <w:b/>
                <w:bCs/>
                <w:color w:val="FFFFFF" w:themeColor="background1"/>
                <w:szCs w:val="20"/>
              </w:rPr>
              <w:t>)</w:t>
            </w:r>
          </w:p>
        </w:tc>
      </w:tr>
      <w:tr w:rsidR="00C46F26" w:rsidRPr="004C5551" w:rsidTr="00357F70">
        <w:trPr>
          <w:trHeight w:val="825"/>
          <w:jc w:val="center"/>
        </w:trPr>
        <w:tc>
          <w:tcPr>
            <w:tcW w:w="1814" w:type="dxa"/>
            <w:vMerge/>
            <w:shd w:val="clear" w:color="auto" w:fill="BF0000" w:themeFill="accent3" w:themeFillShade="BF"/>
            <w:vAlign w:val="center"/>
          </w:tcPr>
          <w:p w:rsidR="00C46F26" w:rsidRPr="004C5551" w:rsidRDefault="00C46F26" w:rsidP="00C46F26">
            <w:pPr>
              <w:jc w:val="left"/>
              <w:rPr>
                <w:b/>
                <w:bCs/>
                <w:color w:val="FF0000"/>
                <w:szCs w:val="20"/>
              </w:rPr>
            </w:pPr>
          </w:p>
        </w:tc>
        <w:tc>
          <w:tcPr>
            <w:tcW w:w="1612" w:type="dxa"/>
            <w:vMerge/>
            <w:shd w:val="clear" w:color="auto" w:fill="BF0000" w:themeFill="accent3" w:themeFillShade="BF"/>
            <w:vAlign w:val="center"/>
          </w:tcPr>
          <w:p w:rsidR="00C46F26" w:rsidRPr="004C5551" w:rsidRDefault="00C46F26" w:rsidP="00C46F26">
            <w:pPr>
              <w:jc w:val="left"/>
              <w:rPr>
                <w:b/>
                <w:bCs/>
                <w:color w:val="FF0000"/>
                <w:szCs w:val="20"/>
              </w:rPr>
            </w:pPr>
          </w:p>
        </w:tc>
        <w:tc>
          <w:tcPr>
            <w:tcW w:w="1389" w:type="dxa"/>
            <w:vMerge/>
            <w:shd w:val="clear" w:color="auto" w:fill="BF0000" w:themeFill="accent3" w:themeFillShade="BF"/>
            <w:vAlign w:val="center"/>
          </w:tcPr>
          <w:p w:rsidR="00C46F26" w:rsidRPr="004C5551" w:rsidRDefault="00C46F26" w:rsidP="00C46F26">
            <w:pPr>
              <w:jc w:val="left"/>
              <w:rPr>
                <w:b/>
                <w:bCs/>
                <w:color w:val="FF0000"/>
                <w:szCs w:val="20"/>
              </w:rPr>
            </w:pPr>
          </w:p>
        </w:tc>
        <w:tc>
          <w:tcPr>
            <w:tcW w:w="1191" w:type="dxa"/>
            <w:vMerge/>
            <w:shd w:val="clear" w:color="auto" w:fill="BF0000" w:themeFill="accent3" w:themeFillShade="BF"/>
            <w:vAlign w:val="center"/>
          </w:tcPr>
          <w:p w:rsidR="00C46F26" w:rsidRPr="004C5551" w:rsidRDefault="00C46F26" w:rsidP="00C46F26">
            <w:pPr>
              <w:jc w:val="left"/>
              <w:rPr>
                <w:b/>
                <w:bCs/>
                <w:color w:val="FF0000"/>
                <w:szCs w:val="20"/>
              </w:rPr>
            </w:pPr>
          </w:p>
        </w:tc>
        <w:tc>
          <w:tcPr>
            <w:tcW w:w="2527" w:type="dxa"/>
            <w:vMerge/>
            <w:shd w:val="clear" w:color="auto" w:fill="BF0000" w:themeFill="accent3" w:themeFillShade="BF"/>
            <w:vAlign w:val="center"/>
          </w:tcPr>
          <w:p w:rsidR="00C46F26" w:rsidRPr="004C5551" w:rsidRDefault="00C46F26" w:rsidP="00C46F26">
            <w:pPr>
              <w:jc w:val="left"/>
              <w:rPr>
                <w:b/>
                <w:bCs/>
                <w:color w:val="FF0000"/>
                <w:szCs w:val="20"/>
              </w:rPr>
            </w:pPr>
          </w:p>
        </w:tc>
      </w:tr>
      <w:tr w:rsidR="00C46F26" w:rsidRPr="004C5551" w:rsidTr="00357F70">
        <w:trPr>
          <w:trHeight w:val="255"/>
          <w:jc w:val="center"/>
        </w:trPr>
        <w:tc>
          <w:tcPr>
            <w:tcW w:w="1814" w:type="dxa"/>
            <w:noWrap/>
            <w:vAlign w:val="bottom"/>
          </w:tcPr>
          <w:p w:rsidR="00C46F26" w:rsidRPr="004C5551" w:rsidRDefault="00C46F26" w:rsidP="00C46F26">
            <w:pPr>
              <w:jc w:val="left"/>
              <w:rPr>
                <w:b/>
                <w:szCs w:val="20"/>
              </w:rPr>
            </w:pPr>
            <w:r w:rsidRPr="004C5551">
              <w:rPr>
                <w:b/>
                <w:szCs w:val="20"/>
              </w:rPr>
              <w:t>SR spolu</w:t>
            </w:r>
          </w:p>
        </w:tc>
        <w:tc>
          <w:tcPr>
            <w:tcW w:w="1612" w:type="dxa"/>
            <w:noWrap/>
            <w:vAlign w:val="bottom"/>
          </w:tcPr>
          <w:p w:rsidR="00C46F26" w:rsidRPr="004C5551" w:rsidRDefault="00C46F26" w:rsidP="00C46F26">
            <w:pPr>
              <w:ind w:right="403"/>
              <w:jc w:val="right"/>
              <w:rPr>
                <w:b/>
                <w:szCs w:val="20"/>
              </w:rPr>
            </w:pPr>
            <w:r w:rsidRPr="004C5551">
              <w:rPr>
                <w:b/>
                <w:szCs w:val="20"/>
              </w:rPr>
              <w:t>134,0</w:t>
            </w:r>
          </w:p>
        </w:tc>
        <w:tc>
          <w:tcPr>
            <w:tcW w:w="1389" w:type="dxa"/>
            <w:noWrap/>
            <w:vAlign w:val="bottom"/>
          </w:tcPr>
          <w:p w:rsidR="00C46F26" w:rsidRPr="004C5551" w:rsidRDefault="00C46F26" w:rsidP="00C46F26">
            <w:pPr>
              <w:ind w:right="403"/>
              <w:jc w:val="right"/>
              <w:rPr>
                <w:b/>
                <w:szCs w:val="20"/>
              </w:rPr>
            </w:pPr>
            <w:r w:rsidRPr="004C5551">
              <w:rPr>
                <w:b/>
                <w:szCs w:val="20"/>
              </w:rPr>
              <w:t>98,2</w:t>
            </w:r>
          </w:p>
        </w:tc>
        <w:tc>
          <w:tcPr>
            <w:tcW w:w="1191" w:type="dxa"/>
            <w:noWrap/>
            <w:vAlign w:val="bottom"/>
          </w:tcPr>
          <w:p w:rsidR="00C46F26" w:rsidRPr="004C5551" w:rsidRDefault="00C46F26" w:rsidP="00C46F26">
            <w:pPr>
              <w:ind w:right="403"/>
              <w:jc w:val="right"/>
              <w:rPr>
                <w:b/>
                <w:szCs w:val="20"/>
              </w:rPr>
            </w:pPr>
            <w:r w:rsidRPr="004C5551">
              <w:rPr>
                <w:b/>
                <w:szCs w:val="20"/>
              </w:rPr>
              <w:t>100,0</w:t>
            </w:r>
          </w:p>
        </w:tc>
        <w:tc>
          <w:tcPr>
            <w:tcW w:w="2527" w:type="dxa"/>
            <w:noWrap/>
            <w:vAlign w:val="bottom"/>
          </w:tcPr>
          <w:p w:rsidR="00C46F26" w:rsidRPr="004C5551" w:rsidRDefault="00C46F26" w:rsidP="00357F70">
            <w:pPr>
              <w:ind w:right="793"/>
              <w:jc w:val="right"/>
              <w:rPr>
                <w:b/>
                <w:szCs w:val="20"/>
              </w:rPr>
            </w:pPr>
            <w:r w:rsidRPr="004C5551">
              <w:rPr>
                <w:b/>
                <w:szCs w:val="20"/>
              </w:rPr>
              <w:t>5,7</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v tom:</w:t>
            </w:r>
          </w:p>
        </w:tc>
        <w:tc>
          <w:tcPr>
            <w:tcW w:w="1612" w:type="dxa"/>
            <w:noWrap/>
            <w:vAlign w:val="bottom"/>
          </w:tcPr>
          <w:p w:rsidR="00C46F26" w:rsidRPr="004C5551" w:rsidRDefault="00C46F26" w:rsidP="00C46F26">
            <w:pPr>
              <w:ind w:right="403"/>
              <w:jc w:val="right"/>
              <w:rPr>
                <w:szCs w:val="20"/>
              </w:rPr>
            </w:pPr>
          </w:p>
        </w:tc>
        <w:tc>
          <w:tcPr>
            <w:tcW w:w="1389" w:type="dxa"/>
            <w:noWrap/>
            <w:vAlign w:val="bottom"/>
          </w:tcPr>
          <w:p w:rsidR="00C46F26" w:rsidRPr="004C5551" w:rsidRDefault="00C46F26" w:rsidP="00C46F26">
            <w:pPr>
              <w:ind w:right="403"/>
              <w:jc w:val="right"/>
              <w:rPr>
                <w:szCs w:val="20"/>
              </w:rPr>
            </w:pPr>
          </w:p>
        </w:tc>
        <w:tc>
          <w:tcPr>
            <w:tcW w:w="1191" w:type="dxa"/>
            <w:noWrap/>
            <w:vAlign w:val="bottom"/>
          </w:tcPr>
          <w:p w:rsidR="00C46F26" w:rsidRPr="004C5551" w:rsidRDefault="00C46F26" w:rsidP="00C46F26">
            <w:pPr>
              <w:ind w:right="403"/>
              <w:jc w:val="right"/>
              <w:rPr>
                <w:szCs w:val="20"/>
              </w:rPr>
            </w:pPr>
          </w:p>
        </w:tc>
        <w:tc>
          <w:tcPr>
            <w:tcW w:w="2527" w:type="dxa"/>
            <w:noWrap/>
            <w:vAlign w:val="bottom"/>
          </w:tcPr>
          <w:p w:rsidR="00C46F26" w:rsidRPr="004C5551" w:rsidRDefault="00C46F26" w:rsidP="00357F70">
            <w:pPr>
              <w:ind w:right="793"/>
              <w:jc w:val="right"/>
              <w:rPr>
                <w:szCs w:val="20"/>
              </w:rPr>
            </w:pP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Bratislavský</w:t>
            </w:r>
          </w:p>
        </w:tc>
        <w:tc>
          <w:tcPr>
            <w:tcW w:w="1612" w:type="dxa"/>
            <w:noWrap/>
            <w:vAlign w:val="bottom"/>
          </w:tcPr>
          <w:p w:rsidR="00C46F26" w:rsidRPr="004C5551" w:rsidRDefault="00C46F26" w:rsidP="00C46F26">
            <w:pPr>
              <w:ind w:right="403"/>
              <w:jc w:val="right"/>
              <w:rPr>
                <w:szCs w:val="20"/>
              </w:rPr>
            </w:pPr>
            <w:r w:rsidRPr="004C5551">
              <w:rPr>
                <w:szCs w:val="20"/>
              </w:rPr>
              <w:t>5,9</w:t>
            </w:r>
          </w:p>
        </w:tc>
        <w:tc>
          <w:tcPr>
            <w:tcW w:w="1389" w:type="dxa"/>
            <w:noWrap/>
            <w:vAlign w:val="bottom"/>
          </w:tcPr>
          <w:p w:rsidR="00C46F26" w:rsidRPr="004C5551" w:rsidRDefault="00C46F26" w:rsidP="00C46F26">
            <w:pPr>
              <w:ind w:right="403"/>
              <w:jc w:val="right"/>
              <w:rPr>
                <w:szCs w:val="20"/>
              </w:rPr>
            </w:pPr>
            <w:r w:rsidRPr="004C5551">
              <w:rPr>
                <w:szCs w:val="20"/>
              </w:rPr>
              <w:t>77,6</w:t>
            </w:r>
          </w:p>
        </w:tc>
        <w:tc>
          <w:tcPr>
            <w:tcW w:w="1191" w:type="dxa"/>
            <w:noWrap/>
            <w:vAlign w:val="bottom"/>
          </w:tcPr>
          <w:p w:rsidR="00C46F26" w:rsidRPr="004C5551" w:rsidRDefault="00C46F26" w:rsidP="00C46F26">
            <w:pPr>
              <w:ind w:right="403"/>
              <w:jc w:val="right"/>
              <w:rPr>
                <w:szCs w:val="20"/>
              </w:rPr>
            </w:pPr>
            <w:r w:rsidRPr="004C5551">
              <w:rPr>
                <w:szCs w:val="20"/>
              </w:rPr>
              <w:t>4,4</w:t>
            </w:r>
          </w:p>
        </w:tc>
        <w:tc>
          <w:tcPr>
            <w:tcW w:w="2527" w:type="dxa"/>
            <w:noWrap/>
            <w:vAlign w:val="bottom"/>
          </w:tcPr>
          <w:p w:rsidR="00C46F26" w:rsidRPr="004C5551" w:rsidRDefault="00C46F26" w:rsidP="00357F70">
            <w:pPr>
              <w:ind w:right="793"/>
              <w:jc w:val="right"/>
              <w:rPr>
                <w:szCs w:val="20"/>
              </w:rPr>
            </w:pPr>
            <w:r w:rsidRPr="004C5551">
              <w:rPr>
                <w:szCs w:val="20"/>
              </w:rPr>
              <w:t>1,9</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Trnavský</w:t>
            </w:r>
          </w:p>
        </w:tc>
        <w:tc>
          <w:tcPr>
            <w:tcW w:w="1612" w:type="dxa"/>
            <w:noWrap/>
            <w:vAlign w:val="bottom"/>
          </w:tcPr>
          <w:p w:rsidR="00C46F26" w:rsidRPr="004C5551" w:rsidRDefault="00C46F26" w:rsidP="00C46F26">
            <w:pPr>
              <w:ind w:right="403"/>
              <w:jc w:val="right"/>
              <w:rPr>
                <w:szCs w:val="20"/>
              </w:rPr>
            </w:pPr>
            <w:r w:rsidRPr="004C5551">
              <w:rPr>
                <w:szCs w:val="20"/>
              </w:rPr>
              <w:t>4,8</w:t>
            </w:r>
          </w:p>
        </w:tc>
        <w:tc>
          <w:tcPr>
            <w:tcW w:w="1389" w:type="dxa"/>
            <w:noWrap/>
            <w:vAlign w:val="bottom"/>
          </w:tcPr>
          <w:p w:rsidR="00C46F26" w:rsidRPr="004C5551" w:rsidRDefault="00C46F26" w:rsidP="00C46F26">
            <w:pPr>
              <w:ind w:right="403"/>
              <w:jc w:val="right"/>
              <w:rPr>
                <w:szCs w:val="20"/>
              </w:rPr>
            </w:pPr>
            <w:r w:rsidRPr="004C5551">
              <w:rPr>
                <w:szCs w:val="20"/>
              </w:rPr>
              <w:t>72,7</w:t>
            </w:r>
          </w:p>
        </w:tc>
        <w:tc>
          <w:tcPr>
            <w:tcW w:w="1191" w:type="dxa"/>
            <w:noWrap/>
            <w:vAlign w:val="bottom"/>
          </w:tcPr>
          <w:p w:rsidR="00C46F26" w:rsidRPr="004C5551" w:rsidRDefault="00C46F26" w:rsidP="00C46F26">
            <w:pPr>
              <w:ind w:right="403"/>
              <w:jc w:val="right"/>
              <w:rPr>
                <w:szCs w:val="20"/>
              </w:rPr>
            </w:pPr>
            <w:r w:rsidRPr="004C5551">
              <w:rPr>
                <w:szCs w:val="20"/>
              </w:rPr>
              <w:t>3,6</w:t>
            </w:r>
          </w:p>
        </w:tc>
        <w:tc>
          <w:tcPr>
            <w:tcW w:w="2527" w:type="dxa"/>
            <w:noWrap/>
            <w:vAlign w:val="bottom"/>
          </w:tcPr>
          <w:p w:rsidR="00C46F26" w:rsidRPr="004C5551" w:rsidRDefault="00C46F26" w:rsidP="00357F70">
            <w:pPr>
              <w:ind w:right="793"/>
              <w:jc w:val="right"/>
              <w:rPr>
                <w:szCs w:val="20"/>
              </w:rPr>
            </w:pPr>
            <w:r w:rsidRPr="004C5551">
              <w:rPr>
                <w:szCs w:val="20"/>
              </w:rPr>
              <w:t>1,8</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Trenčiansky</w:t>
            </w:r>
          </w:p>
        </w:tc>
        <w:tc>
          <w:tcPr>
            <w:tcW w:w="1612" w:type="dxa"/>
            <w:noWrap/>
            <w:vAlign w:val="bottom"/>
          </w:tcPr>
          <w:p w:rsidR="00C46F26" w:rsidRPr="004C5551" w:rsidRDefault="00C46F26" w:rsidP="00C46F26">
            <w:pPr>
              <w:ind w:right="403"/>
              <w:jc w:val="right"/>
              <w:rPr>
                <w:szCs w:val="20"/>
              </w:rPr>
            </w:pPr>
            <w:r w:rsidRPr="004C5551">
              <w:rPr>
                <w:szCs w:val="20"/>
              </w:rPr>
              <w:t>8,6</w:t>
            </w:r>
          </w:p>
        </w:tc>
        <w:tc>
          <w:tcPr>
            <w:tcW w:w="1389" w:type="dxa"/>
            <w:noWrap/>
            <w:vAlign w:val="bottom"/>
          </w:tcPr>
          <w:p w:rsidR="00C46F26" w:rsidRPr="004C5551" w:rsidRDefault="00C46F26" w:rsidP="00C46F26">
            <w:pPr>
              <w:ind w:right="403"/>
              <w:jc w:val="right"/>
              <w:rPr>
                <w:szCs w:val="20"/>
              </w:rPr>
            </w:pPr>
            <w:r w:rsidRPr="004C5551">
              <w:rPr>
                <w:szCs w:val="20"/>
              </w:rPr>
              <w:t>75,7</w:t>
            </w:r>
          </w:p>
        </w:tc>
        <w:tc>
          <w:tcPr>
            <w:tcW w:w="1191" w:type="dxa"/>
            <w:noWrap/>
            <w:vAlign w:val="bottom"/>
          </w:tcPr>
          <w:p w:rsidR="00C46F26" w:rsidRPr="004C5551" w:rsidRDefault="00C46F26" w:rsidP="00C46F26">
            <w:pPr>
              <w:ind w:right="403"/>
              <w:jc w:val="right"/>
              <w:rPr>
                <w:szCs w:val="20"/>
              </w:rPr>
            </w:pPr>
            <w:r w:rsidRPr="004C5551">
              <w:rPr>
                <w:szCs w:val="20"/>
              </w:rPr>
              <w:t>6,4</w:t>
            </w:r>
          </w:p>
        </w:tc>
        <w:tc>
          <w:tcPr>
            <w:tcW w:w="2527" w:type="dxa"/>
            <w:noWrap/>
            <w:vAlign w:val="bottom"/>
          </w:tcPr>
          <w:p w:rsidR="00C46F26" w:rsidRPr="004C5551" w:rsidRDefault="00C46F26" w:rsidP="00357F70">
            <w:pPr>
              <w:ind w:right="793"/>
              <w:jc w:val="right"/>
              <w:rPr>
                <w:szCs w:val="20"/>
              </w:rPr>
            </w:pPr>
            <w:r w:rsidRPr="004C5551">
              <w:rPr>
                <w:szCs w:val="20"/>
              </w:rPr>
              <w:t>3,2</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Nitriansky</w:t>
            </w:r>
          </w:p>
        </w:tc>
        <w:tc>
          <w:tcPr>
            <w:tcW w:w="1612" w:type="dxa"/>
            <w:noWrap/>
            <w:vAlign w:val="bottom"/>
          </w:tcPr>
          <w:p w:rsidR="00C46F26" w:rsidRPr="004C5551" w:rsidRDefault="00C46F26" w:rsidP="00C46F26">
            <w:pPr>
              <w:ind w:right="403"/>
              <w:jc w:val="right"/>
              <w:rPr>
                <w:szCs w:val="20"/>
              </w:rPr>
            </w:pPr>
            <w:r w:rsidRPr="004C5551">
              <w:rPr>
                <w:szCs w:val="20"/>
              </w:rPr>
              <w:t>23,1</w:t>
            </w:r>
          </w:p>
        </w:tc>
        <w:tc>
          <w:tcPr>
            <w:tcW w:w="1389" w:type="dxa"/>
            <w:noWrap/>
            <w:vAlign w:val="bottom"/>
          </w:tcPr>
          <w:p w:rsidR="00C46F26" w:rsidRPr="004C5551" w:rsidRDefault="00C46F26" w:rsidP="00C46F26">
            <w:pPr>
              <w:ind w:right="403"/>
              <w:jc w:val="right"/>
              <w:rPr>
                <w:szCs w:val="20"/>
              </w:rPr>
            </w:pPr>
            <w:r w:rsidRPr="004C5551">
              <w:rPr>
                <w:szCs w:val="20"/>
              </w:rPr>
              <w:t>105,5</w:t>
            </w:r>
          </w:p>
        </w:tc>
        <w:tc>
          <w:tcPr>
            <w:tcW w:w="1191" w:type="dxa"/>
            <w:noWrap/>
            <w:vAlign w:val="bottom"/>
          </w:tcPr>
          <w:p w:rsidR="00C46F26" w:rsidRPr="004C5551" w:rsidRDefault="00C46F26" w:rsidP="00C46F26">
            <w:pPr>
              <w:ind w:right="403"/>
              <w:jc w:val="right"/>
              <w:rPr>
                <w:szCs w:val="20"/>
              </w:rPr>
            </w:pPr>
            <w:r w:rsidRPr="004C5551">
              <w:rPr>
                <w:szCs w:val="20"/>
              </w:rPr>
              <w:t>17,2</w:t>
            </w:r>
          </w:p>
        </w:tc>
        <w:tc>
          <w:tcPr>
            <w:tcW w:w="2527" w:type="dxa"/>
            <w:noWrap/>
            <w:vAlign w:val="bottom"/>
          </w:tcPr>
          <w:p w:rsidR="00C46F26" w:rsidRPr="004C5551" w:rsidRDefault="00C46F26" w:rsidP="00357F70">
            <w:pPr>
              <w:ind w:right="793"/>
              <w:jc w:val="right"/>
              <w:rPr>
                <w:szCs w:val="20"/>
              </w:rPr>
            </w:pPr>
            <w:r w:rsidRPr="004C5551">
              <w:rPr>
                <w:szCs w:val="20"/>
              </w:rPr>
              <w:t>7,5</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Žilinský</w:t>
            </w:r>
          </w:p>
        </w:tc>
        <w:tc>
          <w:tcPr>
            <w:tcW w:w="1612" w:type="dxa"/>
            <w:noWrap/>
            <w:vAlign w:val="bottom"/>
          </w:tcPr>
          <w:p w:rsidR="00C46F26" w:rsidRPr="004C5551" w:rsidRDefault="00C46F26" w:rsidP="00C46F26">
            <w:pPr>
              <w:ind w:right="403"/>
              <w:jc w:val="right"/>
              <w:rPr>
                <w:szCs w:val="20"/>
              </w:rPr>
            </w:pPr>
            <w:r w:rsidRPr="004C5551">
              <w:rPr>
                <w:szCs w:val="20"/>
              </w:rPr>
              <w:t>23,6</w:t>
            </w:r>
          </w:p>
        </w:tc>
        <w:tc>
          <w:tcPr>
            <w:tcW w:w="1389" w:type="dxa"/>
            <w:noWrap/>
            <w:vAlign w:val="bottom"/>
          </w:tcPr>
          <w:p w:rsidR="00C46F26" w:rsidRPr="004C5551" w:rsidRDefault="00C46F26" w:rsidP="00C46F26">
            <w:pPr>
              <w:ind w:right="403"/>
              <w:jc w:val="right"/>
              <w:rPr>
                <w:szCs w:val="20"/>
              </w:rPr>
            </w:pPr>
            <w:r w:rsidRPr="004C5551">
              <w:rPr>
                <w:szCs w:val="20"/>
              </w:rPr>
              <w:t>115,7</w:t>
            </w:r>
          </w:p>
        </w:tc>
        <w:tc>
          <w:tcPr>
            <w:tcW w:w="1191" w:type="dxa"/>
            <w:noWrap/>
            <w:vAlign w:val="bottom"/>
          </w:tcPr>
          <w:p w:rsidR="00C46F26" w:rsidRPr="004C5551" w:rsidRDefault="00C46F26" w:rsidP="00C46F26">
            <w:pPr>
              <w:ind w:right="403"/>
              <w:jc w:val="right"/>
              <w:rPr>
                <w:szCs w:val="20"/>
              </w:rPr>
            </w:pPr>
            <w:r w:rsidRPr="004C5551">
              <w:rPr>
                <w:szCs w:val="20"/>
              </w:rPr>
              <w:t>17,6</w:t>
            </w:r>
          </w:p>
        </w:tc>
        <w:tc>
          <w:tcPr>
            <w:tcW w:w="2527" w:type="dxa"/>
            <w:noWrap/>
            <w:vAlign w:val="bottom"/>
          </w:tcPr>
          <w:p w:rsidR="00C46F26" w:rsidRPr="004C5551" w:rsidRDefault="00C46F26" w:rsidP="00357F70">
            <w:pPr>
              <w:ind w:right="793"/>
              <w:jc w:val="right"/>
              <w:rPr>
                <w:szCs w:val="20"/>
              </w:rPr>
            </w:pPr>
            <w:r w:rsidRPr="004C5551">
              <w:rPr>
                <w:szCs w:val="20"/>
              </w:rPr>
              <w:t>8,1</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Banskobystrický</w:t>
            </w:r>
          </w:p>
        </w:tc>
        <w:tc>
          <w:tcPr>
            <w:tcW w:w="1612" w:type="dxa"/>
            <w:noWrap/>
            <w:vAlign w:val="bottom"/>
          </w:tcPr>
          <w:p w:rsidR="00C46F26" w:rsidRPr="004C5551" w:rsidRDefault="00C46F26" w:rsidP="00C46F26">
            <w:pPr>
              <w:ind w:right="403"/>
              <w:jc w:val="right"/>
              <w:rPr>
                <w:szCs w:val="20"/>
              </w:rPr>
            </w:pPr>
            <w:r w:rsidRPr="004C5551">
              <w:rPr>
                <w:szCs w:val="20"/>
              </w:rPr>
              <w:t>16,5</w:t>
            </w:r>
          </w:p>
        </w:tc>
        <w:tc>
          <w:tcPr>
            <w:tcW w:w="1389" w:type="dxa"/>
            <w:noWrap/>
            <w:vAlign w:val="bottom"/>
          </w:tcPr>
          <w:p w:rsidR="00C46F26" w:rsidRPr="004C5551" w:rsidRDefault="00C46F26" w:rsidP="00C46F26">
            <w:pPr>
              <w:ind w:right="403"/>
              <w:jc w:val="right"/>
              <w:rPr>
                <w:szCs w:val="20"/>
              </w:rPr>
            </w:pPr>
            <w:r w:rsidRPr="004C5551">
              <w:rPr>
                <w:szCs w:val="20"/>
              </w:rPr>
              <w:t>111,5</w:t>
            </w:r>
          </w:p>
        </w:tc>
        <w:tc>
          <w:tcPr>
            <w:tcW w:w="1191" w:type="dxa"/>
            <w:noWrap/>
            <w:vAlign w:val="bottom"/>
          </w:tcPr>
          <w:p w:rsidR="00C46F26" w:rsidRPr="004C5551" w:rsidRDefault="00C46F26" w:rsidP="00C46F26">
            <w:pPr>
              <w:ind w:right="403"/>
              <w:jc w:val="right"/>
              <w:rPr>
                <w:szCs w:val="20"/>
              </w:rPr>
            </w:pPr>
            <w:r w:rsidRPr="004C5551">
              <w:rPr>
                <w:szCs w:val="20"/>
              </w:rPr>
              <w:t>12,3</w:t>
            </w:r>
          </w:p>
        </w:tc>
        <w:tc>
          <w:tcPr>
            <w:tcW w:w="2527" w:type="dxa"/>
            <w:noWrap/>
            <w:vAlign w:val="bottom"/>
          </w:tcPr>
          <w:p w:rsidR="00C46F26" w:rsidRPr="004C5551" w:rsidRDefault="00C46F26" w:rsidP="00357F70">
            <w:pPr>
              <w:ind w:right="793"/>
              <w:jc w:val="right"/>
              <w:rPr>
                <w:szCs w:val="20"/>
              </w:rPr>
            </w:pPr>
            <w:r w:rsidRPr="004C5551">
              <w:rPr>
                <w:szCs w:val="20"/>
              </w:rPr>
              <w:t>6,0</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Prešovský</w:t>
            </w:r>
          </w:p>
        </w:tc>
        <w:tc>
          <w:tcPr>
            <w:tcW w:w="1612" w:type="dxa"/>
            <w:noWrap/>
            <w:vAlign w:val="bottom"/>
          </w:tcPr>
          <w:p w:rsidR="00C46F26" w:rsidRPr="004C5551" w:rsidRDefault="00C46F26" w:rsidP="00C46F26">
            <w:pPr>
              <w:ind w:right="403"/>
              <w:jc w:val="right"/>
              <w:rPr>
                <w:szCs w:val="20"/>
              </w:rPr>
            </w:pPr>
            <w:r w:rsidRPr="004C5551">
              <w:rPr>
                <w:szCs w:val="20"/>
              </w:rPr>
              <w:t>36,1</w:t>
            </w:r>
          </w:p>
        </w:tc>
        <w:tc>
          <w:tcPr>
            <w:tcW w:w="1389" w:type="dxa"/>
            <w:noWrap/>
            <w:vAlign w:val="bottom"/>
          </w:tcPr>
          <w:p w:rsidR="00C46F26" w:rsidRPr="004C5551" w:rsidRDefault="00C46F26" w:rsidP="00C46F26">
            <w:pPr>
              <w:ind w:right="403"/>
              <w:jc w:val="right"/>
              <w:rPr>
                <w:szCs w:val="20"/>
              </w:rPr>
            </w:pPr>
            <w:r w:rsidRPr="004C5551">
              <w:rPr>
                <w:szCs w:val="20"/>
              </w:rPr>
              <w:t>93,3</w:t>
            </w:r>
          </w:p>
        </w:tc>
        <w:tc>
          <w:tcPr>
            <w:tcW w:w="1191" w:type="dxa"/>
            <w:noWrap/>
            <w:vAlign w:val="bottom"/>
          </w:tcPr>
          <w:p w:rsidR="00C46F26" w:rsidRPr="004C5551" w:rsidRDefault="00C46F26" w:rsidP="00C46F26">
            <w:pPr>
              <w:ind w:right="403"/>
              <w:jc w:val="right"/>
              <w:rPr>
                <w:szCs w:val="20"/>
              </w:rPr>
            </w:pPr>
            <w:r w:rsidRPr="004C5551">
              <w:rPr>
                <w:szCs w:val="20"/>
              </w:rPr>
              <w:t>26,9</w:t>
            </w:r>
          </w:p>
        </w:tc>
        <w:tc>
          <w:tcPr>
            <w:tcW w:w="2527" w:type="dxa"/>
            <w:noWrap/>
            <w:vAlign w:val="bottom"/>
          </w:tcPr>
          <w:p w:rsidR="00C46F26" w:rsidRPr="004C5551" w:rsidRDefault="00C46F26" w:rsidP="00357F70">
            <w:pPr>
              <w:ind w:right="793"/>
              <w:jc w:val="right"/>
              <w:rPr>
                <w:szCs w:val="20"/>
              </w:rPr>
            </w:pPr>
            <w:r w:rsidRPr="004C5551">
              <w:rPr>
                <w:szCs w:val="20"/>
              </w:rPr>
              <w:t>11,1</w:t>
            </w:r>
          </w:p>
        </w:tc>
      </w:tr>
      <w:tr w:rsidR="00C46F26" w:rsidRPr="004C5551" w:rsidTr="00357F70">
        <w:trPr>
          <w:trHeight w:val="255"/>
          <w:jc w:val="center"/>
        </w:trPr>
        <w:tc>
          <w:tcPr>
            <w:tcW w:w="1814" w:type="dxa"/>
            <w:noWrap/>
            <w:vAlign w:val="bottom"/>
          </w:tcPr>
          <w:p w:rsidR="00C46F26" w:rsidRPr="004C5551" w:rsidRDefault="00C46F26" w:rsidP="00C46F26">
            <w:pPr>
              <w:jc w:val="left"/>
              <w:rPr>
                <w:szCs w:val="20"/>
              </w:rPr>
            </w:pPr>
            <w:r w:rsidRPr="004C5551">
              <w:rPr>
                <w:szCs w:val="20"/>
              </w:rPr>
              <w:t>Košický</w:t>
            </w:r>
          </w:p>
        </w:tc>
        <w:tc>
          <w:tcPr>
            <w:tcW w:w="1612" w:type="dxa"/>
            <w:noWrap/>
            <w:vAlign w:val="bottom"/>
          </w:tcPr>
          <w:p w:rsidR="00C46F26" w:rsidRPr="004C5551" w:rsidRDefault="00C46F26" w:rsidP="00C46F26">
            <w:pPr>
              <w:ind w:right="403"/>
              <w:jc w:val="right"/>
              <w:rPr>
                <w:szCs w:val="20"/>
              </w:rPr>
            </w:pPr>
            <w:r w:rsidRPr="004C5551">
              <w:rPr>
                <w:szCs w:val="20"/>
              </w:rPr>
              <w:t>15,5</w:t>
            </w:r>
          </w:p>
        </w:tc>
        <w:tc>
          <w:tcPr>
            <w:tcW w:w="1389" w:type="dxa"/>
            <w:noWrap/>
            <w:vAlign w:val="bottom"/>
          </w:tcPr>
          <w:p w:rsidR="00C46F26" w:rsidRPr="004C5551" w:rsidRDefault="00C46F26" w:rsidP="00C46F26">
            <w:pPr>
              <w:ind w:right="403"/>
              <w:jc w:val="right"/>
              <w:rPr>
                <w:szCs w:val="20"/>
              </w:rPr>
            </w:pPr>
            <w:r w:rsidRPr="004C5551">
              <w:rPr>
                <w:szCs w:val="20"/>
              </w:rPr>
              <w:t>102,0</w:t>
            </w:r>
          </w:p>
        </w:tc>
        <w:tc>
          <w:tcPr>
            <w:tcW w:w="1191" w:type="dxa"/>
            <w:noWrap/>
            <w:vAlign w:val="bottom"/>
          </w:tcPr>
          <w:p w:rsidR="00C46F26" w:rsidRPr="004C5551" w:rsidRDefault="00C46F26" w:rsidP="00C46F26">
            <w:pPr>
              <w:ind w:right="403"/>
              <w:jc w:val="right"/>
              <w:rPr>
                <w:szCs w:val="20"/>
              </w:rPr>
            </w:pPr>
            <w:r w:rsidRPr="004C5551">
              <w:rPr>
                <w:szCs w:val="20"/>
              </w:rPr>
              <w:t>11,6</w:t>
            </w:r>
          </w:p>
        </w:tc>
        <w:tc>
          <w:tcPr>
            <w:tcW w:w="2527" w:type="dxa"/>
            <w:noWrap/>
            <w:vAlign w:val="bottom"/>
          </w:tcPr>
          <w:p w:rsidR="00C46F26" w:rsidRPr="004C5551" w:rsidRDefault="00C46F26" w:rsidP="00357F70">
            <w:pPr>
              <w:ind w:right="793"/>
              <w:jc w:val="right"/>
              <w:rPr>
                <w:szCs w:val="20"/>
              </w:rPr>
            </w:pPr>
            <w:r w:rsidRPr="004C5551">
              <w:rPr>
                <w:szCs w:val="20"/>
              </w:rPr>
              <w:t>4,9</w:t>
            </w:r>
          </w:p>
        </w:tc>
      </w:tr>
    </w:tbl>
    <w:p w:rsidR="00C46F26" w:rsidRPr="004C5551" w:rsidRDefault="00C46F26" w:rsidP="00357F70">
      <w:pPr>
        <w:pStyle w:val="zdroj"/>
      </w:pPr>
      <w:r w:rsidRPr="004C5551">
        <w:t>Zdroj: ŠÚ SR, VZPS</w:t>
      </w:r>
      <w:r w:rsidRPr="004C5551" w:rsidDel="00E4156E">
        <w:t xml:space="preserve"> </w:t>
      </w:r>
    </w:p>
    <w:p w:rsidR="00C46F26" w:rsidRPr="004C5551" w:rsidRDefault="00C46F26" w:rsidP="00D6574F">
      <w:pPr>
        <w:pStyle w:val="Default"/>
        <w:ind w:firstLine="431"/>
        <w:jc w:val="both"/>
        <w:rPr>
          <w:rFonts w:ascii="Times New Roman" w:hAnsi="Times New Roman" w:cs="Times New Roman"/>
          <w:color w:val="auto"/>
          <w:sz w:val="22"/>
          <w:szCs w:val="22"/>
        </w:rPr>
      </w:pPr>
      <w:r w:rsidRPr="004C5551">
        <w:rPr>
          <w:rFonts w:ascii="Times New Roman" w:hAnsi="Times New Roman" w:cs="Times New Roman"/>
          <w:color w:val="auto"/>
          <w:sz w:val="22"/>
          <w:szCs w:val="22"/>
        </w:rPr>
        <w:t>Z poklesu krátkodobej migrácie za prácou do zahraničia vyplýva, že celkový rast zamestnanosti v roku 2014 ovplyvnila zamestnanosť v domácej ekonomike, ktorá podľa údajov VZPS vzrástla o 1,7</w:t>
      </w:r>
      <w:r w:rsidR="009425AA" w:rsidRPr="004C5551">
        <w:rPr>
          <w:rFonts w:ascii="Times New Roman" w:hAnsi="Times New Roman" w:cs="Times New Roman"/>
          <w:color w:val="auto"/>
          <w:sz w:val="22"/>
          <w:szCs w:val="22"/>
        </w:rPr>
        <w:t> %</w:t>
      </w:r>
      <w:r w:rsidRPr="004C5551">
        <w:rPr>
          <w:rFonts w:ascii="Times New Roman" w:hAnsi="Times New Roman" w:cs="Times New Roman"/>
          <w:color w:val="auto"/>
          <w:sz w:val="22"/>
          <w:szCs w:val="22"/>
        </w:rPr>
        <w:t>, resp. o 36,1 tis. osôb a dosiahla úroveň 2 229,0 tis. osôb.</w:t>
      </w:r>
    </w:p>
    <w:p w:rsidR="00C46F26" w:rsidRPr="004C5551" w:rsidRDefault="00C46F26" w:rsidP="00D6574F">
      <w:pPr>
        <w:pStyle w:val="zdroj"/>
        <w:spacing w:before="0" w:after="0"/>
        <w:ind w:firstLine="431"/>
        <w:rPr>
          <w:i w:val="0"/>
          <w:color w:val="auto"/>
          <w:sz w:val="22"/>
          <w:szCs w:val="22"/>
        </w:rPr>
      </w:pPr>
      <w:r w:rsidRPr="004C5551">
        <w:rPr>
          <w:b/>
          <w:i w:val="0"/>
          <w:color w:val="auto"/>
          <w:sz w:val="22"/>
          <w:szCs w:val="22"/>
        </w:rPr>
        <w:t>Miera zamestnanosti</w:t>
      </w:r>
      <w:r w:rsidRPr="004C5551">
        <w:rPr>
          <w:i w:val="0"/>
          <w:color w:val="auto"/>
          <w:sz w:val="22"/>
          <w:szCs w:val="22"/>
        </w:rPr>
        <w:t xml:space="preserve"> </w:t>
      </w:r>
      <w:r w:rsidRPr="004C5551">
        <w:rPr>
          <w:b/>
          <w:i w:val="0"/>
          <w:color w:val="auto"/>
          <w:sz w:val="22"/>
          <w:szCs w:val="22"/>
        </w:rPr>
        <w:t xml:space="preserve">osôb vo veku 20 </w:t>
      </w:r>
      <w:r w:rsidRPr="004C5551">
        <w:rPr>
          <w:color w:val="000000" w:themeColor="text1"/>
        </w:rPr>
        <w:t xml:space="preserve">– </w:t>
      </w:r>
      <w:r w:rsidRPr="004C5551">
        <w:rPr>
          <w:b/>
          <w:i w:val="0"/>
          <w:color w:val="auto"/>
          <w:sz w:val="22"/>
          <w:szCs w:val="22"/>
        </w:rPr>
        <w:t>64 rokov</w:t>
      </w:r>
      <w:r w:rsidRPr="004C5551">
        <w:rPr>
          <w:i w:val="0"/>
          <w:color w:val="auto"/>
          <w:sz w:val="22"/>
          <w:szCs w:val="22"/>
        </w:rPr>
        <w:t xml:space="preserve"> sa v porovnaní s rokom 2013 medziročne zvýšila o 0,9 p. b. na 65,9</w:t>
      </w:r>
      <w:r w:rsidR="009425AA" w:rsidRPr="004C5551">
        <w:rPr>
          <w:i w:val="0"/>
          <w:color w:val="auto"/>
          <w:sz w:val="22"/>
          <w:szCs w:val="22"/>
        </w:rPr>
        <w:t> %</w:t>
      </w:r>
      <w:r w:rsidRPr="004C5551">
        <w:rPr>
          <w:i w:val="0"/>
          <w:color w:val="auto"/>
          <w:sz w:val="22"/>
          <w:szCs w:val="22"/>
        </w:rPr>
        <w:t xml:space="preserve"> a to u oboch pohlaví (o 1 p. b. u mužov na 73,2</w:t>
      </w:r>
      <w:r w:rsidR="009425AA" w:rsidRPr="004C5551">
        <w:rPr>
          <w:i w:val="0"/>
          <w:color w:val="auto"/>
          <w:sz w:val="22"/>
          <w:szCs w:val="22"/>
        </w:rPr>
        <w:t> %</w:t>
      </w:r>
      <w:r w:rsidRPr="004C5551">
        <w:rPr>
          <w:i w:val="0"/>
          <w:color w:val="auto"/>
          <w:sz w:val="22"/>
          <w:szCs w:val="22"/>
        </w:rPr>
        <w:t xml:space="preserve"> a u žien o 0,8 p. b. na</w:t>
      </w:r>
      <w:r w:rsidR="00357F70" w:rsidRPr="004C5551">
        <w:rPr>
          <w:i w:val="0"/>
          <w:color w:val="auto"/>
          <w:sz w:val="22"/>
          <w:szCs w:val="22"/>
        </w:rPr>
        <w:t> </w:t>
      </w:r>
      <w:r w:rsidRPr="004C5551">
        <w:rPr>
          <w:i w:val="0"/>
          <w:color w:val="auto"/>
          <w:sz w:val="22"/>
          <w:szCs w:val="22"/>
        </w:rPr>
        <w:t>58,6</w:t>
      </w:r>
      <w:r w:rsidR="009425AA" w:rsidRPr="004C5551">
        <w:rPr>
          <w:i w:val="0"/>
          <w:color w:val="auto"/>
          <w:sz w:val="22"/>
          <w:szCs w:val="22"/>
        </w:rPr>
        <w:t> %</w:t>
      </w:r>
      <w:r w:rsidRPr="004C5551">
        <w:rPr>
          <w:i w:val="0"/>
          <w:color w:val="auto"/>
          <w:sz w:val="22"/>
          <w:szCs w:val="22"/>
        </w:rPr>
        <w:t>).</w:t>
      </w:r>
    </w:p>
    <w:p w:rsidR="00C46F26" w:rsidRPr="004C5551" w:rsidRDefault="00C46F26" w:rsidP="00D6574F">
      <w:pPr>
        <w:pStyle w:val="Normlnysozarkami2"/>
        <w:ind w:firstLine="431"/>
      </w:pPr>
      <w:r w:rsidRPr="004C5551">
        <w:rPr>
          <w:b/>
          <w:i/>
        </w:rPr>
        <w:t>Z hľadiska veku</w:t>
      </w:r>
      <w:r w:rsidRPr="004C5551">
        <w:t xml:space="preserve"> najvyššiu špecifickú mieru zamestnanosti dosiahli 5-ročné vekové skupiny od</w:t>
      </w:r>
      <w:r w:rsidR="00357F70" w:rsidRPr="004C5551">
        <w:t> </w:t>
      </w:r>
      <w:r w:rsidRPr="004C5551">
        <w:t>35 do 49 rokov (viac ako 80</w:t>
      </w:r>
      <w:r w:rsidR="009425AA" w:rsidRPr="004C5551">
        <w:t> %</w:t>
      </w:r>
      <w:r w:rsidRPr="004C5551">
        <w:t>). U mužov špecifickú mieru zamestnanosti 80</w:t>
      </w:r>
      <w:r w:rsidR="009425AA" w:rsidRPr="004C5551">
        <w:t> %</w:t>
      </w:r>
      <w:r w:rsidRPr="004C5551">
        <w:t xml:space="preserve"> a viac dosiahli všetky 5-ročné vekové skupiny vo veku od 30 </w:t>
      </w:r>
      <w:r w:rsidR="00274F35" w:rsidRPr="004C5551">
        <w:t>–</w:t>
      </w:r>
      <w:r w:rsidRPr="004C5551">
        <w:t xml:space="preserve"> 49 rokov, u žien bola špecifická miera zamestnanosti na úrovni 80</w:t>
      </w:r>
      <w:r w:rsidR="009425AA" w:rsidRPr="004C5551">
        <w:t> %</w:t>
      </w:r>
      <w:r w:rsidRPr="004C5551">
        <w:t xml:space="preserve"> a viac v 5-ročných vekových skupinách od 40 do 49 rokov (príloha ku kapitole 2, tabuľka 1).</w:t>
      </w:r>
    </w:p>
    <w:p w:rsidR="00C46F26" w:rsidRPr="004C5551" w:rsidRDefault="00C46F26" w:rsidP="00D6574F">
      <w:pPr>
        <w:pStyle w:val="Normlnysozarkami2"/>
        <w:ind w:firstLine="431"/>
      </w:pPr>
      <w:r w:rsidRPr="004C5551">
        <w:t>V porovnaní s rokom 2013 poklesla špecifická miera zamestnanosti len v skupine obyvateľov vo</w:t>
      </w:r>
      <w:r w:rsidR="00274F35" w:rsidRPr="004C5551">
        <w:t> </w:t>
      </w:r>
      <w:r w:rsidRPr="004C5551">
        <w:t xml:space="preserve">veku 30 </w:t>
      </w:r>
      <w:r w:rsidR="00274F35" w:rsidRPr="004C5551">
        <w:t>–</w:t>
      </w:r>
      <w:r w:rsidRPr="004C5551">
        <w:t xml:space="preserve"> 34 rokov (pokles o 1,6 p. b.). V ostatných vekových skupinách špecifická miera zamestnanosti medziročne vzrástla v rozsahu od 0,2 p. b. do 1,9 p. b., z toho najviac vo vekovej skupine 35 </w:t>
      </w:r>
      <w:r w:rsidRPr="004C5551">
        <w:rPr>
          <w:color w:val="000000" w:themeColor="text1"/>
        </w:rPr>
        <w:t>–</w:t>
      </w:r>
      <w:r w:rsidRPr="004C5551">
        <w:t xml:space="preserve"> 39 rokov (o 1,9 p. b.), 55 </w:t>
      </w:r>
      <w:r w:rsidRPr="004C5551">
        <w:rPr>
          <w:color w:val="000000" w:themeColor="text1"/>
        </w:rPr>
        <w:t>– 59</w:t>
      </w:r>
      <w:r w:rsidRPr="004C5551">
        <w:t xml:space="preserve"> rokov (o 1,8 p. b.) a 20 </w:t>
      </w:r>
      <w:r w:rsidRPr="004C5551">
        <w:rPr>
          <w:color w:val="000000" w:themeColor="text1"/>
        </w:rPr>
        <w:t xml:space="preserve">– </w:t>
      </w:r>
      <w:r w:rsidRPr="004C5551">
        <w:t xml:space="preserve">24 rokov a 45 </w:t>
      </w:r>
      <w:r w:rsidR="0002141E" w:rsidRPr="004C5551">
        <w:t>–</w:t>
      </w:r>
      <w:r w:rsidRPr="004C5551">
        <w:t xml:space="preserve"> 49 rokov (u</w:t>
      </w:r>
      <w:r w:rsidR="00357F70" w:rsidRPr="004C5551">
        <w:t> </w:t>
      </w:r>
      <w:r w:rsidRPr="004C5551">
        <w:t>oboch rovnako o 1,6 p. b.).</w:t>
      </w:r>
    </w:p>
    <w:p w:rsidR="00C46F26" w:rsidRPr="004C5551" w:rsidRDefault="00C46F26" w:rsidP="00D6574F">
      <w:pPr>
        <w:pStyle w:val="Normlnysozarkami2"/>
        <w:ind w:firstLine="431"/>
      </w:pPr>
      <w:r w:rsidRPr="004C5551">
        <w:t xml:space="preserve">Špecifická </w:t>
      </w:r>
      <w:r w:rsidRPr="004C5551">
        <w:rPr>
          <w:b/>
          <w:i/>
        </w:rPr>
        <w:t>miera zamestnanosti mladých ľudí</w:t>
      </w:r>
      <w:r w:rsidRPr="004C5551">
        <w:rPr>
          <w:i/>
        </w:rPr>
        <w:t xml:space="preserve"> </w:t>
      </w:r>
      <w:r w:rsidRPr="004C5551">
        <w:rPr>
          <w:b/>
          <w:i/>
        </w:rPr>
        <w:t xml:space="preserve">(vo veku 15 </w:t>
      </w:r>
      <w:r w:rsidRPr="004C5551">
        <w:rPr>
          <w:b/>
          <w:color w:val="000000" w:themeColor="text1"/>
        </w:rPr>
        <w:t xml:space="preserve">– </w:t>
      </w:r>
      <w:r w:rsidRPr="004C5551">
        <w:rPr>
          <w:b/>
          <w:i/>
        </w:rPr>
        <w:t>24 rokov)</w:t>
      </w:r>
      <w:r w:rsidRPr="004C5551">
        <w:t xml:space="preserve"> dosiahla priemernú úroveň 21,8</w:t>
      </w:r>
      <w:r w:rsidR="009425AA" w:rsidRPr="004C5551">
        <w:t> %</w:t>
      </w:r>
      <w:r w:rsidRPr="004C5551">
        <w:t xml:space="preserve"> (v roku 2013 to bolo 20,4</w:t>
      </w:r>
      <w:r w:rsidR="009425AA" w:rsidRPr="004C5551">
        <w:t> %</w:t>
      </w:r>
      <w:r w:rsidRPr="004C5551">
        <w:t>), u mužov 26,9</w:t>
      </w:r>
      <w:r w:rsidR="009425AA" w:rsidRPr="004C5551">
        <w:t> %</w:t>
      </w:r>
      <w:r w:rsidRPr="004C5551">
        <w:t xml:space="preserve"> a u žien 16,5</w:t>
      </w:r>
      <w:r w:rsidR="009425AA" w:rsidRPr="004C5551">
        <w:t> %</w:t>
      </w:r>
      <w:r w:rsidRPr="004C5551">
        <w:t>. V porovnaní s rokom 2013 sa zvýšila o 1,4 p. b., pričom jej rast bol v</w:t>
      </w:r>
      <w:r w:rsidR="00205F5E" w:rsidRPr="004C5551">
        <w:t>ýraznejší u mužov (o 2,4 p. b.) a</w:t>
      </w:r>
      <w:r w:rsidRPr="004C5551">
        <w:t>ko u žien (o 0,3 p. b.).</w:t>
      </w:r>
    </w:p>
    <w:p w:rsidR="00C46F26" w:rsidRPr="004C5551" w:rsidRDefault="00C46F26" w:rsidP="00D6574F">
      <w:pPr>
        <w:pStyle w:val="Normlnysozarkami2"/>
        <w:ind w:firstLine="431"/>
      </w:pPr>
      <w:r w:rsidRPr="004C5551">
        <w:t xml:space="preserve">Špecifická </w:t>
      </w:r>
      <w:r w:rsidRPr="004C5551">
        <w:rPr>
          <w:b/>
          <w:i/>
        </w:rPr>
        <w:t>miera zamestnanosti starších</w:t>
      </w:r>
      <w:r w:rsidRPr="004C5551">
        <w:rPr>
          <w:i/>
        </w:rPr>
        <w:t xml:space="preserve"> </w:t>
      </w:r>
      <w:r w:rsidRPr="004C5551">
        <w:rPr>
          <w:b/>
          <w:i/>
        </w:rPr>
        <w:t xml:space="preserve">(vo veku 55 </w:t>
      </w:r>
      <w:r w:rsidRPr="004C5551">
        <w:rPr>
          <w:b/>
          <w:color w:val="000000" w:themeColor="text1"/>
        </w:rPr>
        <w:t xml:space="preserve">– </w:t>
      </w:r>
      <w:r w:rsidRPr="004C5551">
        <w:rPr>
          <w:b/>
          <w:i/>
        </w:rPr>
        <w:t>64 rokov)</w:t>
      </w:r>
      <w:r w:rsidRPr="004C5551">
        <w:t xml:space="preserve"> dosiahla úroveň 44,8</w:t>
      </w:r>
      <w:r w:rsidR="009425AA" w:rsidRPr="004C5551">
        <w:t> %</w:t>
      </w:r>
      <w:r w:rsidRPr="004C5551">
        <w:t xml:space="preserve"> </w:t>
      </w:r>
      <w:r w:rsidRPr="004C5551">
        <w:br/>
        <w:t>(53,2</w:t>
      </w:r>
      <w:r w:rsidR="009425AA" w:rsidRPr="004C5551">
        <w:t> %</w:t>
      </w:r>
      <w:r w:rsidRPr="004C5551">
        <w:t xml:space="preserve"> u mužov a 37,2</w:t>
      </w:r>
      <w:r w:rsidR="009425AA" w:rsidRPr="004C5551">
        <w:t> %</w:t>
      </w:r>
      <w:r w:rsidRPr="004C5551">
        <w:t xml:space="preserve"> u žien) a oproti predchádzajúcemu roku sa zvýšila celkovo o 0,8 p. b., pričom vzrástla len u žien (o 1,5 p. b.), u mužov sa znížila o 0,1 p. b. (príloha ku kapitole 2, tabuľka 1).</w:t>
      </w:r>
    </w:p>
    <w:p w:rsidR="00C46F26" w:rsidRPr="004C5551" w:rsidRDefault="00C46F26" w:rsidP="00D6574F">
      <w:pPr>
        <w:pStyle w:val="Normlnysozarkami2"/>
        <w:ind w:firstLine="431"/>
      </w:pPr>
      <w:r w:rsidRPr="004C5551">
        <w:rPr>
          <w:b/>
          <w:i/>
        </w:rPr>
        <w:t>Z hľadiska vzdelania</w:t>
      </w:r>
      <w:r w:rsidRPr="004C5551">
        <w:t xml:space="preserve"> najvyššiu špecifickú mieru zamestnanosti dosiahla skupina obyvateľov s úplným stredným odborným (učňovským) vzdelaním s maturitou (76,1</w:t>
      </w:r>
      <w:r w:rsidR="009425AA" w:rsidRPr="004C5551">
        <w:t> %</w:t>
      </w:r>
      <w:r w:rsidRPr="004C5551">
        <w:t>) a s vysokoškolským vzdelaním (75,8</w:t>
      </w:r>
      <w:r w:rsidR="009425AA" w:rsidRPr="004C5551">
        <w:t> %</w:t>
      </w:r>
      <w:r w:rsidRPr="004C5551">
        <w:t>). V porovnaní s úrovňou za SR spolu nadpriemernú úroveň miery zamestnanosti (70</w:t>
      </w:r>
      <w:r w:rsidR="009425AA" w:rsidRPr="004C5551">
        <w:t> %</w:t>
      </w:r>
      <w:r w:rsidRPr="004C5551">
        <w:t xml:space="preserve"> a viac) mali aj osoby s úplným stredným odborným vzdelaním a s vyšším odborným vzdelaním. Naopak, najnižšia (15,8</w:t>
      </w:r>
      <w:r w:rsidR="009425AA" w:rsidRPr="004C5551">
        <w:t> %</w:t>
      </w:r>
      <w:r w:rsidRPr="004C5551">
        <w:t>) bola špecifická miera zamestnanosti osôb so základným vzdelaním (príloha ku kapitole 2, tabuľka 1).</w:t>
      </w:r>
    </w:p>
    <w:p w:rsidR="00C46F26" w:rsidRPr="004C5551" w:rsidRDefault="00C46F26" w:rsidP="00D6574F">
      <w:pPr>
        <w:pStyle w:val="Normlnysozarkami2"/>
        <w:ind w:firstLine="431"/>
      </w:pPr>
      <w:r w:rsidRPr="004C5551">
        <w:rPr>
          <w:b/>
          <w:i/>
        </w:rPr>
        <w:t>V rámci jednotlivých regiónov</w:t>
      </w:r>
      <w:r w:rsidRPr="004C5551">
        <w:t xml:space="preserve"> najvyššiu mieru zamestnanosti obyvateľov vo veku </w:t>
      </w:r>
      <w:r w:rsidRPr="004C5551">
        <w:br/>
        <w:t>20 </w:t>
      </w:r>
      <w:r w:rsidRPr="004C5551">
        <w:rPr>
          <w:color w:val="000000" w:themeColor="text1"/>
        </w:rPr>
        <w:t>– </w:t>
      </w:r>
      <w:r w:rsidRPr="004C5551">
        <w:t>64 rokov</w:t>
      </w:r>
      <w:r w:rsidR="00073D95" w:rsidRPr="004C5551">
        <w:t xml:space="preserve"> </w:t>
      </w:r>
      <w:r w:rsidRPr="004C5551">
        <w:t>dosiahol Bratislavský kraj (74,9</w:t>
      </w:r>
      <w:r w:rsidR="009425AA" w:rsidRPr="004C5551">
        <w:t> %</w:t>
      </w:r>
      <w:r w:rsidRPr="004C5551">
        <w:t xml:space="preserve">). Na druhej strane najnižšiu mieru zamestnanosti obyvateľov vo veku 20 </w:t>
      </w:r>
      <w:r w:rsidRPr="004C5551">
        <w:rPr>
          <w:color w:val="000000" w:themeColor="text1"/>
        </w:rPr>
        <w:t xml:space="preserve">– </w:t>
      </w:r>
      <w:r w:rsidRPr="004C5551">
        <w:t>64 rokov mal Košický kraj (61,5</w:t>
      </w:r>
      <w:r w:rsidR="009425AA" w:rsidRPr="004C5551">
        <w:t> %</w:t>
      </w:r>
      <w:r w:rsidRPr="004C5551">
        <w:t xml:space="preserve">). V porovnaní s rokom 2013 sa miera zamestnanosti vo veku 20 </w:t>
      </w:r>
      <w:r w:rsidRPr="004C5551">
        <w:rPr>
          <w:color w:val="000000" w:themeColor="text1"/>
        </w:rPr>
        <w:t xml:space="preserve">– </w:t>
      </w:r>
      <w:r w:rsidRPr="004C5551">
        <w:t>64 rokov mierne znížila len v Bratislavskom a Trnavskom kraji, kým v ostatných krajoch sa zvýšila v rozsahu od 0,5 p. b. do 2,1 p. b.</w:t>
      </w:r>
    </w:p>
    <w:p w:rsidR="00C46F26" w:rsidRPr="004C5551" w:rsidRDefault="00C46F26" w:rsidP="00D6574F">
      <w:pPr>
        <w:pStyle w:val="Normlnysozarkami2"/>
        <w:tabs>
          <w:tab w:val="left" w:pos="896"/>
        </w:tabs>
        <w:ind w:firstLine="431"/>
      </w:pPr>
      <w:r w:rsidRPr="004C5551">
        <w:t xml:space="preserve">V dôsledku tohto vývoja pokračovala tendencia znižovania medziregionálnych rozdielov v úrovni miery zamestnanosti. Oproti predchádzajúcemu roku sa rozdiel medzi najvyššou a najnižšou mierou zamestnanosti vo veku 20 </w:t>
      </w:r>
      <w:r w:rsidRPr="004C5551">
        <w:rPr>
          <w:color w:val="000000" w:themeColor="text1"/>
        </w:rPr>
        <w:t>–</w:t>
      </w:r>
      <w:r w:rsidRPr="004C5551">
        <w:t xml:space="preserve"> 64 rokov v</w:t>
      </w:r>
      <w:r w:rsidR="00073D95" w:rsidRPr="004C5551">
        <w:t xml:space="preserve"> </w:t>
      </w:r>
      <w:r w:rsidRPr="004C5551">
        <w:t xml:space="preserve">krajoch znížil (z 15,6 p. b. v roku 2013 na 13,4 p. b. </w:t>
      </w:r>
      <w:r w:rsidR="00274F35" w:rsidRPr="004C5551">
        <w:br/>
      </w:r>
      <w:r w:rsidRPr="004C5551">
        <w:t>v roku 2014).</w:t>
      </w:r>
    </w:p>
    <w:p w:rsidR="00C46F26" w:rsidRPr="004C5551" w:rsidRDefault="00C46F26" w:rsidP="00EF4A41">
      <w:pPr>
        <w:pStyle w:val="Nadpis7"/>
        <w:rPr>
          <w:vertAlign w:val="superscript"/>
        </w:rPr>
      </w:pPr>
      <w:r w:rsidRPr="004C5551">
        <w:t xml:space="preserve">Tabuľka 2.7 Miera zamestnanosti vo veku 20 – 64 rokov podľa krajov </w:t>
      </w:r>
      <w:r w:rsidR="00EF4A41" w:rsidRPr="004C5551">
        <w:br/>
      </w:r>
      <w:r w:rsidRPr="004C5551">
        <w:t>(priemer za rok v</w:t>
      </w:r>
      <w:r w:rsidR="009425AA" w:rsidRPr="004C5551">
        <w:t> %</w:t>
      </w:r>
      <w:r w:rsidRPr="004C5551">
        <w:t>)</w:t>
      </w:r>
    </w:p>
    <w:tbl>
      <w:tblPr>
        <w:tblW w:w="815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619"/>
        <w:gridCol w:w="2093"/>
        <w:gridCol w:w="2231"/>
        <w:gridCol w:w="2212"/>
      </w:tblGrid>
      <w:tr w:rsidR="00C46F26" w:rsidRPr="004C5551" w:rsidTr="00C46F26">
        <w:trPr>
          <w:trHeight w:hRule="exact" w:val="284"/>
          <w:jc w:val="center"/>
        </w:trPr>
        <w:tc>
          <w:tcPr>
            <w:tcW w:w="993" w:type="pct"/>
            <w:vMerge w:val="restart"/>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Kraj</w:t>
            </w:r>
          </w:p>
        </w:tc>
        <w:tc>
          <w:tcPr>
            <w:tcW w:w="2651" w:type="pct"/>
            <w:gridSpan w:val="2"/>
            <w:shd w:val="clear" w:color="auto" w:fill="BF0000" w:themeFill="accent3" w:themeFillShade="BF"/>
            <w:noWrap/>
            <w:vAlign w:val="center"/>
          </w:tcPr>
          <w:p w:rsidR="00C46F26" w:rsidRPr="004C5551" w:rsidRDefault="00C46F26" w:rsidP="00C46F26">
            <w:pPr>
              <w:jc w:val="center"/>
              <w:rPr>
                <w:b/>
                <w:color w:val="FFFFFF" w:themeColor="background1"/>
                <w:vertAlign w:val="superscript"/>
              </w:rPr>
            </w:pPr>
            <w:r w:rsidRPr="004C5551">
              <w:rPr>
                <w:b/>
                <w:color w:val="FFFFFF" w:themeColor="background1"/>
              </w:rPr>
              <w:t>Miera zamestnanosti vo veku 20 – 64 rokov</w:t>
            </w:r>
          </w:p>
        </w:tc>
        <w:tc>
          <w:tcPr>
            <w:tcW w:w="1356" w:type="pct"/>
            <w:vMerge w:val="restart"/>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Zmena 2014/2013</w:t>
            </w:r>
          </w:p>
          <w:p w:rsidR="00C46F26" w:rsidRPr="004C5551" w:rsidRDefault="00C46F26" w:rsidP="00C46F26">
            <w:pPr>
              <w:jc w:val="center"/>
              <w:rPr>
                <w:b/>
                <w:color w:val="FFFFFF" w:themeColor="background1"/>
              </w:rPr>
            </w:pPr>
            <w:r w:rsidRPr="004C5551">
              <w:rPr>
                <w:b/>
                <w:color w:val="FFFFFF" w:themeColor="background1"/>
              </w:rPr>
              <w:t>(v p. b.)</w:t>
            </w:r>
          </w:p>
        </w:tc>
      </w:tr>
      <w:tr w:rsidR="00C46F26" w:rsidRPr="004C5551" w:rsidTr="00C46F26">
        <w:trPr>
          <w:trHeight w:hRule="exact" w:val="270"/>
          <w:jc w:val="center"/>
        </w:trPr>
        <w:tc>
          <w:tcPr>
            <w:tcW w:w="993" w:type="pct"/>
            <w:vMerge/>
            <w:shd w:val="clear" w:color="auto" w:fill="BF0000" w:themeFill="accent3" w:themeFillShade="BF"/>
            <w:noWrap/>
            <w:vAlign w:val="center"/>
          </w:tcPr>
          <w:p w:rsidR="00C46F26" w:rsidRPr="004C5551" w:rsidRDefault="00C46F26" w:rsidP="00C46F26">
            <w:pPr>
              <w:jc w:val="center"/>
              <w:rPr>
                <w:b/>
                <w:color w:val="FFFFFF" w:themeColor="background1"/>
              </w:rPr>
            </w:pPr>
          </w:p>
        </w:tc>
        <w:tc>
          <w:tcPr>
            <w:tcW w:w="1283" w:type="pct"/>
            <w:shd w:val="clear" w:color="auto" w:fill="BF0000" w:themeFill="accent3" w:themeFillShade="BF"/>
            <w:noWrap/>
            <w:vAlign w:val="center"/>
          </w:tcPr>
          <w:p w:rsidR="00C46F26" w:rsidRPr="004C5551" w:rsidRDefault="00C46F26" w:rsidP="00C46F26">
            <w:pPr>
              <w:jc w:val="center"/>
              <w:rPr>
                <w:b/>
                <w:color w:val="FFFFFF" w:themeColor="background1"/>
                <w:vertAlign w:val="superscript"/>
              </w:rPr>
            </w:pPr>
            <w:r w:rsidRPr="004C5551">
              <w:rPr>
                <w:b/>
                <w:color w:val="FFFFFF" w:themeColor="background1"/>
              </w:rPr>
              <w:t>rok 2013</w:t>
            </w:r>
          </w:p>
        </w:tc>
        <w:tc>
          <w:tcPr>
            <w:tcW w:w="1368" w:type="pct"/>
            <w:shd w:val="clear" w:color="auto" w:fill="BF0000" w:themeFill="accent3" w:themeFillShade="BF"/>
            <w:noWrap/>
            <w:vAlign w:val="center"/>
          </w:tcPr>
          <w:p w:rsidR="00C46F26" w:rsidRPr="004C5551" w:rsidRDefault="00C46F26" w:rsidP="00C46F26">
            <w:pPr>
              <w:jc w:val="center"/>
              <w:rPr>
                <w:b/>
                <w:color w:val="FFFFFF" w:themeColor="background1"/>
              </w:rPr>
            </w:pPr>
            <w:r w:rsidRPr="004C5551">
              <w:rPr>
                <w:b/>
                <w:color w:val="FFFFFF" w:themeColor="background1"/>
              </w:rPr>
              <w:t>rok 2014</w:t>
            </w:r>
          </w:p>
        </w:tc>
        <w:tc>
          <w:tcPr>
            <w:tcW w:w="1356" w:type="pct"/>
            <w:vMerge/>
            <w:shd w:val="clear" w:color="auto" w:fill="4F81BD"/>
            <w:noWrap/>
            <w:vAlign w:val="center"/>
          </w:tcPr>
          <w:p w:rsidR="00C46F26" w:rsidRPr="004C5551" w:rsidRDefault="00C46F26" w:rsidP="00C46F26">
            <w:pPr>
              <w:rPr>
                <w:color w:val="FF0000"/>
              </w:rPr>
            </w:pPr>
          </w:p>
        </w:tc>
      </w:tr>
      <w:tr w:rsidR="00C46F26" w:rsidRPr="004C5551" w:rsidTr="00C46F26">
        <w:trPr>
          <w:trHeight w:val="255"/>
          <w:jc w:val="center"/>
        </w:trPr>
        <w:tc>
          <w:tcPr>
            <w:tcW w:w="993" w:type="pct"/>
            <w:noWrap/>
            <w:vAlign w:val="center"/>
          </w:tcPr>
          <w:p w:rsidR="00C46F26" w:rsidRPr="004C5551" w:rsidRDefault="00C46F26" w:rsidP="00C46F26">
            <w:pPr>
              <w:rPr>
                <w:b/>
              </w:rPr>
            </w:pPr>
            <w:r w:rsidRPr="004C5551">
              <w:rPr>
                <w:b/>
              </w:rPr>
              <w:t>SR spolu</w:t>
            </w:r>
          </w:p>
        </w:tc>
        <w:tc>
          <w:tcPr>
            <w:tcW w:w="1283" w:type="pct"/>
            <w:noWrap/>
            <w:vAlign w:val="center"/>
          </w:tcPr>
          <w:p w:rsidR="00C46F26" w:rsidRPr="004C5551" w:rsidRDefault="00C46F26" w:rsidP="00C46F26">
            <w:pPr>
              <w:ind w:right="697"/>
              <w:jc w:val="right"/>
              <w:rPr>
                <w:b/>
              </w:rPr>
            </w:pPr>
            <w:r w:rsidRPr="004C5551">
              <w:rPr>
                <w:b/>
              </w:rPr>
              <w:t>65,0</w:t>
            </w:r>
          </w:p>
        </w:tc>
        <w:tc>
          <w:tcPr>
            <w:tcW w:w="1368" w:type="pct"/>
            <w:noWrap/>
            <w:vAlign w:val="center"/>
          </w:tcPr>
          <w:p w:rsidR="00C46F26" w:rsidRPr="004C5551" w:rsidRDefault="00C46F26" w:rsidP="00C46F26">
            <w:pPr>
              <w:ind w:right="697"/>
              <w:jc w:val="right"/>
              <w:rPr>
                <w:b/>
              </w:rPr>
            </w:pPr>
            <w:r w:rsidRPr="004C5551">
              <w:rPr>
                <w:b/>
              </w:rPr>
              <w:t>65,9</w:t>
            </w:r>
          </w:p>
        </w:tc>
        <w:tc>
          <w:tcPr>
            <w:tcW w:w="1356" w:type="pct"/>
            <w:noWrap/>
            <w:vAlign w:val="center"/>
          </w:tcPr>
          <w:p w:rsidR="00C46F26" w:rsidRPr="004C5551" w:rsidRDefault="00C46F26" w:rsidP="00C46F26">
            <w:pPr>
              <w:ind w:right="697"/>
              <w:jc w:val="right"/>
              <w:rPr>
                <w:b/>
              </w:rPr>
            </w:pPr>
            <w:r w:rsidRPr="004C5551">
              <w:rPr>
                <w:b/>
              </w:rPr>
              <w:t>0,9</w:t>
            </w:r>
          </w:p>
        </w:tc>
      </w:tr>
      <w:tr w:rsidR="00C46F26" w:rsidRPr="004C5551" w:rsidTr="00C46F26">
        <w:trPr>
          <w:trHeight w:val="255"/>
          <w:jc w:val="center"/>
        </w:trPr>
        <w:tc>
          <w:tcPr>
            <w:tcW w:w="993" w:type="pct"/>
            <w:noWrap/>
            <w:vAlign w:val="center"/>
          </w:tcPr>
          <w:p w:rsidR="00C46F26" w:rsidRPr="004C5551" w:rsidRDefault="00C46F26" w:rsidP="00C46F26">
            <w:r w:rsidRPr="004C5551">
              <w:t>Bratislavský</w:t>
            </w:r>
          </w:p>
        </w:tc>
        <w:tc>
          <w:tcPr>
            <w:tcW w:w="1283" w:type="pct"/>
            <w:noWrap/>
            <w:vAlign w:val="center"/>
          </w:tcPr>
          <w:p w:rsidR="00C46F26" w:rsidRPr="004C5551" w:rsidRDefault="00C46F26" w:rsidP="00C46F26">
            <w:pPr>
              <w:ind w:right="697"/>
              <w:jc w:val="right"/>
            </w:pPr>
            <w:r w:rsidRPr="004C5551">
              <w:t>75,0</w:t>
            </w:r>
          </w:p>
        </w:tc>
        <w:tc>
          <w:tcPr>
            <w:tcW w:w="1368" w:type="pct"/>
            <w:noWrap/>
            <w:vAlign w:val="center"/>
          </w:tcPr>
          <w:p w:rsidR="00C46F26" w:rsidRPr="004C5551" w:rsidRDefault="00C46F26" w:rsidP="00C46F26">
            <w:pPr>
              <w:ind w:right="697"/>
              <w:jc w:val="right"/>
            </w:pPr>
            <w:r w:rsidRPr="004C5551">
              <w:t>74,9</w:t>
            </w:r>
          </w:p>
        </w:tc>
        <w:tc>
          <w:tcPr>
            <w:tcW w:w="1356" w:type="pct"/>
            <w:noWrap/>
            <w:vAlign w:val="center"/>
          </w:tcPr>
          <w:p w:rsidR="00C46F26" w:rsidRPr="004C5551" w:rsidRDefault="00C46F26" w:rsidP="00C46F26">
            <w:pPr>
              <w:ind w:right="697"/>
              <w:jc w:val="right"/>
            </w:pPr>
            <w:r w:rsidRPr="004C5551">
              <w:t>-0,1</w:t>
            </w:r>
          </w:p>
        </w:tc>
      </w:tr>
      <w:tr w:rsidR="00C46F26" w:rsidRPr="004C5551" w:rsidTr="00C46F26">
        <w:trPr>
          <w:trHeight w:val="255"/>
          <w:jc w:val="center"/>
        </w:trPr>
        <w:tc>
          <w:tcPr>
            <w:tcW w:w="993" w:type="pct"/>
            <w:noWrap/>
            <w:vAlign w:val="center"/>
          </w:tcPr>
          <w:p w:rsidR="00C46F26" w:rsidRPr="004C5551" w:rsidRDefault="00C46F26" w:rsidP="00C46F26">
            <w:r w:rsidRPr="004C5551">
              <w:t>Trnavský</w:t>
            </w:r>
          </w:p>
        </w:tc>
        <w:tc>
          <w:tcPr>
            <w:tcW w:w="1283" w:type="pct"/>
            <w:noWrap/>
            <w:vAlign w:val="center"/>
          </w:tcPr>
          <w:p w:rsidR="00C46F26" w:rsidRPr="004C5551" w:rsidRDefault="00C46F26" w:rsidP="00C46F26">
            <w:pPr>
              <w:ind w:right="697"/>
              <w:jc w:val="right"/>
            </w:pPr>
            <w:r w:rsidRPr="004C5551">
              <w:t>69,6</w:t>
            </w:r>
          </w:p>
        </w:tc>
        <w:tc>
          <w:tcPr>
            <w:tcW w:w="1368" w:type="pct"/>
            <w:noWrap/>
            <w:vAlign w:val="center"/>
          </w:tcPr>
          <w:p w:rsidR="00C46F26" w:rsidRPr="004C5551" w:rsidRDefault="00C46F26" w:rsidP="00C46F26">
            <w:pPr>
              <w:ind w:right="697"/>
              <w:jc w:val="right"/>
            </w:pPr>
            <w:r w:rsidRPr="004C5551">
              <w:t>69,4</w:t>
            </w:r>
          </w:p>
        </w:tc>
        <w:tc>
          <w:tcPr>
            <w:tcW w:w="1356" w:type="pct"/>
            <w:noWrap/>
            <w:vAlign w:val="center"/>
          </w:tcPr>
          <w:p w:rsidR="00C46F26" w:rsidRPr="004C5551" w:rsidRDefault="00C46F26" w:rsidP="00C46F26">
            <w:pPr>
              <w:ind w:right="697"/>
              <w:jc w:val="right"/>
            </w:pPr>
            <w:r w:rsidRPr="004C5551">
              <w:t>-0,2</w:t>
            </w:r>
          </w:p>
        </w:tc>
      </w:tr>
      <w:tr w:rsidR="00C46F26" w:rsidRPr="004C5551" w:rsidTr="00C46F26">
        <w:trPr>
          <w:trHeight w:val="255"/>
          <w:jc w:val="center"/>
        </w:trPr>
        <w:tc>
          <w:tcPr>
            <w:tcW w:w="993" w:type="pct"/>
            <w:noWrap/>
            <w:vAlign w:val="center"/>
          </w:tcPr>
          <w:p w:rsidR="00C46F26" w:rsidRPr="004C5551" w:rsidRDefault="00C46F26" w:rsidP="00C46F26">
            <w:r w:rsidRPr="004C5551">
              <w:t>Trenčiansky</w:t>
            </w:r>
          </w:p>
        </w:tc>
        <w:tc>
          <w:tcPr>
            <w:tcW w:w="1283" w:type="pct"/>
            <w:noWrap/>
            <w:vAlign w:val="center"/>
          </w:tcPr>
          <w:p w:rsidR="00C46F26" w:rsidRPr="004C5551" w:rsidRDefault="00C46F26" w:rsidP="00C46F26">
            <w:pPr>
              <w:ind w:right="697"/>
              <w:jc w:val="right"/>
            </w:pPr>
            <w:r w:rsidRPr="004C5551">
              <w:t>66,1</w:t>
            </w:r>
          </w:p>
        </w:tc>
        <w:tc>
          <w:tcPr>
            <w:tcW w:w="1368" w:type="pct"/>
            <w:noWrap/>
            <w:vAlign w:val="center"/>
          </w:tcPr>
          <w:p w:rsidR="00C46F26" w:rsidRPr="004C5551" w:rsidRDefault="00C46F26" w:rsidP="00C46F26">
            <w:pPr>
              <w:ind w:right="697"/>
              <w:jc w:val="right"/>
            </w:pPr>
            <w:r w:rsidRPr="004C5551">
              <w:t>67,9</w:t>
            </w:r>
          </w:p>
        </w:tc>
        <w:tc>
          <w:tcPr>
            <w:tcW w:w="1356" w:type="pct"/>
            <w:noWrap/>
            <w:vAlign w:val="center"/>
          </w:tcPr>
          <w:p w:rsidR="00C46F26" w:rsidRPr="004C5551" w:rsidRDefault="00C46F26" w:rsidP="00C46F26">
            <w:pPr>
              <w:ind w:right="697"/>
              <w:jc w:val="right"/>
            </w:pPr>
            <w:r w:rsidRPr="004C5551">
              <w:t>1,8</w:t>
            </w:r>
          </w:p>
        </w:tc>
      </w:tr>
      <w:tr w:rsidR="00C46F26" w:rsidRPr="004C5551" w:rsidTr="00C46F26">
        <w:trPr>
          <w:trHeight w:val="255"/>
          <w:jc w:val="center"/>
        </w:trPr>
        <w:tc>
          <w:tcPr>
            <w:tcW w:w="993" w:type="pct"/>
            <w:noWrap/>
            <w:vAlign w:val="center"/>
          </w:tcPr>
          <w:p w:rsidR="00C46F26" w:rsidRPr="004C5551" w:rsidRDefault="00C46F26" w:rsidP="00C46F26">
            <w:r w:rsidRPr="004C5551">
              <w:t>Nitriansky</w:t>
            </w:r>
          </w:p>
        </w:tc>
        <w:tc>
          <w:tcPr>
            <w:tcW w:w="1283" w:type="pct"/>
            <w:noWrap/>
            <w:vAlign w:val="center"/>
          </w:tcPr>
          <w:p w:rsidR="00C46F26" w:rsidRPr="004C5551" w:rsidRDefault="00C46F26" w:rsidP="00C46F26">
            <w:pPr>
              <w:ind w:right="697"/>
              <w:jc w:val="right"/>
            </w:pPr>
            <w:r w:rsidRPr="004C5551">
              <w:t>65,1</w:t>
            </w:r>
          </w:p>
        </w:tc>
        <w:tc>
          <w:tcPr>
            <w:tcW w:w="1368" w:type="pct"/>
            <w:noWrap/>
            <w:vAlign w:val="center"/>
          </w:tcPr>
          <w:p w:rsidR="00C46F26" w:rsidRPr="004C5551" w:rsidRDefault="00C46F26" w:rsidP="00C46F26">
            <w:pPr>
              <w:ind w:right="697"/>
              <w:jc w:val="right"/>
            </w:pPr>
            <w:r w:rsidRPr="004C5551">
              <w:t>66,7</w:t>
            </w:r>
          </w:p>
        </w:tc>
        <w:tc>
          <w:tcPr>
            <w:tcW w:w="1356" w:type="pct"/>
            <w:noWrap/>
            <w:vAlign w:val="center"/>
          </w:tcPr>
          <w:p w:rsidR="00C46F26" w:rsidRPr="004C5551" w:rsidRDefault="00C46F26" w:rsidP="00C46F26">
            <w:pPr>
              <w:ind w:right="697"/>
              <w:jc w:val="right"/>
            </w:pPr>
            <w:r w:rsidRPr="004C5551">
              <w:t>1,6</w:t>
            </w:r>
          </w:p>
        </w:tc>
      </w:tr>
      <w:tr w:rsidR="00C46F26" w:rsidRPr="004C5551" w:rsidTr="00C46F26">
        <w:trPr>
          <w:trHeight w:val="255"/>
          <w:jc w:val="center"/>
        </w:trPr>
        <w:tc>
          <w:tcPr>
            <w:tcW w:w="993" w:type="pct"/>
            <w:noWrap/>
            <w:vAlign w:val="center"/>
          </w:tcPr>
          <w:p w:rsidR="00C46F26" w:rsidRPr="004C5551" w:rsidRDefault="00C46F26" w:rsidP="00C46F26">
            <w:r w:rsidRPr="004C5551">
              <w:t>Žilinský</w:t>
            </w:r>
          </w:p>
        </w:tc>
        <w:tc>
          <w:tcPr>
            <w:tcW w:w="1283" w:type="pct"/>
            <w:noWrap/>
            <w:vAlign w:val="center"/>
          </w:tcPr>
          <w:p w:rsidR="00C46F26" w:rsidRPr="004C5551" w:rsidRDefault="00C46F26" w:rsidP="00C46F26">
            <w:pPr>
              <w:ind w:right="697"/>
              <w:jc w:val="right"/>
            </w:pPr>
            <w:r w:rsidRPr="004C5551">
              <w:t>63,8</w:t>
            </w:r>
          </w:p>
        </w:tc>
        <w:tc>
          <w:tcPr>
            <w:tcW w:w="1368" w:type="pct"/>
            <w:noWrap/>
            <w:vAlign w:val="center"/>
          </w:tcPr>
          <w:p w:rsidR="00C46F26" w:rsidRPr="004C5551" w:rsidRDefault="00C46F26" w:rsidP="00C46F26">
            <w:pPr>
              <w:ind w:right="697"/>
              <w:jc w:val="right"/>
            </w:pPr>
            <w:r w:rsidRPr="004C5551">
              <w:t>64,3</w:t>
            </w:r>
          </w:p>
        </w:tc>
        <w:tc>
          <w:tcPr>
            <w:tcW w:w="1356" w:type="pct"/>
            <w:noWrap/>
            <w:vAlign w:val="center"/>
          </w:tcPr>
          <w:p w:rsidR="00C46F26" w:rsidRPr="004C5551" w:rsidRDefault="00C46F26" w:rsidP="00C46F26">
            <w:pPr>
              <w:ind w:right="697"/>
              <w:jc w:val="right"/>
            </w:pPr>
            <w:r w:rsidRPr="004C5551">
              <w:t>0,5</w:t>
            </w:r>
          </w:p>
        </w:tc>
      </w:tr>
      <w:tr w:rsidR="00C46F26" w:rsidRPr="004C5551" w:rsidTr="00C46F26">
        <w:trPr>
          <w:trHeight w:val="255"/>
          <w:jc w:val="center"/>
        </w:trPr>
        <w:tc>
          <w:tcPr>
            <w:tcW w:w="993" w:type="pct"/>
            <w:noWrap/>
            <w:vAlign w:val="center"/>
          </w:tcPr>
          <w:p w:rsidR="00C46F26" w:rsidRPr="004C5551" w:rsidRDefault="00C46F26" w:rsidP="00C46F26">
            <w:r w:rsidRPr="004C5551">
              <w:t>Banskobystrický</w:t>
            </w:r>
          </w:p>
        </w:tc>
        <w:tc>
          <w:tcPr>
            <w:tcW w:w="1283" w:type="pct"/>
            <w:noWrap/>
            <w:vAlign w:val="center"/>
          </w:tcPr>
          <w:p w:rsidR="00C46F26" w:rsidRPr="004C5551" w:rsidRDefault="00C46F26" w:rsidP="00C46F26">
            <w:pPr>
              <w:ind w:right="697"/>
              <w:jc w:val="right"/>
            </w:pPr>
            <w:r w:rsidRPr="004C5551">
              <w:t>62,7</w:t>
            </w:r>
          </w:p>
        </w:tc>
        <w:tc>
          <w:tcPr>
            <w:tcW w:w="1368" w:type="pct"/>
            <w:noWrap/>
            <w:vAlign w:val="center"/>
          </w:tcPr>
          <w:p w:rsidR="00C46F26" w:rsidRPr="004C5551" w:rsidRDefault="00C46F26" w:rsidP="00C46F26">
            <w:pPr>
              <w:ind w:right="697"/>
              <w:jc w:val="right"/>
            </w:pPr>
            <w:r w:rsidRPr="004C5551">
              <w:t>63,2</w:t>
            </w:r>
          </w:p>
        </w:tc>
        <w:tc>
          <w:tcPr>
            <w:tcW w:w="1356" w:type="pct"/>
            <w:noWrap/>
            <w:vAlign w:val="center"/>
          </w:tcPr>
          <w:p w:rsidR="00C46F26" w:rsidRPr="004C5551" w:rsidRDefault="00C46F26" w:rsidP="00C46F26">
            <w:pPr>
              <w:ind w:right="697"/>
              <w:jc w:val="right"/>
            </w:pPr>
            <w:r w:rsidRPr="004C5551">
              <w:t>0,5</w:t>
            </w:r>
          </w:p>
        </w:tc>
      </w:tr>
      <w:tr w:rsidR="00C46F26" w:rsidRPr="004C5551" w:rsidTr="00C46F26">
        <w:trPr>
          <w:trHeight w:val="255"/>
          <w:jc w:val="center"/>
        </w:trPr>
        <w:tc>
          <w:tcPr>
            <w:tcW w:w="993" w:type="pct"/>
            <w:noWrap/>
            <w:vAlign w:val="center"/>
          </w:tcPr>
          <w:p w:rsidR="00C46F26" w:rsidRPr="004C5551" w:rsidRDefault="00C46F26" w:rsidP="00C46F26">
            <w:r w:rsidRPr="004C5551">
              <w:t>Prešovský</w:t>
            </w:r>
          </w:p>
        </w:tc>
        <w:tc>
          <w:tcPr>
            <w:tcW w:w="1283" w:type="pct"/>
            <w:noWrap/>
            <w:vAlign w:val="center"/>
          </w:tcPr>
          <w:p w:rsidR="00C46F26" w:rsidRPr="004C5551" w:rsidRDefault="00C46F26" w:rsidP="00C46F26">
            <w:pPr>
              <w:ind w:right="697"/>
              <w:jc w:val="right"/>
            </w:pPr>
            <w:r w:rsidRPr="004C5551">
              <w:t>61,6</w:t>
            </w:r>
          </w:p>
        </w:tc>
        <w:tc>
          <w:tcPr>
            <w:tcW w:w="1368" w:type="pct"/>
            <w:noWrap/>
            <w:vAlign w:val="center"/>
          </w:tcPr>
          <w:p w:rsidR="00C46F26" w:rsidRPr="004C5551" w:rsidRDefault="00C46F26" w:rsidP="00C46F26">
            <w:pPr>
              <w:ind w:right="697"/>
              <w:jc w:val="right"/>
            </w:pPr>
            <w:r w:rsidRPr="004C5551">
              <w:t>62,3</w:t>
            </w:r>
          </w:p>
        </w:tc>
        <w:tc>
          <w:tcPr>
            <w:tcW w:w="1356" w:type="pct"/>
            <w:noWrap/>
            <w:vAlign w:val="center"/>
          </w:tcPr>
          <w:p w:rsidR="00C46F26" w:rsidRPr="004C5551" w:rsidRDefault="00C46F26" w:rsidP="00C46F26">
            <w:pPr>
              <w:ind w:right="697"/>
              <w:jc w:val="right"/>
            </w:pPr>
            <w:r w:rsidRPr="004C5551">
              <w:t>0,7</w:t>
            </w:r>
          </w:p>
        </w:tc>
      </w:tr>
      <w:tr w:rsidR="00C46F26" w:rsidRPr="004C5551" w:rsidTr="00C46F26">
        <w:trPr>
          <w:trHeight w:val="255"/>
          <w:jc w:val="center"/>
        </w:trPr>
        <w:tc>
          <w:tcPr>
            <w:tcW w:w="993" w:type="pct"/>
            <w:noWrap/>
            <w:vAlign w:val="center"/>
          </w:tcPr>
          <w:p w:rsidR="00C46F26" w:rsidRPr="004C5551" w:rsidRDefault="00C46F26" w:rsidP="00C46F26">
            <w:r w:rsidRPr="004C5551">
              <w:t>Košický</w:t>
            </w:r>
          </w:p>
        </w:tc>
        <w:tc>
          <w:tcPr>
            <w:tcW w:w="1283" w:type="pct"/>
            <w:noWrap/>
            <w:vAlign w:val="center"/>
          </w:tcPr>
          <w:p w:rsidR="00C46F26" w:rsidRPr="004C5551" w:rsidRDefault="00C46F26" w:rsidP="00C46F26">
            <w:pPr>
              <w:ind w:right="697"/>
              <w:jc w:val="right"/>
            </w:pPr>
            <w:r w:rsidRPr="004C5551">
              <w:t>59,4</w:t>
            </w:r>
          </w:p>
        </w:tc>
        <w:tc>
          <w:tcPr>
            <w:tcW w:w="1368" w:type="pct"/>
            <w:noWrap/>
            <w:vAlign w:val="center"/>
          </w:tcPr>
          <w:p w:rsidR="00C46F26" w:rsidRPr="004C5551" w:rsidRDefault="00C46F26" w:rsidP="00C46F26">
            <w:pPr>
              <w:ind w:right="697"/>
              <w:jc w:val="right"/>
            </w:pPr>
            <w:r w:rsidRPr="004C5551">
              <w:t>61,5</w:t>
            </w:r>
          </w:p>
        </w:tc>
        <w:tc>
          <w:tcPr>
            <w:tcW w:w="1356" w:type="pct"/>
            <w:noWrap/>
            <w:vAlign w:val="center"/>
          </w:tcPr>
          <w:p w:rsidR="00C46F26" w:rsidRPr="004C5551" w:rsidRDefault="00C46F26" w:rsidP="00C46F26">
            <w:pPr>
              <w:ind w:right="697"/>
              <w:jc w:val="right"/>
            </w:pPr>
            <w:r w:rsidRPr="004C5551">
              <w:t>2,1</w:t>
            </w:r>
          </w:p>
        </w:tc>
      </w:tr>
    </w:tbl>
    <w:p w:rsidR="00C46F26" w:rsidRPr="004C5551" w:rsidRDefault="00C46F26" w:rsidP="00EF4A41">
      <w:pPr>
        <w:pStyle w:val="zdroj"/>
      </w:pPr>
      <w:r w:rsidRPr="004C5551">
        <w:t>Zdroj: ŠÚ SR, VZPS</w:t>
      </w:r>
    </w:p>
    <w:p w:rsidR="00A966B5" w:rsidRPr="004C5551" w:rsidRDefault="00A966B5" w:rsidP="00ED16E0">
      <w:pPr>
        <w:pStyle w:val="Nadpis41"/>
      </w:pPr>
      <w:r w:rsidRPr="004C5551">
        <w:t>Zamestnanosť podľa štatistického výkazníctva</w:t>
      </w:r>
      <w:r w:rsidR="00460902" w:rsidRPr="004C5551">
        <w:t xml:space="preserve"> ŠÚ SR</w:t>
      </w:r>
    </w:p>
    <w:p w:rsidR="00C46F26" w:rsidRPr="004C5551" w:rsidRDefault="00C46F26" w:rsidP="00D6574F">
      <w:pPr>
        <w:ind w:firstLine="431"/>
      </w:pPr>
      <w:r w:rsidRPr="004C5551">
        <w:t xml:space="preserve">Podľa štvrťročného podnikového výkazníctva </w:t>
      </w:r>
      <w:r w:rsidRPr="004C5551">
        <w:rPr>
          <w:iCs/>
        </w:rPr>
        <w:t>priemerný počet zamestnaných osôb v hospodárstve SR</w:t>
      </w:r>
      <w:r w:rsidRPr="004C5551">
        <w:t xml:space="preserve"> za rok 2014 dosiahol 2 204,6 tis. osôb. V porovnaní s rokom 2013 zaznamenal rast o 1,3</w:t>
      </w:r>
      <w:r w:rsidR="009425AA" w:rsidRPr="004C5551">
        <w:t> %</w:t>
      </w:r>
      <w:r w:rsidRPr="004C5551">
        <w:t>, čo v absolútnom vyjadrení predstavovalo prírastok 28,6 tis. osôb.</w:t>
      </w:r>
    </w:p>
    <w:p w:rsidR="003412AD" w:rsidRPr="004C5551" w:rsidRDefault="00C46F26" w:rsidP="00D6574F">
      <w:pPr>
        <w:ind w:firstLine="431"/>
      </w:pPr>
      <w:r w:rsidRPr="004C5551">
        <w:t xml:space="preserve">Pokiaľ ide o </w:t>
      </w:r>
      <w:r w:rsidRPr="004C5551">
        <w:rPr>
          <w:b/>
        </w:rPr>
        <w:t>odvetvovú štruktúru</w:t>
      </w:r>
      <w:r w:rsidRPr="004C5551">
        <w:t>, z celkového počtu zamestnaných osôb SR v roku 2014 pracovalo v pôdohospodárstve 4,2</w:t>
      </w:r>
      <w:r w:rsidR="009425AA" w:rsidRPr="004C5551">
        <w:t> %</w:t>
      </w:r>
      <w:r w:rsidRPr="004C5551">
        <w:t xml:space="preserve"> (rovnako ako v roku 2013), v priemysle 22,7</w:t>
      </w:r>
      <w:r w:rsidR="009425AA" w:rsidRPr="004C5551">
        <w:t> %</w:t>
      </w:r>
      <w:r w:rsidRPr="004C5551">
        <w:t xml:space="preserve"> (oproti roku 2013 zvýšenie o 0,1 p. b.), v stavebníctve 7,1</w:t>
      </w:r>
      <w:r w:rsidR="009425AA" w:rsidRPr="004C5551">
        <w:t> %</w:t>
      </w:r>
      <w:r w:rsidRPr="004C5551">
        <w:t xml:space="preserve"> (v roku 2013 to bolo 7,3</w:t>
      </w:r>
      <w:r w:rsidR="009425AA" w:rsidRPr="004C5551">
        <w:t> %</w:t>
      </w:r>
      <w:r w:rsidRPr="004C5551">
        <w:t>) a v sektore služieb</w:t>
      </w:r>
      <w:r w:rsidR="00C918BB" w:rsidRPr="004C5551">
        <w:t xml:space="preserve"> </w:t>
      </w:r>
      <w:r w:rsidR="00003E80" w:rsidRPr="004C5551">
        <w:br/>
      </w:r>
      <w:r w:rsidRPr="004C5551">
        <w:t>66,</w:t>
      </w:r>
      <w:r w:rsidR="00AE7C24" w:rsidRPr="004C5551">
        <w:t>1</w:t>
      </w:r>
      <w:r w:rsidR="009425AA" w:rsidRPr="004C5551">
        <w:t> %</w:t>
      </w:r>
      <w:r w:rsidRPr="004C5551">
        <w:t xml:space="preserve"> (65,9</w:t>
      </w:r>
      <w:r w:rsidR="009425AA" w:rsidRPr="004C5551">
        <w:t> %</w:t>
      </w:r>
      <w:r w:rsidRPr="004C5551">
        <w:t xml:space="preserve"> v roku 2013). V rámci sektora služieb najväčší podiel na celkovej zamestnanosti malo odvetvie veľkoobchod a maloobchod, oprava motorových vozidiel (24,8</w:t>
      </w:r>
      <w:r w:rsidR="009425AA" w:rsidRPr="004C5551">
        <w:t> %</w:t>
      </w:r>
      <w:r w:rsidRPr="004C5551">
        <w:t>), ktorý sa oproti roku 2013 znížil o 0,</w:t>
      </w:r>
      <w:r w:rsidR="00AE7C24" w:rsidRPr="004C5551">
        <w:t>1</w:t>
      </w:r>
      <w:r w:rsidRPr="004C5551">
        <w:t xml:space="preserve"> p. b</w:t>
      </w:r>
      <w:r w:rsidR="00460DEB" w:rsidRPr="004C5551">
        <w:t>.</w:t>
      </w:r>
      <w:r w:rsidR="00656C70" w:rsidRPr="004C5551">
        <w:t xml:space="preserve"> </w:t>
      </w:r>
      <w:r w:rsidR="00460DEB" w:rsidRPr="004C5551">
        <w:t xml:space="preserve">(tabuľka </w:t>
      </w:r>
      <w:r w:rsidR="0096140A" w:rsidRPr="004C5551">
        <w:t>2</w:t>
      </w:r>
      <w:r w:rsidR="00460DEB" w:rsidRPr="004C5551">
        <w:t xml:space="preserve"> v </w:t>
      </w:r>
      <w:r w:rsidR="00D46EB5" w:rsidRPr="004C5551">
        <w:t>p</w:t>
      </w:r>
      <w:r w:rsidR="00460DEB" w:rsidRPr="004C5551">
        <w:t>rílohe ku kapitole 2)</w:t>
      </w:r>
    </w:p>
    <w:p w:rsidR="003412AD" w:rsidRPr="004C5551" w:rsidRDefault="003412AD" w:rsidP="003412AD">
      <w:pPr>
        <w:pStyle w:val="Nadpis7"/>
      </w:pPr>
      <w:r w:rsidRPr="004C5551">
        <w:t xml:space="preserve">Graf 2.5 Podiel zamestnancov podľa odvetvovej štruktúry </w:t>
      </w:r>
      <w:r w:rsidR="00423669" w:rsidRPr="004C5551">
        <w:t>–</w:t>
      </w:r>
      <w:r w:rsidRPr="004C5551">
        <w:t xml:space="preserve"> rok 2014</w:t>
      </w:r>
    </w:p>
    <w:p w:rsidR="00460DEB" w:rsidRPr="004C5551" w:rsidRDefault="00543CF2" w:rsidP="00460DEB">
      <w:pPr>
        <w:ind w:firstLine="431"/>
        <w:jc w:val="center"/>
      </w:pPr>
      <w:r w:rsidRPr="004C5551">
        <w:rPr>
          <w:noProof/>
        </w:rPr>
        <w:drawing>
          <wp:inline distT="0" distB="0" distL="0" distR="0" wp14:anchorId="35DAC2A4" wp14:editId="2469D18A">
            <wp:extent cx="5381625" cy="33909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12AD" w:rsidRPr="004C5551" w:rsidRDefault="003412AD" w:rsidP="003412AD">
      <w:pPr>
        <w:pStyle w:val="zdroj"/>
        <w:ind w:firstLine="0"/>
      </w:pPr>
      <w:r w:rsidRPr="004C5551">
        <w:t>Zdroj: ŠÚ SR</w:t>
      </w:r>
    </w:p>
    <w:p w:rsidR="00C46F26" w:rsidRPr="004C5551" w:rsidRDefault="00C46F26" w:rsidP="00D6574F">
      <w:pPr>
        <w:ind w:firstLine="431"/>
      </w:pPr>
      <w:r w:rsidRPr="004C5551">
        <w:t xml:space="preserve">V roku 2014 nedošlo k výraznejším posunom v štruktúre zamestnanosti </w:t>
      </w:r>
      <w:r w:rsidRPr="004C5551">
        <w:rPr>
          <w:b/>
        </w:rPr>
        <w:t>podľa veľkosti podnikov</w:t>
      </w:r>
      <w:r w:rsidRPr="004C5551">
        <w:t xml:space="preserve">. V porovnaní s rokom 2013 sa </w:t>
      </w:r>
      <w:r w:rsidR="00420C50" w:rsidRPr="004C5551">
        <w:t xml:space="preserve">zvýšila zamestnanosť vo všetkých kategóriách podnikov s menej než 500 zamestnancami aj v podnikoch s viac než 1 000 zamestnancami (v rozsahu od 1,4 % do 3,8 %), </w:t>
      </w:r>
      <w:r w:rsidRPr="004C5551">
        <w:t>v podnikoch s 500 – 999 zamestnancami a u</w:t>
      </w:r>
      <w:r w:rsidR="00420C50" w:rsidRPr="004C5551">
        <w:t> </w:t>
      </w:r>
      <w:r w:rsidRPr="004C5551">
        <w:t>živnostníkov</w:t>
      </w:r>
      <w:r w:rsidR="00420C50" w:rsidRPr="004C5551">
        <w:t xml:space="preserve"> sa zamestnanosť znížila</w:t>
      </w:r>
      <w:r w:rsidRPr="004C5551">
        <w:t xml:space="preserve">. Malé </w:t>
      </w:r>
      <w:r w:rsidR="00420C50" w:rsidRPr="004C5551">
        <w:t>a </w:t>
      </w:r>
      <w:r w:rsidRPr="004C5551">
        <w:t>stredné podniky vrátane živnostníkov sa v roku 2014 podieľali na celkovej zamestnanosti SR 70,4</w:t>
      </w:r>
      <w:r w:rsidR="009425AA" w:rsidRPr="004C5551">
        <w:t> %</w:t>
      </w:r>
      <w:r w:rsidRPr="004C5551">
        <w:t xml:space="preserve">, čo bol </w:t>
      </w:r>
      <w:r w:rsidR="00AE7C24" w:rsidRPr="004C5551">
        <w:t xml:space="preserve">takmer </w:t>
      </w:r>
      <w:r w:rsidRPr="004C5551">
        <w:t>rovnaký podiel ako v roku 2013.</w:t>
      </w:r>
    </w:p>
    <w:p w:rsidR="006775D8" w:rsidRPr="004C5551" w:rsidRDefault="006775D8" w:rsidP="005F2A7C">
      <w:pPr>
        <w:pStyle w:val="Nadpis7"/>
      </w:pPr>
      <w:bookmarkStart w:id="94" w:name="_Toc356482632"/>
      <w:r w:rsidRPr="004C5551">
        <w:t>Tabuľka 2.8 Zamestnanosť podľa veľkosti podnikov (priemer za rok)</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100"/>
        <w:gridCol w:w="1163"/>
        <w:gridCol w:w="1340"/>
        <w:gridCol w:w="1178"/>
        <w:gridCol w:w="1163"/>
        <w:gridCol w:w="1338"/>
        <w:gridCol w:w="1006"/>
      </w:tblGrid>
      <w:tr w:rsidR="006775D8" w:rsidRPr="004C5551" w:rsidTr="00D36062">
        <w:trPr>
          <w:cantSplit/>
          <w:jc w:val="center"/>
        </w:trPr>
        <w:tc>
          <w:tcPr>
            <w:tcW w:w="2099" w:type="dxa"/>
            <w:vMerge w:val="restar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Počet zamestnancov</w:t>
            </w:r>
          </w:p>
        </w:tc>
        <w:tc>
          <w:tcPr>
            <w:tcW w:w="1162" w:type="dxa"/>
            <w:shd w:val="clear" w:color="auto" w:fill="BF0000" w:themeFill="accent3" w:themeFillShade="BF"/>
            <w:vAlign w:val="center"/>
          </w:tcPr>
          <w:p w:rsidR="006775D8" w:rsidRPr="004C5551" w:rsidRDefault="006775D8" w:rsidP="00D36062">
            <w:pPr>
              <w:jc w:val="center"/>
              <w:rPr>
                <w:b/>
                <w:color w:val="FFFFFF" w:themeColor="background1"/>
              </w:rPr>
            </w:pPr>
          </w:p>
        </w:tc>
        <w:tc>
          <w:tcPr>
            <w:tcW w:w="2518" w:type="dxa"/>
            <w:gridSpan w:val="2"/>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2013</w:t>
            </w:r>
          </w:p>
        </w:tc>
        <w:tc>
          <w:tcPr>
            <w:tcW w:w="1163" w:type="dxa"/>
            <w:shd w:val="clear" w:color="auto" w:fill="BF0000" w:themeFill="accent3" w:themeFillShade="BF"/>
            <w:vAlign w:val="center"/>
          </w:tcPr>
          <w:p w:rsidR="006775D8" w:rsidRPr="004C5551" w:rsidRDefault="006775D8" w:rsidP="00D36062">
            <w:pPr>
              <w:jc w:val="center"/>
              <w:rPr>
                <w:b/>
                <w:color w:val="FFFFFF" w:themeColor="background1"/>
              </w:rPr>
            </w:pPr>
          </w:p>
        </w:tc>
        <w:tc>
          <w:tcPr>
            <w:tcW w:w="2344" w:type="dxa"/>
            <w:gridSpan w:val="2"/>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2014</w:t>
            </w:r>
          </w:p>
        </w:tc>
      </w:tr>
      <w:tr w:rsidR="006775D8" w:rsidRPr="004C5551" w:rsidTr="00D36062">
        <w:trPr>
          <w:jc w:val="center"/>
        </w:trPr>
        <w:tc>
          <w:tcPr>
            <w:tcW w:w="2099"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162" w:type="dxa"/>
            <w:vMerge w:val="restart"/>
            <w:shd w:val="clear" w:color="auto" w:fill="BF0000" w:themeFill="accent3" w:themeFillShade="BF"/>
            <w:vAlign w:val="center"/>
          </w:tcPr>
          <w:p w:rsidR="006775D8" w:rsidRPr="004C5551" w:rsidRDefault="006775D8" w:rsidP="00D36062">
            <w:pPr>
              <w:jc w:val="center"/>
              <w:rPr>
                <w:b/>
                <w:color w:val="FFFFFF" w:themeColor="background1"/>
              </w:rPr>
            </w:pPr>
          </w:p>
          <w:p w:rsidR="006775D8" w:rsidRPr="004C5551" w:rsidRDefault="006775D8" w:rsidP="00D36062">
            <w:pPr>
              <w:jc w:val="center"/>
              <w:rPr>
                <w:b/>
                <w:color w:val="FFFFFF" w:themeColor="background1"/>
              </w:rPr>
            </w:pPr>
            <w:r w:rsidRPr="004C5551">
              <w:rPr>
                <w:b/>
                <w:color w:val="FFFFFF" w:themeColor="background1"/>
              </w:rPr>
              <w:t>Osoby</w:t>
            </w:r>
          </w:p>
          <w:p w:rsidR="006775D8" w:rsidRPr="004C5551" w:rsidRDefault="006775D8" w:rsidP="00D36062">
            <w:pPr>
              <w:jc w:val="center"/>
              <w:rPr>
                <w:b/>
                <w:color w:val="FFFFFF" w:themeColor="background1"/>
                <w:lang w:eastAsia="cs-CZ"/>
              </w:rPr>
            </w:pPr>
          </w:p>
        </w:tc>
        <w:tc>
          <w:tcPr>
            <w:tcW w:w="2518" w:type="dxa"/>
            <w:gridSpan w:val="2"/>
            <w:shd w:val="clear" w:color="auto" w:fill="BF0000" w:themeFill="accent3" w:themeFillShade="BF"/>
            <w:vAlign w:val="center"/>
          </w:tcPr>
          <w:p w:rsidR="006775D8" w:rsidRPr="004C5551" w:rsidRDefault="006775D8" w:rsidP="00D36062">
            <w:pPr>
              <w:jc w:val="center"/>
              <w:rPr>
                <w:b/>
                <w:color w:val="FFFFFF" w:themeColor="background1"/>
              </w:rPr>
            </w:pPr>
          </w:p>
        </w:tc>
        <w:tc>
          <w:tcPr>
            <w:tcW w:w="1163" w:type="dxa"/>
            <w:vMerge w:val="restart"/>
            <w:shd w:val="clear" w:color="auto" w:fill="BF0000" w:themeFill="accent3" w:themeFillShade="BF"/>
          </w:tcPr>
          <w:p w:rsidR="006775D8" w:rsidRPr="004C5551" w:rsidRDefault="006775D8" w:rsidP="00D36062">
            <w:pPr>
              <w:jc w:val="center"/>
              <w:rPr>
                <w:b/>
                <w:color w:val="FFFFFF" w:themeColor="background1"/>
              </w:rPr>
            </w:pPr>
          </w:p>
          <w:p w:rsidR="006775D8" w:rsidRPr="004C5551" w:rsidRDefault="006775D8" w:rsidP="00D36062">
            <w:pPr>
              <w:jc w:val="center"/>
              <w:rPr>
                <w:b/>
                <w:color w:val="FFFFFF" w:themeColor="background1"/>
              </w:rPr>
            </w:pPr>
            <w:r w:rsidRPr="004C5551">
              <w:rPr>
                <w:b/>
                <w:color w:val="FFFFFF" w:themeColor="background1"/>
              </w:rPr>
              <w:t>Osoby</w:t>
            </w:r>
          </w:p>
        </w:tc>
        <w:tc>
          <w:tcPr>
            <w:tcW w:w="2344" w:type="dxa"/>
            <w:gridSpan w:val="2"/>
            <w:shd w:val="clear" w:color="auto" w:fill="BF0000" w:themeFill="accent3" w:themeFillShade="BF"/>
            <w:vAlign w:val="center"/>
          </w:tcPr>
          <w:p w:rsidR="006775D8" w:rsidRPr="004C5551" w:rsidRDefault="006775D8" w:rsidP="00D36062">
            <w:pPr>
              <w:jc w:val="center"/>
              <w:rPr>
                <w:b/>
                <w:color w:val="FFFFFF" w:themeColor="background1"/>
              </w:rPr>
            </w:pPr>
          </w:p>
        </w:tc>
      </w:tr>
      <w:tr w:rsidR="006775D8" w:rsidRPr="004C5551" w:rsidTr="00D36062">
        <w:trPr>
          <w:jc w:val="center"/>
        </w:trPr>
        <w:tc>
          <w:tcPr>
            <w:tcW w:w="2099"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162"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340"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Index 2013/2012</w:t>
            </w:r>
          </w:p>
        </w:tc>
        <w:tc>
          <w:tcPr>
            <w:tcW w:w="1178"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Podiel v</w:t>
            </w:r>
            <w:r w:rsidR="009425AA" w:rsidRPr="004C5551">
              <w:rPr>
                <w:b/>
                <w:color w:val="FFFFFF" w:themeColor="background1"/>
              </w:rPr>
              <w:t> %</w:t>
            </w:r>
          </w:p>
        </w:tc>
        <w:tc>
          <w:tcPr>
            <w:tcW w:w="1163"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338"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Index 2014/2013</w:t>
            </w:r>
          </w:p>
        </w:tc>
        <w:tc>
          <w:tcPr>
            <w:tcW w:w="1006"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Podiel v</w:t>
            </w:r>
            <w:r w:rsidR="009425AA" w:rsidRPr="004C5551">
              <w:rPr>
                <w:b/>
                <w:color w:val="FFFFFF" w:themeColor="background1"/>
              </w:rPr>
              <w:t> %</w:t>
            </w:r>
          </w:p>
        </w:tc>
      </w:tr>
      <w:tr w:rsidR="006775D8" w:rsidRPr="004C5551" w:rsidTr="00D36062">
        <w:trPr>
          <w:jc w:val="center"/>
        </w:trPr>
        <w:tc>
          <w:tcPr>
            <w:tcW w:w="2099" w:type="dxa"/>
            <w:vAlign w:val="center"/>
          </w:tcPr>
          <w:p w:rsidR="006775D8" w:rsidRPr="004C5551" w:rsidRDefault="006775D8" w:rsidP="00D36062">
            <w:r w:rsidRPr="004C5551">
              <w:t>0 – 19</w:t>
            </w:r>
          </w:p>
        </w:tc>
        <w:tc>
          <w:tcPr>
            <w:tcW w:w="1162" w:type="dxa"/>
            <w:vAlign w:val="center"/>
          </w:tcPr>
          <w:p w:rsidR="006775D8" w:rsidRPr="004C5551" w:rsidRDefault="006775D8" w:rsidP="00D36062">
            <w:pPr>
              <w:jc w:val="right"/>
            </w:pPr>
            <w:r w:rsidRPr="004C5551">
              <w:t>315 697</w:t>
            </w:r>
          </w:p>
        </w:tc>
        <w:tc>
          <w:tcPr>
            <w:tcW w:w="1340" w:type="dxa"/>
            <w:vAlign w:val="center"/>
          </w:tcPr>
          <w:p w:rsidR="006775D8" w:rsidRPr="004C5551" w:rsidRDefault="006775D8" w:rsidP="00D36062">
            <w:pPr>
              <w:jc w:val="right"/>
            </w:pPr>
            <w:r w:rsidRPr="004C5551">
              <w:t>94,2</w:t>
            </w:r>
          </w:p>
        </w:tc>
        <w:tc>
          <w:tcPr>
            <w:tcW w:w="1178" w:type="dxa"/>
            <w:vAlign w:val="center"/>
          </w:tcPr>
          <w:p w:rsidR="006775D8" w:rsidRPr="004C5551" w:rsidRDefault="006775D8" w:rsidP="00D36062">
            <w:pPr>
              <w:jc w:val="right"/>
            </w:pPr>
            <w:r w:rsidRPr="004C5551">
              <w:t>14,5</w:t>
            </w:r>
          </w:p>
        </w:tc>
        <w:tc>
          <w:tcPr>
            <w:tcW w:w="1163" w:type="dxa"/>
            <w:vAlign w:val="center"/>
          </w:tcPr>
          <w:p w:rsidR="006775D8" w:rsidRPr="004C5551" w:rsidRDefault="006775D8" w:rsidP="00D36062">
            <w:pPr>
              <w:jc w:val="right"/>
            </w:pPr>
            <w:r w:rsidRPr="004C5551">
              <w:t>325 814</w:t>
            </w:r>
          </w:p>
        </w:tc>
        <w:tc>
          <w:tcPr>
            <w:tcW w:w="1338" w:type="dxa"/>
            <w:vAlign w:val="center"/>
          </w:tcPr>
          <w:p w:rsidR="006775D8" w:rsidRPr="004C5551" w:rsidRDefault="006775D8" w:rsidP="00D36062">
            <w:pPr>
              <w:jc w:val="right"/>
            </w:pPr>
            <w:r w:rsidRPr="004C5551">
              <w:t>103,2</w:t>
            </w:r>
          </w:p>
        </w:tc>
        <w:tc>
          <w:tcPr>
            <w:tcW w:w="1006" w:type="dxa"/>
            <w:vAlign w:val="center"/>
          </w:tcPr>
          <w:p w:rsidR="006775D8" w:rsidRPr="004C5551" w:rsidRDefault="006775D8" w:rsidP="00D36062">
            <w:pPr>
              <w:jc w:val="right"/>
            </w:pPr>
            <w:r w:rsidRPr="004C5551">
              <w:t>14,8</w:t>
            </w:r>
          </w:p>
        </w:tc>
      </w:tr>
      <w:tr w:rsidR="006775D8" w:rsidRPr="004C5551" w:rsidTr="00D36062">
        <w:trPr>
          <w:jc w:val="center"/>
        </w:trPr>
        <w:tc>
          <w:tcPr>
            <w:tcW w:w="2099" w:type="dxa"/>
            <w:vAlign w:val="center"/>
          </w:tcPr>
          <w:p w:rsidR="006775D8" w:rsidRPr="004C5551" w:rsidRDefault="006775D8" w:rsidP="00D36062">
            <w:r w:rsidRPr="004C5551">
              <w:t>20 – 49</w:t>
            </w:r>
          </w:p>
        </w:tc>
        <w:tc>
          <w:tcPr>
            <w:tcW w:w="1162" w:type="dxa"/>
            <w:vAlign w:val="center"/>
          </w:tcPr>
          <w:p w:rsidR="006775D8" w:rsidRPr="004C5551" w:rsidRDefault="006775D8" w:rsidP="00D36062">
            <w:pPr>
              <w:jc w:val="right"/>
            </w:pPr>
            <w:r w:rsidRPr="004C5551">
              <w:t>199 742</w:t>
            </w:r>
          </w:p>
        </w:tc>
        <w:tc>
          <w:tcPr>
            <w:tcW w:w="1340" w:type="dxa"/>
            <w:vAlign w:val="center"/>
          </w:tcPr>
          <w:p w:rsidR="006775D8" w:rsidRPr="004C5551" w:rsidRDefault="006775D8" w:rsidP="00D36062">
            <w:pPr>
              <w:jc w:val="right"/>
            </w:pPr>
            <w:r w:rsidRPr="004C5551">
              <w:t>109,2</w:t>
            </w:r>
          </w:p>
        </w:tc>
        <w:tc>
          <w:tcPr>
            <w:tcW w:w="1178" w:type="dxa"/>
            <w:vAlign w:val="center"/>
          </w:tcPr>
          <w:p w:rsidR="006775D8" w:rsidRPr="004C5551" w:rsidRDefault="006775D8" w:rsidP="00D36062">
            <w:pPr>
              <w:jc w:val="right"/>
            </w:pPr>
            <w:r w:rsidRPr="004C5551">
              <w:t>9,2</w:t>
            </w:r>
          </w:p>
        </w:tc>
        <w:tc>
          <w:tcPr>
            <w:tcW w:w="1163" w:type="dxa"/>
            <w:vAlign w:val="center"/>
          </w:tcPr>
          <w:p w:rsidR="006775D8" w:rsidRPr="004C5551" w:rsidRDefault="006775D8" w:rsidP="00D36062">
            <w:pPr>
              <w:jc w:val="right"/>
            </w:pPr>
            <w:r w:rsidRPr="004C5551">
              <w:t>204 973</w:t>
            </w:r>
          </w:p>
        </w:tc>
        <w:tc>
          <w:tcPr>
            <w:tcW w:w="1338" w:type="dxa"/>
            <w:vAlign w:val="center"/>
          </w:tcPr>
          <w:p w:rsidR="006775D8" w:rsidRPr="004C5551" w:rsidRDefault="006775D8" w:rsidP="00D36062">
            <w:pPr>
              <w:jc w:val="right"/>
            </w:pPr>
            <w:r w:rsidRPr="004C5551">
              <w:t>102,6</w:t>
            </w:r>
          </w:p>
        </w:tc>
        <w:tc>
          <w:tcPr>
            <w:tcW w:w="1006" w:type="dxa"/>
            <w:vAlign w:val="center"/>
          </w:tcPr>
          <w:p w:rsidR="006775D8" w:rsidRPr="004C5551" w:rsidRDefault="006775D8" w:rsidP="00D36062">
            <w:pPr>
              <w:jc w:val="right"/>
            </w:pPr>
            <w:r w:rsidRPr="004C5551">
              <w:t>9,3</w:t>
            </w:r>
          </w:p>
        </w:tc>
      </w:tr>
      <w:tr w:rsidR="006775D8" w:rsidRPr="004C5551" w:rsidTr="00D36062">
        <w:trPr>
          <w:jc w:val="center"/>
        </w:trPr>
        <w:tc>
          <w:tcPr>
            <w:tcW w:w="2099" w:type="dxa"/>
            <w:vAlign w:val="center"/>
          </w:tcPr>
          <w:p w:rsidR="006775D8" w:rsidRPr="004C5551" w:rsidRDefault="006775D8" w:rsidP="00D36062">
            <w:r w:rsidRPr="004C5551">
              <w:t>50 – 249</w:t>
            </w:r>
          </w:p>
        </w:tc>
        <w:tc>
          <w:tcPr>
            <w:tcW w:w="1162" w:type="dxa"/>
            <w:vAlign w:val="center"/>
          </w:tcPr>
          <w:p w:rsidR="006775D8" w:rsidRPr="004C5551" w:rsidRDefault="006775D8" w:rsidP="00D36062">
            <w:pPr>
              <w:jc w:val="right"/>
            </w:pPr>
            <w:r w:rsidRPr="004C5551">
              <w:t>366 940</w:t>
            </w:r>
          </w:p>
        </w:tc>
        <w:tc>
          <w:tcPr>
            <w:tcW w:w="1340" w:type="dxa"/>
            <w:vAlign w:val="center"/>
          </w:tcPr>
          <w:p w:rsidR="006775D8" w:rsidRPr="004C5551" w:rsidRDefault="006775D8" w:rsidP="00D36062">
            <w:pPr>
              <w:jc w:val="right"/>
            </w:pPr>
            <w:r w:rsidRPr="004C5551">
              <w:t>98,1</w:t>
            </w:r>
          </w:p>
        </w:tc>
        <w:tc>
          <w:tcPr>
            <w:tcW w:w="1178" w:type="dxa"/>
            <w:vAlign w:val="center"/>
          </w:tcPr>
          <w:p w:rsidR="006775D8" w:rsidRPr="004C5551" w:rsidRDefault="006775D8" w:rsidP="00D36062">
            <w:pPr>
              <w:jc w:val="right"/>
            </w:pPr>
            <w:r w:rsidRPr="004C5551">
              <w:t>16,9</w:t>
            </w:r>
          </w:p>
        </w:tc>
        <w:tc>
          <w:tcPr>
            <w:tcW w:w="1163" w:type="dxa"/>
            <w:vAlign w:val="center"/>
          </w:tcPr>
          <w:p w:rsidR="006775D8" w:rsidRPr="004C5551" w:rsidRDefault="006775D8" w:rsidP="00D36062">
            <w:pPr>
              <w:jc w:val="right"/>
            </w:pPr>
            <w:r w:rsidRPr="004C5551">
              <w:t>379 596</w:t>
            </w:r>
          </w:p>
        </w:tc>
        <w:tc>
          <w:tcPr>
            <w:tcW w:w="1338" w:type="dxa"/>
            <w:vAlign w:val="center"/>
          </w:tcPr>
          <w:p w:rsidR="006775D8" w:rsidRPr="004C5551" w:rsidRDefault="006775D8" w:rsidP="00D36062">
            <w:pPr>
              <w:jc w:val="right"/>
            </w:pPr>
            <w:r w:rsidRPr="004C5551">
              <w:t>103,4</w:t>
            </w:r>
          </w:p>
        </w:tc>
        <w:tc>
          <w:tcPr>
            <w:tcW w:w="1006" w:type="dxa"/>
            <w:vAlign w:val="center"/>
          </w:tcPr>
          <w:p w:rsidR="006775D8" w:rsidRPr="004C5551" w:rsidRDefault="006775D8" w:rsidP="00D36062">
            <w:pPr>
              <w:jc w:val="right"/>
            </w:pPr>
            <w:r w:rsidRPr="004C5551">
              <w:t>17,2</w:t>
            </w:r>
          </w:p>
        </w:tc>
      </w:tr>
      <w:tr w:rsidR="006775D8" w:rsidRPr="004C5551" w:rsidTr="00D36062">
        <w:trPr>
          <w:jc w:val="center"/>
        </w:trPr>
        <w:tc>
          <w:tcPr>
            <w:tcW w:w="2099" w:type="dxa"/>
            <w:vAlign w:val="center"/>
          </w:tcPr>
          <w:p w:rsidR="006775D8" w:rsidRPr="004C5551" w:rsidRDefault="006775D8" w:rsidP="00D36062">
            <w:r w:rsidRPr="004C5551">
              <w:t>250 – 499</w:t>
            </w:r>
          </w:p>
        </w:tc>
        <w:tc>
          <w:tcPr>
            <w:tcW w:w="1162" w:type="dxa"/>
            <w:vAlign w:val="center"/>
          </w:tcPr>
          <w:p w:rsidR="006775D8" w:rsidRPr="004C5551" w:rsidRDefault="006775D8" w:rsidP="00D36062">
            <w:pPr>
              <w:jc w:val="right"/>
            </w:pPr>
            <w:r w:rsidRPr="004C5551">
              <w:t>135 802</w:t>
            </w:r>
          </w:p>
        </w:tc>
        <w:tc>
          <w:tcPr>
            <w:tcW w:w="1340" w:type="dxa"/>
            <w:vAlign w:val="center"/>
          </w:tcPr>
          <w:p w:rsidR="006775D8" w:rsidRPr="004C5551" w:rsidRDefault="006775D8" w:rsidP="00D36062">
            <w:pPr>
              <w:jc w:val="right"/>
            </w:pPr>
            <w:r w:rsidRPr="004C5551">
              <w:t>97,8</w:t>
            </w:r>
          </w:p>
        </w:tc>
        <w:tc>
          <w:tcPr>
            <w:tcW w:w="1178" w:type="dxa"/>
            <w:vAlign w:val="center"/>
          </w:tcPr>
          <w:p w:rsidR="006775D8" w:rsidRPr="004C5551" w:rsidRDefault="006775D8" w:rsidP="00D36062">
            <w:pPr>
              <w:jc w:val="right"/>
            </w:pPr>
            <w:r w:rsidRPr="004C5551">
              <w:t>6,2</w:t>
            </w:r>
          </w:p>
        </w:tc>
        <w:tc>
          <w:tcPr>
            <w:tcW w:w="1163" w:type="dxa"/>
            <w:vAlign w:val="center"/>
          </w:tcPr>
          <w:p w:rsidR="006775D8" w:rsidRPr="004C5551" w:rsidRDefault="006775D8" w:rsidP="00D36062">
            <w:pPr>
              <w:jc w:val="right"/>
            </w:pPr>
            <w:r w:rsidRPr="004C5551">
              <w:t>140 964</w:t>
            </w:r>
          </w:p>
        </w:tc>
        <w:tc>
          <w:tcPr>
            <w:tcW w:w="1338" w:type="dxa"/>
            <w:vAlign w:val="center"/>
          </w:tcPr>
          <w:p w:rsidR="006775D8" w:rsidRPr="004C5551" w:rsidRDefault="006775D8" w:rsidP="00D36062">
            <w:pPr>
              <w:jc w:val="right"/>
            </w:pPr>
            <w:r w:rsidRPr="004C5551">
              <w:t>103,8</w:t>
            </w:r>
          </w:p>
        </w:tc>
        <w:tc>
          <w:tcPr>
            <w:tcW w:w="1006" w:type="dxa"/>
            <w:vAlign w:val="center"/>
          </w:tcPr>
          <w:p w:rsidR="006775D8" w:rsidRPr="004C5551" w:rsidRDefault="006775D8" w:rsidP="00D36062">
            <w:pPr>
              <w:jc w:val="right"/>
            </w:pPr>
            <w:r w:rsidRPr="004C5551">
              <w:t>6,4</w:t>
            </w:r>
          </w:p>
        </w:tc>
      </w:tr>
      <w:tr w:rsidR="006775D8" w:rsidRPr="004C5551" w:rsidTr="00D36062">
        <w:trPr>
          <w:jc w:val="center"/>
        </w:trPr>
        <w:tc>
          <w:tcPr>
            <w:tcW w:w="2099" w:type="dxa"/>
            <w:vAlign w:val="center"/>
          </w:tcPr>
          <w:p w:rsidR="006775D8" w:rsidRPr="004C5551" w:rsidRDefault="006775D8" w:rsidP="00D36062">
            <w:r w:rsidRPr="004C5551">
              <w:t>500 – 999</w:t>
            </w:r>
          </w:p>
        </w:tc>
        <w:tc>
          <w:tcPr>
            <w:tcW w:w="1162" w:type="dxa"/>
            <w:vAlign w:val="center"/>
          </w:tcPr>
          <w:p w:rsidR="006775D8" w:rsidRPr="004C5551" w:rsidRDefault="006775D8" w:rsidP="00D36062">
            <w:pPr>
              <w:jc w:val="right"/>
            </w:pPr>
            <w:r w:rsidRPr="004C5551">
              <w:t>143 641</w:t>
            </w:r>
          </w:p>
        </w:tc>
        <w:tc>
          <w:tcPr>
            <w:tcW w:w="1340" w:type="dxa"/>
            <w:vAlign w:val="center"/>
          </w:tcPr>
          <w:p w:rsidR="006775D8" w:rsidRPr="004C5551" w:rsidRDefault="006775D8" w:rsidP="00D36062">
            <w:pPr>
              <w:jc w:val="right"/>
            </w:pPr>
            <w:r w:rsidRPr="004C5551">
              <w:t>102,2</w:t>
            </w:r>
          </w:p>
        </w:tc>
        <w:tc>
          <w:tcPr>
            <w:tcW w:w="1178" w:type="dxa"/>
            <w:vAlign w:val="center"/>
          </w:tcPr>
          <w:p w:rsidR="006775D8" w:rsidRPr="004C5551" w:rsidRDefault="006775D8" w:rsidP="00D36062">
            <w:pPr>
              <w:jc w:val="right"/>
            </w:pPr>
            <w:r w:rsidRPr="004C5551">
              <w:t>6,6</w:t>
            </w:r>
          </w:p>
        </w:tc>
        <w:tc>
          <w:tcPr>
            <w:tcW w:w="1163" w:type="dxa"/>
            <w:vAlign w:val="center"/>
          </w:tcPr>
          <w:p w:rsidR="006775D8" w:rsidRPr="004C5551" w:rsidRDefault="006775D8" w:rsidP="00D36062">
            <w:pPr>
              <w:jc w:val="right"/>
            </w:pPr>
            <w:r w:rsidRPr="004C5551">
              <w:t>140 036</w:t>
            </w:r>
          </w:p>
        </w:tc>
        <w:tc>
          <w:tcPr>
            <w:tcW w:w="1338" w:type="dxa"/>
            <w:vAlign w:val="center"/>
          </w:tcPr>
          <w:p w:rsidR="006775D8" w:rsidRPr="004C5551" w:rsidRDefault="006775D8" w:rsidP="00D36062">
            <w:pPr>
              <w:jc w:val="right"/>
            </w:pPr>
            <w:r w:rsidRPr="004C5551">
              <w:t>97,5</w:t>
            </w:r>
          </w:p>
        </w:tc>
        <w:tc>
          <w:tcPr>
            <w:tcW w:w="1006" w:type="dxa"/>
            <w:vAlign w:val="center"/>
          </w:tcPr>
          <w:p w:rsidR="006775D8" w:rsidRPr="004C5551" w:rsidRDefault="006775D8" w:rsidP="00D36062">
            <w:pPr>
              <w:jc w:val="right"/>
            </w:pPr>
            <w:r w:rsidRPr="004C5551">
              <w:t>6,4</w:t>
            </w:r>
          </w:p>
        </w:tc>
      </w:tr>
      <w:tr w:rsidR="006775D8" w:rsidRPr="004C5551" w:rsidTr="00D36062">
        <w:trPr>
          <w:jc w:val="center"/>
        </w:trPr>
        <w:tc>
          <w:tcPr>
            <w:tcW w:w="2099" w:type="dxa"/>
            <w:vAlign w:val="center"/>
          </w:tcPr>
          <w:p w:rsidR="006775D8" w:rsidRPr="004C5551" w:rsidRDefault="006775D8" w:rsidP="00D36062">
            <w:r w:rsidRPr="004C5551">
              <w:t>1 000 a viac</w:t>
            </w:r>
          </w:p>
        </w:tc>
        <w:tc>
          <w:tcPr>
            <w:tcW w:w="1162" w:type="dxa"/>
            <w:vAlign w:val="center"/>
          </w:tcPr>
          <w:p w:rsidR="006775D8" w:rsidRPr="004C5551" w:rsidRDefault="006775D8" w:rsidP="00D36062">
            <w:pPr>
              <w:jc w:val="right"/>
            </w:pPr>
            <w:r w:rsidRPr="004C5551">
              <w:t>366 483</w:t>
            </w:r>
          </w:p>
        </w:tc>
        <w:tc>
          <w:tcPr>
            <w:tcW w:w="1340" w:type="dxa"/>
            <w:vAlign w:val="center"/>
          </w:tcPr>
          <w:p w:rsidR="006775D8" w:rsidRPr="004C5551" w:rsidRDefault="006775D8" w:rsidP="00D36062">
            <w:pPr>
              <w:jc w:val="right"/>
            </w:pPr>
            <w:r w:rsidRPr="004C5551">
              <w:t>100,0</w:t>
            </w:r>
          </w:p>
        </w:tc>
        <w:tc>
          <w:tcPr>
            <w:tcW w:w="1178" w:type="dxa"/>
            <w:vAlign w:val="center"/>
          </w:tcPr>
          <w:p w:rsidR="006775D8" w:rsidRPr="004C5551" w:rsidRDefault="006775D8" w:rsidP="00D36062">
            <w:pPr>
              <w:jc w:val="right"/>
            </w:pPr>
            <w:r w:rsidRPr="004C5551">
              <w:t>16,8</w:t>
            </w:r>
          </w:p>
        </w:tc>
        <w:tc>
          <w:tcPr>
            <w:tcW w:w="1163" w:type="dxa"/>
            <w:vAlign w:val="center"/>
          </w:tcPr>
          <w:p w:rsidR="006775D8" w:rsidRPr="004C5551" w:rsidRDefault="006775D8" w:rsidP="00D36062">
            <w:pPr>
              <w:jc w:val="right"/>
            </w:pPr>
            <w:r w:rsidRPr="004C5551">
              <w:t>371 763</w:t>
            </w:r>
          </w:p>
        </w:tc>
        <w:tc>
          <w:tcPr>
            <w:tcW w:w="1338" w:type="dxa"/>
            <w:vAlign w:val="center"/>
          </w:tcPr>
          <w:p w:rsidR="006775D8" w:rsidRPr="004C5551" w:rsidRDefault="006775D8" w:rsidP="00D36062">
            <w:pPr>
              <w:jc w:val="right"/>
            </w:pPr>
            <w:r w:rsidRPr="004C5551">
              <w:t>101,4</w:t>
            </w:r>
          </w:p>
        </w:tc>
        <w:tc>
          <w:tcPr>
            <w:tcW w:w="1006" w:type="dxa"/>
            <w:vAlign w:val="center"/>
          </w:tcPr>
          <w:p w:rsidR="006775D8" w:rsidRPr="004C5551" w:rsidRDefault="006775D8" w:rsidP="00D36062">
            <w:pPr>
              <w:jc w:val="right"/>
            </w:pPr>
            <w:r w:rsidRPr="004C5551">
              <w:t>16,9</w:t>
            </w:r>
          </w:p>
        </w:tc>
      </w:tr>
      <w:tr w:rsidR="006775D8" w:rsidRPr="004C5551" w:rsidTr="00D36062">
        <w:trPr>
          <w:jc w:val="center"/>
        </w:trPr>
        <w:tc>
          <w:tcPr>
            <w:tcW w:w="2099" w:type="dxa"/>
            <w:vAlign w:val="center"/>
          </w:tcPr>
          <w:p w:rsidR="006775D8" w:rsidRPr="004C5551" w:rsidRDefault="006775D8" w:rsidP="00D36062">
            <w:r w:rsidRPr="004C5551">
              <w:t>Živnostníci (odhad)</w:t>
            </w:r>
          </w:p>
        </w:tc>
        <w:tc>
          <w:tcPr>
            <w:tcW w:w="1162" w:type="dxa"/>
            <w:vAlign w:val="center"/>
          </w:tcPr>
          <w:p w:rsidR="006775D8" w:rsidRPr="004C5551" w:rsidRDefault="006775D8" w:rsidP="00D36062">
            <w:pPr>
              <w:jc w:val="right"/>
            </w:pPr>
            <w:r w:rsidRPr="004C5551">
              <w:t>647 750</w:t>
            </w:r>
          </w:p>
        </w:tc>
        <w:tc>
          <w:tcPr>
            <w:tcW w:w="1340" w:type="dxa"/>
            <w:vAlign w:val="center"/>
          </w:tcPr>
          <w:p w:rsidR="006775D8" w:rsidRPr="004C5551" w:rsidRDefault="006775D8" w:rsidP="00D36062">
            <w:pPr>
              <w:jc w:val="right"/>
            </w:pPr>
            <w:r w:rsidRPr="004C5551">
              <w:t>99,2</w:t>
            </w:r>
          </w:p>
        </w:tc>
        <w:tc>
          <w:tcPr>
            <w:tcW w:w="1178" w:type="dxa"/>
            <w:vAlign w:val="center"/>
          </w:tcPr>
          <w:p w:rsidR="006775D8" w:rsidRPr="004C5551" w:rsidRDefault="006775D8" w:rsidP="00D36062">
            <w:pPr>
              <w:jc w:val="right"/>
            </w:pPr>
            <w:r w:rsidRPr="004C5551">
              <w:t>29,8</w:t>
            </w:r>
          </w:p>
        </w:tc>
        <w:tc>
          <w:tcPr>
            <w:tcW w:w="1163" w:type="dxa"/>
            <w:vAlign w:val="center"/>
          </w:tcPr>
          <w:p w:rsidR="006775D8" w:rsidRPr="004C5551" w:rsidRDefault="006775D8" w:rsidP="00D36062">
            <w:pPr>
              <w:jc w:val="right"/>
            </w:pPr>
            <w:r w:rsidRPr="004C5551">
              <w:t>641 500</w:t>
            </w:r>
          </w:p>
        </w:tc>
        <w:tc>
          <w:tcPr>
            <w:tcW w:w="1338" w:type="dxa"/>
            <w:vAlign w:val="center"/>
          </w:tcPr>
          <w:p w:rsidR="006775D8" w:rsidRPr="004C5551" w:rsidRDefault="006775D8" w:rsidP="00D36062">
            <w:pPr>
              <w:jc w:val="right"/>
            </w:pPr>
            <w:r w:rsidRPr="004C5551">
              <w:t>99,0</w:t>
            </w:r>
          </w:p>
        </w:tc>
        <w:tc>
          <w:tcPr>
            <w:tcW w:w="1006" w:type="dxa"/>
            <w:vAlign w:val="center"/>
          </w:tcPr>
          <w:p w:rsidR="006775D8" w:rsidRPr="004C5551" w:rsidRDefault="006775D8" w:rsidP="00D36062">
            <w:pPr>
              <w:jc w:val="right"/>
            </w:pPr>
            <w:r w:rsidRPr="004C5551">
              <w:t>29,1</w:t>
            </w:r>
          </w:p>
        </w:tc>
      </w:tr>
      <w:tr w:rsidR="006775D8" w:rsidRPr="004C5551" w:rsidTr="00D36062">
        <w:trPr>
          <w:jc w:val="center"/>
        </w:trPr>
        <w:tc>
          <w:tcPr>
            <w:tcW w:w="2099" w:type="dxa"/>
            <w:vAlign w:val="center"/>
          </w:tcPr>
          <w:p w:rsidR="006775D8" w:rsidRPr="004C5551" w:rsidRDefault="006775D8" w:rsidP="00D36062">
            <w:pPr>
              <w:rPr>
                <w:b/>
              </w:rPr>
            </w:pPr>
            <w:r w:rsidRPr="004C5551">
              <w:rPr>
                <w:b/>
              </w:rPr>
              <w:t>Spolu</w:t>
            </w:r>
          </w:p>
        </w:tc>
        <w:tc>
          <w:tcPr>
            <w:tcW w:w="1162" w:type="dxa"/>
            <w:vAlign w:val="center"/>
          </w:tcPr>
          <w:p w:rsidR="006775D8" w:rsidRPr="004C5551" w:rsidRDefault="006775D8" w:rsidP="00D36062">
            <w:pPr>
              <w:jc w:val="right"/>
              <w:rPr>
                <w:b/>
              </w:rPr>
            </w:pPr>
            <w:r w:rsidRPr="004C5551">
              <w:rPr>
                <w:b/>
              </w:rPr>
              <w:t>2 176 053</w:t>
            </w:r>
          </w:p>
        </w:tc>
        <w:tc>
          <w:tcPr>
            <w:tcW w:w="1340" w:type="dxa"/>
            <w:vAlign w:val="center"/>
          </w:tcPr>
          <w:p w:rsidR="006775D8" w:rsidRPr="004C5551" w:rsidRDefault="006775D8" w:rsidP="00D36062">
            <w:pPr>
              <w:jc w:val="right"/>
              <w:rPr>
                <w:b/>
              </w:rPr>
            </w:pPr>
            <w:r w:rsidRPr="004C5551">
              <w:rPr>
                <w:b/>
              </w:rPr>
              <w:t>99,3</w:t>
            </w:r>
          </w:p>
        </w:tc>
        <w:tc>
          <w:tcPr>
            <w:tcW w:w="1178" w:type="dxa"/>
            <w:vAlign w:val="center"/>
          </w:tcPr>
          <w:p w:rsidR="006775D8" w:rsidRPr="004C5551" w:rsidRDefault="006775D8" w:rsidP="00D36062">
            <w:pPr>
              <w:jc w:val="right"/>
              <w:rPr>
                <w:b/>
              </w:rPr>
            </w:pPr>
            <w:r w:rsidRPr="004C5551">
              <w:rPr>
                <w:b/>
              </w:rPr>
              <w:t>100,0</w:t>
            </w:r>
          </w:p>
        </w:tc>
        <w:tc>
          <w:tcPr>
            <w:tcW w:w="1163" w:type="dxa"/>
            <w:vAlign w:val="center"/>
          </w:tcPr>
          <w:p w:rsidR="006775D8" w:rsidRPr="004C5551" w:rsidRDefault="006775D8" w:rsidP="00D36062">
            <w:pPr>
              <w:jc w:val="right"/>
              <w:rPr>
                <w:b/>
              </w:rPr>
            </w:pPr>
            <w:r w:rsidRPr="004C5551">
              <w:rPr>
                <w:b/>
              </w:rPr>
              <w:t>2 204 646</w:t>
            </w:r>
          </w:p>
        </w:tc>
        <w:tc>
          <w:tcPr>
            <w:tcW w:w="1338" w:type="dxa"/>
            <w:vAlign w:val="center"/>
          </w:tcPr>
          <w:p w:rsidR="006775D8" w:rsidRPr="004C5551" w:rsidRDefault="006775D8" w:rsidP="00D36062">
            <w:pPr>
              <w:jc w:val="right"/>
              <w:rPr>
                <w:b/>
              </w:rPr>
            </w:pPr>
            <w:r w:rsidRPr="004C5551">
              <w:rPr>
                <w:b/>
              </w:rPr>
              <w:t>101,3</w:t>
            </w:r>
          </w:p>
        </w:tc>
        <w:tc>
          <w:tcPr>
            <w:tcW w:w="1006" w:type="dxa"/>
            <w:vAlign w:val="center"/>
          </w:tcPr>
          <w:p w:rsidR="006775D8" w:rsidRPr="004C5551" w:rsidRDefault="006775D8" w:rsidP="00D36062">
            <w:pPr>
              <w:jc w:val="right"/>
              <w:rPr>
                <w:b/>
              </w:rPr>
            </w:pPr>
            <w:r w:rsidRPr="004C5551">
              <w:rPr>
                <w:b/>
              </w:rPr>
              <w:t>100,0</w:t>
            </w:r>
          </w:p>
        </w:tc>
      </w:tr>
    </w:tbl>
    <w:p w:rsidR="006775D8" w:rsidRPr="004C5551" w:rsidRDefault="006775D8" w:rsidP="006775D8">
      <w:pPr>
        <w:pStyle w:val="zdroj"/>
        <w:ind w:firstLine="0"/>
        <w:jc w:val="left"/>
      </w:pPr>
      <w:r w:rsidRPr="004C5551">
        <w:t>Zdroj: ŠÚ SR, Štatistická správa o základných vývojových tendenciách v hospodárstve SR v 4. štvrťroku 2013, Štatistická správa o základných vývojových tendenciách v hospodárstve SR v 4. štvrťroku 2014</w:t>
      </w:r>
    </w:p>
    <w:bookmarkEnd w:id="94"/>
    <w:p w:rsidR="00073D95" w:rsidRPr="004C5551" w:rsidRDefault="00073D95" w:rsidP="006775D8">
      <w:pPr>
        <w:pStyle w:val="zdroj"/>
        <w:ind w:firstLine="0"/>
      </w:pPr>
    </w:p>
    <w:p w:rsidR="006775D8" w:rsidRPr="004C5551" w:rsidRDefault="006775D8" w:rsidP="00D6574F">
      <w:pPr>
        <w:autoSpaceDE w:val="0"/>
        <w:autoSpaceDN w:val="0"/>
        <w:adjustRightInd w:val="0"/>
        <w:ind w:firstLine="431"/>
      </w:pPr>
      <w:r w:rsidRPr="004C5551">
        <w:t xml:space="preserve">Ku koncu roku 2014 Štatistický úrad SR registroval 369 514 </w:t>
      </w:r>
      <w:r w:rsidRPr="004C5551">
        <w:rPr>
          <w:b/>
          <w:i/>
        </w:rPr>
        <w:t xml:space="preserve">fyzických osôb </w:t>
      </w:r>
      <w:r w:rsidRPr="004C5551">
        <w:rPr>
          <w:b/>
          <w:i/>
          <w:color w:val="000000" w:themeColor="text1"/>
        </w:rPr>
        <w:t>–</w:t>
      </w:r>
      <w:r w:rsidRPr="004C5551">
        <w:rPr>
          <w:b/>
          <w:i/>
        </w:rPr>
        <w:t xml:space="preserve"> podnikateľov</w:t>
      </w:r>
      <w:r w:rsidRPr="004C5551">
        <w:t>, v tom bolo 337 182 živnostníkov (fyzické osoby bez zamestnancov), 24 483 osôb podnikajúcich v slobodných povolaniach a 7 849 samostatne hospodáriacich roľníkov. V porovnaní s rokom 2013 sa ich celkový počet znížil o 12 699 osôb, resp. o 3,3</w:t>
      </w:r>
      <w:r w:rsidR="009425AA" w:rsidRPr="004C5551">
        <w:t> %</w:t>
      </w:r>
      <w:r w:rsidRPr="004C5551">
        <w:t>, najmä v dôsledku nižšieho počtu živnostníkov (o 15</w:t>
      </w:r>
      <w:r w:rsidR="00306506" w:rsidRPr="004C5551">
        <w:t> </w:t>
      </w:r>
      <w:r w:rsidRPr="004C5551">
        <w:t>527 osôb). Naopak, vzrástol počet osôb podnikajúcich formou slobodných povolaní o</w:t>
      </w:r>
      <w:r w:rsidR="00306506" w:rsidRPr="004C5551">
        <w:t> </w:t>
      </w:r>
      <w:r w:rsidRPr="004C5551">
        <w:t>2</w:t>
      </w:r>
      <w:r w:rsidR="00306506" w:rsidRPr="004C5551">
        <w:t> </w:t>
      </w:r>
      <w:r w:rsidRPr="004C5551">
        <w:t xml:space="preserve">558 </w:t>
      </w:r>
      <w:r w:rsidR="00003E80" w:rsidRPr="004C5551">
        <w:t>a </w:t>
      </w:r>
      <w:r w:rsidRPr="004C5551">
        <w:t>počet samostatne hospodáriacich roľníkov o 270 osôb.</w:t>
      </w:r>
    </w:p>
    <w:p w:rsidR="006775D8" w:rsidRPr="004C5551" w:rsidRDefault="006775D8" w:rsidP="00D6574F">
      <w:pPr>
        <w:autoSpaceDE w:val="0"/>
        <w:autoSpaceDN w:val="0"/>
        <w:adjustRightInd w:val="0"/>
        <w:ind w:firstLine="431"/>
      </w:pPr>
      <w:r w:rsidRPr="004C5551">
        <w:t>Počet živnostníkov sa medziročne znížil vo všetkých odvetviach pri najvýraznejšom</w:t>
      </w:r>
      <w:r w:rsidR="00073D95" w:rsidRPr="004C5551">
        <w:t xml:space="preserve"> </w:t>
      </w:r>
      <w:r w:rsidRPr="004C5551">
        <w:t>poklese v doprave a skladovaní o 32</w:t>
      </w:r>
      <w:r w:rsidR="009425AA" w:rsidRPr="004C5551">
        <w:t> %</w:t>
      </w:r>
      <w:r w:rsidRPr="004C5551">
        <w:t>.</w:t>
      </w:r>
    </w:p>
    <w:p w:rsidR="006775D8" w:rsidRPr="004C5551" w:rsidRDefault="006775D8" w:rsidP="00D6574F">
      <w:pPr>
        <w:pStyle w:val="Normlnysozarkami2"/>
        <w:ind w:firstLine="431"/>
      </w:pPr>
      <w:r w:rsidRPr="004C5551">
        <w:t xml:space="preserve">V roku 2014 bolo podľa údajov Štatistického úradu SR 40 786 </w:t>
      </w:r>
      <w:r w:rsidRPr="004C5551">
        <w:rPr>
          <w:b/>
        </w:rPr>
        <w:t>zamestnancov so zdravotným postihnutím</w:t>
      </w:r>
      <w:r w:rsidRPr="004C5551">
        <w:t>, t. j. 3,2</w:t>
      </w:r>
      <w:r w:rsidR="009425AA" w:rsidRPr="004C5551">
        <w:t> %</w:t>
      </w:r>
      <w:r w:rsidRPr="004C5551">
        <w:t xml:space="preserve"> z celkového priemerného evidenčného počtu zamestnancov v SR (údaje z podnikového výkazníctva, bez malých organizácií do 19 zamestnancov, ktoré majú ročnú produkciu nižšiu ako 5 mil. </w:t>
      </w:r>
      <w:r w:rsidR="00AA0137" w:rsidRPr="004C5551">
        <w:t>eur</w:t>
      </w:r>
      <w:r w:rsidRPr="004C5551">
        <w:t>). Oproti roku 2013 sa ich počet zvýšil o 8,0</w:t>
      </w:r>
      <w:r w:rsidR="009425AA" w:rsidRPr="004C5551">
        <w:t> %</w:t>
      </w:r>
      <w:r w:rsidRPr="004C5551">
        <w:t xml:space="preserve"> (o 3</w:t>
      </w:r>
      <w:r w:rsidR="00306506" w:rsidRPr="004C5551">
        <w:t> </w:t>
      </w:r>
      <w:r w:rsidRPr="004C5551">
        <w:t>008 osôb). Podiel zamestnancov so zdravotným postihnutím na celkovej zamestnanosti vzrástol oproti pred</w:t>
      </w:r>
      <w:r w:rsidR="00306506" w:rsidRPr="004C5551">
        <w:softHyphen/>
      </w:r>
      <w:r w:rsidRPr="004C5551">
        <w:t>chádzajúcemu roku o 0,1 p. b.</w:t>
      </w:r>
    </w:p>
    <w:p w:rsidR="00A966B5" w:rsidRPr="004C5551" w:rsidRDefault="00A966B5" w:rsidP="00ED16E0">
      <w:pPr>
        <w:pStyle w:val="Nadpis41"/>
      </w:pPr>
      <w:r w:rsidRPr="004C5551">
        <w:t>Voľné pracovné miesta</w:t>
      </w:r>
    </w:p>
    <w:p w:rsidR="006775D8" w:rsidRPr="004C5551" w:rsidRDefault="006775D8" w:rsidP="00D6574F">
      <w:pPr>
        <w:ind w:firstLine="431"/>
      </w:pPr>
      <w:r w:rsidRPr="004C5551">
        <w:t>V roku 2014 bolo v hospodárstve SR podľa štatistického výkazníctva ŠÚ SR k dispozícii v priemere 16 046 voľných pracovných miest. V porovnaní s rokom 2013 ich počet vzrástol o 6,6</w:t>
      </w:r>
      <w:r w:rsidR="009425AA" w:rsidRPr="004C5551">
        <w:t> %</w:t>
      </w:r>
      <w:r w:rsidRPr="004C5551">
        <w:t xml:space="preserve"> (absolútne o 998 miest). </w:t>
      </w:r>
      <w:r w:rsidRPr="004C5551">
        <w:rPr>
          <w:b/>
        </w:rPr>
        <w:t>V</w:t>
      </w:r>
      <w:r w:rsidRPr="004C5551">
        <w:t> </w:t>
      </w:r>
      <w:r w:rsidRPr="004C5551">
        <w:rPr>
          <w:b/>
        </w:rPr>
        <w:t>relatívnom vyjadrení</w:t>
      </w:r>
      <w:r w:rsidRPr="004C5551">
        <w:t xml:space="preserve"> najvýraznejší medziročný rast počtu voľných pracovných miest bol v odvetviach odborné, vedecké a technické činnosti (o 144,3</w:t>
      </w:r>
      <w:r w:rsidR="009425AA" w:rsidRPr="004C5551">
        <w:t> %</w:t>
      </w:r>
      <w:r w:rsidRPr="004C5551">
        <w:t>), pôdo</w:t>
      </w:r>
      <w:r w:rsidR="00306506" w:rsidRPr="004C5551">
        <w:softHyphen/>
      </w:r>
      <w:r w:rsidRPr="004C5551">
        <w:t>hospodárstvo (o 53,4</w:t>
      </w:r>
      <w:r w:rsidR="009425AA" w:rsidRPr="004C5551">
        <w:t> %</w:t>
      </w:r>
      <w:r w:rsidRPr="004C5551">
        <w:t>), finančné a poisťovacie činnosti (o 37,1</w:t>
      </w:r>
      <w:r w:rsidR="009425AA" w:rsidRPr="004C5551">
        <w:t> %</w:t>
      </w:r>
      <w:r w:rsidRPr="004C5551">
        <w:t>), priemysel (o 31,9</w:t>
      </w:r>
      <w:r w:rsidR="009425AA" w:rsidRPr="004C5551">
        <w:t> %</w:t>
      </w:r>
      <w:r w:rsidRPr="004C5551">
        <w:t>), doprava a skladovanie (o 22,6</w:t>
      </w:r>
      <w:r w:rsidR="009425AA" w:rsidRPr="004C5551">
        <w:t> %</w:t>
      </w:r>
      <w:r w:rsidRPr="004C5551">
        <w:t>) a stavebníctvo (o 21,0</w:t>
      </w:r>
      <w:r w:rsidR="009425AA" w:rsidRPr="004C5551">
        <w:t> %</w:t>
      </w:r>
      <w:r w:rsidRPr="004C5551">
        <w:t>). Zvýšenie počtu voľných pracovných miest zaznamenali aj odvetvia veľkoobchod, maloobchod, oprava motorových vozidiel a vzdelávanie. V</w:t>
      </w:r>
      <w:r w:rsidR="00306506" w:rsidRPr="004C5551">
        <w:t> </w:t>
      </w:r>
      <w:r w:rsidRPr="004C5551">
        <w:t>ostatných odvetviach bol počet voľných pracovných miest v roku 2014 nižší ako pred rokom, pričom najintenzívnejší pokles bol v administratívnych službách (o 62,4</w:t>
      </w:r>
      <w:r w:rsidR="009425AA" w:rsidRPr="004C5551">
        <w:t> %</w:t>
      </w:r>
      <w:r w:rsidRPr="004C5551">
        <w:t>).</w:t>
      </w:r>
    </w:p>
    <w:p w:rsidR="006775D8" w:rsidRPr="004C5551" w:rsidRDefault="006775D8" w:rsidP="00D6574F">
      <w:pPr>
        <w:ind w:firstLine="431"/>
      </w:pPr>
      <w:r w:rsidRPr="004C5551">
        <w:rPr>
          <w:b/>
        </w:rPr>
        <w:t>V absolútnom vyjadrení</w:t>
      </w:r>
      <w:r w:rsidRPr="004C5551">
        <w:t xml:space="preserve"> najviac voľných pracovných miest pribudlo v priemyselnej výrobe </w:t>
      </w:r>
      <w:r w:rsidR="00306506" w:rsidRPr="004C5551">
        <w:t>(</w:t>
      </w:r>
      <w:r w:rsidRPr="004C5551">
        <w:t>576) a v odvetví odborné,</w:t>
      </w:r>
      <w:r w:rsidR="00306506" w:rsidRPr="004C5551">
        <w:t xml:space="preserve"> vedecké a technické činnosti (</w:t>
      </w:r>
      <w:r w:rsidRPr="004C5551">
        <w:t>491). Naopak, výrazný úbytok voľných pracovných miest zaznamenalo odvetvie administratívne a podporné služby (</w:t>
      </w:r>
      <w:r w:rsidR="00306506" w:rsidRPr="004C5551">
        <w:t xml:space="preserve">o </w:t>
      </w:r>
      <w:r w:rsidRPr="004C5551">
        <w:t xml:space="preserve">257), zdravotníctvo </w:t>
      </w:r>
      <w:r w:rsidR="00003E80" w:rsidRPr="004C5551">
        <w:t>a </w:t>
      </w:r>
      <w:r w:rsidRPr="004C5551">
        <w:t>sociálna pomoc (o 246 miest).</w:t>
      </w:r>
    </w:p>
    <w:p w:rsidR="006775D8" w:rsidRPr="004C5551" w:rsidRDefault="006775D8" w:rsidP="00D6574F">
      <w:pPr>
        <w:ind w:firstLine="431"/>
      </w:pPr>
      <w:r w:rsidRPr="004C5551">
        <w:rPr>
          <w:b/>
        </w:rPr>
        <w:t>Z regionálneho hľadiska</w:t>
      </w:r>
      <w:r w:rsidRPr="004C5551">
        <w:t xml:space="preserve"> bolo v roku 2014 najviac voľných pracovných miest v Bratislavskom kraji (8 343, čo predstavovalo 52</w:t>
      </w:r>
      <w:r w:rsidR="009425AA" w:rsidRPr="004C5551">
        <w:t> %</w:t>
      </w:r>
      <w:r w:rsidRPr="004C5551">
        <w:t xml:space="preserve"> z celkového priemerného počtu voľných pracovných miest v SR). V ostatných krajoch sa ich počet pohyboval od 936 (Trenčiansky kraj) do 1 449 (Banskobystrický kraj). Vo väčšine krajov (okrem Prešovského a Košického) bol počet voľných pracovných miest vyšší ako pred rokom.</w:t>
      </w:r>
    </w:p>
    <w:p w:rsidR="006775D8" w:rsidRPr="004C5551" w:rsidRDefault="006775D8" w:rsidP="00C67F74">
      <w:pPr>
        <w:pStyle w:val="Nadpis7"/>
      </w:pPr>
      <w:r w:rsidRPr="004C5551">
        <w:t xml:space="preserve">Tabuľka 2.9 Voľné pracovné miesta v roku 2014 podľa krajov (priemer za rok) </w:t>
      </w:r>
    </w:p>
    <w:tbl>
      <w:tblPr>
        <w:tblW w:w="793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2018"/>
        <w:gridCol w:w="1637"/>
        <w:gridCol w:w="2300"/>
        <w:gridCol w:w="1983"/>
      </w:tblGrid>
      <w:tr w:rsidR="006775D8" w:rsidRPr="004C5551" w:rsidTr="00D36062">
        <w:trPr>
          <w:trHeight w:val="284"/>
          <w:jc w:val="center"/>
        </w:trPr>
        <w:tc>
          <w:tcPr>
            <w:tcW w:w="1271" w:type="pct"/>
            <w:vMerge w:val="restar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Kraj</w:t>
            </w:r>
          </w:p>
        </w:tc>
        <w:tc>
          <w:tcPr>
            <w:tcW w:w="2479" w:type="pct"/>
            <w:gridSpan w:val="2"/>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Voľné pracovné miesta</w:t>
            </w:r>
          </w:p>
        </w:tc>
        <w:tc>
          <w:tcPr>
            <w:tcW w:w="1249" w:type="pct"/>
            <w:vMerge w:val="restar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Index</w:t>
            </w:r>
          </w:p>
          <w:p w:rsidR="006775D8" w:rsidRPr="004C5551" w:rsidRDefault="006775D8" w:rsidP="00D36062">
            <w:pPr>
              <w:jc w:val="center"/>
              <w:rPr>
                <w:b/>
                <w:color w:val="FFFFFF" w:themeColor="background1"/>
              </w:rPr>
            </w:pPr>
            <w:r w:rsidRPr="004C5551">
              <w:rPr>
                <w:b/>
                <w:color w:val="FFFFFF" w:themeColor="background1"/>
              </w:rPr>
              <w:t>2014/2013</w:t>
            </w:r>
          </w:p>
        </w:tc>
      </w:tr>
      <w:tr w:rsidR="006775D8" w:rsidRPr="004C5551" w:rsidTr="00D36062">
        <w:trPr>
          <w:trHeight w:val="284"/>
          <w:jc w:val="center"/>
        </w:trPr>
        <w:tc>
          <w:tcPr>
            <w:tcW w:w="1271" w:type="pct"/>
            <w:vMerge/>
            <w:noWrap/>
            <w:vAlign w:val="center"/>
          </w:tcPr>
          <w:p w:rsidR="006775D8" w:rsidRPr="004C5551" w:rsidRDefault="006775D8" w:rsidP="00D36062">
            <w:pPr>
              <w:rPr>
                <w:color w:val="FF0000"/>
              </w:rPr>
            </w:pPr>
          </w:p>
        </w:tc>
        <w:tc>
          <w:tcPr>
            <w:tcW w:w="1031" w:type="pc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Počet</w:t>
            </w:r>
          </w:p>
        </w:tc>
        <w:tc>
          <w:tcPr>
            <w:tcW w:w="1449" w:type="pc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Podiel na SR (v</w:t>
            </w:r>
            <w:r w:rsidR="009425AA" w:rsidRPr="004C5551">
              <w:rPr>
                <w:b/>
                <w:color w:val="FFFFFF" w:themeColor="background1"/>
              </w:rPr>
              <w:t> %</w:t>
            </w:r>
            <w:r w:rsidRPr="004C5551">
              <w:rPr>
                <w:b/>
                <w:color w:val="FFFFFF" w:themeColor="background1"/>
              </w:rPr>
              <w:t>)</w:t>
            </w:r>
          </w:p>
        </w:tc>
        <w:tc>
          <w:tcPr>
            <w:tcW w:w="1249" w:type="pct"/>
            <w:vMerge/>
            <w:vAlign w:val="center"/>
          </w:tcPr>
          <w:p w:rsidR="006775D8" w:rsidRPr="004C5551" w:rsidRDefault="006775D8" w:rsidP="00D36062">
            <w:pPr>
              <w:rPr>
                <w:color w:val="FF0000"/>
              </w:rPr>
            </w:pPr>
          </w:p>
        </w:tc>
      </w:tr>
      <w:tr w:rsidR="006775D8" w:rsidRPr="004C5551" w:rsidTr="00D36062">
        <w:trPr>
          <w:trHeight w:val="255"/>
          <w:jc w:val="center"/>
        </w:trPr>
        <w:tc>
          <w:tcPr>
            <w:tcW w:w="1271" w:type="pct"/>
            <w:noWrap/>
            <w:vAlign w:val="center"/>
          </w:tcPr>
          <w:p w:rsidR="006775D8" w:rsidRPr="004C5551" w:rsidRDefault="006775D8" w:rsidP="00D36062">
            <w:pPr>
              <w:rPr>
                <w:b/>
              </w:rPr>
            </w:pPr>
            <w:r w:rsidRPr="004C5551">
              <w:rPr>
                <w:b/>
              </w:rPr>
              <w:t>SR spolu</w:t>
            </w:r>
          </w:p>
        </w:tc>
        <w:tc>
          <w:tcPr>
            <w:tcW w:w="1031" w:type="pct"/>
            <w:noWrap/>
            <w:vAlign w:val="center"/>
          </w:tcPr>
          <w:p w:rsidR="006775D8" w:rsidRPr="004C5551" w:rsidRDefault="006775D8" w:rsidP="00D36062">
            <w:pPr>
              <w:ind w:right="458"/>
              <w:jc w:val="right"/>
              <w:rPr>
                <w:b/>
              </w:rPr>
            </w:pPr>
            <w:r w:rsidRPr="004C5551">
              <w:rPr>
                <w:b/>
              </w:rPr>
              <w:t>16 046</w:t>
            </w:r>
          </w:p>
        </w:tc>
        <w:tc>
          <w:tcPr>
            <w:tcW w:w="1449" w:type="pct"/>
            <w:noWrap/>
            <w:vAlign w:val="center"/>
          </w:tcPr>
          <w:p w:rsidR="006775D8" w:rsidRPr="004C5551" w:rsidRDefault="006775D8" w:rsidP="00D36062">
            <w:pPr>
              <w:ind w:right="600"/>
              <w:jc w:val="right"/>
              <w:rPr>
                <w:b/>
              </w:rPr>
            </w:pPr>
            <w:r w:rsidRPr="004C5551">
              <w:rPr>
                <w:b/>
              </w:rPr>
              <w:t>100,0</w:t>
            </w:r>
          </w:p>
        </w:tc>
        <w:tc>
          <w:tcPr>
            <w:tcW w:w="1249" w:type="pct"/>
            <w:vAlign w:val="center"/>
          </w:tcPr>
          <w:p w:rsidR="006775D8" w:rsidRPr="004C5551" w:rsidRDefault="006775D8" w:rsidP="00D36062">
            <w:pPr>
              <w:ind w:right="600"/>
              <w:jc w:val="right"/>
              <w:rPr>
                <w:b/>
              </w:rPr>
            </w:pPr>
            <w:r w:rsidRPr="004C5551">
              <w:rPr>
                <w:b/>
              </w:rPr>
              <w:t>106,6</w:t>
            </w:r>
          </w:p>
        </w:tc>
      </w:tr>
      <w:tr w:rsidR="006775D8" w:rsidRPr="004C5551" w:rsidTr="00D36062">
        <w:trPr>
          <w:trHeight w:val="255"/>
          <w:jc w:val="center"/>
        </w:trPr>
        <w:tc>
          <w:tcPr>
            <w:tcW w:w="1271" w:type="pct"/>
            <w:noWrap/>
            <w:vAlign w:val="center"/>
          </w:tcPr>
          <w:p w:rsidR="006775D8" w:rsidRPr="004C5551" w:rsidRDefault="006775D8" w:rsidP="00D36062">
            <w:r w:rsidRPr="004C5551">
              <w:t>v tom:</w:t>
            </w:r>
          </w:p>
        </w:tc>
        <w:tc>
          <w:tcPr>
            <w:tcW w:w="1031" w:type="pct"/>
            <w:noWrap/>
            <w:vAlign w:val="center"/>
          </w:tcPr>
          <w:p w:rsidR="006775D8" w:rsidRPr="004C5551" w:rsidRDefault="006775D8" w:rsidP="00D36062">
            <w:pPr>
              <w:ind w:right="458"/>
              <w:jc w:val="right"/>
            </w:pPr>
          </w:p>
        </w:tc>
        <w:tc>
          <w:tcPr>
            <w:tcW w:w="1449" w:type="pct"/>
            <w:noWrap/>
            <w:vAlign w:val="center"/>
          </w:tcPr>
          <w:p w:rsidR="006775D8" w:rsidRPr="004C5551" w:rsidRDefault="006775D8" w:rsidP="00D36062">
            <w:pPr>
              <w:ind w:right="600"/>
              <w:jc w:val="right"/>
            </w:pPr>
          </w:p>
        </w:tc>
        <w:tc>
          <w:tcPr>
            <w:tcW w:w="1249" w:type="pct"/>
            <w:vAlign w:val="center"/>
          </w:tcPr>
          <w:p w:rsidR="006775D8" w:rsidRPr="004C5551" w:rsidRDefault="006775D8" w:rsidP="00D36062">
            <w:pPr>
              <w:ind w:right="600"/>
              <w:jc w:val="right"/>
            </w:pPr>
          </w:p>
        </w:tc>
      </w:tr>
      <w:tr w:rsidR="006775D8" w:rsidRPr="004C5551" w:rsidTr="00D36062">
        <w:trPr>
          <w:trHeight w:val="255"/>
          <w:jc w:val="center"/>
        </w:trPr>
        <w:tc>
          <w:tcPr>
            <w:tcW w:w="1271" w:type="pct"/>
            <w:noWrap/>
            <w:vAlign w:val="center"/>
          </w:tcPr>
          <w:p w:rsidR="006775D8" w:rsidRPr="004C5551" w:rsidRDefault="006775D8" w:rsidP="00D36062">
            <w:r w:rsidRPr="004C5551">
              <w:t>Bratislavský</w:t>
            </w:r>
          </w:p>
        </w:tc>
        <w:tc>
          <w:tcPr>
            <w:tcW w:w="1031" w:type="pct"/>
            <w:noWrap/>
            <w:vAlign w:val="center"/>
          </w:tcPr>
          <w:p w:rsidR="006775D8" w:rsidRPr="004C5551" w:rsidRDefault="006775D8" w:rsidP="00D36062">
            <w:pPr>
              <w:ind w:right="458"/>
              <w:jc w:val="right"/>
            </w:pPr>
            <w:r w:rsidRPr="004C5551">
              <w:t>8 343</w:t>
            </w:r>
          </w:p>
        </w:tc>
        <w:tc>
          <w:tcPr>
            <w:tcW w:w="1449" w:type="pct"/>
            <w:noWrap/>
            <w:vAlign w:val="center"/>
          </w:tcPr>
          <w:p w:rsidR="006775D8" w:rsidRPr="004C5551" w:rsidRDefault="006775D8" w:rsidP="00D36062">
            <w:pPr>
              <w:ind w:right="600"/>
              <w:jc w:val="right"/>
            </w:pPr>
            <w:r w:rsidRPr="004C5551">
              <w:t>52,0</w:t>
            </w:r>
          </w:p>
        </w:tc>
        <w:tc>
          <w:tcPr>
            <w:tcW w:w="1249" w:type="pct"/>
            <w:vAlign w:val="center"/>
          </w:tcPr>
          <w:p w:rsidR="006775D8" w:rsidRPr="004C5551" w:rsidRDefault="006775D8" w:rsidP="00D36062">
            <w:pPr>
              <w:ind w:right="600"/>
              <w:jc w:val="right"/>
            </w:pPr>
            <w:r w:rsidRPr="004C5551">
              <w:t>102,2</w:t>
            </w:r>
          </w:p>
        </w:tc>
      </w:tr>
      <w:tr w:rsidR="006775D8" w:rsidRPr="004C5551" w:rsidTr="00D36062">
        <w:trPr>
          <w:trHeight w:val="255"/>
          <w:jc w:val="center"/>
        </w:trPr>
        <w:tc>
          <w:tcPr>
            <w:tcW w:w="1271" w:type="pct"/>
            <w:noWrap/>
            <w:vAlign w:val="center"/>
          </w:tcPr>
          <w:p w:rsidR="006775D8" w:rsidRPr="004C5551" w:rsidRDefault="006775D8" w:rsidP="00D36062">
            <w:r w:rsidRPr="004C5551">
              <w:t>Trnavský</w:t>
            </w:r>
          </w:p>
        </w:tc>
        <w:tc>
          <w:tcPr>
            <w:tcW w:w="1031" w:type="pct"/>
            <w:noWrap/>
            <w:vAlign w:val="center"/>
          </w:tcPr>
          <w:p w:rsidR="006775D8" w:rsidRPr="004C5551" w:rsidRDefault="006775D8" w:rsidP="00D36062">
            <w:pPr>
              <w:ind w:right="458"/>
              <w:jc w:val="right"/>
            </w:pPr>
            <w:r w:rsidRPr="004C5551">
              <w:t>1 144</w:t>
            </w:r>
          </w:p>
        </w:tc>
        <w:tc>
          <w:tcPr>
            <w:tcW w:w="1449" w:type="pct"/>
            <w:noWrap/>
            <w:vAlign w:val="center"/>
          </w:tcPr>
          <w:p w:rsidR="006775D8" w:rsidRPr="004C5551" w:rsidRDefault="006775D8" w:rsidP="00D36062">
            <w:pPr>
              <w:ind w:right="600"/>
              <w:jc w:val="right"/>
            </w:pPr>
            <w:r w:rsidRPr="004C5551">
              <w:t>7,1</w:t>
            </w:r>
          </w:p>
        </w:tc>
        <w:tc>
          <w:tcPr>
            <w:tcW w:w="1249" w:type="pct"/>
            <w:vAlign w:val="center"/>
          </w:tcPr>
          <w:p w:rsidR="006775D8" w:rsidRPr="004C5551" w:rsidRDefault="006775D8" w:rsidP="00D36062">
            <w:pPr>
              <w:ind w:right="600"/>
              <w:jc w:val="right"/>
            </w:pPr>
            <w:r w:rsidRPr="004C5551">
              <w:t>135,7</w:t>
            </w:r>
          </w:p>
        </w:tc>
      </w:tr>
      <w:tr w:rsidR="006775D8" w:rsidRPr="004C5551" w:rsidTr="00D36062">
        <w:trPr>
          <w:trHeight w:val="255"/>
          <w:jc w:val="center"/>
        </w:trPr>
        <w:tc>
          <w:tcPr>
            <w:tcW w:w="1271" w:type="pct"/>
            <w:noWrap/>
            <w:vAlign w:val="center"/>
          </w:tcPr>
          <w:p w:rsidR="006775D8" w:rsidRPr="004C5551" w:rsidRDefault="006775D8" w:rsidP="00D36062">
            <w:r w:rsidRPr="004C5551">
              <w:t>Trenčiansky</w:t>
            </w:r>
          </w:p>
        </w:tc>
        <w:tc>
          <w:tcPr>
            <w:tcW w:w="1031" w:type="pct"/>
            <w:noWrap/>
            <w:vAlign w:val="center"/>
          </w:tcPr>
          <w:p w:rsidR="006775D8" w:rsidRPr="004C5551" w:rsidRDefault="006775D8" w:rsidP="00D36062">
            <w:pPr>
              <w:ind w:right="458"/>
              <w:jc w:val="right"/>
            </w:pPr>
            <w:r w:rsidRPr="004C5551">
              <w:t>936</w:t>
            </w:r>
          </w:p>
        </w:tc>
        <w:tc>
          <w:tcPr>
            <w:tcW w:w="1449" w:type="pct"/>
            <w:noWrap/>
            <w:vAlign w:val="center"/>
          </w:tcPr>
          <w:p w:rsidR="006775D8" w:rsidRPr="004C5551" w:rsidRDefault="006775D8" w:rsidP="00D36062">
            <w:pPr>
              <w:ind w:right="600"/>
              <w:jc w:val="right"/>
            </w:pPr>
            <w:r w:rsidRPr="004C5551">
              <w:t>5,8</w:t>
            </w:r>
          </w:p>
        </w:tc>
        <w:tc>
          <w:tcPr>
            <w:tcW w:w="1249" w:type="pct"/>
            <w:vAlign w:val="center"/>
          </w:tcPr>
          <w:p w:rsidR="006775D8" w:rsidRPr="004C5551" w:rsidRDefault="006775D8" w:rsidP="00D36062">
            <w:pPr>
              <w:ind w:right="600"/>
              <w:jc w:val="right"/>
            </w:pPr>
            <w:r w:rsidRPr="004C5551">
              <w:t>124,6</w:t>
            </w:r>
          </w:p>
        </w:tc>
      </w:tr>
      <w:tr w:rsidR="006775D8" w:rsidRPr="004C5551" w:rsidTr="00D36062">
        <w:trPr>
          <w:trHeight w:val="255"/>
          <w:jc w:val="center"/>
        </w:trPr>
        <w:tc>
          <w:tcPr>
            <w:tcW w:w="1271" w:type="pct"/>
            <w:noWrap/>
            <w:vAlign w:val="center"/>
          </w:tcPr>
          <w:p w:rsidR="006775D8" w:rsidRPr="004C5551" w:rsidRDefault="006775D8" w:rsidP="00D36062">
            <w:r w:rsidRPr="004C5551">
              <w:t>Nitriansky</w:t>
            </w:r>
          </w:p>
        </w:tc>
        <w:tc>
          <w:tcPr>
            <w:tcW w:w="1031" w:type="pct"/>
            <w:noWrap/>
            <w:vAlign w:val="center"/>
          </w:tcPr>
          <w:p w:rsidR="006775D8" w:rsidRPr="004C5551" w:rsidRDefault="006775D8" w:rsidP="00D36062">
            <w:pPr>
              <w:ind w:right="458"/>
              <w:jc w:val="right"/>
            </w:pPr>
            <w:r w:rsidRPr="004C5551">
              <w:t>1 044</w:t>
            </w:r>
          </w:p>
        </w:tc>
        <w:tc>
          <w:tcPr>
            <w:tcW w:w="1449" w:type="pct"/>
            <w:noWrap/>
            <w:vAlign w:val="center"/>
          </w:tcPr>
          <w:p w:rsidR="006775D8" w:rsidRPr="004C5551" w:rsidRDefault="006775D8" w:rsidP="00D36062">
            <w:pPr>
              <w:ind w:right="600"/>
              <w:jc w:val="right"/>
            </w:pPr>
            <w:r w:rsidRPr="004C5551">
              <w:t>6,5</w:t>
            </w:r>
          </w:p>
        </w:tc>
        <w:tc>
          <w:tcPr>
            <w:tcW w:w="1249" w:type="pct"/>
            <w:vAlign w:val="center"/>
          </w:tcPr>
          <w:p w:rsidR="006775D8" w:rsidRPr="004C5551" w:rsidRDefault="006775D8" w:rsidP="00D36062">
            <w:pPr>
              <w:ind w:right="600"/>
              <w:jc w:val="right"/>
            </w:pPr>
            <w:r w:rsidRPr="004C5551">
              <w:t>130,3</w:t>
            </w:r>
          </w:p>
        </w:tc>
      </w:tr>
      <w:tr w:rsidR="006775D8" w:rsidRPr="004C5551" w:rsidTr="00D36062">
        <w:trPr>
          <w:trHeight w:val="255"/>
          <w:jc w:val="center"/>
        </w:trPr>
        <w:tc>
          <w:tcPr>
            <w:tcW w:w="1271" w:type="pct"/>
            <w:noWrap/>
            <w:vAlign w:val="center"/>
          </w:tcPr>
          <w:p w:rsidR="006775D8" w:rsidRPr="004C5551" w:rsidRDefault="006775D8" w:rsidP="00D36062">
            <w:r w:rsidRPr="004C5551">
              <w:t>Žilinský</w:t>
            </w:r>
          </w:p>
        </w:tc>
        <w:tc>
          <w:tcPr>
            <w:tcW w:w="1031" w:type="pct"/>
            <w:noWrap/>
            <w:vAlign w:val="center"/>
          </w:tcPr>
          <w:p w:rsidR="006775D8" w:rsidRPr="004C5551" w:rsidRDefault="006775D8" w:rsidP="00D36062">
            <w:pPr>
              <w:ind w:right="458"/>
              <w:jc w:val="right"/>
            </w:pPr>
            <w:r w:rsidRPr="004C5551">
              <w:t>1 054</w:t>
            </w:r>
          </w:p>
        </w:tc>
        <w:tc>
          <w:tcPr>
            <w:tcW w:w="1449" w:type="pct"/>
            <w:noWrap/>
            <w:vAlign w:val="center"/>
          </w:tcPr>
          <w:p w:rsidR="006775D8" w:rsidRPr="004C5551" w:rsidRDefault="006775D8" w:rsidP="00D36062">
            <w:pPr>
              <w:ind w:right="600"/>
              <w:jc w:val="right"/>
            </w:pPr>
            <w:r w:rsidRPr="004C5551">
              <w:t>6,6</w:t>
            </w:r>
          </w:p>
        </w:tc>
        <w:tc>
          <w:tcPr>
            <w:tcW w:w="1249" w:type="pct"/>
            <w:vAlign w:val="center"/>
          </w:tcPr>
          <w:p w:rsidR="006775D8" w:rsidRPr="004C5551" w:rsidRDefault="006775D8" w:rsidP="00D36062">
            <w:pPr>
              <w:ind w:right="600"/>
              <w:jc w:val="right"/>
            </w:pPr>
            <w:r w:rsidRPr="004C5551">
              <w:t>125,2</w:t>
            </w:r>
          </w:p>
        </w:tc>
      </w:tr>
      <w:tr w:rsidR="006775D8" w:rsidRPr="004C5551" w:rsidTr="00D36062">
        <w:trPr>
          <w:trHeight w:val="255"/>
          <w:jc w:val="center"/>
        </w:trPr>
        <w:tc>
          <w:tcPr>
            <w:tcW w:w="1271" w:type="pct"/>
            <w:noWrap/>
            <w:vAlign w:val="center"/>
          </w:tcPr>
          <w:p w:rsidR="006775D8" w:rsidRPr="004C5551" w:rsidRDefault="006775D8" w:rsidP="00D36062">
            <w:r w:rsidRPr="004C5551">
              <w:t>Banskobystrický</w:t>
            </w:r>
          </w:p>
        </w:tc>
        <w:tc>
          <w:tcPr>
            <w:tcW w:w="1031" w:type="pct"/>
            <w:noWrap/>
            <w:vAlign w:val="center"/>
          </w:tcPr>
          <w:p w:rsidR="006775D8" w:rsidRPr="004C5551" w:rsidRDefault="006775D8" w:rsidP="00D36062">
            <w:pPr>
              <w:ind w:right="458"/>
              <w:jc w:val="right"/>
            </w:pPr>
            <w:r w:rsidRPr="004C5551">
              <w:t>1 449</w:t>
            </w:r>
          </w:p>
        </w:tc>
        <w:tc>
          <w:tcPr>
            <w:tcW w:w="1449" w:type="pct"/>
            <w:noWrap/>
            <w:vAlign w:val="center"/>
          </w:tcPr>
          <w:p w:rsidR="006775D8" w:rsidRPr="004C5551" w:rsidRDefault="006775D8" w:rsidP="00D36062">
            <w:pPr>
              <w:ind w:right="600"/>
              <w:jc w:val="right"/>
            </w:pPr>
            <w:r w:rsidRPr="004C5551">
              <w:t>9,0</w:t>
            </w:r>
          </w:p>
        </w:tc>
        <w:tc>
          <w:tcPr>
            <w:tcW w:w="1249" w:type="pct"/>
            <w:vAlign w:val="center"/>
          </w:tcPr>
          <w:p w:rsidR="006775D8" w:rsidRPr="004C5551" w:rsidRDefault="006775D8" w:rsidP="00D36062">
            <w:pPr>
              <w:ind w:right="600"/>
              <w:jc w:val="right"/>
            </w:pPr>
            <w:r w:rsidRPr="004C5551">
              <w:t>111,5</w:t>
            </w:r>
          </w:p>
        </w:tc>
      </w:tr>
      <w:tr w:rsidR="006775D8" w:rsidRPr="004C5551" w:rsidTr="00D36062">
        <w:trPr>
          <w:trHeight w:val="255"/>
          <w:jc w:val="center"/>
        </w:trPr>
        <w:tc>
          <w:tcPr>
            <w:tcW w:w="1271" w:type="pct"/>
            <w:noWrap/>
            <w:vAlign w:val="center"/>
          </w:tcPr>
          <w:p w:rsidR="006775D8" w:rsidRPr="004C5551" w:rsidRDefault="006775D8" w:rsidP="00D36062">
            <w:r w:rsidRPr="004C5551">
              <w:t>Prešovský</w:t>
            </w:r>
          </w:p>
        </w:tc>
        <w:tc>
          <w:tcPr>
            <w:tcW w:w="1031" w:type="pct"/>
            <w:noWrap/>
            <w:vAlign w:val="center"/>
          </w:tcPr>
          <w:p w:rsidR="006775D8" w:rsidRPr="004C5551" w:rsidRDefault="006775D8" w:rsidP="00D36062">
            <w:pPr>
              <w:ind w:right="458"/>
              <w:jc w:val="right"/>
            </w:pPr>
            <w:r w:rsidRPr="004C5551">
              <w:t>1 085</w:t>
            </w:r>
          </w:p>
        </w:tc>
        <w:tc>
          <w:tcPr>
            <w:tcW w:w="1449" w:type="pct"/>
            <w:noWrap/>
            <w:vAlign w:val="center"/>
          </w:tcPr>
          <w:p w:rsidR="006775D8" w:rsidRPr="004C5551" w:rsidRDefault="006775D8" w:rsidP="00D36062">
            <w:pPr>
              <w:ind w:right="600"/>
              <w:jc w:val="right"/>
            </w:pPr>
            <w:r w:rsidRPr="004C5551">
              <w:t>6,8</w:t>
            </w:r>
          </w:p>
        </w:tc>
        <w:tc>
          <w:tcPr>
            <w:tcW w:w="1249" w:type="pct"/>
            <w:vAlign w:val="center"/>
          </w:tcPr>
          <w:p w:rsidR="006775D8" w:rsidRPr="004C5551" w:rsidRDefault="006775D8" w:rsidP="00D36062">
            <w:pPr>
              <w:ind w:right="600"/>
              <w:jc w:val="right"/>
            </w:pPr>
            <w:r w:rsidRPr="004C5551">
              <w:t>88,6</w:t>
            </w:r>
          </w:p>
        </w:tc>
      </w:tr>
      <w:tr w:rsidR="006775D8" w:rsidRPr="004C5551" w:rsidTr="00D36062">
        <w:trPr>
          <w:trHeight w:val="255"/>
          <w:jc w:val="center"/>
        </w:trPr>
        <w:tc>
          <w:tcPr>
            <w:tcW w:w="1271" w:type="pct"/>
            <w:noWrap/>
            <w:vAlign w:val="center"/>
          </w:tcPr>
          <w:p w:rsidR="006775D8" w:rsidRPr="004C5551" w:rsidRDefault="006775D8" w:rsidP="00D36062">
            <w:r w:rsidRPr="004C5551">
              <w:t>Košický</w:t>
            </w:r>
          </w:p>
        </w:tc>
        <w:tc>
          <w:tcPr>
            <w:tcW w:w="1031" w:type="pct"/>
            <w:noWrap/>
            <w:vAlign w:val="center"/>
          </w:tcPr>
          <w:p w:rsidR="006775D8" w:rsidRPr="004C5551" w:rsidRDefault="006775D8" w:rsidP="00D36062">
            <w:pPr>
              <w:ind w:right="458"/>
              <w:jc w:val="right"/>
            </w:pPr>
            <w:r w:rsidRPr="004C5551">
              <w:t>991</w:t>
            </w:r>
          </w:p>
        </w:tc>
        <w:tc>
          <w:tcPr>
            <w:tcW w:w="1449" w:type="pct"/>
            <w:noWrap/>
            <w:vAlign w:val="center"/>
          </w:tcPr>
          <w:p w:rsidR="006775D8" w:rsidRPr="004C5551" w:rsidRDefault="006775D8" w:rsidP="00D36062">
            <w:pPr>
              <w:ind w:right="600"/>
              <w:jc w:val="right"/>
            </w:pPr>
            <w:r w:rsidRPr="004C5551">
              <w:t>6,2</w:t>
            </w:r>
          </w:p>
        </w:tc>
        <w:tc>
          <w:tcPr>
            <w:tcW w:w="1249" w:type="pct"/>
            <w:vAlign w:val="center"/>
          </w:tcPr>
          <w:p w:rsidR="006775D8" w:rsidRPr="004C5551" w:rsidRDefault="006775D8" w:rsidP="00D36062">
            <w:pPr>
              <w:ind w:right="600"/>
              <w:jc w:val="right"/>
            </w:pPr>
            <w:r w:rsidRPr="004C5551">
              <w:t>88,2</w:t>
            </w:r>
          </w:p>
        </w:tc>
      </w:tr>
    </w:tbl>
    <w:p w:rsidR="006775D8" w:rsidRPr="004C5551" w:rsidRDefault="006775D8" w:rsidP="00306506">
      <w:pPr>
        <w:pStyle w:val="zdroj"/>
        <w:ind w:left="567" w:right="708" w:firstLine="0"/>
      </w:pPr>
      <w:r w:rsidRPr="004C5551">
        <w:t>Zdroj: ŠÚ SR, Štatistická správa o základných vývojových tendenciách v hospodárstve SR v 4. štvrťroku 2014</w:t>
      </w:r>
    </w:p>
    <w:p w:rsidR="00F0649F" w:rsidRPr="004C5551" w:rsidRDefault="00F0649F">
      <w:pPr>
        <w:jc w:val="left"/>
        <w:rPr>
          <w:i/>
          <w:color w:val="000000"/>
          <w:sz w:val="20"/>
          <w:szCs w:val="20"/>
        </w:rPr>
      </w:pPr>
      <w:r w:rsidRPr="004C5551">
        <w:br w:type="page"/>
      </w:r>
    </w:p>
    <w:p w:rsidR="00A966B5" w:rsidRPr="004C5551" w:rsidRDefault="00A966B5" w:rsidP="00ED16E0">
      <w:pPr>
        <w:pStyle w:val="Nadpis6"/>
      </w:pPr>
      <w:bookmarkStart w:id="95" w:name="_Toc422233406"/>
      <w:r w:rsidRPr="004C5551">
        <w:t>Vývoj nezamestnanosti</w:t>
      </w:r>
      <w:bookmarkEnd w:id="95"/>
    </w:p>
    <w:p w:rsidR="00C80C5E" w:rsidRPr="004C5551" w:rsidRDefault="006775D8" w:rsidP="00D6574F">
      <w:pPr>
        <w:pStyle w:val="Normlnysozarkami1"/>
        <w:ind w:firstLine="431"/>
        <w:rPr>
          <w:color w:val="000000" w:themeColor="text1"/>
          <w:lang w:eastAsia="cs-CZ"/>
        </w:rPr>
      </w:pPr>
      <w:r w:rsidRPr="004C5551">
        <w:rPr>
          <w:color w:val="000000" w:themeColor="text1"/>
          <w:lang w:eastAsia="cs-CZ"/>
        </w:rPr>
        <w:t>Podobne ako zamestnanosť aj nezamestnanosť možno sledovať na základe viacerých prístupov, ktoré sa konceptuálne odlišujú.</w:t>
      </w:r>
    </w:p>
    <w:p w:rsidR="00C80C5E" w:rsidRPr="004C5551" w:rsidRDefault="00C80C5E" w:rsidP="00D6574F">
      <w:pPr>
        <w:pStyle w:val="Normlnysozarkami1"/>
        <w:ind w:firstLine="431"/>
        <w:rPr>
          <w:color w:val="000000" w:themeColor="text1"/>
        </w:rPr>
      </w:pPr>
      <w:r w:rsidRPr="004C5551">
        <w:rPr>
          <w:color w:val="000000" w:themeColor="text1"/>
        </w:rPr>
        <w:t>Metodika nezamestnanosti</w:t>
      </w:r>
      <w:r w:rsidRPr="004C5551">
        <w:rPr>
          <w:i/>
          <w:color w:val="000000" w:themeColor="text1"/>
        </w:rPr>
        <w:t xml:space="preserve"> </w:t>
      </w:r>
      <w:r w:rsidRPr="004C5551">
        <w:rPr>
          <w:b/>
          <w:i/>
          <w:color w:val="000000" w:themeColor="text1"/>
        </w:rPr>
        <w:t>na základe evidencie úradov práce, sociálnych vecí a rodiny</w:t>
      </w:r>
      <w:r w:rsidRPr="004C5551">
        <w:rPr>
          <w:color w:val="000000" w:themeColor="text1"/>
        </w:rPr>
        <w:t xml:space="preserve"> sa významne odlišuje od metodiky nezamestnanosti na základe VZPS, zachytáva odlišnú populáciu z dôvodu rozdi</w:t>
      </w:r>
      <w:r w:rsidR="00B05F8E" w:rsidRPr="004C5551">
        <w:rPr>
          <w:color w:val="000000" w:themeColor="text1"/>
        </w:rPr>
        <w:t xml:space="preserve">elnej definície nezamestnaného, </w:t>
      </w:r>
      <w:r w:rsidRPr="004C5551">
        <w:rPr>
          <w:color w:val="000000" w:themeColor="text1"/>
        </w:rPr>
        <w:t>závisí o</w:t>
      </w:r>
      <w:r w:rsidR="00B05F8E" w:rsidRPr="004C5551">
        <w:rPr>
          <w:color w:val="000000" w:themeColor="text1"/>
        </w:rPr>
        <w:t xml:space="preserve">d motivácie evidovať sa, ako aj </w:t>
      </w:r>
      <w:r w:rsidRPr="004C5551">
        <w:rPr>
          <w:color w:val="000000" w:themeColor="text1"/>
        </w:rPr>
        <w:t>od legis</w:t>
      </w:r>
      <w:r w:rsidR="00B05F8E" w:rsidRPr="004C5551">
        <w:rPr>
          <w:color w:val="000000" w:themeColor="text1"/>
        </w:rPr>
        <w:softHyphen/>
      </w:r>
      <w:r w:rsidRPr="004C5551">
        <w:rPr>
          <w:color w:val="000000" w:themeColor="text1"/>
        </w:rPr>
        <w:t>latívnych podmienok evidencie. Hoci nie je medzinárodne porovnateľná, poskytuje administratívne údaje, ktorých vykazovanie je možné na mesačnej báze a na najnižšej administratívno-územnej úrovni.</w:t>
      </w:r>
    </w:p>
    <w:p w:rsidR="00003E80" w:rsidRPr="004C5551" w:rsidRDefault="006775D8" w:rsidP="00D6574F">
      <w:pPr>
        <w:tabs>
          <w:tab w:val="left" w:pos="1134"/>
        </w:tabs>
        <w:ind w:firstLine="431"/>
        <w:rPr>
          <w:color w:val="000000" w:themeColor="text1"/>
          <w:lang w:eastAsia="cs-CZ"/>
        </w:rPr>
      </w:pPr>
      <w:r w:rsidRPr="004C5551">
        <w:rPr>
          <w:b/>
          <w:i/>
          <w:color w:val="000000" w:themeColor="text1"/>
          <w:lang w:eastAsia="cs-CZ"/>
        </w:rPr>
        <w:t>Výberové zisťovanie pracovných síl</w:t>
      </w:r>
      <w:r w:rsidRPr="004C5551">
        <w:rPr>
          <w:color w:val="000000" w:themeColor="text1"/>
          <w:lang w:eastAsia="cs-CZ"/>
        </w:rPr>
        <w:t xml:space="preserve"> realizované </w:t>
      </w:r>
      <w:r w:rsidR="000378FA" w:rsidRPr="004C5551">
        <w:rPr>
          <w:color w:val="000000" w:themeColor="text1"/>
          <w:lang w:eastAsia="cs-CZ"/>
        </w:rPr>
        <w:t xml:space="preserve">ŠÚ SR </w:t>
      </w:r>
      <w:r w:rsidRPr="004C5551">
        <w:rPr>
          <w:color w:val="000000" w:themeColor="text1"/>
          <w:lang w:eastAsia="cs-CZ"/>
        </w:rPr>
        <w:t>v domácnostiach zachytáva nezamestnaných</w:t>
      </w:r>
      <w:r w:rsidR="000378FA" w:rsidRPr="004C5551">
        <w:rPr>
          <w:color w:val="000000" w:themeColor="text1"/>
          <w:lang w:eastAsia="cs-CZ"/>
        </w:rPr>
        <w:t xml:space="preserve"> podľa definície Medzinárodnej organizácie práce</w:t>
      </w:r>
      <w:r w:rsidRPr="004C5551">
        <w:rPr>
          <w:color w:val="000000" w:themeColor="text1"/>
          <w:lang w:eastAsia="cs-CZ"/>
        </w:rPr>
        <w:t xml:space="preserve"> ako osoby vo veku od 15 rokov, ktoré súčasne spĺňajú nasledujúce tri podmienky:</w:t>
      </w:r>
      <w:r w:rsidRPr="004C5551">
        <w:rPr>
          <w:color w:val="000000" w:themeColor="text1"/>
          <w:lang w:eastAsia="cs-CZ"/>
        </w:rPr>
        <w:tab/>
      </w:r>
    </w:p>
    <w:p w:rsidR="006775D8" w:rsidRPr="004C5551" w:rsidRDefault="00003E80" w:rsidP="00003E80">
      <w:pPr>
        <w:tabs>
          <w:tab w:val="left" w:pos="1134"/>
        </w:tabs>
        <w:ind w:firstLine="567"/>
        <w:rPr>
          <w:color w:val="000000" w:themeColor="text1"/>
          <w:lang w:eastAsia="cs-CZ"/>
        </w:rPr>
      </w:pPr>
      <w:r w:rsidRPr="004C5551">
        <w:rPr>
          <w:color w:val="000000" w:themeColor="text1"/>
          <w:lang w:eastAsia="cs-CZ"/>
        </w:rPr>
        <w:tab/>
      </w:r>
      <w:r w:rsidR="006775D8" w:rsidRPr="004C5551">
        <w:rPr>
          <w:color w:val="000000" w:themeColor="text1"/>
          <w:lang w:eastAsia="cs-CZ"/>
        </w:rPr>
        <w:t>1. v referenčnom týždni nemali žiadnu platenú prácu;</w:t>
      </w:r>
    </w:p>
    <w:p w:rsidR="006775D8" w:rsidRPr="004C5551" w:rsidRDefault="006775D8" w:rsidP="006775D8">
      <w:pPr>
        <w:ind w:left="1418" w:hanging="284"/>
        <w:rPr>
          <w:color w:val="000000" w:themeColor="text1"/>
          <w:lang w:eastAsia="cs-CZ"/>
        </w:rPr>
      </w:pPr>
      <w:r w:rsidRPr="004C5551">
        <w:rPr>
          <w:color w:val="000000" w:themeColor="text1"/>
          <w:lang w:eastAsia="cs-CZ"/>
        </w:rPr>
        <w:t xml:space="preserve">2. v posledných štyroch týždňoch si aktívne hľadali prácu alebo si prácu našli </w:t>
      </w:r>
      <w:r w:rsidRPr="004C5551">
        <w:rPr>
          <w:color w:val="000000" w:themeColor="text1"/>
          <w:lang w:eastAsia="cs-CZ"/>
        </w:rPr>
        <w:br/>
        <w:t xml:space="preserve">a do zamestnania nastúpia najneskôr do 3 mesiacov a zároveň </w:t>
      </w:r>
    </w:p>
    <w:p w:rsidR="006775D8" w:rsidRPr="004C5551" w:rsidRDefault="006775D8" w:rsidP="006775D8">
      <w:pPr>
        <w:ind w:left="1418" w:hanging="284"/>
        <w:rPr>
          <w:color w:val="000000" w:themeColor="text1"/>
          <w:lang w:eastAsia="cs-CZ"/>
        </w:rPr>
      </w:pPr>
      <w:r w:rsidRPr="004C5551">
        <w:rPr>
          <w:color w:val="000000" w:themeColor="text1"/>
          <w:lang w:eastAsia="cs-CZ"/>
        </w:rPr>
        <w:t>3. sú schopné nastúpiť do práce najneskôr do dvoch týždňov.</w:t>
      </w:r>
    </w:p>
    <w:p w:rsidR="006775D8" w:rsidRPr="004C5551" w:rsidRDefault="006775D8" w:rsidP="00C67F74">
      <w:pPr>
        <w:pStyle w:val="Nadpis7"/>
      </w:pPr>
      <w:r w:rsidRPr="004C5551">
        <w:t>Graf 2.2 Porovnanie vývoja nezamestnanosti podľa evidencie ŠÚ SR a ÚPSVR</w:t>
      </w:r>
    </w:p>
    <w:p w:rsidR="00C67F74" w:rsidRPr="004C5551" w:rsidRDefault="00C67F74" w:rsidP="00F0649F">
      <w:pPr>
        <w:pStyle w:val="Normlnysozarkami1"/>
        <w:ind w:left="-567" w:firstLine="0"/>
        <w:jc w:val="center"/>
        <w:rPr>
          <w:color w:val="000000" w:themeColor="text1"/>
          <w:sz w:val="20"/>
          <w:szCs w:val="20"/>
        </w:rPr>
      </w:pPr>
      <w:r w:rsidRPr="004C5551">
        <w:rPr>
          <w:rFonts w:ascii="Calibri" w:hAnsi="Calibri"/>
          <w:noProof/>
          <w:color w:val="000000"/>
          <w:szCs w:val="22"/>
        </w:rPr>
        <w:drawing>
          <wp:inline distT="0" distB="0" distL="0" distR="0" wp14:anchorId="0A986B4F" wp14:editId="145976D1">
            <wp:extent cx="6719777" cy="3062177"/>
            <wp:effectExtent l="0" t="0" r="5080" b="5080"/>
            <wp:docPr id="35"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775D8" w:rsidRPr="004C5551" w:rsidRDefault="006775D8" w:rsidP="00F0649F">
      <w:pPr>
        <w:pStyle w:val="zdroj"/>
      </w:pPr>
      <w:r w:rsidRPr="004C5551">
        <w:t>ŠÚ SR (VZPS), ÚPSVR</w:t>
      </w:r>
    </w:p>
    <w:p w:rsidR="00E212CB" w:rsidRPr="004C5551" w:rsidRDefault="00E212CB" w:rsidP="00ED16E0">
      <w:pPr>
        <w:pStyle w:val="Nadpis41"/>
      </w:pPr>
      <w:r w:rsidRPr="004C5551">
        <w:t>Nezamestnanosť podľa evidencie úradov práce, sociálnych vecí a rodiny</w:t>
      </w:r>
    </w:p>
    <w:p w:rsidR="006775D8" w:rsidRPr="004C5551" w:rsidRDefault="006775D8" w:rsidP="00D6574F">
      <w:pPr>
        <w:ind w:firstLine="431"/>
        <w:rPr>
          <w:szCs w:val="22"/>
        </w:rPr>
      </w:pPr>
      <w:r w:rsidRPr="004C5551">
        <w:rPr>
          <w:szCs w:val="22"/>
        </w:rPr>
        <w:t xml:space="preserve">V roku 2014 bolo v SR </w:t>
      </w:r>
      <w:r w:rsidRPr="004C5551">
        <w:rPr>
          <w:b/>
          <w:i/>
          <w:szCs w:val="22"/>
        </w:rPr>
        <w:t xml:space="preserve">priemerne evidovaných 385 661 uchádzačov o zamestnanie </w:t>
      </w:r>
      <w:r w:rsidRPr="004C5551">
        <w:rPr>
          <w:szCs w:val="22"/>
        </w:rPr>
        <w:t>(ďalej aj „</w:t>
      </w:r>
      <w:proofErr w:type="spellStart"/>
      <w:r w:rsidRPr="004C5551">
        <w:rPr>
          <w:szCs w:val="22"/>
        </w:rPr>
        <w:t>UoZ</w:t>
      </w:r>
      <w:proofErr w:type="spellEnd"/>
      <w:r w:rsidRPr="004C5551">
        <w:rPr>
          <w:szCs w:val="22"/>
        </w:rPr>
        <w:t xml:space="preserve">“). </w:t>
      </w:r>
      <w:r w:rsidR="00460DEB" w:rsidRPr="004C5551">
        <w:t>Vývoj evidovanej nezamestnanosti v jednotlivých mesiacoch charakterizoval pozitívny klesajúci trend počas celého roka.</w:t>
      </w:r>
      <w:r w:rsidR="00071064" w:rsidRPr="004C5551">
        <w:t xml:space="preserve"> Počet evidovaných nezamestnaných bol v každom mesiaci nižší ako v rovnakom mesiaci predchádzajúceho roka, a to aj u mužov aj u žien. Keď zoberieme do úvahy sezónne výkyvy, počet </w:t>
      </w:r>
      <w:proofErr w:type="spellStart"/>
      <w:r w:rsidR="00071064" w:rsidRPr="004C5551">
        <w:t>UoZ</w:t>
      </w:r>
      <w:proofErr w:type="spellEnd"/>
      <w:r w:rsidR="00071064" w:rsidRPr="004C5551">
        <w:t xml:space="preserve"> sa v priebehu roka 2014 znižoval aj medzimesačne. </w:t>
      </w:r>
      <w:r w:rsidRPr="004C5551">
        <w:rPr>
          <w:szCs w:val="22"/>
        </w:rPr>
        <w:t>V</w:t>
      </w:r>
      <w:r w:rsidR="00F0649F" w:rsidRPr="004C5551">
        <w:rPr>
          <w:szCs w:val="22"/>
        </w:rPr>
        <w:t> </w:t>
      </w:r>
      <w:r w:rsidRPr="004C5551">
        <w:rPr>
          <w:szCs w:val="22"/>
        </w:rPr>
        <w:t xml:space="preserve">porovnaní s rokom 2013 počet </w:t>
      </w:r>
      <w:proofErr w:type="spellStart"/>
      <w:r w:rsidRPr="004C5551">
        <w:rPr>
          <w:szCs w:val="22"/>
        </w:rPr>
        <w:t>UoZ</w:t>
      </w:r>
      <w:proofErr w:type="spellEnd"/>
      <w:r w:rsidRPr="004C5551">
        <w:rPr>
          <w:szCs w:val="22"/>
        </w:rPr>
        <w:t xml:space="preserve"> priemerne mesačne poklesol o 29 345 osôb, t. j. o 7,07</w:t>
      </w:r>
      <w:r w:rsidR="009425AA" w:rsidRPr="004C5551">
        <w:rPr>
          <w:szCs w:val="22"/>
        </w:rPr>
        <w:t> %</w:t>
      </w:r>
      <w:r w:rsidRPr="004C5551">
        <w:rPr>
          <w:szCs w:val="22"/>
        </w:rPr>
        <w:t xml:space="preserve"> (v</w:t>
      </w:r>
      <w:r w:rsidR="00F0649F" w:rsidRPr="004C5551">
        <w:rPr>
          <w:szCs w:val="22"/>
        </w:rPr>
        <w:t> </w:t>
      </w:r>
      <w:r w:rsidRPr="004C5551">
        <w:rPr>
          <w:szCs w:val="22"/>
        </w:rPr>
        <w:t>roku 2013 bolo priemerne evidovaných 415 006 </w:t>
      </w:r>
      <w:proofErr w:type="spellStart"/>
      <w:r w:rsidRPr="004C5551">
        <w:rPr>
          <w:szCs w:val="22"/>
        </w:rPr>
        <w:t>UoZ</w:t>
      </w:r>
      <w:proofErr w:type="spellEnd"/>
      <w:r w:rsidR="00FC12C2" w:rsidRPr="004C5551">
        <w:rPr>
          <w:szCs w:val="22"/>
        </w:rPr>
        <w:t>)</w:t>
      </w:r>
      <w:r w:rsidRPr="004C5551">
        <w:rPr>
          <w:szCs w:val="22"/>
        </w:rPr>
        <w:t>.</w:t>
      </w:r>
      <w:r w:rsidR="009B037C" w:rsidRPr="004C5551">
        <w:rPr>
          <w:szCs w:val="22"/>
        </w:rPr>
        <w:t xml:space="preserve"> K znižovaniu nezamestnanosti prispelo aj adresné využívanie nástrojov aktívnej politiky trhu práce spolu s individuálnym prístupom ku klientom</w:t>
      </w:r>
      <w:r w:rsidR="00BB0E71" w:rsidRPr="004C5551">
        <w:rPr>
          <w:szCs w:val="22"/>
        </w:rPr>
        <w:t xml:space="preserve">, a to aj vďaka účinnému </w:t>
      </w:r>
      <w:r w:rsidR="003E1C29" w:rsidRPr="004C5551">
        <w:rPr>
          <w:szCs w:val="22"/>
        </w:rPr>
        <w:t>realizovaniu projektov podporených z </w:t>
      </w:r>
      <w:r w:rsidR="00BB0E71" w:rsidRPr="004C5551">
        <w:rPr>
          <w:szCs w:val="22"/>
        </w:rPr>
        <w:t>európskych</w:t>
      </w:r>
      <w:r w:rsidR="003E1C29" w:rsidRPr="004C5551">
        <w:rPr>
          <w:szCs w:val="22"/>
        </w:rPr>
        <w:t xml:space="preserve"> štrukturálnych</w:t>
      </w:r>
      <w:r w:rsidR="00BB0E71" w:rsidRPr="004C5551">
        <w:rPr>
          <w:szCs w:val="22"/>
        </w:rPr>
        <w:t xml:space="preserve"> fondov</w:t>
      </w:r>
      <w:r w:rsidR="009B037C" w:rsidRPr="004C5551">
        <w:rPr>
          <w:szCs w:val="22"/>
        </w:rPr>
        <w:t>.</w:t>
      </w:r>
    </w:p>
    <w:p w:rsidR="00F0649F" w:rsidRPr="004C5551" w:rsidRDefault="00F0649F">
      <w:pPr>
        <w:jc w:val="left"/>
        <w:rPr>
          <w:b/>
        </w:rPr>
      </w:pPr>
      <w:r w:rsidRPr="004C5551">
        <w:br w:type="page"/>
      </w:r>
    </w:p>
    <w:p w:rsidR="006775D8" w:rsidRPr="004C5551" w:rsidRDefault="006775D8" w:rsidP="00F0649F">
      <w:pPr>
        <w:pStyle w:val="Nadpis7"/>
      </w:pPr>
      <w:r w:rsidRPr="004C5551">
        <w:t>Graf 2.6 Vývoj počtu uchádzačov o zamestnanie v jednotlivých mesiacoch v rokoch 2013 a 2014</w:t>
      </w:r>
    </w:p>
    <w:p w:rsidR="00E407DA" w:rsidRPr="004C5551" w:rsidRDefault="006775D8" w:rsidP="00E407DA">
      <w:pPr>
        <w:pStyle w:val="zdroj"/>
        <w:ind w:firstLine="0"/>
        <w:jc w:val="center"/>
      </w:pPr>
      <w:r w:rsidRPr="004C5551">
        <w:rPr>
          <w:noProof/>
        </w:rPr>
        <w:drawing>
          <wp:inline distT="0" distB="0" distL="0" distR="0" wp14:anchorId="472FDD7B" wp14:editId="1250A24F">
            <wp:extent cx="5688419" cy="2466753"/>
            <wp:effectExtent l="0" t="0" r="0" b="0"/>
            <wp:docPr id="206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75D8" w:rsidRPr="004C5551" w:rsidRDefault="006775D8" w:rsidP="00274F35">
      <w:pPr>
        <w:pStyle w:val="zdroj"/>
        <w:rPr>
          <w:sz w:val="24"/>
        </w:rPr>
      </w:pPr>
      <w:r w:rsidRPr="004C5551">
        <w:t xml:space="preserve">Zdroj: ÚPSVR </w:t>
      </w:r>
    </w:p>
    <w:p w:rsidR="006775D8" w:rsidRPr="004C5551" w:rsidRDefault="006775D8" w:rsidP="00D6574F">
      <w:pPr>
        <w:pStyle w:val="Normlnysozarkami11"/>
        <w:ind w:firstLine="431"/>
        <w:rPr>
          <w:szCs w:val="22"/>
        </w:rPr>
      </w:pPr>
      <w:r w:rsidRPr="004C5551">
        <w:rPr>
          <w:szCs w:val="22"/>
        </w:rPr>
        <w:t xml:space="preserve">Z celkového priemerného počtu </w:t>
      </w:r>
      <w:proofErr w:type="spellStart"/>
      <w:r w:rsidRPr="004C5551">
        <w:rPr>
          <w:szCs w:val="22"/>
        </w:rPr>
        <w:t>UoZ</w:t>
      </w:r>
      <w:proofErr w:type="spellEnd"/>
      <w:r w:rsidRPr="004C5551">
        <w:rPr>
          <w:szCs w:val="22"/>
        </w:rPr>
        <w:t xml:space="preserve"> bolo v evidencií 188 464 žien (48,87</w:t>
      </w:r>
      <w:r w:rsidR="009425AA" w:rsidRPr="004C5551">
        <w:rPr>
          <w:szCs w:val="22"/>
        </w:rPr>
        <w:t> %</w:t>
      </w:r>
      <w:r w:rsidRPr="004C5551">
        <w:rPr>
          <w:szCs w:val="22"/>
        </w:rPr>
        <w:t>), čo v porovnaní s rokom 2013 (priemerne 199 735 žien) predstavovalo pokles o 11 271 osôb, resp. o 5,64</w:t>
      </w:r>
      <w:r w:rsidR="009425AA" w:rsidRPr="004C5551">
        <w:rPr>
          <w:szCs w:val="22"/>
        </w:rPr>
        <w:t> %</w:t>
      </w:r>
      <w:r w:rsidRPr="004C5551">
        <w:rPr>
          <w:szCs w:val="22"/>
        </w:rPr>
        <w:t xml:space="preserve">. Najvyšší podiel žien na celkových počtoch </w:t>
      </w:r>
      <w:proofErr w:type="spellStart"/>
      <w:r w:rsidRPr="004C5551">
        <w:rPr>
          <w:szCs w:val="22"/>
        </w:rPr>
        <w:t>UoZ</w:t>
      </w:r>
      <w:proofErr w:type="spellEnd"/>
      <w:r w:rsidRPr="004C5551">
        <w:rPr>
          <w:szCs w:val="22"/>
        </w:rPr>
        <w:t xml:space="preserve"> v roku 2014 bol v Nitrianskom kraji (52,76</w:t>
      </w:r>
      <w:r w:rsidR="009425AA" w:rsidRPr="004C5551">
        <w:rPr>
          <w:szCs w:val="22"/>
        </w:rPr>
        <w:t> %</w:t>
      </w:r>
      <w:r w:rsidRPr="004C5551">
        <w:rPr>
          <w:szCs w:val="22"/>
        </w:rPr>
        <w:t>), v ostatných krajoch sa podiel pohyboval v rozmedzí od 46,09</w:t>
      </w:r>
      <w:r w:rsidR="009425AA" w:rsidRPr="004C5551">
        <w:rPr>
          <w:szCs w:val="22"/>
        </w:rPr>
        <w:t> %</w:t>
      </w:r>
      <w:r w:rsidRPr="004C5551">
        <w:rPr>
          <w:szCs w:val="22"/>
        </w:rPr>
        <w:t xml:space="preserve"> (Prešovský kraj) do 52,50</w:t>
      </w:r>
      <w:r w:rsidR="009425AA" w:rsidRPr="004C5551">
        <w:rPr>
          <w:szCs w:val="22"/>
        </w:rPr>
        <w:t> %</w:t>
      </w:r>
      <w:r w:rsidRPr="004C5551">
        <w:rPr>
          <w:szCs w:val="22"/>
        </w:rPr>
        <w:t xml:space="preserve"> (Trnavský kraj).</w:t>
      </w:r>
    </w:p>
    <w:p w:rsidR="006775D8" w:rsidRPr="004C5551" w:rsidRDefault="006775D8" w:rsidP="00F0649F">
      <w:pPr>
        <w:pStyle w:val="Nadpis7"/>
      </w:pPr>
      <w:r w:rsidRPr="004C5551">
        <w:t xml:space="preserve">Graf 2.7 Vývoj </w:t>
      </w:r>
      <w:r w:rsidR="001B74D0" w:rsidRPr="004C5551">
        <w:t xml:space="preserve">počtov </w:t>
      </w:r>
      <w:r w:rsidRPr="004C5551">
        <w:t>nezamestnaných</w:t>
      </w:r>
      <w:r w:rsidR="001B74D0" w:rsidRPr="004C5551">
        <w:t xml:space="preserve"> mužov a</w:t>
      </w:r>
      <w:r w:rsidRPr="004C5551">
        <w:t xml:space="preserve"> žien v jednotlivých mesiacoch </w:t>
      </w:r>
      <w:r w:rsidR="00274F35" w:rsidRPr="004C5551">
        <w:br/>
      </w:r>
      <w:r w:rsidRPr="004C5551">
        <w:t>v rokoch 2013 a</w:t>
      </w:r>
      <w:r w:rsidR="001B74D0" w:rsidRPr="004C5551">
        <w:t> </w:t>
      </w:r>
      <w:r w:rsidRPr="004C5551">
        <w:t>2014</w:t>
      </w:r>
    </w:p>
    <w:p w:rsidR="00460DEB" w:rsidRPr="004C5551" w:rsidRDefault="00543CF2" w:rsidP="00274F35">
      <w:pPr>
        <w:jc w:val="center"/>
      </w:pPr>
      <w:r w:rsidRPr="004C5551">
        <w:rPr>
          <w:noProof/>
        </w:rPr>
        <w:drawing>
          <wp:inline distT="0" distB="0" distL="0" distR="0" wp14:anchorId="3A6F7662" wp14:editId="611D6497">
            <wp:extent cx="5760720" cy="2476142"/>
            <wp:effectExtent l="0" t="0" r="0" b="63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0DEB" w:rsidRPr="004C5551" w:rsidRDefault="00274F35" w:rsidP="00274F35">
      <w:pPr>
        <w:pStyle w:val="zdroj"/>
      </w:pPr>
      <w:r w:rsidRPr="004C5551">
        <w:t>Zdroj: Ú</w:t>
      </w:r>
      <w:r w:rsidR="001B74D0" w:rsidRPr="004C5551">
        <w:t>PSVR</w:t>
      </w:r>
    </w:p>
    <w:p w:rsidR="006775D8" w:rsidRPr="004C5551" w:rsidRDefault="006775D8" w:rsidP="00D6574F">
      <w:pPr>
        <w:ind w:firstLine="431"/>
        <w:rPr>
          <w:szCs w:val="22"/>
        </w:rPr>
      </w:pPr>
      <w:r w:rsidRPr="004C5551">
        <w:rPr>
          <w:b/>
          <w:szCs w:val="22"/>
        </w:rPr>
        <w:t>Priemerný počet disponibilných</w:t>
      </w:r>
      <w:r w:rsidR="00736C56" w:rsidRPr="004C5551">
        <w:rPr>
          <w:rStyle w:val="Odkaznapoznmkupodiarou"/>
          <w:b/>
          <w:szCs w:val="22"/>
        </w:rPr>
        <w:footnoteReference w:id="14"/>
      </w:r>
      <w:r w:rsidRPr="004C5551">
        <w:rPr>
          <w:b/>
          <w:szCs w:val="22"/>
        </w:rPr>
        <w:t xml:space="preserve"> </w:t>
      </w:r>
      <w:proofErr w:type="spellStart"/>
      <w:r w:rsidRPr="004C5551">
        <w:rPr>
          <w:b/>
          <w:szCs w:val="22"/>
        </w:rPr>
        <w:t>UoZ</w:t>
      </w:r>
      <w:proofErr w:type="spellEnd"/>
      <w:r w:rsidRPr="004C5551">
        <w:rPr>
          <w:szCs w:val="22"/>
        </w:rPr>
        <w:t xml:space="preserve"> </w:t>
      </w:r>
      <w:r w:rsidRPr="004C5551">
        <w:t xml:space="preserve">dosiahol </w:t>
      </w:r>
      <w:r w:rsidR="003B7AAE" w:rsidRPr="004C5551">
        <w:t xml:space="preserve">v </w:t>
      </w:r>
      <w:r w:rsidRPr="004C5551">
        <w:t>roku 2014 počet 345 149 osôb. V medziročnom porovnaní je to pokles o 35 590 osôb, t.j. o 9,35</w:t>
      </w:r>
      <w:r w:rsidR="009425AA" w:rsidRPr="004C5551">
        <w:t> %</w:t>
      </w:r>
      <w:r w:rsidRPr="004C5551">
        <w:t xml:space="preserve"> (v roku 2013 bolo evidovaných v priemere 380 739 </w:t>
      </w:r>
      <w:proofErr w:type="spellStart"/>
      <w:r w:rsidRPr="004C5551">
        <w:t>UoZ</w:t>
      </w:r>
      <w:proofErr w:type="spellEnd"/>
      <w:r w:rsidRPr="004C5551">
        <w:t>).</w:t>
      </w:r>
    </w:p>
    <w:p w:rsidR="00F0649F" w:rsidRPr="004C5551" w:rsidRDefault="00F0649F">
      <w:pPr>
        <w:jc w:val="left"/>
        <w:rPr>
          <w:b/>
        </w:rPr>
      </w:pPr>
      <w:r w:rsidRPr="004C5551">
        <w:rPr>
          <w:b/>
        </w:rPr>
        <w:br w:type="page"/>
      </w:r>
    </w:p>
    <w:p w:rsidR="006775D8" w:rsidRPr="004C5551" w:rsidRDefault="006775D8" w:rsidP="00F0649F">
      <w:pPr>
        <w:pStyle w:val="Nadpis7"/>
      </w:pPr>
      <w:r w:rsidRPr="004C5551">
        <w:t>Graf 2.8 Vývoj počtu disponibilných uchádzačov o zamestnanie v jednotlivých mesiacoch v rokoch 2013 a 2014</w:t>
      </w:r>
    </w:p>
    <w:p w:rsidR="006775D8" w:rsidRPr="004C5551" w:rsidRDefault="006775D8" w:rsidP="00F0649F">
      <w:pPr>
        <w:rPr>
          <w:b/>
        </w:rPr>
      </w:pPr>
      <w:r w:rsidRPr="004C5551">
        <w:rPr>
          <w:noProof/>
        </w:rPr>
        <w:drawing>
          <wp:inline distT="0" distB="0" distL="0" distR="0" wp14:anchorId="3FA8F0A3" wp14:editId="4F2479C0">
            <wp:extent cx="5816010" cy="2828260"/>
            <wp:effectExtent l="0" t="0" r="0" b="0"/>
            <wp:docPr id="207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75D8" w:rsidRPr="004C5551" w:rsidRDefault="006775D8" w:rsidP="00F0649F">
      <w:pPr>
        <w:pStyle w:val="zdroj"/>
      </w:pPr>
      <w:r w:rsidRPr="004C5551">
        <w:t>Zdroj: ÚPSVR</w:t>
      </w:r>
    </w:p>
    <w:p w:rsidR="006775D8" w:rsidRPr="004C5551" w:rsidRDefault="006775D8" w:rsidP="00107D3D">
      <w:pPr>
        <w:pStyle w:val="Nadpis7"/>
      </w:pPr>
      <w:r w:rsidRPr="004C5551">
        <w:t xml:space="preserve">Graf 2.9 Porovnanie priemerných </w:t>
      </w:r>
      <w:r w:rsidR="00736C56" w:rsidRPr="004C5551">
        <w:t xml:space="preserve">počtov </w:t>
      </w:r>
      <w:r w:rsidRPr="004C5551">
        <w:t xml:space="preserve">uchádzačov o zamestnanie </w:t>
      </w:r>
      <w:r w:rsidRPr="004C5551">
        <w:br/>
        <w:t>v rokoch 2013 a 2014</w:t>
      </w:r>
    </w:p>
    <w:p w:rsidR="00E407DA" w:rsidRPr="004C5551" w:rsidRDefault="006775D8" w:rsidP="00E407DA">
      <w:pPr>
        <w:pStyle w:val="Normlnywebov"/>
        <w:spacing w:before="0" w:after="0"/>
        <w:rPr>
          <w:rStyle w:val="zdrojChar"/>
        </w:rPr>
      </w:pPr>
      <w:r w:rsidRPr="004C5551">
        <w:rPr>
          <w:noProof/>
        </w:rPr>
        <w:drawing>
          <wp:inline distT="0" distB="0" distL="0" distR="0" wp14:anchorId="455FA11A" wp14:editId="00B440EF">
            <wp:extent cx="5677786" cy="2583711"/>
            <wp:effectExtent l="0" t="0" r="0" b="0"/>
            <wp:docPr id="207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75D8" w:rsidRPr="004C5551" w:rsidRDefault="006775D8" w:rsidP="00E407DA">
      <w:pPr>
        <w:pStyle w:val="zdroj"/>
      </w:pPr>
      <w:r w:rsidRPr="004C5551">
        <w:t xml:space="preserve">Zdroj: ÚPSVR </w:t>
      </w:r>
    </w:p>
    <w:p w:rsidR="006775D8" w:rsidRPr="004C5551" w:rsidRDefault="006775D8" w:rsidP="00D6574F">
      <w:pPr>
        <w:ind w:firstLine="431"/>
        <w:rPr>
          <w:szCs w:val="22"/>
        </w:rPr>
      </w:pPr>
      <w:r w:rsidRPr="004C5551">
        <w:rPr>
          <w:b/>
          <w:szCs w:val="22"/>
        </w:rPr>
        <w:t>Miera evidovanej nezamestnanosti</w:t>
      </w:r>
      <w:r w:rsidRPr="004C5551">
        <w:rPr>
          <w:szCs w:val="22"/>
        </w:rPr>
        <w:t xml:space="preserve"> v jednotlivých kvartáloch </w:t>
      </w:r>
      <w:r w:rsidRPr="004C5551">
        <w:rPr>
          <w:b/>
          <w:szCs w:val="22"/>
        </w:rPr>
        <w:t>počas roka postupne klesala</w:t>
      </w:r>
      <w:r w:rsidRPr="004C5551">
        <w:rPr>
          <w:szCs w:val="22"/>
        </w:rPr>
        <w:t>, vo</w:t>
      </w:r>
      <w:r w:rsidR="00E47B33" w:rsidRPr="004C5551">
        <w:rPr>
          <w:szCs w:val="22"/>
        </w:rPr>
        <w:t> </w:t>
      </w:r>
      <w:r w:rsidRPr="004C5551">
        <w:rPr>
          <w:szCs w:val="22"/>
        </w:rPr>
        <w:t>všetkých kvartáloch roku 2014 bola nižšia ako v roku 2013. V priemere za rok 2014 dosiahla úroveň 12,79</w:t>
      </w:r>
      <w:r w:rsidR="006D0272" w:rsidRPr="004C5551">
        <w:rPr>
          <w:szCs w:val="22"/>
        </w:rPr>
        <w:t> </w:t>
      </w:r>
      <w:r w:rsidRPr="004C5551">
        <w:rPr>
          <w:szCs w:val="22"/>
        </w:rPr>
        <w:t>% (priemerný medziročný pokles o 1,32 p. b.).</w:t>
      </w:r>
    </w:p>
    <w:p w:rsidR="006775D8" w:rsidRPr="004C5551" w:rsidRDefault="006775D8" w:rsidP="00D6574F">
      <w:pPr>
        <w:ind w:firstLine="431"/>
        <w:rPr>
          <w:szCs w:val="22"/>
        </w:rPr>
      </w:pPr>
      <w:r w:rsidRPr="004C5551">
        <w:rPr>
          <w:b/>
          <w:szCs w:val="22"/>
        </w:rPr>
        <w:t>Z regionálneho hľadiska</w:t>
      </w:r>
      <w:r w:rsidRPr="004C5551">
        <w:rPr>
          <w:szCs w:val="22"/>
        </w:rPr>
        <w:t xml:space="preserve"> za rok 201</w:t>
      </w:r>
      <w:r w:rsidR="00FC12C2" w:rsidRPr="004C5551">
        <w:rPr>
          <w:szCs w:val="22"/>
        </w:rPr>
        <w:t>4</w:t>
      </w:r>
      <w:r w:rsidRPr="004C5551">
        <w:rPr>
          <w:szCs w:val="22"/>
        </w:rPr>
        <w:t xml:space="preserve"> najvyššia úroveň priemernej miery evidovanej nezamestnanosti bola zaznamenaná v Prešovskom kraji (18,02</w:t>
      </w:r>
      <w:r w:rsidR="009425AA" w:rsidRPr="004C5551">
        <w:rPr>
          <w:szCs w:val="22"/>
        </w:rPr>
        <w:t> %</w:t>
      </w:r>
      <w:r w:rsidRPr="004C5551">
        <w:rPr>
          <w:szCs w:val="22"/>
        </w:rPr>
        <w:t>) a najnižšia v Bratislavskom kraji (6,20</w:t>
      </w:r>
      <w:r w:rsidR="009425AA" w:rsidRPr="004C5551">
        <w:rPr>
          <w:szCs w:val="22"/>
        </w:rPr>
        <w:t> %</w:t>
      </w:r>
      <w:r w:rsidRPr="004C5551">
        <w:rPr>
          <w:szCs w:val="22"/>
        </w:rPr>
        <w:t>). Úroveň celoslovenského priemeru miery evidovanej nezamestnanosti (</w:t>
      </w:r>
      <w:r w:rsidR="00C96538" w:rsidRPr="004C5551">
        <w:rPr>
          <w:szCs w:val="22"/>
        </w:rPr>
        <w:t>12,79</w:t>
      </w:r>
      <w:r w:rsidR="009425AA" w:rsidRPr="004C5551">
        <w:rPr>
          <w:szCs w:val="22"/>
        </w:rPr>
        <w:t> %</w:t>
      </w:r>
      <w:r w:rsidRPr="004C5551">
        <w:rPr>
          <w:szCs w:val="22"/>
        </w:rPr>
        <w:t>) bola okrem Prešovského kraja prekročená v Banskobystrickom kraji s ročným priemerom 17,81</w:t>
      </w:r>
      <w:r w:rsidR="009425AA" w:rsidRPr="004C5551">
        <w:rPr>
          <w:szCs w:val="22"/>
        </w:rPr>
        <w:t> %</w:t>
      </w:r>
      <w:r w:rsidRPr="004C5551">
        <w:rPr>
          <w:szCs w:val="22"/>
        </w:rPr>
        <w:t xml:space="preserve"> a v Košickom kraji s ročným priemerom 16,60</w:t>
      </w:r>
      <w:r w:rsidR="009425AA" w:rsidRPr="004C5551">
        <w:rPr>
          <w:szCs w:val="22"/>
        </w:rPr>
        <w:t> %</w:t>
      </w:r>
      <w:r w:rsidRPr="004C5551">
        <w:rPr>
          <w:szCs w:val="22"/>
        </w:rPr>
        <w:t xml:space="preserve">. </w:t>
      </w:r>
    </w:p>
    <w:p w:rsidR="00107D3D" w:rsidRPr="004C5551" w:rsidRDefault="00107D3D">
      <w:pPr>
        <w:jc w:val="left"/>
        <w:rPr>
          <w:b/>
        </w:rPr>
      </w:pPr>
      <w:r w:rsidRPr="004C5551">
        <w:br w:type="page"/>
      </w:r>
    </w:p>
    <w:p w:rsidR="006775D8" w:rsidRPr="004C5551" w:rsidRDefault="006775D8" w:rsidP="00107D3D">
      <w:pPr>
        <w:pStyle w:val="Nadpis7"/>
      </w:pPr>
      <w:r w:rsidRPr="004C5551">
        <w:t>Graf 2.10 Priemerná miera evidovanej nezamestnanosti a</w:t>
      </w:r>
      <w:r w:rsidR="00736C56" w:rsidRPr="004C5551">
        <w:t xml:space="preserve"> priemerný </w:t>
      </w:r>
      <w:r w:rsidRPr="004C5551">
        <w:t xml:space="preserve">počet </w:t>
      </w:r>
      <w:proofErr w:type="spellStart"/>
      <w:r w:rsidRPr="004C5551">
        <w:t>UoZ</w:t>
      </w:r>
      <w:proofErr w:type="spellEnd"/>
      <w:r w:rsidRPr="004C5551">
        <w:t xml:space="preserve"> v krajoch SR v roku 2014</w:t>
      </w:r>
    </w:p>
    <w:p w:rsidR="006775D8" w:rsidRPr="004C5551" w:rsidRDefault="00107D3D" w:rsidP="0002117F">
      <w:pPr>
        <w:pStyle w:val="zdroj"/>
        <w:spacing w:before="0"/>
        <w:ind w:left="709" w:hanging="709"/>
        <w:jc w:val="left"/>
        <w:rPr>
          <w:color w:val="auto"/>
          <w:szCs w:val="22"/>
        </w:rPr>
      </w:pPr>
      <w:r w:rsidRPr="004C5551">
        <w:rPr>
          <w:noProof/>
        </w:rPr>
        <w:drawing>
          <wp:inline distT="0" distB="0" distL="0" distR="0" wp14:anchorId="1E2BC62D" wp14:editId="105E6C6A">
            <wp:extent cx="5847907" cy="2838893"/>
            <wp:effectExtent l="0" t="0" r="635" b="0"/>
            <wp:docPr id="2055" name="Graf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775D8" w:rsidRPr="004C5551">
        <w:t>Zdroj: ÚPSVR</w:t>
      </w:r>
    </w:p>
    <w:p w:rsidR="006775D8" w:rsidRPr="004C5551" w:rsidRDefault="006775D8" w:rsidP="00D6574F">
      <w:pPr>
        <w:ind w:firstLine="431"/>
        <w:rPr>
          <w:szCs w:val="22"/>
        </w:rPr>
      </w:pPr>
      <w:r w:rsidRPr="004C5551">
        <w:rPr>
          <w:szCs w:val="22"/>
        </w:rPr>
        <w:t>Vo všetkých krajoch SR</w:t>
      </w:r>
      <w:r w:rsidRPr="004C5551">
        <w:rPr>
          <w:i/>
          <w:color w:val="000000"/>
        </w:rPr>
        <w:t xml:space="preserve">, </w:t>
      </w:r>
      <w:r w:rsidRPr="004C5551">
        <w:rPr>
          <w:color w:val="000000"/>
        </w:rPr>
        <w:t xml:space="preserve">s výnimkou </w:t>
      </w:r>
      <w:r w:rsidR="001F27A4" w:rsidRPr="004C5551">
        <w:rPr>
          <w:color w:val="000000"/>
        </w:rPr>
        <w:t>B</w:t>
      </w:r>
      <w:r w:rsidRPr="004C5551">
        <w:rPr>
          <w:color w:val="000000"/>
        </w:rPr>
        <w:t>ratislavského (nezmenená hodnota na úrovni 6,20</w:t>
      </w:r>
      <w:r w:rsidR="006D0272" w:rsidRPr="004C5551">
        <w:rPr>
          <w:color w:val="000000"/>
        </w:rPr>
        <w:t> </w:t>
      </w:r>
      <w:r w:rsidRPr="004C5551">
        <w:rPr>
          <w:color w:val="000000"/>
        </w:rPr>
        <w:t xml:space="preserve">%) bol dosiahnutý medziročný pokles priemernej miery evidovanej nezamestnanosti </w:t>
      </w:r>
      <w:r w:rsidRPr="004C5551">
        <w:rPr>
          <w:szCs w:val="22"/>
        </w:rPr>
        <w:t>v rozpätí od</w:t>
      </w:r>
      <w:r w:rsidR="006D0272" w:rsidRPr="004C5551">
        <w:rPr>
          <w:szCs w:val="22"/>
        </w:rPr>
        <w:t> </w:t>
      </w:r>
      <w:r w:rsidRPr="004C5551">
        <w:rPr>
          <w:szCs w:val="22"/>
        </w:rPr>
        <w:t>0,94</w:t>
      </w:r>
      <w:r w:rsidR="006D0272" w:rsidRPr="004C5551">
        <w:rPr>
          <w:szCs w:val="22"/>
        </w:rPr>
        <w:t> </w:t>
      </w:r>
      <w:r w:rsidRPr="004C5551">
        <w:rPr>
          <w:szCs w:val="22"/>
        </w:rPr>
        <w:t>p. b. v</w:t>
      </w:r>
      <w:r w:rsidR="0002117F" w:rsidRPr="004C5551">
        <w:rPr>
          <w:szCs w:val="22"/>
        </w:rPr>
        <w:t> </w:t>
      </w:r>
      <w:r w:rsidRPr="004C5551">
        <w:rPr>
          <w:szCs w:val="22"/>
        </w:rPr>
        <w:t>Trenčianskom kraji do 2,02 p. b. v Prešovskom kraji. Medziročný pokles priemernej miery evidovanej nezamestnanosti</w:t>
      </w:r>
      <w:r w:rsidR="003B7AAE" w:rsidRPr="004C5551">
        <w:rPr>
          <w:szCs w:val="22"/>
        </w:rPr>
        <w:t>,</w:t>
      </w:r>
      <w:r w:rsidRPr="004C5551">
        <w:rPr>
          <w:szCs w:val="22"/>
        </w:rPr>
        <w:t xml:space="preserve"> vyšší ako priemer za SR (1,32 p. b.)</w:t>
      </w:r>
      <w:r w:rsidR="003B7AAE" w:rsidRPr="004C5551">
        <w:rPr>
          <w:szCs w:val="22"/>
        </w:rPr>
        <w:t>,</w:t>
      </w:r>
      <w:r w:rsidRPr="004C5551">
        <w:rPr>
          <w:szCs w:val="22"/>
        </w:rPr>
        <w:t xml:space="preserve"> bol zaznamenaný v štyroch krajoch: Nitrianskom (o 1,94 p. b.), Banskobystrickom (o 1,39 p. b.), Prešovskom (o 2,02 p. b.)</w:t>
      </w:r>
      <w:r w:rsidR="00073D95" w:rsidRPr="004C5551">
        <w:rPr>
          <w:szCs w:val="22"/>
        </w:rPr>
        <w:t xml:space="preserve"> </w:t>
      </w:r>
      <w:r w:rsidRPr="004C5551">
        <w:rPr>
          <w:szCs w:val="22"/>
        </w:rPr>
        <w:t>a</w:t>
      </w:r>
      <w:r w:rsidR="006D0272" w:rsidRPr="004C5551">
        <w:rPr>
          <w:szCs w:val="22"/>
        </w:rPr>
        <w:t> </w:t>
      </w:r>
      <w:r w:rsidRPr="004C5551">
        <w:rPr>
          <w:szCs w:val="22"/>
        </w:rPr>
        <w:t>Košickom (</w:t>
      </w:r>
      <w:r w:rsidR="00003E80" w:rsidRPr="004C5551">
        <w:rPr>
          <w:szCs w:val="22"/>
        </w:rPr>
        <w:t>o </w:t>
      </w:r>
      <w:r w:rsidRPr="004C5551">
        <w:rPr>
          <w:szCs w:val="22"/>
        </w:rPr>
        <w:t xml:space="preserve">1,69 p. b.). </w:t>
      </w:r>
      <w:r w:rsidR="00736C56" w:rsidRPr="004C5551">
        <w:rPr>
          <w:szCs w:val="22"/>
        </w:rPr>
        <w:t xml:space="preserve">V Trnavskom kraji bol zaznamenaný pokles o 1,12 </w:t>
      </w:r>
      <w:proofErr w:type="spellStart"/>
      <w:r w:rsidR="00736C56" w:rsidRPr="004C5551">
        <w:rPr>
          <w:szCs w:val="22"/>
        </w:rPr>
        <w:t>p.b</w:t>
      </w:r>
      <w:proofErr w:type="spellEnd"/>
      <w:r w:rsidR="00736C56" w:rsidRPr="004C5551">
        <w:rPr>
          <w:szCs w:val="22"/>
        </w:rPr>
        <w:t>. a v Žilinskom kraji</w:t>
      </w:r>
      <w:r w:rsidR="003D4864" w:rsidRPr="004C5551">
        <w:rPr>
          <w:szCs w:val="22"/>
        </w:rPr>
        <w:t xml:space="preserve"> </w:t>
      </w:r>
      <w:r w:rsidR="00736C56" w:rsidRPr="004C5551">
        <w:rPr>
          <w:szCs w:val="22"/>
        </w:rPr>
        <w:t xml:space="preserve">o 1,23 </w:t>
      </w:r>
      <w:proofErr w:type="spellStart"/>
      <w:r w:rsidR="00736C56" w:rsidRPr="004C5551">
        <w:rPr>
          <w:szCs w:val="22"/>
        </w:rPr>
        <w:t>p.b</w:t>
      </w:r>
      <w:proofErr w:type="spellEnd"/>
      <w:r w:rsidR="00736C56" w:rsidRPr="004C5551">
        <w:rPr>
          <w:szCs w:val="22"/>
        </w:rPr>
        <w:t>.</w:t>
      </w:r>
    </w:p>
    <w:p w:rsidR="006775D8" w:rsidRPr="004C5551" w:rsidRDefault="006775D8" w:rsidP="00D6574F">
      <w:pPr>
        <w:ind w:firstLine="431"/>
        <w:rPr>
          <w:szCs w:val="22"/>
        </w:rPr>
      </w:pPr>
      <w:r w:rsidRPr="004C5551">
        <w:rPr>
          <w:b/>
          <w:szCs w:val="22"/>
        </w:rPr>
        <w:t xml:space="preserve">Miera nezamestnanosti vypočítaná z celkového počtu uchádzačov </w:t>
      </w:r>
      <w:r w:rsidRPr="004C5551">
        <w:rPr>
          <w:szCs w:val="22"/>
        </w:rPr>
        <w:t>o</w:t>
      </w:r>
      <w:r w:rsidR="003B7AAE" w:rsidRPr="004C5551">
        <w:rPr>
          <w:szCs w:val="22"/>
        </w:rPr>
        <w:t> </w:t>
      </w:r>
      <w:r w:rsidRPr="004C5551">
        <w:rPr>
          <w:szCs w:val="22"/>
        </w:rPr>
        <w:t>zamestnanie</w:t>
      </w:r>
      <w:r w:rsidR="00073D95" w:rsidRPr="004C5551">
        <w:rPr>
          <w:szCs w:val="22"/>
        </w:rPr>
        <w:t xml:space="preserve"> </w:t>
      </w:r>
      <w:r w:rsidRPr="004C5551">
        <w:rPr>
          <w:szCs w:val="22"/>
        </w:rPr>
        <w:t>dosiahla v priemere za rok 2014 úroveň 14,29</w:t>
      </w:r>
      <w:r w:rsidR="009425AA" w:rsidRPr="004C5551">
        <w:rPr>
          <w:szCs w:val="22"/>
        </w:rPr>
        <w:t> %</w:t>
      </w:r>
      <w:r w:rsidRPr="004C5551">
        <w:rPr>
          <w:szCs w:val="22"/>
        </w:rPr>
        <w:t xml:space="preserve">, čo predstavovalo oproti roku 2013 pokles o 1,09 p. b. </w:t>
      </w:r>
      <w:r w:rsidR="00E47B33" w:rsidRPr="004C5551">
        <w:rPr>
          <w:szCs w:val="22"/>
        </w:rPr>
        <w:br/>
      </w:r>
      <w:r w:rsidRPr="004C5551">
        <w:rPr>
          <w:szCs w:val="22"/>
        </w:rPr>
        <w:t>(v roku 2013 15,38</w:t>
      </w:r>
      <w:r w:rsidR="009425AA" w:rsidRPr="004C5551">
        <w:rPr>
          <w:szCs w:val="22"/>
        </w:rPr>
        <w:t> %</w:t>
      </w:r>
      <w:r w:rsidRPr="004C5551">
        <w:rPr>
          <w:szCs w:val="22"/>
        </w:rPr>
        <w:t>).</w:t>
      </w:r>
    </w:p>
    <w:p w:rsidR="006775D8" w:rsidRPr="004C5551" w:rsidRDefault="006775D8" w:rsidP="0002117F">
      <w:pPr>
        <w:pStyle w:val="Nadpis7"/>
      </w:pPr>
      <w:r w:rsidRPr="004C5551">
        <w:t>Graf 2.11 Priemerná miera evidovanej nezamestnanosti</w:t>
      </w:r>
      <w:r w:rsidR="003B7AAE" w:rsidRPr="004C5551">
        <w:t xml:space="preserve"> </w:t>
      </w:r>
      <w:r w:rsidRPr="004C5551">
        <w:t xml:space="preserve">a miera nezamestnanosti z celkového počtu </w:t>
      </w:r>
      <w:proofErr w:type="spellStart"/>
      <w:r w:rsidRPr="004C5551">
        <w:t>UoZ</w:t>
      </w:r>
      <w:proofErr w:type="spellEnd"/>
      <w:r w:rsidRPr="004C5551">
        <w:t xml:space="preserve"> v SR v rokoch 2013 a 2014</w:t>
      </w:r>
    </w:p>
    <w:p w:rsidR="00E407DA" w:rsidRPr="004C5551" w:rsidRDefault="006775D8" w:rsidP="00E407DA">
      <w:pPr>
        <w:jc w:val="center"/>
        <w:rPr>
          <w:rStyle w:val="zdrojChar"/>
        </w:rPr>
      </w:pPr>
      <w:r w:rsidRPr="004C5551">
        <w:rPr>
          <w:noProof/>
        </w:rPr>
        <w:drawing>
          <wp:inline distT="0" distB="0" distL="0" distR="0" wp14:anchorId="1171E91A" wp14:editId="5A084A52">
            <wp:extent cx="5507666" cy="2413591"/>
            <wp:effectExtent l="0" t="0" r="0" b="0"/>
            <wp:docPr id="207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75D8" w:rsidRPr="004C5551" w:rsidRDefault="006775D8" w:rsidP="00E407DA">
      <w:pPr>
        <w:pStyle w:val="zdroj"/>
      </w:pPr>
      <w:r w:rsidRPr="004C5551">
        <w:t>Zdroj: ÚPSVR</w:t>
      </w:r>
    </w:p>
    <w:p w:rsidR="006775D8" w:rsidRPr="004C5551" w:rsidRDefault="006775D8" w:rsidP="006775D8">
      <w:pPr>
        <w:ind w:firstLine="567"/>
        <w:rPr>
          <w:b/>
          <w:szCs w:val="22"/>
        </w:rPr>
      </w:pPr>
    </w:p>
    <w:p w:rsidR="0002117F" w:rsidRPr="004C5551" w:rsidRDefault="0002117F">
      <w:pPr>
        <w:jc w:val="left"/>
        <w:rPr>
          <w:b/>
          <w:szCs w:val="22"/>
        </w:rPr>
      </w:pPr>
      <w:r w:rsidRPr="004C5551">
        <w:rPr>
          <w:b/>
          <w:szCs w:val="22"/>
        </w:rPr>
        <w:br w:type="page"/>
      </w:r>
    </w:p>
    <w:p w:rsidR="006775D8" w:rsidRPr="004C5551" w:rsidRDefault="006775D8" w:rsidP="00D6574F">
      <w:pPr>
        <w:ind w:firstLine="431"/>
      </w:pPr>
      <w:r w:rsidRPr="004C5551">
        <w:rPr>
          <w:b/>
          <w:szCs w:val="22"/>
        </w:rPr>
        <w:t xml:space="preserve">Štruktúra </w:t>
      </w:r>
      <w:proofErr w:type="spellStart"/>
      <w:r w:rsidRPr="004C5551">
        <w:rPr>
          <w:b/>
          <w:szCs w:val="22"/>
        </w:rPr>
        <w:t>UoZ</w:t>
      </w:r>
      <w:proofErr w:type="spellEnd"/>
      <w:r w:rsidRPr="004C5551">
        <w:rPr>
          <w:szCs w:val="22"/>
        </w:rPr>
        <w:t xml:space="preserve"> </w:t>
      </w:r>
      <w:r w:rsidRPr="004C5551">
        <w:rPr>
          <w:b/>
          <w:szCs w:val="22"/>
        </w:rPr>
        <w:t>podľa vzdelania</w:t>
      </w:r>
      <w:r w:rsidRPr="004C5551">
        <w:rPr>
          <w:rStyle w:val="Odkaznapoznmkupodiarou"/>
          <w:b/>
          <w:szCs w:val="22"/>
        </w:rPr>
        <w:footnoteReference w:id="15"/>
      </w:r>
      <w:r w:rsidRPr="004C5551">
        <w:rPr>
          <w:b/>
          <w:szCs w:val="22"/>
        </w:rPr>
        <w:t xml:space="preserve"> </w:t>
      </w:r>
      <w:r w:rsidRPr="004C5551">
        <w:rPr>
          <w:szCs w:val="22"/>
        </w:rPr>
        <w:t xml:space="preserve">sa v roku 2014 </w:t>
      </w:r>
      <w:r w:rsidRPr="004C5551">
        <w:t>v porovnaní s minulými rokmi nezmenila. Priemerný ročný počet bol už tradične najvyšší u </w:t>
      </w:r>
      <w:proofErr w:type="spellStart"/>
      <w:r w:rsidRPr="004C5551">
        <w:t>UoZ</w:t>
      </w:r>
      <w:proofErr w:type="spellEnd"/>
      <w:r w:rsidRPr="004C5551">
        <w:t xml:space="preserve"> so stredným odborným vzdelaním (vrátane nižšieho</w:t>
      </w:r>
      <w:r w:rsidR="007A5C76" w:rsidRPr="004C5551">
        <w:t xml:space="preserve"> stredného odborného vzdelania</w:t>
      </w:r>
      <w:r w:rsidRPr="004C5551">
        <w:t>, t.j. st</w:t>
      </w:r>
      <w:r w:rsidR="00736C56" w:rsidRPr="004C5551">
        <w:t>upeň</w:t>
      </w:r>
      <w:r w:rsidRPr="004C5551">
        <w:t>12 a 13), v počte 125</w:t>
      </w:r>
      <w:r w:rsidR="0052702B" w:rsidRPr="004C5551">
        <w:t> </w:t>
      </w:r>
      <w:r w:rsidRPr="004C5551">
        <w:t>116 osôb a v perc</w:t>
      </w:r>
      <w:r w:rsidR="00090370" w:rsidRPr="004C5551">
        <w:t>entuálnom</w:t>
      </w:r>
      <w:r w:rsidRPr="004C5551">
        <w:t xml:space="preserve"> vyjadrení 32,4</w:t>
      </w:r>
      <w:r w:rsidR="006A6761" w:rsidRPr="004C5551">
        <w:t>4</w:t>
      </w:r>
      <w:r w:rsidR="009425AA" w:rsidRPr="004C5551">
        <w:t> %</w:t>
      </w:r>
      <w:r w:rsidRPr="004C5551">
        <w:t xml:space="preserve"> a </w:t>
      </w:r>
      <w:r w:rsidR="00736C56" w:rsidRPr="004C5551">
        <w:t>s najvyšším základným vzdelaním</w:t>
      </w:r>
      <w:r w:rsidRPr="004C5551">
        <w:t xml:space="preserve"> (st</w:t>
      </w:r>
      <w:r w:rsidR="00736C56" w:rsidRPr="004C5551">
        <w:t>upeň</w:t>
      </w:r>
      <w:r w:rsidRPr="004C5551">
        <w:t xml:space="preserve"> 10 a 11) v počte 109</w:t>
      </w:r>
      <w:r w:rsidR="0052702B" w:rsidRPr="004C5551">
        <w:t> </w:t>
      </w:r>
      <w:r w:rsidRPr="004C5551">
        <w:t>936 osôb a</w:t>
      </w:r>
      <w:r w:rsidR="00E47B33" w:rsidRPr="004C5551">
        <w:t> </w:t>
      </w:r>
      <w:r w:rsidRPr="004C5551">
        <w:t>v</w:t>
      </w:r>
      <w:r w:rsidR="00E47B33" w:rsidRPr="004C5551">
        <w:t> </w:t>
      </w:r>
      <w:r w:rsidRPr="004C5551">
        <w:t>perc</w:t>
      </w:r>
      <w:r w:rsidR="00090370" w:rsidRPr="004C5551">
        <w:t>entuálnom</w:t>
      </w:r>
      <w:r w:rsidRPr="004C5551">
        <w:t xml:space="preserve"> vyjadrení 28,51</w:t>
      </w:r>
      <w:r w:rsidR="009425AA" w:rsidRPr="004C5551">
        <w:t> %</w:t>
      </w:r>
      <w:r w:rsidRPr="004C5551">
        <w:t xml:space="preserve">. Nasleduje skupina </w:t>
      </w:r>
      <w:proofErr w:type="spellStart"/>
      <w:r w:rsidRPr="004C5551">
        <w:t>UoZ</w:t>
      </w:r>
      <w:proofErr w:type="spellEnd"/>
      <w:r w:rsidRPr="004C5551">
        <w:t xml:space="preserve"> s úplným stredným odborným vzdelaním (st. 14), v počte 98</w:t>
      </w:r>
      <w:r w:rsidR="0052702B" w:rsidRPr="004C5551">
        <w:t> </w:t>
      </w:r>
      <w:r w:rsidRPr="004C5551">
        <w:t>253 osôb a s podielom 25,48</w:t>
      </w:r>
      <w:r w:rsidR="009425AA" w:rsidRPr="004C5551">
        <w:t> %</w:t>
      </w:r>
      <w:r w:rsidRPr="004C5551">
        <w:t>.</w:t>
      </w:r>
      <w:r w:rsidR="00073D95" w:rsidRPr="004C5551">
        <w:t xml:space="preserve"> </w:t>
      </w:r>
      <w:r w:rsidRPr="004C5551">
        <w:t xml:space="preserve">Menej početnú skupinu tvorili vysokoškolsky vzdelaní </w:t>
      </w:r>
      <w:proofErr w:type="spellStart"/>
      <w:r w:rsidRPr="004C5551">
        <w:t>UoZ</w:t>
      </w:r>
      <w:proofErr w:type="spellEnd"/>
      <w:r w:rsidRPr="004C5551">
        <w:t xml:space="preserve"> (st. vzd</w:t>
      </w:r>
      <w:r w:rsidR="00090370" w:rsidRPr="004C5551">
        <w:t>elania</w:t>
      </w:r>
      <w:r w:rsidRPr="004C5551">
        <w:t xml:space="preserve"> 17, 18 a 19) v počte 36 613 a s podielom 9,</w:t>
      </w:r>
      <w:r w:rsidR="006A6761" w:rsidRPr="004C5551">
        <w:t>49</w:t>
      </w:r>
      <w:r w:rsidR="009425AA" w:rsidRPr="004C5551">
        <w:t> %</w:t>
      </w:r>
      <w:r w:rsidRPr="004C5551">
        <w:t xml:space="preserve">, pričom najviac bolo </w:t>
      </w:r>
      <w:proofErr w:type="spellStart"/>
      <w:r w:rsidRPr="004C5551">
        <w:t>UoZ</w:t>
      </w:r>
      <w:proofErr w:type="spellEnd"/>
      <w:r w:rsidRPr="004C5551">
        <w:t xml:space="preserve"> s</w:t>
      </w:r>
      <w:r w:rsidR="00073D95" w:rsidRPr="004C5551">
        <w:t xml:space="preserve"> </w:t>
      </w:r>
      <w:r w:rsidR="00090370" w:rsidRPr="004C5551">
        <w:t>vysokoškolským</w:t>
      </w:r>
      <w:r w:rsidRPr="004C5551">
        <w:t xml:space="preserve"> vzdelaním druhého stupňa, v počte 29</w:t>
      </w:r>
      <w:r w:rsidR="0052702B" w:rsidRPr="004C5551">
        <w:t> </w:t>
      </w:r>
      <w:r w:rsidRPr="004C5551">
        <w:t>412 osôb a s podielom 7,63</w:t>
      </w:r>
      <w:r w:rsidR="009425AA" w:rsidRPr="004C5551">
        <w:t> %</w:t>
      </w:r>
      <w:r w:rsidRPr="004C5551">
        <w:t xml:space="preserve">. Najmenšie zastúpenie mali </w:t>
      </w:r>
      <w:proofErr w:type="spellStart"/>
      <w:r w:rsidRPr="004C5551">
        <w:t>UoZ</w:t>
      </w:r>
      <w:proofErr w:type="spellEnd"/>
      <w:r w:rsidRPr="004C5551">
        <w:t xml:space="preserve"> s vysokoškolským vzdelaním tretieho stupňa, s priemerným počtom 727 osôb a s podielom 0,19</w:t>
      </w:r>
      <w:r w:rsidR="009425AA" w:rsidRPr="004C5551">
        <w:t> %</w:t>
      </w:r>
      <w:r w:rsidRPr="004C5551">
        <w:t xml:space="preserve">. K najmenej početným skupinám patrili aj </w:t>
      </w:r>
      <w:proofErr w:type="spellStart"/>
      <w:r w:rsidRPr="004C5551">
        <w:t>UoZ</w:t>
      </w:r>
      <w:proofErr w:type="spellEnd"/>
      <w:r w:rsidRPr="004C5551">
        <w:t xml:space="preserve"> s vyšším odborným vzdelaním (st. vzd</w:t>
      </w:r>
      <w:r w:rsidR="00090370" w:rsidRPr="004C5551">
        <w:t>elania</w:t>
      </w:r>
      <w:r w:rsidRPr="004C5551">
        <w:t xml:space="preserve"> 16) s počtom </w:t>
      </w:r>
      <w:r w:rsidR="00EA30C0" w:rsidRPr="004C5551">
        <w:t>1 </w:t>
      </w:r>
      <w:r w:rsidRPr="004C5551">
        <w:t>608 a s podielom 0,42</w:t>
      </w:r>
      <w:r w:rsidR="009425AA" w:rsidRPr="004C5551">
        <w:t> %</w:t>
      </w:r>
      <w:r w:rsidRPr="004C5551">
        <w:t xml:space="preserve"> a </w:t>
      </w:r>
      <w:proofErr w:type="spellStart"/>
      <w:r w:rsidRPr="004C5551">
        <w:t>UoZ</w:t>
      </w:r>
      <w:proofErr w:type="spellEnd"/>
      <w:r w:rsidRPr="004C5551">
        <w:t xml:space="preserve"> s úplným stredným všeobecným vzdelaním (st.</w:t>
      </w:r>
      <w:r w:rsidR="00090370" w:rsidRPr="004C5551">
        <w:t> </w:t>
      </w:r>
      <w:r w:rsidRPr="004C5551">
        <w:t>vzd</w:t>
      </w:r>
      <w:r w:rsidR="00090370" w:rsidRPr="004C5551">
        <w:t>elania </w:t>
      </w:r>
      <w:r w:rsidRPr="004C5551">
        <w:t>15) s počtom 14 007 a</w:t>
      </w:r>
      <w:r w:rsidR="00073D95" w:rsidRPr="004C5551">
        <w:t xml:space="preserve"> </w:t>
      </w:r>
      <w:r w:rsidRPr="004C5551">
        <w:t>podielom 3,63</w:t>
      </w:r>
      <w:r w:rsidR="009425AA" w:rsidRPr="004C5551">
        <w:t> %</w:t>
      </w:r>
      <w:r w:rsidRPr="004C5551">
        <w:t>.</w:t>
      </w:r>
    </w:p>
    <w:p w:rsidR="006775D8" w:rsidRPr="004C5551" w:rsidRDefault="006775D8" w:rsidP="006775D8">
      <w:pPr>
        <w:pStyle w:val="Nadpis7"/>
      </w:pPr>
      <w:r w:rsidRPr="004C5551">
        <w:t xml:space="preserve">Graf 2.12 Podiel </w:t>
      </w:r>
      <w:proofErr w:type="spellStart"/>
      <w:r w:rsidRPr="004C5551">
        <w:t>UoZ</w:t>
      </w:r>
      <w:proofErr w:type="spellEnd"/>
      <w:r w:rsidRPr="004C5551">
        <w:t xml:space="preserve"> podľa stupňa vzdelania v krajoch SR v roku 2014</w:t>
      </w:r>
    </w:p>
    <w:p w:rsidR="006775D8" w:rsidRPr="004C5551" w:rsidRDefault="00480713" w:rsidP="00D50326">
      <w:pPr>
        <w:jc w:val="center"/>
      </w:pPr>
      <w:r w:rsidRPr="004C5551">
        <w:rPr>
          <w:noProof/>
        </w:rPr>
        <w:drawing>
          <wp:inline distT="0" distB="0" distL="0" distR="0" wp14:anchorId="0B181302" wp14:editId="359DDC1D">
            <wp:extent cx="4528868" cy="2872596"/>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75D8" w:rsidRPr="004C5551" w:rsidRDefault="006775D8" w:rsidP="006775D8">
      <w:pPr>
        <w:pStyle w:val="zdroj"/>
        <w:rPr>
          <w:i w:val="0"/>
        </w:rPr>
      </w:pPr>
      <w:r w:rsidRPr="004C5551">
        <w:t>Zdroj: ÚPSVR</w:t>
      </w:r>
    </w:p>
    <w:p w:rsidR="006775D8" w:rsidRPr="004C5551" w:rsidRDefault="006775D8" w:rsidP="00D6574F">
      <w:pPr>
        <w:ind w:firstLine="431"/>
      </w:pPr>
      <w:r w:rsidRPr="004C5551">
        <w:rPr>
          <w:b/>
          <w:szCs w:val="22"/>
        </w:rPr>
        <w:t>Z regionálneho hľadiska</w:t>
      </w:r>
      <w:r w:rsidRPr="004C5551">
        <w:rPr>
          <w:szCs w:val="22"/>
        </w:rPr>
        <w:t xml:space="preserve"> </w:t>
      </w:r>
      <w:r w:rsidR="007A5C76" w:rsidRPr="004C5551">
        <w:t xml:space="preserve">bolo </w:t>
      </w:r>
      <w:r w:rsidRPr="004C5551">
        <w:t>v troch krajoch najviac nezamestnaných evidovaných uchádzačov so</w:t>
      </w:r>
      <w:r w:rsidR="00A72B1B" w:rsidRPr="004C5551">
        <w:t> </w:t>
      </w:r>
      <w:r w:rsidRPr="004C5551">
        <w:t>základným alebo neukončeným základným vzdelaním (st. vzd</w:t>
      </w:r>
      <w:r w:rsidR="00090370" w:rsidRPr="004C5551">
        <w:t>elania</w:t>
      </w:r>
      <w:r w:rsidRPr="004C5551">
        <w:t xml:space="preserve"> 10,</w:t>
      </w:r>
      <w:r w:rsidR="00090370" w:rsidRPr="004C5551">
        <w:t xml:space="preserve"> </w:t>
      </w:r>
      <w:r w:rsidRPr="004C5551">
        <w:t xml:space="preserve">11). V Košickom </w:t>
      </w:r>
      <w:r w:rsidR="00D50326" w:rsidRPr="004C5551">
        <w:t xml:space="preserve">kraji </w:t>
      </w:r>
      <w:r w:rsidRPr="004C5551">
        <w:t>ich bolo 3</w:t>
      </w:r>
      <w:r w:rsidR="00D50326" w:rsidRPr="004C5551">
        <w:t>5</w:t>
      </w:r>
      <w:r w:rsidRPr="004C5551">
        <w:t>,</w:t>
      </w:r>
      <w:r w:rsidR="00D50326" w:rsidRPr="004C5551">
        <w:t>79</w:t>
      </w:r>
      <w:r w:rsidR="009425AA" w:rsidRPr="004C5551">
        <w:t> %</w:t>
      </w:r>
      <w:r w:rsidR="00D50326" w:rsidRPr="004C5551">
        <w:t>, Prešovskom 36,82</w:t>
      </w:r>
      <w:r w:rsidR="009425AA" w:rsidRPr="004C5551">
        <w:t> %</w:t>
      </w:r>
      <w:r w:rsidRPr="004C5551">
        <w:t xml:space="preserve"> a v</w:t>
      </w:r>
      <w:r w:rsidR="00073D95" w:rsidRPr="004C5551">
        <w:t> </w:t>
      </w:r>
      <w:r w:rsidRPr="004C5551">
        <w:t>Banskobystrickom</w:t>
      </w:r>
      <w:r w:rsidR="00073D95" w:rsidRPr="004C5551">
        <w:t xml:space="preserve"> </w:t>
      </w:r>
      <w:r w:rsidRPr="004C5551">
        <w:t>kraji 35,</w:t>
      </w:r>
      <w:r w:rsidR="00D50326" w:rsidRPr="004C5551">
        <w:t>64</w:t>
      </w:r>
      <w:r w:rsidR="009425AA" w:rsidRPr="004C5551">
        <w:t> %</w:t>
      </w:r>
      <w:r w:rsidRPr="004C5551">
        <w:t>.</w:t>
      </w:r>
      <w:r w:rsidR="00073D95" w:rsidRPr="004C5551">
        <w:t xml:space="preserve"> </w:t>
      </w:r>
      <w:r w:rsidRPr="004C5551">
        <w:t>V Žilinskom (39,</w:t>
      </w:r>
      <w:r w:rsidR="00D50326" w:rsidRPr="004C5551">
        <w:t>42</w:t>
      </w:r>
      <w:r w:rsidR="009425AA" w:rsidRPr="004C5551">
        <w:t> %</w:t>
      </w:r>
      <w:r w:rsidRPr="004C5551">
        <w:t>),</w:t>
      </w:r>
      <w:r w:rsidR="00073D95" w:rsidRPr="004C5551">
        <w:t xml:space="preserve"> </w:t>
      </w:r>
      <w:r w:rsidRPr="004C5551">
        <w:t>Trenčianskom (3</w:t>
      </w:r>
      <w:r w:rsidR="00D50326" w:rsidRPr="004C5551">
        <w:t>8,03</w:t>
      </w:r>
      <w:r w:rsidR="009425AA" w:rsidRPr="004C5551">
        <w:t> %</w:t>
      </w:r>
      <w:r w:rsidRPr="004C5551">
        <w:t>),</w:t>
      </w:r>
      <w:r w:rsidR="00073D95" w:rsidRPr="004C5551">
        <w:t xml:space="preserve"> </w:t>
      </w:r>
      <w:r w:rsidR="00D50326" w:rsidRPr="004C5551">
        <w:t>Trnavskom (36,28</w:t>
      </w:r>
      <w:r w:rsidR="009425AA" w:rsidRPr="004C5551">
        <w:t> %</w:t>
      </w:r>
      <w:r w:rsidR="00D50326" w:rsidRPr="004C5551">
        <w:t xml:space="preserve">) a v </w:t>
      </w:r>
      <w:r w:rsidRPr="004C5551">
        <w:t xml:space="preserve">Nitrianskom </w:t>
      </w:r>
      <w:r w:rsidR="00D50326" w:rsidRPr="004C5551">
        <w:t>kraji(36,27</w:t>
      </w:r>
      <w:r w:rsidR="009425AA" w:rsidRPr="004C5551">
        <w:t> %</w:t>
      </w:r>
      <w:r w:rsidRPr="004C5551">
        <w:t>) sa na nezamestnanosti najvyšším počtom podieľali</w:t>
      </w:r>
      <w:r w:rsidR="00073D95" w:rsidRPr="004C5551">
        <w:t xml:space="preserve"> </w:t>
      </w:r>
      <w:proofErr w:type="spellStart"/>
      <w:r w:rsidRPr="004C5551">
        <w:t>UoZ</w:t>
      </w:r>
      <w:proofErr w:type="spellEnd"/>
      <w:r w:rsidRPr="004C5551">
        <w:t xml:space="preserve"> s nižším stredným a so stredným odborným vzdelaním (st. vzd</w:t>
      </w:r>
      <w:r w:rsidR="00090370" w:rsidRPr="004C5551">
        <w:t>elania</w:t>
      </w:r>
      <w:r w:rsidRPr="004C5551">
        <w:t xml:space="preserve"> 12,</w:t>
      </w:r>
      <w:r w:rsidR="00090370" w:rsidRPr="004C5551">
        <w:t> </w:t>
      </w:r>
      <w:r w:rsidRPr="004C5551">
        <w:t>13). Najvyšším podielom (31,</w:t>
      </w:r>
      <w:r w:rsidR="00D50326" w:rsidRPr="004C5551">
        <w:t>54</w:t>
      </w:r>
      <w:r w:rsidR="009425AA" w:rsidRPr="004C5551">
        <w:t> %</w:t>
      </w:r>
      <w:r w:rsidRPr="004C5551">
        <w:t>) sa na počte evidovaných nezamestnaných uchádzačov o zamestnanie v Bratislavskom kraji podieľali stredoškolsky vzdelané osoby so st. vzd</w:t>
      </w:r>
      <w:r w:rsidR="00090370" w:rsidRPr="004C5551">
        <w:t>elania</w:t>
      </w:r>
      <w:r w:rsidRPr="004C5551">
        <w:t xml:space="preserve"> 14 a 16, t.j. </w:t>
      </w:r>
      <w:proofErr w:type="spellStart"/>
      <w:r w:rsidRPr="004C5551">
        <w:t>UoZ</w:t>
      </w:r>
      <w:proofErr w:type="spellEnd"/>
      <w:r w:rsidRPr="004C5551">
        <w:t xml:space="preserve"> s úplným stredným odborným vzdelaním a vyšším odborným vzdelaním. Z hľadiska medziročného porovnania si zastúpenie</w:t>
      </w:r>
      <w:r w:rsidR="00073D95" w:rsidRPr="004C5551">
        <w:t xml:space="preserve"> </w:t>
      </w:r>
      <w:r w:rsidRPr="004C5551">
        <w:t xml:space="preserve">jednotlivých vzdelanostných skupín </w:t>
      </w:r>
      <w:proofErr w:type="spellStart"/>
      <w:r w:rsidRPr="004C5551">
        <w:t>UoZ</w:t>
      </w:r>
      <w:proofErr w:type="spellEnd"/>
      <w:r w:rsidRPr="004C5551">
        <w:t xml:space="preserve"> v krajoch zachovalo rovnaké pozície. </w:t>
      </w:r>
    </w:p>
    <w:p w:rsidR="006775D8" w:rsidRPr="004C5551" w:rsidRDefault="006775D8" w:rsidP="00D6574F">
      <w:pPr>
        <w:ind w:firstLine="431"/>
      </w:pPr>
      <w:r w:rsidRPr="004C5551">
        <w:rPr>
          <w:b/>
          <w:szCs w:val="22"/>
        </w:rPr>
        <w:t>Z hľadiska vekovej štruktúry</w:t>
      </w:r>
      <w:r w:rsidRPr="004C5551">
        <w:rPr>
          <w:szCs w:val="22"/>
        </w:rPr>
        <w:t xml:space="preserve"> v roku 2014 </w:t>
      </w:r>
      <w:r w:rsidR="00B23BFE" w:rsidRPr="004C5551">
        <w:rPr>
          <w:szCs w:val="22"/>
        </w:rPr>
        <w:t xml:space="preserve">boli </w:t>
      </w:r>
      <w:r w:rsidRPr="004C5551">
        <w:rPr>
          <w:szCs w:val="22"/>
        </w:rPr>
        <w:t>najpočetnejš</w:t>
      </w:r>
      <w:r w:rsidR="00B23BFE" w:rsidRPr="004C5551">
        <w:rPr>
          <w:szCs w:val="22"/>
        </w:rPr>
        <w:t>ou</w:t>
      </w:r>
      <w:r w:rsidRPr="004C5551">
        <w:rPr>
          <w:szCs w:val="22"/>
        </w:rPr>
        <w:t xml:space="preserve"> skupin</w:t>
      </w:r>
      <w:r w:rsidR="00B23BFE" w:rsidRPr="004C5551">
        <w:rPr>
          <w:szCs w:val="22"/>
        </w:rPr>
        <w:t>ou</w:t>
      </w:r>
      <w:r w:rsidRPr="004C5551">
        <w:rPr>
          <w:szCs w:val="22"/>
        </w:rPr>
        <w:t xml:space="preserve"> medzi </w:t>
      </w:r>
      <w:proofErr w:type="spellStart"/>
      <w:r w:rsidRPr="004C5551">
        <w:rPr>
          <w:szCs w:val="22"/>
        </w:rPr>
        <w:t>UoZ</w:t>
      </w:r>
      <w:proofErr w:type="spellEnd"/>
      <w:r w:rsidRPr="004C5551">
        <w:rPr>
          <w:szCs w:val="22"/>
        </w:rPr>
        <w:t xml:space="preserve"> osoby vo veku </w:t>
      </w:r>
      <w:r w:rsidR="003746E9" w:rsidRPr="004C5551">
        <w:rPr>
          <w:szCs w:val="22"/>
        </w:rPr>
        <w:t xml:space="preserve">20 – 24 rokov (55,6 tis. osôb), pričom tvorili 14,41 % zo všetkých </w:t>
      </w:r>
      <w:proofErr w:type="spellStart"/>
      <w:r w:rsidR="003746E9" w:rsidRPr="004C5551">
        <w:rPr>
          <w:szCs w:val="22"/>
        </w:rPr>
        <w:t>UoZ</w:t>
      </w:r>
      <w:proofErr w:type="spellEnd"/>
      <w:r w:rsidR="003746E9" w:rsidRPr="004C5551">
        <w:rPr>
          <w:szCs w:val="22"/>
        </w:rPr>
        <w:t xml:space="preserve">. Spolu s vekovou skupinou 15 – 19 ročných </w:t>
      </w:r>
      <w:proofErr w:type="spellStart"/>
      <w:r w:rsidR="003746E9" w:rsidRPr="004C5551">
        <w:rPr>
          <w:szCs w:val="22"/>
        </w:rPr>
        <w:t>UoZ</w:t>
      </w:r>
      <w:proofErr w:type="spellEnd"/>
      <w:r w:rsidR="003746E9" w:rsidRPr="004C5551">
        <w:rPr>
          <w:szCs w:val="22"/>
        </w:rPr>
        <w:t xml:space="preserve"> ich</w:t>
      </w:r>
      <w:r w:rsidRPr="004C5551">
        <w:rPr>
          <w:szCs w:val="22"/>
        </w:rPr>
        <w:t xml:space="preserve"> podiel predstavoval 17,74</w:t>
      </w:r>
      <w:r w:rsidR="009425AA" w:rsidRPr="004C5551">
        <w:rPr>
          <w:szCs w:val="22"/>
        </w:rPr>
        <w:t> %</w:t>
      </w:r>
      <w:r w:rsidR="003746E9" w:rsidRPr="004C5551">
        <w:rPr>
          <w:szCs w:val="22"/>
        </w:rPr>
        <w:t xml:space="preserve"> (68,4 tis. osôb)</w:t>
      </w:r>
      <w:r w:rsidRPr="004C5551">
        <w:rPr>
          <w:szCs w:val="22"/>
        </w:rPr>
        <w:t>. Druhou najpočetnejšou skupinou s počtom 49,5 tis. osôb a podielom 12,83</w:t>
      </w:r>
      <w:r w:rsidR="009425AA" w:rsidRPr="004C5551">
        <w:rPr>
          <w:szCs w:val="22"/>
        </w:rPr>
        <w:t> %</w:t>
      </w:r>
      <w:r w:rsidRPr="004C5551">
        <w:rPr>
          <w:szCs w:val="22"/>
        </w:rPr>
        <w:t xml:space="preserve"> boli </w:t>
      </w:r>
      <w:proofErr w:type="spellStart"/>
      <w:r w:rsidRPr="004C5551">
        <w:rPr>
          <w:szCs w:val="22"/>
        </w:rPr>
        <w:t>UoZ</w:t>
      </w:r>
      <w:proofErr w:type="spellEnd"/>
      <w:r w:rsidRPr="004C5551">
        <w:rPr>
          <w:szCs w:val="22"/>
        </w:rPr>
        <w:t xml:space="preserve"> vo veku 25</w:t>
      </w:r>
      <w:r w:rsidRPr="004C5551">
        <w:rPr>
          <w:color w:val="000000" w:themeColor="text1"/>
        </w:rPr>
        <w:t>–</w:t>
      </w:r>
      <w:r w:rsidRPr="004C5551">
        <w:rPr>
          <w:szCs w:val="22"/>
        </w:rPr>
        <w:t>29 rokov, nasledovala skupina osôb vo veku 35 </w:t>
      </w:r>
      <w:r w:rsidRPr="004C5551">
        <w:rPr>
          <w:color w:val="000000" w:themeColor="text1"/>
        </w:rPr>
        <w:t>– </w:t>
      </w:r>
      <w:r w:rsidRPr="004C5551">
        <w:rPr>
          <w:szCs w:val="22"/>
        </w:rPr>
        <w:t>39 rokov s počtom 46,7 tis. osôb a podielom 12,12</w:t>
      </w:r>
      <w:r w:rsidR="009425AA" w:rsidRPr="004C5551">
        <w:rPr>
          <w:szCs w:val="22"/>
        </w:rPr>
        <w:t> %</w:t>
      </w:r>
      <w:r w:rsidRPr="004C5551">
        <w:rPr>
          <w:szCs w:val="22"/>
        </w:rPr>
        <w:t xml:space="preserve">. </w:t>
      </w:r>
    </w:p>
    <w:p w:rsidR="006775D8" w:rsidRPr="004C5551" w:rsidRDefault="006775D8" w:rsidP="00A72B1B">
      <w:pPr>
        <w:pStyle w:val="Nadpis7"/>
      </w:pPr>
      <w:r w:rsidRPr="004C5551">
        <w:t>Tabuľka 2.1</w:t>
      </w:r>
      <w:r w:rsidR="005F2A7C" w:rsidRPr="004C5551">
        <w:t>0</w:t>
      </w:r>
      <w:r w:rsidRPr="004C5551">
        <w:t xml:space="preserve"> Štruktúra uchádzačov o zamestnanie podľa veku v krajoch SR v roku 2014 (v</w:t>
      </w:r>
      <w:r w:rsidR="009425AA" w:rsidRPr="004C5551">
        <w:t> %</w:t>
      </w:r>
      <w:r w:rsidRPr="004C5551">
        <w:t>)</w:t>
      </w:r>
    </w:p>
    <w:tbl>
      <w:tblPr>
        <w:tblStyle w:val="Mriekatabuky"/>
        <w:tblW w:w="0" w:type="auto"/>
        <w:jc w:val="center"/>
        <w:tblInd w:w="-567"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Look w:val="04A0" w:firstRow="1" w:lastRow="0" w:firstColumn="1" w:lastColumn="0" w:noHBand="0" w:noVBand="1"/>
      </w:tblPr>
      <w:tblGrid>
        <w:gridCol w:w="1546"/>
        <w:gridCol w:w="844"/>
        <w:gridCol w:w="844"/>
        <w:gridCol w:w="845"/>
        <w:gridCol w:w="844"/>
        <w:gridCol w:w="845"/>
        <w:gridCol w:w="844"/>
        <w:gridCol w:w="845"/>
        <w:gridCol w:w="844"/>
        <w:gridCol w:w="954"/>
      </w:tblGrid>
      <w:tr w:rsidR="006775D8" w:rsidRPr="004C5551" w:rsidTr="0052702B">
        <w:trPr>
          <w:trHeight w:hRule="exact" w:val="501"/>
          <w:jc w:val="center"/>
        </w:trPr>
        <w:tc>
          <w:tcPr>
            <w:tcW w:w="1546" w:type="dxa"/>
            <w:vMerge w:val="restart"/>
            <w:tcBorders>
              <w:right w:val="nil"/>
            </w:tcBorders>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16"/>
                <w:sz w:val="22"/>
                <w:lang w:eastAsia="en-US"/>
              </w:rPr>
            </w:pPr>
            <w:r w:rsidRPr="004C5551">
              <w:rPr>
                <w:b/>
                <w:color w:val="FFFFFF" w:themeColor="background1"/>
                <w:spacing w:val="-16"/>
                <w:sz w:val="22"/>
                <w:lang w:eastAsia="en-US"/>
              </w:rPr>
              <w:t>Územie</w:t>
            </w:r>
            <w:r w:rsidRPr="004C5551">
              <w:rPr>
                <w:b/>
                <w:color w:val="FFFFFF" w:themeColor="background1"/>
                <w:spacing w:val="-16"/>
                <w:sz w:val="22"/>
                <w:lang w:eastAsia="en-US"/>
              </w:rPr>
              <w:br/>
              <w:t>(kraje SR)</w:t>
            </w:r>
          </w:p>
        </w:tc>
        <w:tc>
          <w:tcPr>
            <w:tcW w:w="7709" w:type="dxa"/>
            <w:gridSpan w:val="9"/>
            <w:tcBorders>
              <w:left w:val="nil"/>
            </w:tcBorders>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v tom</w:t>
            </w:r>
          </w:p>
        </w:tc>
      </w:tr>
      <w:tr w:rsidR="006775D8" w:rsidRPr="004C5551" w:rsidTr="0052702B">
        <w:trPr>
          <w:trHeight w:val="427"/>
          <w:jc w:val="center"/>
        </w:trPr>
        <w:tc>
          <w:tcPr>
            <w:tcW w:w="1546" w:type="dxa"/>
            <w:vMerge/>
            <w:tcBorders>
              <w:right w:val="nil"/>
            </w:tcBorders>
            <w:shd w:val="clear" w:color="auto" w:fill="BF0000" w:themeFill="accent3" w:themeFillShade="BF"/>
            <w:vAlign w:val="center"/>
            <w:hideMark/>
          </w:tcPr>
          <w:p w:rsidR="006775D8" w:rsidRPr="004C5551" w:rsidRDefault="006775D8" w:rsidP="00D36062">
            <w:pPr>
              <w:jc w:val="left"/>
              <w:rPr>
                <w:b/>
                <w:bCs/>
                <w:color w:val="FFFFFF" w:themeColor="background1"/>
                <w:spacing w:val="16"/>
                <w:szCs w:val="20"/>
                <w:lang w:eastAsia="en-US"/>
              </w:rPr>
            </w:pPr>
          </w:p>
        </w:tc>
        <w:tc>
          <w:tcPr>
            <w:tcW w:w="844"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overflowPunct/>
              <w:autoSpaceDE/>
              <w:adjustRightInd/>
              <w:ind w:firstLine="0"/>
              <w:jc w:val="right"/>
              <w:rPr>
                <w:b/>
                <w:color w:val="FFFFFF" w:themeColor="background1"/>
                <w:spacing w:val="-20"/>
                <w:sz w:val="22"/>
                <w:lang w:eastAsia="en-US"/>
              </w:rPr>
            </w:pPr>
            <w:r w:rsidRPr="004C5551">
              <w:rPr>
                <w:b/>
                <w:color w:val="FFFFFF" w:themeColor="background1"/>
                <w:spacing w:val="-20"/>
                <w:sz w:val="22"/>
                <w:lang w:eastAsia="en-US"/>
              </w:rPr>
              <w:t>15-24r.</w:t>
            </w:r>
          </w:p>
        </w:tc>
        <w:tc>
          <w:tcPr>
            <w:tcW w:w="844"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25-29 r.</w:t>
            </w:r>
          </w:p>
        </w:tc>
        <w:tc>
          <w:tcPr>
            <w:tcW w:w="845"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30-34 r.</w:t>
            </w:r>
          </w:p>
        </w:tc>
        <w:tc>
          <w:tcPr>
            <w:tcW w:w="844"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35-39 r.</w:t>
            </w:r>
          </w:p>
        </w:tc>
        <w:tc>
          <w:tcPr>
            <w:tcW w:w="845"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40-44 r.</w:t>
            </w:r>
          </w:p>
        </w:tc>
        <w:tc>
          <w:tcPr>
            <w:tcW w:w="844"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45-49 r.</w:t>
            </w:r>
          </w:p>
        </w:tc>
        <w:tc>
          <w:tcPr>
            <w:tcW w:w="845"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50-54 r.</w:t>
            </w:r>
          </w:p>
        </w:tc>
        <w:tc>
          <w:tcPr>
            <w:tcW w:w="844" w:type="dxa"/>
            <w:tcBorders>
              <w:top w:val="nil"/>
              <w:left w:val="nil"/>
              <w:righ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55-59 r.</w:t>
            </w:r>
          </w:p>
        </w:tc>
        <w:tc>
          <w:tcPr>
            <w:tcW w:w="954" w:type="dxa"/>
            <w:tcBorders>
              <w:top w:val="nil"/>
              <w:left w:val="nil"/>
            </w:tcBorders>
            <w:shd w:val="clear" w:color="auto" w:fill="BF0000" w:themeFill="accent3" w:themeFillShade="BF"/>
            <w:vAlign w:val="center"/>
            <w:hideMark/>
          </w:tcPr>
          <w:p w:rsidR="006775D8" w:rsidRPr="004C5551" w:rsidRDefault="006775D8" w:rsidP="00D36062">
            <w:pPr>
              <w:pStyle w:val="tabulka"/>
              <w:ind w:firstLine="0"/>
              <w:jc w:val="right"/>
              <w:rPr>
                <w:b/>
                <w:color w:val="FFFFFF" w:themeColor="background1"/>
                <w:spacing w:val="-20"/>
                <w:sz w:val="22"/>
                <w:lang w:eastAsia="en-US"/>
              </w:rPr>
            </w:pPr>
            <w:r w:rsidRPr="004C5551">
              <w:rPr>
                <w:b/>
                <w:color w:val="FFFFFF" w:themeColor="background1"/>
                <w:spacing w:val="-20"/>
                <w:sz w:val="22"/>
                <w:lang w:eastAsia="en-US"/>
              </w:rPr>
              <w:t>nad 60 r.</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Bratislavský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15,04</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14,15</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12,56</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13,23</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9,92</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9,09</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10,72</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12,90</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2,39</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Trnavský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18,67</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12,44</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11,44</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12,31</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10,37</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9,92</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11,08</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12,25</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1,52</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Trenčiansky</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18,39</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12,88</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10,29</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11,23</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9,73</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10,40</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12,01</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13,29</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1,79</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Nitriansky</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15,85</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11,83</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10,99</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12,24</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10,95</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10,79</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12,44</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13,22</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1,68</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Žilinský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19,71</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12,34</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10,22</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11,14</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10,54</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10,82</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11,58</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11,93</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1,72</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Banskobystrický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16,45</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12,14</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11,39</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12,56</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11,06</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11,26</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11,82</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11,88</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1,45</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spacing w:val="-16"/>
                <w:sz w:val="22"/>
                <w:lang w:eastAsia="en-US"/>
              </w:rPr>
              <w:t>Prešovský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19,81</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13,66</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11,77</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11,88</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11,00</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10,49</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10,62</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9,43</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1,35</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i/>
                <w:spacing w:val="-16"/>
                <w:sz w:val="22"/>
                <w:lang w:eastAsia="en-US"/>
              </w:rPr>
            </w:pPr>
            <w:r w:rsidRPr="004C5551">
              <w:rPr>
                <w:spacing w:val="-16"/>
                <w:sz w:val="22"/>
                <w:lang w:eastAsia="en-US"/>
              </w:rPr>
              <w:t>Košický</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16,78</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13,17</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12,17</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12,50</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11,28</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10,98</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11,23</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10,38</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1,52</w:t>
            </w:r>
          </w:p>
        </w:tc>
      </w:tr>
      <w:tr w:rsidR="006775D8" w:rsidRPr="004C5551" w:rsidTr="008265AF">
        <w:trPr>
          <w:trHeight w:val="315"/>
          <w:jc w:val="center"/>
        </w:trPr>
        <w:tc>
          <w:tcPr>
            <w:tcW w:w="1546" w:type="dxa"/>
            <w:vAlign w:val="center"/>
            <w:hideMark/>
          </w:tcPr>
          <w:p w:rsidR="006775D8" w:rsidRPr="004C5551" w:rsidRDefault="006775D8" w:rsidP="00D36062">
            <w:pPr>
              <w:pStyle w:val="tabulka"/>
              <w:ind w:firstLine="0"/>
              <w:rPr>
                <w:spacing w:val="-16"/>
                <w:sz w:val="22"/>
                <w:lang w:eastAsia="en-US"/>
              </w:rPr>
            </w:pPr>
            <w:r w:rsidRPr="004C5551">
              <w:rPr>
                <w:i/>
                <w:spacing w:val="-16"/>
                <w:sz w:val="22"/>
                <w:lang w:eastAsia="en-US"/>
              </w:rPr>
              <w:t>Slovensko</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17,74</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12,83</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11,41</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12,12</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10,79</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10,65</w:t>
            </w:r>
          </w:p>
        </w:tc>
        <w:tc>
          <w:tcPr>
            <w:tcW w:w="845" w:type="dxa"/>
            <w:vAlign w:val="center"/>
            <w:hideMark/>
          </w:tcPr>
          <w:p w:rsidR="006775D8" w:rsidRPr="004C5551" w:rsidRDefault="006775D8" w:rsidP="00D36062">
            <w:pPr>
              <w:ind w:firstLine="0"/>
              <w:jc w:val="right"/>
              <w:rPr>
                <w:szCs w:val="20"/>
                <w:lang w:eastAsia="en-US"/>
              </w:rPr>
            </w:pPr>
            <w:r w:rsidRPr="004C5551">
              <w:rPr>
                <w:lang w:eastAsia="en-US"/>
              </w:rPr>
              <w:t>11,41</w:t>
            </w:r>
          </w:p>
        </w:tc>
        <w:tc>
          <w:tcPr>
            <w:tcW w:w="844" w:type="dxa"/>
            <w:vAlign w:val="center"/>
            <w:hideMark/>
          </w:tcPr>
          <w:p w:rsidR="006775D8" w:rsidRPr="004C5551" w:rsidRDefault="006775D8" w:rsidP="00D36062">
            <w:pPr>
              <w:ind w:firstLine="0"/>
              <w:jc w:val="right"/>
              <w:rPr>
                <w:szCs w:val="20"/>
                <w:lang w:eastAsia="en-US"/>
              </w:rPr>
            </w:pPr>
            <w:r w:rsidRPr="004C5551">
              <w:rPr>
                <w:lang w:eastAsia="en-US"/>
              </w:rPr>
              <w:t>11,47</w:t>
            </w:r>
          </w:p>
        </w:tc>
        <w:tc>
          <w:tcPr>
            <w:tcW w:w="954" w:type="dxa"/>
            <w:vAlign w:val="center"/>
            <w:hideMark/>
          </w:tcPr>
          <w:p w:rsidR="006775D8" w:rsidRPr="004C5551" w:rsidRDefault="006775D8" w:rsidP="008265AF">
            <w:pPr>
              <w:ind w:left="189" w:right="-585" w:firstLine="0"/>
              <w:rPr>
                <w:szCs w:val="20"/>
                <w:lang w:eastAsia="en-US"/>
              </w:rPr>
            </w:pPr>
            <w:r w:rsidRPr="004C5551">
              <w:rPr>
                <w:lang w:eastAsia="en-US"/>
              </w:rPr>
              <w:t>1,59</w:t>
            </w:r>
          </w:p>
        </w:tc>
      </w:tr>
    </w:tbl>
    <w:p w:rsidR="006775D8" w:rsidRPr="004C5551" w:rsidRDefault="006775D8" w:rsidP="00F77A56">
      <w:pPr>
        <w:pStyle w:val="zdroj"/>
      </w:pPr>
      <w:r w:rsidRPr="004C5551">
        <w:t>Zdroj: ÚPSVR</w:t>
      </w:r>
    </w:p>
    <w:p w:rsidR="006775D8" w:rsidRPr="004C5551" w:rsidRDefault="006775D8" w:rsidP="00D6574F">
      <w:pPr>
        <w:ind w:firstLine="431"/>
      </w:pPr>
      <w:r w:rsidRPr="004C5551">
        <w:rPr>
          <w:b/>
        </w:rPr>
        <w:t>Z hľadiska dĺžky evidencie</w:t>
      </w:r>
      <w:r w:rsidRPr="004C5551">
        <w:t xml:space="preserve"> v roku 2014 dosiahol priemerný počet </w:t>
      </w:r>
      <w:proofErr w:type="spellStart"/>
      <w:r w:rsidRPr="004C5551">
        <w:t>UoZ</w:t>
      </w:r>
      <w:proofErr w:type="spellEnd"/>
      <w:r w:rsidRPr="004C5551">
        <w:t xml:space="preserve"> s dobou evidencie nad</w:t>
      </w:r>
      <w:r w:rsidR="0052702B" w:rsidRPr="004C5551">
        <w:t> </w:t>
      </w:r>
      <w:r w:rsidRPr="004C5551">
        <w:t xml:space="preserve">12 mesiacov 209 495 osôb, </w:t>
      </w:r>
      <w:r w:rsidR="00B30F88" w:rsidRPr="004C5551">
        <w:t>pričom tento počet</w:t>
      </w:r>
      <w:r w:rsidR="003746E9" w:rsidRPr="004C5551">
        <w:t xml:space="preserve"> medziročne klesol o 4 097 osôb</w:t>
      </w:r>
      <w:r w:rsidR="00B30F88" w:rsidRPr="004C5551">
        <w:t xml:space="preserve"> (o </w:t>
      </w:r>
      <w:r w:rsidR="00A26976" w:rsidRPr="004C5551">
        <w:t>1,92 %)</w:t>
      </w:r>
      <w:r w:rsidR="00B30F88" w:rsidRPr="004C5551">
        <w:t>. Podiel evidovaných nad 12 mesiacov</w:t>
      </w:r>
      <w:r w:rsidR="003746E9" w:rsidRPr="004C5551">
        <w:t xml:space="preserve"> na celkovom počte</w:t>
      </w:r>
      <w:r w:rsidR="00B30F88" w:rsidRPr="004C5551">
        <w:t xml:space="preserve"> </w:t>
      </w:r>
      <w:proofErr w:type="spellStart"/>
      <w:r w:rsidR="00B30F88" w:rsidRPr="004C5551">
        <w:t>UoZ</w:t>
      </w:r>
      <w:proofErr w:type="spellEnd"/>
      <w:r w:rsidR="003746E9" w:rsidRPr="004C5551">
        <w:t xml:space="preserve"> vzrástol o 2,85 p. b. </w:t>
      </w:r>
      <w:r w:rsidR="00B30F88" w:rsidRPr="004C5551">
        <w:t>na 54,3</w:t>
      </w:r>
      <w:r w:rsidR="00E57785" w:rsidRPr="004C5551">
        <w:t>2</w:t>
      </w:r>
      <w:r w:rsidR="00B30F88" w:rsidRPr="004C5551">
        <w:t> %, nakoľko p</w:t>
      </w:r>
      <w:r w:rsidR="003746E9" w:rsidRPr="004C5551">
        <w:t xml:space="preserve">riemerný počet evidovaných </w:t>
      </w:r>
      <w:proofErr w:type="spellStart"/>
      <w:r w:rsidR="003746E9" w:rsidRPr="004C5551">
        <w:t>UoZ</w:t>
      </w:r>
      <w:proofErr w:type="spellEnd"/>
      <w:r w:rsidR="003746E9" w:rsidRPr="004C5551">
        <w:t xml:space="preserve"> do 12 mesiacov </w:t>
      </w:r>
      <w:r w:rsidR="00B30F88" w:rsidRPr="004C5551">
        <w:t xml:space="preserve">medziročne </w:t>
      </w:r>
      <w:r w:rsidR="003746E9" w:rsidRPr="004C5551">
        <w:t xml:space="preserve">klesol </w:t>
      </w:r>
      <w:r w:rsidR="00E57785" w:rsidRPr="004C5551">
        <w:t>výraznejšie</w:t>
      </w:r>
      <w:r w:rsidR="003746E9" w:rsidRPr="004C5551">
        <w:t>, konkrétne o 25 249 osôb</w:t>
      </w:r>
      <w:r w:rsidR="00A26976" w:rsidRPr="004C5551">
        <w:t xml:space="preserve"> (12,54 %).</w:t>
      </w:r>
      <w:r w:rsidR="003D4864" w:rsidRPr="004C5551">
        <w:t xml:space="preserve"> </w:t>
      </w:r>
      <w:r w:rsidR="00A26976" w:rsidRPr="004C5551">
        <w:t xml:space="preserve">Počet </w:t>
      </w:r>
      <w:proofErr w:type="spellStart"/>
      <w:r w:rsidR="00A26976" w:rsidRPr="004C5551">
        <w:t>UoZ</w:t>
      </w:r>
      <w:proofErr w:type="spellEnd"/>
      <w:r w:rsidR="00A26976" w:rsidRPr="004C5551">
        <w:t xml:space="preserve"> evidovaných nad 48 mesiacov sa medziročne zvýšil o 5,83 % na 74 865 osôb a predstavoval 19,41 % z celkového počtu </w:t>
      </w:r>
      <w:proofErr w:type="spellStart"/>
      <w:r w:rsidR="00A26976" w:rsidRPr="004C5551">
        <w:t>UoZ</w:t>
      </w:r>
      <w:proofErr w:type="spellEnd"/>
      <w:r w:rsidR="00A26976" w:rsidRPr="004C5551">
        <w:t>.</w:t>
      </w:r>
      <w:r w:rsidR="003D4864" w:rsidRPr="004C5551">
        <w:t xml:space="preserve"> </w:t>
      </w:r>
      <w:r w:rsidR="00A26976" w:rsidRPr="004C5551">
        <w:t xml:space="preserve">Z evidovaných do 48 mesiacov bolo najviac </w:t>
      </w:r>
      <w:proofErr w:type="spellStart"/>
      <w:r w:rsidR="00A26976" w:rsidRPr="004C5551">
        <w:t>UoZ</w:t>
      </w:r>
      <w:proofErr w:type="spellEnd"/>
      <w:r w:rsidRPr="004C5551">
        <w:t xml:space="preserve"> v kategórii do 3 mesiacov</w:t>
      </w:r>
      <w:r w:rsidR="00A26976" w:rsidRPr="004C5551">
        <w:t>, pričom</w:t>
      </w:r>
      <w:r w:rsidRPr="004C5551">
        <w:t xml:space="preserve"> predstavoval</w:t>
      </w:r>
      <w:r w:rsidR="00A26976" w:rsidRPr="004C5551">
        <w:t>i</w:t>
      </w:r>
      <w:r w:rsidRPr="004C5551">
        <w:t xml:space="preserve"> 62 117 osôb, s podielom 16,11</w:t>
      </w:r>
      <w:r w:rsidR="009425AA" w:rsidRPr="004C5551">
        <w:t> %</w:t>
      </w:r>
      <w:r w:rsidRPr="004C5551">
        <w:t xml:space="preserve">. Medziročný pokles počtu </w:t>
      </w:r>
      <w:proofErr w:type="spellStart"/>
      <w:r w:rsidRPr="004C5551">
        <w:t>UoZ</w:t>
      </w:r>
      <w:proofErr w:type="spellEnd"/>
      <w:r w:rsidRPr="004C5551">
        <w:t xml:space="preserve"> nastal vo všetkých skupinách </w:t>
      </w:r>
      <w:proofErr w:type="spellStart"/>
      <w:r w:rsidRPr="004C5551">
        <w:t>UoZ</w:t>
      </w:r>
      <w:proofErr w:type="spellEnd"/>
      <w:r w:rsidRPr="004C5551">
        <w:t xml:space="preserve"> okrem </w:t>
      </w:r>
      <w:proofErr w:type="spellStart"/>
      <w:r w:rsidRPr="004C5551">
        <w:t>UoZ</w:t>
      </w:r>
      <w:proofErr w:type="spellEnd"/>
      <w:r w:rsidRPr="004C5551">
        <w:t xml:space="preserve"> evidovaných 31 </w:t>
      </w:r>
      <w:r w:rsidRPr="004C5551">
        <w:rPr>
          <w:color w:val="000000" w:themeColor="text1"/>
        </w:rPr>
        <w:t>–</w:t>
      </w:r>
      <w:r w:rsidRPr="004C5551">
        <w:t xml:space="preserve"> 36 mesiacov, </w:t>
      </w:r>
      <w:r w:rsidR="00E47B33" w:rsidRPr="004C5551">
        <w:br/>
      </w:r>
      <w:r w:rsidRPr="004C5551">
        <w:t>37</w:t>
      </w:r>
      <w:r w:rsidRPr="004C5551">
        <w:rPr>
          <w:color w:val="000000" w:themeColor="text1"/>
        </w:rPr>
        <w:t>–</w:t>
      </w:r>
      <w:r w:rsidRPr="004C5551">
        <w:t xml:space="preserve"> 42 mesiacov a nad 48 mesiacov. </w:t>
      </w:r>
    </w:p>
    <w:p w:rsidR="006775D8" w:rsidRPr="004C5551" w:rsidRDefault="006775D8" w:rsidP="00D6574F">
      <w:pPr>
        <w:ind w:firstLine="431"/>
        <w:rPr>
          <w:szCs w:val="22"/>
        </w:rPr>
      </w:pPr>
      <w:r w:rsidRPr="004C5551">
        <w:rPr>
          <w:szCs w:val="22"/>
        </w:rPr>
        <w:t xml:space="preserve">Najvyšší priemerný počet </w:t>
      </w:r>
      <w:proofErr w:type="spellStart"/>
      <w:r w:rsidRPr="004C5551">
        <w:rPr>
          <w:szCs w:val="22"/>
        </w:rPr>
        <w:t>UoZ</w:t>
      </w:r>
      <w:proofErr w:type="spellEnd"/>
      <w:r w:rsidRPr="004C5551">
        <w:rPr>
          <w:szCs w:val="22"/>
        </w:rPr>
        <w:t xml:space="preserve"> žien v roku 2014 bol v skupine evidovaných nad 48 mesiacov, a to 39 809 osôb (21,12</w:t>
      </w:r>
      <w:r w:rsidR="009425AA" w:rsidRPr="004C5551">
        <w:rPr>
          <w:szCs w:val="22"/>
        </w:rPr>
        <w:t> %</w:t>
      </w:r>
      <w:r w:rsidRPr="004C5551">
        <w:rPr>
          <w:szCs w:val="22"/>
        </w:rPr>
        <w:t xml:space="preserve">). Druhý najvyšší počet </w:t>
      </w:r>
      <w:proofErr w:type="spellStart"/>
      <w:r w:rsidRPr="004C5551">
        <w:rPr>
          <w:szCs w:val="22"/>
        </w:rPr>
        <w:t>UoZ</w:t>
      </w:r>
      <w:proofErr w:type="spellEnd"/>
      <w:r w:rsidRPr="004C5551">
        <w:rPr>
          <w:szCs w:val="22"/>
        </w:rPr>
        <w:t xml:space="preserve"> žien bol dosiahnutý v skupine evidovaných </w:t>
      </w:r>
      <w:r w:rsidRPr="004C5551">
        <w:rPr>
          <w:szCs w:val="22"/>
        </w:rPr>
        <w:br/>
        <w:t>do 3 mesiacov, a to 28 981 osôb (15,38</w:t>
      </w:r>
      <w:r w:rsidR="009425AA" w:rsidRPr="004C5551">
        <w:rPr>
          <w:szCs w:val="22"/>
        </w:rPr>
        <w:t> %</w:t>
      </w:r>
      <w:r w:rsidRPr="004C5551">
        <w:rPr>
          <w:szCs w:val="22"/>
        </w:rPr>
        <w:t>).</w:t>
      </w:r>
    </w:p>
    <w:p w:rsidR="006775D8" w:rsidRPr="004C5551" w:rsidRDefault="006775D8" w:rsidP="00D6574F">
      <w:pPr>
        <w:ind w:firstLine="431"/>
        <w:rPr>
          <w:szCs w:val="22"/>
        </w:rPr>
      </w:pPr>
      <w:r w:rsidRPr="004C5551">
        <w:rPr>
          <w:b/>
          <w:szCs w:val="22"/>
        </w:rPr>
        <w:t xml:space="preserve">Priemerná dĺžka evidencie </w:t>
      </w:r>
      <w:proofErr w:type="spellStart"/>
      <w:r w:rsidRPr="004C5551">
        <w:rPr>
          <w:szCs w:val="22"/>
        </w:rPr>
        <w:t>UoZ</w:t>
      </w:r>
      <w:proofErr w:type="spellEnd"/>
      <w:r w:rsidRPr="004C5551">
        <w:rPr>
          <w:szCs w:val="22"/>
        </w:rPr>
        <w:t xml:space="preserve"> v roku 2014 v porovnaní s rokom 2013 (17,43 mesiacov) poklesla na 17,39 mesiaca. </w:t>
      </w:r>
    </w:p>
    <w:p w:rsidR="006775D8" w:rsidRPr="004C5551" w:rsidRDefault="006775D8" w:rsidP="00F77A56">
      <w:pPr>
        <w:pStyle w:val="Nadpis7"/>
      </w:pPr>
      <w:r w:rsidRPr="004C5551">
        <w:t>Tabuľka 2.1</w:t>
      </w:r>
      <w:r w:rsidR="005F2A7C" w:rsidRPr="004C5551">
        <w:t>1</w:t>
      </w:r>
      <w:r w:rsidRPr="004C5551">
        <w:t xml:space="preserve"> Priemerný počet uchádzačov o zamestnanie podľa dĺžky evidencie v mesiacoch </w:t>
      </w:r>
      <w:r w:rsidRPr="004C5551">
        <w:br/>
        <w:t>v roku 2014 podľa regiónov SR (v osobách)</w:t>
      </w:r>
    </w:p>
    <w:tbl>
      <w:tblPr>
        <w:tblStyle w:val="Mriekatabuky"/>
        <w:tblW w:w="966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45" w:type="dxa"/>
          <w:right w:w="45" w:type="dxa"/>
        </w:tblCellMar>
        <w:tblLook w:val="04A0" w:firstRow="1" w:lastRow="0" w:firstColumn="1" w:lastColumn="0" w:noHBand="0" w:noVBand="1"/>
      </w:tblPr>
      <w:tblGrid>
        <w:gridCol w:w="1361"/>
        <w:gridCol w:w="794"/>
        <w:gridCol w:w="709"/>
        <w:gridCol w:w="680"/>
        <w:gridCol w:w="680"/>
        <w:gridCol w:w="680"/>
        <w:gridCol w:w="680"/>
        <w:gridCol w:w="680"/>
        <w:gridCol w:w="680"/>
        <w:gridCol w:w="680"/>
        <w:gridCol w:w="680"/>
        <w:gridCol w:w="680"/>
        <w:gridCol w:w="680"/>
      </w:tblGrid>
      <w:tr w:rsidR="006775D8" w:rsidRPr="004C5551" w:rsidTr="0052702B">
        <w:trPr>
          <w:trHeight w:val="725"/>
          <w:jc w:val="center"/>
        </w:trPr>
        <w:tc>
          <w:tcPr>
            <w:tcW w:w="1361"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Územie</w:t>
            </w:r>
          </w:p>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(kraje SR)</w:t>
            </w:r>
          </w:p>
        </w:tc>
        <w:tc>
          <w:tcPr>
            <w:tcW w:w="794"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spolu</w:t>
            </w:r>
          </w:p>
        </w:tc>
        <w:tc>
          <w:tcPr>
            <w:tcW w:w="709"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do 3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 xml:space="preserve">4-6 </w:t>
            </w:r>
            <w:r w:rsidRPr="004C5551">
              <w:rPr>
                <w:b/>
                <w:color w:val="FFFFFF" w:themeColor="background1"/>
                <w:spacing w:val="-20"/>
                <w:sz w:val="22"/>
                <w:lang w:eastAsia="en-US"/>
              </w:rPr>
              <w:br/>
              <w:t>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 xml:space="preserve">7-9 </w:t>
            </w:r>
            <w:r w:rsidRPr="004C5551">
              <w:rPr>
                <w:b/>
                <w:color w:val="FFFFFF" w:themeColor="background1"/>
                <w:spacing w:val="-20"/>
                <w:sz w:val="22"/>
                <w:lang w:eastAsia="en-US"/>
              </w:rPr>
              <w:br/>
              <w:t>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10-12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13-18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19-24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25-30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31-36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 xml:space="preserve">37-42 </w:t>
            </w:r>
            <w:r w:rsidRPr="004C5551">
              <w:rPr>
                <w:b/>
                <w:color w:val="FFFFFF" w:themeColor="background1"/>
                <w:spacing w:val="-20"/>
                <w:sz w:val="22"/>
                <w:lang w:eastAsia="en-US"/>
              </w:rPr>
              <w:br/>
              <w:t>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43-48 mes.</w:t>
            </w:r>
          </w:p>
        </w:tc>
        <w:tc>
          <w:tcPr>
            <w:tcW w:w="680" w:type="dxa"/>
            <w:shd w:val="clear" w:color="auto" w:fill="BF0000" w:themeFill="accent3" w:themeFillShade="BF"/>
            <w:vAlign w:val="center"/>
            <w:hideMark/>
          </w:tcPr>
          <w:p w:rsidR="006775D8" w:rsidRPr="004C5551" w:rsidRDefault="006775D8" w:rsidP="00D36062">
            <w:pPr>
              <w:pStyle w:val="tabulka"/>
              <w:ind w:firstLine="0"/>
              <w:jc w:val="center"/>
              <w:rPr>
                <w:b/>
                <w:color w:val="FFFFFF" w:themeColor="background1"/>
                <w:spacing w:val="-20"/>
                <w:sz w:val="22"/>
                <w:lang w:eastAsia="en-US"/>
              </w:rPr>
            </w:pPr>
            <w:r w:rsidRPr="004C5551">
              <w:rPr>
                <w:b/>
                <w:color w:val="FFFFFF" w:themeColor="background1"/>
                <w:spacing w:val="-20"/>
                <w:sz w:val="22"/>
                <w:lang w:eastAsia="en-US"/>
              </w:rPr>
              <w:t xml:space="preserve">nad 48 </w:t>
            </w:r>
            <w:r w:rsidRPr="004C5551">
              <w:rPr>
                <w:b/>
                <w:color w:val="FFFFFF" w:themeColor="background1"/>
                <w:spacing w:val="-20"/>
                <w:sz w:val="22"/>
                <w:lang w:eastAsia="en-US"/>
              </w:rPr>
              <w:br/>
              <w:t>mes.</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Bratislavský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21 854</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5 025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4 321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2 815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1 922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2 431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1 590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1 033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751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583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398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986</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Trnavský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27 239</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5 919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4 838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3 250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2 251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2 926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1 968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1 385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1 009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857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585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2 251</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Trenčiansky</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33 021</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6 674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5 230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3 551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2 568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3 545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2 587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1 855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1 364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1 116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847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3 685</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Nitriansky</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45 748</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7 940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6 646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4 552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3 375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4 792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3 593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2 730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2 116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1 804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1 352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6 848</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Žilinský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42 375</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7 874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6 460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4 462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3 349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4 671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3 429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2 495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1 810</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1 501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1 121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5 205</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Banskobystrický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64 921</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8 686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7 053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5 118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3 913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5 857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4 786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3 934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3 034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2 534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2 001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18 005</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spacing w:val="-20"/>
                <w:sz w:val="22"/>
                <w:lang w:eastAsia="en-US"/>
              </w:rPr>
            </w:pPr>
            <w:r w:rsidRPr="004C5551">
              <w:rPr>
                <w:spacing w:val="-20"/>
                <w:sz w:val="22"/>
                <w:lang w:eastAsia="en-US"/>
              </w:rPr>
              <w:t>Prešovský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80 697</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10 767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8 861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6 443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5 109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7 527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6 184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5 239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4 044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3 354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2 684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20 486</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i/>
                <w:spacing w:val="-20"/>
                <w:sz w:val="22"/>
                <w:lang w:eastAsia="en-US"/>
              </w:rPr>
            </w:pPr>
            <w:r w:rsidRPr="004C5551">
              <w:rPr>
                <w:spacing w:val="-20"/>
                <w:sz w:val="22"/>
                <w:lang w:eastAsia="en-US"/>
              </w:rPr>
              <w:t>Košický</w:t>
            </w:r>
          </w:p>
        </w:tc>
        <w:tc>
          <w:tcPr>
            <w:tcW w:w="794" w:type="dxa"/>
            <w:vAlign w:val="center"/>
            <w:hideMark/>
          </w:tcPr>
          <w:p w:rsidR="006775D8" w:rsidRPr="004C5551" w:rsidRDefault="006775D8" w:rsidP="00D36062">
            <w:pPr>
              <w:ind w:firstLine="0"/>
              <w:jc w:val="right"/>
              <w:rPr>
                <w:color w:val="000000"/>
                <w:sz w:val="20"/>
                <w:szCs w:val="20"/>
                <w:lang w:eastAsia="en-US"/>
              </w:rPr>
            </w:pPr>
            <w:r w:rsidRPr="004C5551">
              <w:rPr>
                <w:color w:val="000000"/>
                <w:sz w:val="20"/>
                <w:lang w:eastAsia="en-US"/>
              </w:rPr>
              <w:t>69 805</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9 232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7 797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5 737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4 429</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6 586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5 371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4 322</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3 466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3 013</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2 454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17 400</w:t>
            </w:r>
          </w:p>
        </w:tc>
      </w:tr>
      <w:tr w:rsidR="006775D8" w:rsidRPr="004C5551" w:rsidTr="0052702B">
        <w:trPr>
          <w:trHeight w:val="297"/>
          <w:jc w:val="center"/>
        </w:trPr>
        <w:tc>
          <w:tcPr>
            <w:tcW w:w="1361" w:type="dxa"/>
            <w:vAlign w:val="center"/>
            <w:hideMark/>
          </w:tcPr>
          <w:p w:rsidR="006775D8" w:rsidRPr="004C5551" w:rsidRDefault="006775D8" w:rsidP="00D36062">
            <w:pPr>
              <w:pStyle w:val="tabulka"/>
              <w:ind w:firstLine="0"/>
              <w:rPr>
                <w:b/>
                <w:spacing w:val="-20"/>
                <w:sz w:val="22"/>
                <w:lang w:eastAsia="en-US"/>
              </w:rPr>
            </w:pPr>
            <w:r w:rsidRPr="004C5551">
              <w:rPr>
                <w:b/>
                <w:i/>
                <w:spacing w:val="-20"/>
                <w:sz w:val="22"/>
                <w:lang w:eastAsia="en-US"/>
              </w:rPr>
              <w:t>Slovensko</w:t>
            </w:r>
          </w:p>
        </w:tc>
        <w:tc>
          <w:tcPr>
            <w:tcW w:w="794" w:type="dxa"/>
            <w:vAlign w:val="center"/>
            <w:hideMark/>
          </w:tcPr>
          <w:p w:rsidR="006775D8" w:rsidRPr="004C5551" w:rsidRDefault="006775D8" w:rsidP="00D36062">
            <w:pPr>
              <w:ind w:firstLine="0"/>
              <w:jc w:val="right"/>
              <w:rPr>
                <w:sz w:val="20"/>
                <w:szCs w:val="20"/>
                <w:lang w:eastAsia="en-US"/>
              </w:rPr>
            </w:pPr>
            <w:r w:rsidRPr="004C5551">
              <w:rPr>
                <w:sz w:val="20"/>
                <w:lang w:eastAsia="en-US"/>
              </w:rPr>
              <w:t>385 661</w:t>
            </w:r>
          </w:p>
        </w:tc>
        <w:tc>
          <w:tcPr>
            <w:tcW w:w="709" w:type="dxa"/>
            <w:vAlign w:val="center"/>
            <w:hideMark/>
          </w:tcPr>
          <w:p w:rsidR="006775D8" w:rsidRPr="004C5551" w:rsidRDefault="006775D8" w:rsidP="00D36062">
            <w:pPr>
              <w:ind w:firstLine="0"/>
              <w:jc w:val="right"/>
              <w:rPr>
                <w:sz w:val="20"/>
                <w:szCs w:val="20"/>
                <w:lang w:eastAsia="en-US"/>
              </w:rPr>
            </w:pPr>
            <w:r w:rsidRPr="004C5551">
              <w:rPr>
                <w:sz w:val="20"/>
                <w:lang w:eastAsia="en-US"/>
              </w:rPr>
              <w:t>62 117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51 207</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35 926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26 916</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38 334</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29 508</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22 991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17 595</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14 761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11 441</w:t>
            </w:r>
          </w:p>
        </w:tc>
        <w:tc>
          <w:tcPr>
            <w:tcW w:w="680" w:type="dxa"/>
            <w:vAlign w:val="center"/>
            <w:hideMark/>
          </w:tcPr>
          <w:p w:rsidR="006775D8" w:rsidRPr="004C5551" w:rsidRDefault="006775D8" w:rsidP="00D36062">
            <w:pPr>
              <w:ind w:firstLine="0"/>
              <w:jc w:val="right"/>
              <w:rPr>
                <w:sz w:val="20"/>
                <w:szCs w:val="20"/>
                <w:lang w:eastAsia="en-US"/>
              </w:rPr>
            </w:pPr>
            <w:r w:rsidRPr="004C5551">
              <w:rPr>
                <w:sz w:val="20"/>
                <w:lang w:eastAsia="en-US"/>
              </w:rPr>
              <w:t>74 865</w:t>
            </w:r>
          </w:p>
        </w:tc>
      </w:tr>
    </w:tbl>
    <w:p w:rsidR="006775D8" w:rsidRPr="004C5551" w:rsidRDefault="006775D8" w:rsidP="00F77A56">
      <w:pPr>
        <w:pStyle w:val="zdroj"/>
      </w:pPr>
      <w:r w:rsidRPr="004C5551">
        <w:t>Zdroj: ÚPSVR</w:t>
      </w:r>
    </w:p>
    <w:p w:rsidR="006775D8" w:rsidRPr="004C5551" w:rsidRDefault="006775D8" w:rsidP="00D6574F">
      <w:pPr>
        <w:ind w:firstLine="431"/>
      </w:pPr>
      <w:r w:rsidRPr="004C5551">
        <w:t>V roku 2014 bolo na úradoch práce, sociálnych vecí a rodiny (ďalej aj „úrady PSVR“) nahlásených v priemere mesačne</w:t>
      </w:r>
      <w:r w:rsidRPr="004C5551">
        <w:rPr>
          <w:b/>
        </w:rPr>
        <w:t xml:space="preserve"> </w:t>
      </w:r>
      <w:r w:rsidRPr="004C5551">
        <w:t xml:space="preserve">8 318 </w:t>
      </w:r>
      <w:r w:rsidRPr="004C5551">
        <w:rPr>
          <w:b/>
        </w:rPr>
        <w:t>voľných pracovných miest</w:t>
      </w:r>
      <w:r w:rsidRPr="004C5551">
        <w:t xml:space="preserve"> </w:t>
      </w:r>
      <w:r w:rsidRPr="004C5551">
        <w:rPr>
          <w:szCs w:val="22"/>
        </w:rPr>
        <w:t xml:space="preserve">(VPM) </w:t>
      </w:r>
      <w:r w:rsidRPr="004C5551">
        <w:t>na trhu práce, čo predstavuje medziročný nárast o 2 642 VPM mesačne.</w:t>
      </w:r>
      <w:r w:rsidRPr="004C5551">
        <w:rPr>
          <w:b/>
        </w:rPr>
        <w:t xml:space="preserve"> Z pohľadu dopytu podľa ukončeného</w:t>
      </w:r>
      <w:r w:rsidR="00AE2152" w:rsidRPr="004C5551">
        <w:rPr>
          <w:b/>
        </w:rPr>
        <w:t xml:space="preserve"> </w:t>
      </w:r>
      <w:r w:rsidR="0003544F" w:rsidRPr="004C5551">
        <w:rPr>
          <w:b/>
        </w:rPr>
        <w:t xml:space="preserve">vzdelania </w:t>
      </w:r>
      <w:r w:rsidRPr="004C5551">
        <w:t>bolo v roku 2014 najviac voľných pracovných miest požadujúcich stredné odborné vzdelanie (2 524 VPM, t. j. 30,34</w:t>
      </w:r>
      <w:r w:rsidR="009425AA" w:rsidRPr="004C5551">
        <w:t> %</w:t>
      </w:r>
      <w:r w:rsidRPr="004C5551">
        <w:t>) a úplné stredné odborné vzdelanie (1 572 VPM, t. j. 18,90</w:t>
      </w:r>
      <w:r w:rsidR="009425AA" w:rsidRPr="004C5551">
        <w:t> %</w:t>
      </w:r>
      <w:r w:rsidRPr="004C5551">
        <w:t xml:space="preserve">). S najnižším počtom boli k dispozícii miesta pre </w:t>
      </w:r>
      <w:proofErr w:type="spellStart"/>
      <w:r w:rsidRPr="004C5551">
        <w:t>UoZ</w:t>
      </w:r>
      <w:proofErr w:type="spellEnd"/>
      <w:r w:rsidRPr="004C5551">
        <w:t xml:space="preserve"> s neukončeným základným vzdelaním (61 VPM a 0,74</w:t>
      </w:r>
      <w:r w:rsidR="00875D86" w:rsidRPr="004C5551">
        <w:t> </w:t>
      </w:r>
      <w:r w:rsidRPr="004C5551">
        <w:t>% podiel) a s vysokoškolským vzdelaním tretieho stupňa (161 VPM a 1,94</w:t>
      </w:r>
      <w:r w:rsidR="00875D86" w:rsidRPr="004C5551">
        <w:t> </w:t>
      </w:r>
      <w:r w:rsidRPr="004C5551">
        <w:t>% podiel)</w:t>
      </w:r>
      <w:r w:rsidR="00AE2152" w:rsidRPr="004C5551">
        <w:t>.</w:t>
      </w:r>
    </w:p>
    <w:p w:rsidR="006775D8" w:rsidRPr="004C5551" w:rsidRDefault="006775D8" w:rsidP="006775D8">
      <w:pPr>
        <w:pStyle w:val="Nadpis7"/>
      </w:pPr>
      <w:r w:rsidRPr="004C5551">
        <w:t xml:space="preserve">Graf 2.13 Podiel VPM v roku 2014 podľa požiadaviek na vzdelanie </w:t>
      </w:r>
    </w:p>
    <w:p w:rsidR="006775D8" w:rsidRPr="004C5551" w:rsidRDefault="006775D8" w:rsidP="00F77A56">
      <w:pPr>
        <w:jc w:val="center"/>
      </w:pPr>
      <w:r w:rsidRPr="004C5551">
        <w:rPr>
          <w:noProof/>
        </w:rPr>
        <w:drawing>
          <wp:inline distT="0" distB="0" distL="0" distR="0" wp14:anchorId="04121AB5" wp14:editId="459740E2">
            <wp:extent cx="5592725" cy="4189228"/>
            <wp:effectExtent l="0" t="0" r="8255" b="1905"/>
            <wp:docPr id="207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775D8" w:rsidRPr="004C5551" w:rsidRDefault="006775D8" w:rsidP="00796D4E">
      <w:pPr>
        <w:pStyle w:val="zdroj"/>
      </w:pPr>
      <w:r w:rsidRPr="004C5551">
        <w:t>Zdroj: ÚPSVR; Stupeň vzdelania je definovaný v poznámke pod čiarou pod číslom 1</w:t>
      </w:r>
      <w:r w:rsidR="006D1C7C" w:rsidRPr="004C5551">
        <w:t>5</w:t>
      </w:r>
    </w:p>
    <w:p w:rsidR="006775D8" w:rsidRPr="004C5551" w:rsidRDefault="00460DEB" w:rsidP="00D6574F">
      <w:pPr>
        <w:ind w:firstLine="431"/>
      </w:pPr>
      <w:r w:rsidRPr="004C5551">
        <w:t>Z regionálneho hľadiska</w:t>
      </w:r>
      <w:r w:rsidR="006775D8" w:rsidRPr="004C5551">
        <w:t xml:space="preserve"> bolo najviac VPM pre </w:t>
      </w:r>
      <w:proofErr w:type="spellStart"/>
      <w:r w:rsidR="006775D8" w:rsidRPr="004C5551">
        <w:t>UoZ</w:t>
      </w:r>
      <w:proofErr w:type="spellEnd"/>
      <w:r w:rsidR="006775D8" w:rsidRPr="004C5551">
        <w:t xml:space="preserve"> so stredným odborným vzdelaním v Prešovskom kraji (668 VPM) a najmenej v Košickom kraji (125 VPM). Najvyšší počet VPM pre </w:t>
      </w:r>
      <w:proofErr w:type="spellStart"/>
      <w:r w:rsidR="006775D8" w:rsidRPr="004C5551">
        <w:t>UoZ</w:t>
      </w:r>
      <w:proofErr w:type="spellEnd"/>
      <w:r w:rsidR="006775D8" w:rsidRPr="004C5551">
        <w:t xml:space="preserve"> s úplným stredným odborným vzdelaním bol opäť v Prešovskom kraji (303 VPM) nasledoval Trnavský kraj (236 VPM)</w:t>
      </w:r>
      <w:r w:rsidR="00EA30C0" w:rsidRPr="004C5551">
        <w:t>,</w:t>
      </w:r>
      <w:r w:rsidR="006775D8" w:rsidRPr="004C5551">
        <w:t xml:space="preserve"> najmenej </w:t>
      </w:r>
      <w:r w:rsidR="00EA30C0" w:rsidRPr="004C5551">
        <w:t xml:space="preserve">ich bolo </w:t>
      </w:r>
      <w:r w:rsidR="006775D8" w:rsidRPr="004C5551">
        <w:t>v</w:t>
      </w:r>
      <w:r w:rsidR="00073D95" w:rsidRPr="004C5551">
        <w:t> </w:t>
      </w:r>
      <w:r w:rsidR="006775D8" w:rsidRPr="004C5551">
        <w:t>Trenčianskom</w:t>
      </w:r>
      <w:r w:rsidR="00073D95" w:rsidRPr="004C5551">
        <w:t xml:space="preserve"> </w:t>
      </w:r>
      <w:r w:rsidR="006775D8" w:rsidRPr="004C5551">
        <w:t>kraji (113 VPM).</w:t>
      </w:r>
    </w:p>
    <w:p w:rsidR="006775D8" w:rsidRPr="004C5551" w:rsidRDefault="006775D8" w:rsidP="006775D8">
      <w:pPr>
        <w:ind w:firstLine="567"/>
      </w:pPr>
    </w:p>
    <w:p w:rsidR="00E407DA" w:rsidRPr="004C5551" w:rsidRDefault="00E407DA">
      <w:pPr>
        <w:jc w:val="left"/>
        <w:rPr>
          <w:b/>
          <w:szCs w:val="22"/>
        </w:rPr>
      </w:pPr>
      <w:r w:rsidRPr="004C5551">
        <w:rPr>
          <w:b/>
          <w:szCs w:val="22"/>
        </w:rPr>
        <w:br w:type="page"/>
      </w:r>
    </w:p>
    <w:p w:rsidR="006775D8" w:rsidRPr="004C5551" w:rsidRDefault="006775D8" w:rsidP="00D6574F">
      <w:pPr>
        <w:ind w:firstLine="431"/>
        <w:rPr>
          <w:szCs w:val="22"/>
        </w:rPr>
      </w:pPr>
      <w:r w:rsidRPr="004C5551">
        <w:rPr>
          <w:b/>
          <w:szCs w:val="22"/>
        </w:rPr>
        <w:t xml:space="preserve">Podľa klasifikácie </w:t>
      </w:r>
      <w:r w:rsidRPr="004C5551">
        <w:rPr>
          <w:b/>
          <w:bCs/>
          <w:sz w:val="24"/>
        </w:rPr>
        <w:t>SK ISCO-08</w:t>
      </w:r>
      <w:r w:rsidRPr="004C5551">
        <w:rPr>
          <w:rStyle w:val="Odkaznapoznmkupodiarou"/>
          <w:b/>
          <w:szCs w:val="22"/>
        </w:rPr>
        <w:footnoteReference w:id="16"/>
      </w:r>
      <w:r w:rsidRPr="004C5551">
        <w:rPr>
          <w:szCs w:val="22"/>
        </w:rPr>
        <w:t xml:space="preserve">bolo v roku 2014 v priemere na úrady PSVR nahlásených najviac </w:t>
      </w:r>
      <w:r w:rsidRPr="004C5551">
        <w:rPr>
          <w:b/>
          <w:szCs w:val="22"/>
        </w:rPr>
        <w:t>VPM</w:t>
      </w:r>
      <w:r w:rsidRPr="004C5551">
        <w:rPr>
          <w:szCs w:val="22"/>
        </w:rPr>
        <w:t xml:space="preserve"> pre kvalifikovaných pracovníkov a remeselníkov (2 178 VPM, t. j. 26,18</w:t>
      </w:r>
      <w:r w:rsidR="009425AA" w:rsidRPr="004C5551">
        <w:rPr>
          <w:szCs w:val="22"/>
        </w:rPr>
        <w:t> %</w:t>
      </w:r>
      <w:r w:rsidRPr="004C5551">
        <w:rPr>
          <w:szCs w:val="22"/>
        </w:rPr>
        <w:t xml:space="preserve">), </w:t>
      </w:r>
      <w:r w:rsidR="00003E80" w:rsidRPr="004C5551">
        <w:rPr>
          <w:szCs w:val="22"/>
        </w:rPr>
        <w:t>pre </w:t>
      </w:r>
      <w:r w:rsidRPr="004C5551">
        <w:rPr>
          <w:szCs w:val="22"/>
        </w:rPr>
        <w:t>operá</w:t>
      </w:r>
      <w:r w:rsidR="000275FB" w:rsidRPr="004C5551">
        <w:rPr>
          <w:szCs w:val="22"/>
        </w:rPr>
        <w:softHyphen/>
      </w:r>
      <w:r w:rsidRPr="004C5551">
        <w:rPr>
          <w:szCs w:val="22"/>
        </w:rPr>
        <w:t>torov a montérov strojov a zariadení (1 819 VPM, t.j. 21,18</w:t>
      </w:r>
      <w:r w:rsidR="009425AA" w:rsidRPr="004C5551">
        <w:rPr>
          <w:szCs w:val="22"/>
        </w:rPr>
        <w:t> %</w:t>
      </w:r>
      <w:r w:rsidRPr="004C5551">
        <w:rPr>
          <w:szCs w:val="22"/>
        </w:rPr>
        <w:t>) a pre pra</w:t>
      </w:r>
      <w:r w:rsidRPr="004C5551">
        <w:rPr>
          <w:szCs w:val="22"/>
        </w:rPr>
        <w:softHyphen/>
        <w:t>covníkov v službách a obchode (1 589 VPM, t.j. 19,10</w:t>
      </w:r>
      <w:r w:rsidR="009425AA" w:rsidRPr="004C5551">
        <w:rPr>
          <w:szCs w:val="22"/>
        </w:rPr>
        <w:t> %</w:t>
      </w:r>
      <w:r w:rsidRPr="004C5551">
        <w:rPr>
          <w:szCs w:val="22"/>
        </w:rPr>
        <w:t>). Najmenej VPM bolo nahlásených pre pracovníkov skupiny poľnohospodárstvo, lesníctvo a rybárstvo (37 VPM, t.j. 0,45</w:t>
      </w:r>
      <w:r w:rsidR="009425AA" w:rsidRPr="004C5551">
        <w:rPr>
          <w:szCs w:val="22"/>
        </w:rPr>
        <w:t> %</w:t>
      </w:r>
      <w:r w:rsidRPr="004C5551">
        <w:rPr>
          <w:szCs w:val="22"/>
        </w:rPr>
        <w:t>)).</w:t>
      </w:r>
    </w:p>
    <w:p w:rsidR="006775D8" w:rsidRPr="004C5551" w:rsidRDefault="006775D8" w:rsidP="006775D8">
      <w:pPr>
        <w:pStyle w:val="Nadpis7"/>
        <w:rPr>
          <w:bCs/>
          <w:sz w:val="24"/>
        </w:rPr>
      </w:pPr>
      <w:r w:rsidRPr="004C5551">
        <w:t xml:space="preserve">Graf 2.14 Podiel VPM v roku 2014 podľa </w:t>
      </w:r>
      <w:r w:rsidRPr="004C5551">
        <w:rPr>
          <w:bCs/>
          <w:sz w:val="24"/>
        </w:rPr>
        <w:t>SK ISCO-08</w:t>
      </w:r>
    </w:p>
    <w:p w:rsidR="006775D8" w:rsidRPr="004C5551" w:rsidRDefault="006775D8" w:rsidP="00162996">
      <w:pPr>
        <w:ind w:left="567"/>
      </w:pPr>
      <w:r w:rsidRPr="004C5551">
        <w:rPr>
          <w:noProof/>
        </w:rPr>
        <w:drawing>
          <wp:inline distT="0" distB="0" distL="0" distR="0" wp14:anchorId="56A1019B" wp14:editId="79C77989">
            <wp:extent cx="6815470" cy="3668233"/>
            <wp:effectExtent l="0" t="0" r="4445" b="8890"/>
            <wp:docPr id="207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75D8" w:rsidRPr="004C5551" w:rsidRDefault="006775D8" w:rsidP="00162996">
      <w:pPr>
        <w:pStyle w:val="zdroj"/>
      </w:pPr>
      <w:r w:rsidRPr="004C5551">
        <w:t xml:space="preserve">Zdroj: ÚPSVR </w:t>
      </w:r>
    </w:p>
    <w:p w:rsidR="006775D8" w:rsidRPr="004C5551" w:rsidRDefault="00460DEB" w:rsidP="00D6574F">
      <w:pPr>
        <w:ind w:firstLine="431"/>
        <w:rPr>
          <w:szCs w:val="22"/>
        </w:rPr>
      </w:pPr>
      <w:r w:rsidRPr="004C5551">
        <w:rPr>
          <w:szCs w:val="22"/>
        </w:rPr>
        <w:t>Z regionálneho hľadiska</w:t>
      </w:r>
      <w:r w:rsidR="006775D8" w:rsidRPr="004C5551">
        <w:rPr>
          <w:szCs w:val="22"/>
        </w:rPr>
        <w:t xml:space="preserve"> bolo v roku 2014 v priemere za mesiac najviac VPM v Bratislavskom kraji (1</w:t>
      </w:r>
      <w:r w:rsidR="00EA30C0" w:rsidRPr="004C5551">
        <w:rPr>
          <w:szCs w:val="22"/>
        </w:rPr>
        <w:t> </w:t>
      </w:r>
      <w:r w:rsidR="006775D8" w:rsidRPr="004C5551">
        <w:rPr>
          <w:szCs w:val="22"/>
        </w:rPr>
        <w:t>549 VPM) a Prešovskom kraji (1</w:t>
      </w:r>
      <w:r w:rsidR="00EA30C0" w:rsidRPr="004C5551">
        <w:rPr>
          <w:szCs w:val="22"/>
        </w:rPr>
        <w:t> </w:t>
      </w:r>
      <w:r w:rsidR="006775D8" w:rsidRPr="004C5551">
        <w:rPr>
          <w:szCs w:val="22"/>
        </w:rPr>
        <w:t>460 VPM). Najmenej VPM ponúkal Košický kraj (</w:t>
      </w:r>
      <w:r w:rsidR="00EA30C0" w:rsidRPr="004C5551">
        <w:rPr>
          <w:szCs w:val="22"/>
        </w:rPr>
        <w:t>672 </w:t>
      </w:r>
      <w:r w:rsidR="006775D8" w:rsidRPr="004C5551">
        <w:rPr>
          <w:szCs w:val="22"/>
        </w:rPr>
        <w:t xml:space="preserve">VPM). Z pohľadu požadovanej profesie, najviac VPM bolo pre kvalifikovaných pracovníkov a remeselníkov, z toho najviac (649 VPM) v Prešovskom kraji. Druhou najpožadovanejšou skupinou boli operátori a montéri strojov a zariadení. Z tejto skupiny najviac VPM ponúkali v Trnavskom kraji (426 VPM) a v Bratislavskom kraji (384 VPM). </w:t>
      </w:r>
    </w:p>
    <w:p w:rsidR="00C76A7E" w:rsidRPr="004C5551" w:rsidRDefault="00C76A7E">
      <w:pPr>
        <w:jc w:val="left"/>
        <w:rPr>
          <w:szCs w:val="22"/>
        </w:rPr>
      </w:pPr>
      <w:r w:rsidRPr="004C5551">
        <w:rPr>
          <w:szCs w:val="22"/>
        </w:rPr>
        <w:br w:type="page"/>
      </w:r>
    </w:p>
    <w:p w:rsidR="006775D8" w:rsidRPr="004C5551" w:rsidRDefault="006775D8" w:rsidP="006775D8">
      <w:pPr>
        <w:pStyle w:val="Nadpis7"/>
        <w:spacing w:before="0" w:after="0"/>
        <w:jc w:val="left"/>
        <w:rPr>
          <w:color w:val="E36C60" w:themeColor="accent4"/>
        </w:rPr>
      </w:pPr>
      <w:r w:rsidRPr="004C5551">
        <w:rPr>
          <w:color w:val="E36C60" w:themeColor="accent4"/>
        </w:rPr>
        <w:t>Znevýhodnení uchádzači o zamestnanie</w:t>
      </w:r>
    </w:p>
    <w:p w:rsidR="006775D8" w:rsidRPr="004C5551" w:rsidRDefault="00E57785" w:rsidP="009C55E3">
      <w:pPr>
        <w:pStyle w:val="Odsekzoznamu"/>
        <w:numPr>
          <w:ilvl w:val="0"/>
          <w:numId w:val="35"/>
        </w:numPr>
      </w:pPr>
      <w:r w:rsidRPr="004C5551">
        <w:t>Za znevýhodnených uchádzačov o zamestnanie sa na účely zákona č. 5/2004 Z. z. o službách zamestnanosti</w:t>
      </w:r>
      <w:r w:rsidR="003D4864" w:rsidRPr="004C5551">
        <w:t xml:space="preserve"> </w:t>
      </w:r>
      <w:r w:rsidRPr="004C5551">
        <w:t>a o zmene a doplnení niektorých zákonov v znení neskorších predpisov považujú:</w:t>
      </w:r>
      <w:r w:rsidR="00BC0FE1" w:rsidRPr="004C5551">
        <w:t xml:space="preserve"> </w:t>
      </w:r>
      <w:r w:rsidR="006775D8" w:rsidRPr="004C5551">
        <w:t xml:space="preserve">občan mladší ako 26 rokov veku, ktorý ukončil príslušným stupňom vzdelania sústavnú prípravu na povolanie v dennej forme štúdia pred menej ako dvomi rokmi a pred zaradením do evidencie uchádzačov o zamestnanie nemal pravidelné platené zamestnanie </w:t>
      </w:r>
    </w:p>
    <w:p w:rsidR="006775D8" w:rsidRPr="004C5551" w:rsidRDefault="006775D8" w:rsidP="009C55E3">
      <w:pPr>
        <w:pStyle w:val="Odsekzoznamu"/>
        <w:numPr>
          <w:ilvl w:val="0"/>
          <w:numId w:val="35"/>
        </w:numPr>
      </w:pPr>
      <w:r w:rsidRPr="004C5551">
        <w:t>občan starší ako 50 rokov veku</w:t>
      </w:r>
    </w:p>
    <w:p w:rsidR="006775D8" w:rsidRPr="004C5551" w:rsidRDefault="006775D8" w:rsidP="009C55E3">
      <w:pPr>
        <w:pStyle w:val="Odsekzoznamu"/>
        <w:numPr>
          <w:ilvl w:val="0"/>
          <w:numId w:val="35"/>
        </w:numPr>
      </w:pPr>
      <w:r w:rsidRPr="004C5551">
        <w:t>občan vedený v evidencii uchádzačov o zamestnanie najmenej 12 po sebe nasledujúcich mesiacov (ďalej len "</w:t>
      </w:r>
      <w:proofErr w:type="spellStart"/>
      <w:r w:rsidR="00E57785" w:rsidRPr="004C5551">
        <w:t>UoZ</w:t>
      </w:r>
      <w:proofErr w:type="spellEnd"/>
      <w:r w:rsidR="00E57785" w:rsidRPr="004C5551">
        <w:t xml:space="preserve"> v evidencii nad 12 mesiacov</w:t>
      </w:r>
      <w:r w:rsidRPr="004C5551">
        <w:t xml:space="preserve">") </w:t>
      </w:r>
      <w:r w:rsidR="00E57785" w:rsidRPr="004C5551">
        <w:t>D</w:t>
      </w:r>
      <w:r w:rsidRPr="004C5551">
        <w:t xml:space="preserve">o 1.5.2013 </w:t>
      </w:r>
      <w:r w:rsidR="00E57785" w:rsidRPr="004C5551">
        <w:t xml:space="preserve">išlo o </w:t>
      </w:r>
      <w:r w:rsidRPr="004C5551">
        <w:t>občan</w:t>
      </w:r>
      <w:r w:rsidR="00E57785" w:rsidRPr="004C5551">
        <w:t>a</w:t>
      </w:r>
      <w:r w:rsidRPr="004C5551">
        <w:t xml:space="preserve"> veden</w:t>
      </w:r>
      <w:r w:rsidR="00E57785" w:rsidRPr="004C5551">
        <w:t>ého</w:t>
      </w:r>
      <w:r w:rsidRPr="004C5551">
        <w:t xml:space="preserve"> v evidencii uchádzačov o zamestnanie najmenej 12 mesiacov z predchádzajúcich 16</w:t>
      </w:r>
      <w:r w:rsidR="00E47B33" w:rsidRPr="004C5551">
        <w:t> </w:t>
      </w:r>
      <w:r w:rsidRPr="004C5551">
        <w:t>mesiacov</w:t>
      </w:r>
      <w:r w:rsidR="00E57785" w:rsidRPr="004C5551">
        <w:t>.</w:t>
      </w:r>
      <w:r w:rsidRPr="004C5551">
        <w:t xml:space="preserve"> </w:t>
      </w:r>
    </w:p>
    <w:p w:rsidR="006775D8" w:rsidRPr="004C5551" w:rsidRDefault="006775D8" w:rsidP="009C55E3">
      <w:pPr>
        <w:pStyle w:val="Odsekzoznamu"/>
        <w:numPr>
          <w:ilvl w:val="0"/>
          <w:numId w:val="35"/>
        </w:numPr>
      </w:pPr>
      <w:r w:rsidRPr="004C5551">
        <w:t>občan, ktorý dosiahol vzdelanie nižšie ako stredné odborné vzdelanie</w:t>
      </w:r>
    </w:p>
    <w:p w:rsidR="006775D8" w:rsidRPr="004C5551" w:rsidRDefault="006775D8" w:rsidP="009C55E3">
      <w:pPr>
        <w:pStyle w:val="Odsekzoznamu"/>
        <w:numPr>
          <w:ilvl w:val="0"/>
          <w:numId w:val="35"/>
        </w:numPr>
      </w:pPr>
      <w:r w:rsidRPr="004C5551">
        <w:t>občan, ktorý najmenej 12 po sebe nasledujúcich kalendárnych mesiacov pred zaradením do evidencie uchádzačov o zamestnanie nemal pravidelné platené zamestnanie</w:t>
      </w:r>
    </w:p>
    <w:p w:rsidR="006775D8" w:rsidRPr="004C5551" w:rsidRDefault="006775D8" w:rsidP="009C55E3">
      <w:pPr>
        <w:pStyle w:val="Odsekzoznamu"/>
        <w:numPr>
          <w:ilvl w:val="0"/>
          <w:numId w:val="35"/>
        </w:numPr>
      </w:pPr>
      <w:r w:rsidRPr="004C5551">
        <w:t>štátny príslušník tretej krajiny, ktorému bol udelený azyl alebo ktorému bola poskytnutá doplnková ochrana</w:t>
      </w:r>
    </w:p>
    <w:p w:rsidR="006775D8" w:rsidRPr="004C5551" w:rsidRDefault="006775D8" w:rsidP="009C55E3">
      <w:pPr>
        <w:pStyle w:val="Odsekzoznamu"/>
        <w:numPr>
          <w:ilvl w:val="0"/>
          <w:numId w:val="35"/>
        </w:numPr>
      </w:pPr>
      <w:r w:rsidRPr="004C5551">
        <w:t>občan, ktorý žije ako osamelá dospelá osoba s jednou alebo viacerými osobami odkázanými na jeho starostlivosť alebo starajúca sa aspoň o jedno dieťa pred skončením povinnej školskej dochádzky</w:t>
      </w:r>
    </w:p>
    <w:p w:rsidR="006775D8" w:rsidRPr="004C5551" w:rsidRDefault="006775D8" w:rsidP="009C55E3">
      <w:pPr>
        <w:pStyle w:val="Odsekzoznamu"/>
        <w:numPr>
          <w:ilvl w:val="0"/>
          <w:numId w:val="35"/>
        </w:numPr>
      </w:pPr>
      <w:r w:rsidRPr="004C5551">
        <w:t>občan so zdravotným postihnutím.</w:t>
      </w:r>
    </w:p>
    <w:p w:rsidR="006775D8" w:rsidRPr="004C5551" w:rsidRDefault="006775D8" w:rsidP="006775D8"/>
    <w:p w:rsidR="006775D8" w:rsidRPr="004C5551" w:rsidRDefault="006775D8" w:rsidP="00D6574F">
      <w:pPr>
        <w:ind w:firstLine="431"/>
      </w:pPr>
      <w:r w:rsidRPr="004C5551">
        <w:t>I</w:t>
      </w:r>
      <w:r w:rsidR="00E57785" w:rsidRPr="004C5551">
        <w:t>de</w:t>
      </w:r>
      <w:r w:rsidRPr="004C5551">
        <w:t xml:space="preserve"> o definovanie občanov, ktorí vzhľadom na vek, dĺžku vedenia v evidencii uchádzačov o zamest</w:t>
      </w:r>
      <w:r w:rsidR="000275FB" w:rsidRPr="004C5551">
        <w:softHyphen/>
      </w:r>
      <w:r w:rsidRPr="004C5551">
        <w:t>nanie, nedostatok praxe, zdravotný stav, stratu schopnosti vykonávať svoje doterajšie zamestnanie, rodinné dôvody alebo postavenie v spoločnosti ťažšie nachádzajú uplatnenie na trhu práce a preto potrebujú zvýšenú starostlivosť.</w:t>
      </w:r>
    </w:p>
    <w:p w:rsidR="006775D8" w:rsidRPr="004C5551" w:rsidRDefault="006775D8" w:rsidP="00162996">
      <w:pPr>
        <w:pStyle w:val="Nadpis7"/>
      </w:pPr>
      <w:r w:rsidRPr="004C5551">
        <w:t>Tabuľka 2.1</w:t>
      </w:r>
      <w:r w:rsidR="005F2A7C" w:rsidRPr="004C5551">
        <w:t>2</w:t>
      </w:r>
      <w:r w:rsidRPr="004C5551">
        <w:t xml:space="preserve"> Priemerný počet znevýhodnených uchádzačov v roku 201</w:t>
      </w:r>
      <w:r w:rsidR="00E57785" w:rsidRPr="004C5551">
        <w:t>4</w:t>
      </w:r>
      <w:r w:rsidRPr="004C5551">
        <w:t xml:space="preserve"> podľa regiónov SR </w:t>
      </w:r>
      <w:r w:rsidR="00162996" w:rsidRPr="004C5551">
        <w:br/>
      </w:r>
      <w:r w:rsidRPr="004C5551">
        <w:t>(v osobách)</w:t>
      </w:r>
    </w:p>
    <w:tbl>
      <w:tblPr>
        <w:tblW w:w="9840" w:type="dxa"/>
        <w:tblInd w:w="-212"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2160"/>
        <w:gridCol w:w="960"/>
        <w:gridCol w:w="960"/>
        <w:gridCol w:w="960"/>
        <w:gridCol w:w="960"/>
        <w:gridCol w:w="960"/>
        <w:gridCol w:w="960"/>
        <w:gridCol w:w="960"/>
        <w:gridCol w:w="960"/>
      </w:tblGrid>
      <w:tr w:rsidR="006775D8" w:rsidRPr="004C5551" w:rsidTr="00162996">
        <w:trPr>
          <w:trHeight w:val="400"/>
        </w:trPr>
        <w:tc>
          <w:tcPr>
            <w:tcW w:w="2160" w:type="dxa"/>
            <w:shd w:val="clear" w:color="000000" w:fill="BF0000" w:themeFill="accent3" w:themeFillShade="BF"/>
            <w:noWrap/>
            <w:vAlign w:val="center"/>
            <w:hideMark/>
          </w:tcPr>
          <w:p w:rsidR="006775D8" w:rsidRPr="004C5551" w:rsidRDefault="006775D8" w:rsidP="00D36062">
            <w:pPr>
              <w:jc w:val="left"/>
              <w:rPr>
                <w:color w:val="000000"/>
              </w:rPr>
            </w:pPr>
            <w:r w:rsidRPr="004C5551">
              <w:rPr>
                <w:color w:val="000000"/>
                <w:szCs w:val="22"/>
              </w:rPr>
              <w:t> </w:t>
            </w:r>
          </w:p>
        </w:tc>
        <w:tc>
          <w:tcPr>
            <w:tcW w:w="7680" w:type="dxa"/>
            <w:gridSpan w:val="8"/>
            <w:shd w:val="clear" w:color="000000" w:fill="BF0000" w:themeFill="accent3" w:themeFillShade="BF"/>
            <w:noWrap/>
            <w:vAlign w:val="center"/>
            <w:hideMark/>
          </w:tcPr>
          <w:p w:rsidR="006775D8" w:rsidRPr="004C5551" w:rsidRDefault="006775D8" w:rsidP="00D36062">
            <w:pPr>
              <w:jc w:val="center"/>
              <w:rPr>
                <w:b/>
                <w:bCs/>
                <w:color w:val="FFFFFF"/>
                <w:sz w:val="24"/>
              </w:rPr>
            </w:pPr>
            <w:r w:rsidRPr="004C5551">
              <w:rPr>
                <w:b/>
                <w:bCs/>
                <w:color w:val="FFFFFF"/>
                <w:sz w:val="24"/>
              </w:rPr>
              <w:t xml:space="preserve">Znevýhodnení </w:t>
            </w:r>
            <w:proofErr w:type="spellStart"/>
            <w:r w:rsidRPr="004C5551">
              <w:rPr>
                <w:b/>
                <w:bCs/>
                <w:color w:val="FFFFFF"/>
                <w:sz w:val="24"/>
              </w:rPr>
              <w:t>UoZ</w:t>
            </w:r>
            <w:proofErr w:type="spellEnd"/>
            <w:r w:rsidRPr="004C5551">
              <w:rPr>
                <w:b/>
                <w:bCs/>
                <w:color w:val="FFFFFF"/>
                <w:sz w:val="24"/>
              </w:rPr>
              <w:t xml:space="preserve"> podľa § 8 zák. č. 5/2004 Zb.</w:t>
            </w:r>
          </w:p>
        </w:tc>
      </w:tr>
      <w:tr w:rsidR="006775D8" w:rsidRPr="004C5551" w:rsidTr="00162996">
        <w:trPr>
          <w:trHeight w:val="250"/>
        </w:trPr>
        <w:tc>
          <w:tcPr>
            <w:tcW w:w="2160" w:type="dxa"/>
            <w:shd w:val="clear" w:color="000000" w:fill="BF0000" w:themeFill="accent3" w:themeFillShade="BF"/>
            <w:noWrap/>
            <w:vAlign w:val="center"/>
            <w:hideMark/>
          </w:tcPr>
          <w:p w:rsidR="006775D8" w:rsidRPr="004C5551" w:rsidRDefault="006775D8" w:rsidP="00D36062">
            <w:pPr>
              <w:jc w:val="center"/>
              <w:rPr>
                <w:b/>
                <w:bCs/>
                <w:color w:val="FFFFFF"/>
              </w:rPr>
            </w:pPr>
            <w:r w:rsidRPr="004C5551">
              <w:rPr>
                <w:b/>
                <w:bCs/>
                <w:color w:val="FFFFFF"/>
                <w:szCs w:val="22"/>
              </w:rPr>
              <w:t>Územie</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a)</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b)</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c)</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d)</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e)</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f)</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g)</w:t>
            </w:r>
          </w:p>
        </w:tc>
        <w:tc>
          <w:tcPr>
            <w:tcW w:w="960" w:type="dxa"/>
            <w:shd w:val="clear" w:color="000000"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písm. h)</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Bratislavský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1 698</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5 673</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7 771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3 406</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12 134</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132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405</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Trnavský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2 382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6 761</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10 981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6 142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16 682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85</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823</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Trenčiansky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2 968</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8 929</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14 998</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5 938</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20 010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200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1 871</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Nitriansky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3 229</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12 488</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23 236</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11 270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29 823</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491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1 088</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Žilinský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4 089</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10 679</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20 231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8 485</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28 351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112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1 650</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Banskobystrický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3 492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16 310</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40 151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24 002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45 942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367</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1 848</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Prešovský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5 661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17 246</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49 518</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32 024</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59 526</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210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3 167</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Košický kraj</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4 210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16 128</w:t>
            </w:r>
          </w:p>
        </w:tc>
        <w:tc>
          <w:tcPr>
            <w:tcW w:w="960" w:type="dxa"/>
            <w:shd w:val="clear" w:color="auto" w:fill="auto"/>
            <w:noWrap/>
            <w:vAlign w:val="center"/>
            <w:hideMark/>
          </w:tcPr>
          <w:p w:rsidR="006775D8" w:rsidRPr="004C5551" w:rsidRDefault="001C6A70" w:rsidP="00E47B33">
            <w:pPr>
              <w:ind w:left="85"/>
              <w:jc w:val="right"/>
              <w:rPr>
                <w:color w:val="000000"/>
              </w:rPr>
            </w:pPr>
            <w:r w:rsidRPr="004C5551">
              <w:rPr>
                <w:color w:val="000000"/>
                <w:szCs w:val="22"/>
              </w:rPr>
              <w:t>42 610</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25 369</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50 931</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362</w:t>
            </w:r>
          </w:p>
        </w:tc>
        <w:tc>
          <w:tcPr>
            <w:tcW w:w="960" w:type="dxa"/>
            <w:shd w:val="clear" w:color="auto" w:fill="auto"/>
            <w:noWrap/>
            <w:vAlign w:val="center"/>
            <w:hideMark/>
          </w:tcPr>
          <w:p w:rsidR="006775D8" w:rsidRPr="004C5551" w:rsidRDefault="006775D8" w:rsidP="00E47B33">
            <w:pPr>
              <w:ind w:left="85"/>
              <w:jc w:val="right"/>
              <w:rPr>
                <w:color w:val="000000"/>
              </w:rPr>
            </w:pPr>
            <w:r w:rsidRPr="004C5551">
              <w:rPr>
                <w:color w:val="000000"/>
                <w:szCs w:val="22"/>
              </w:rPr>
              <w:t>1 949</w:t>
            </w:r>
          </w:p>
        </w:tc>
      </w:tr>
      <w:tr w:rsidR="006775D8" w:rsidRPr="004C5551" w:rsidTr="00162996">
        <w:trPr>
          <w:trHeight w:val="280"/>
        </w:trPr>
        <w:tc>
          <w:tcPr>
            <w:tcW w:w="2160" w:type="dxa"/>
            <w:shd w:val="clear" w:color="000000" w:fill="FFFFFF"/>
            <w:noWrap/>
            <w:vAlign w:val="center"/>
            <w:hideMark/>
          </w:tcPr>
          <w:p w:rsidR="006775D8" w:rsidRPr="004C5551" w:rsidRDefault="006775D8" w:rsidP="00D36062">
            <w:pPr>
              <w:jc w:val="left"/>
              <w:rPr>
                <w:color w:val="000000"/>
              </w:rPr>
            </w:pPr>
            <w:r w:rsidRPr="004C5551">
              <w:rPr>
                <w:color w:val="000000"/>
                <w:szCs w:val="22"/>
              </w:rPr>
              <w:t>Slovensko</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27 728</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94 215</w:t>
            </w:r>
          </w:p>
        </w:tc>
        <w:tc>
          <w:tcPr>
            <w:tcW w:w="960" w:type="dxa"/>
            <w:shd w:val="clear" w:color="000000" w:fill="FFFFFF"/>
            <w:noWrap/>
            <w:vAlign w:val="center"/>
            <w:hideMark/>
          </w:tcPr>
          <w:p w:rsidR="006775D8" w:rsidRPr="004C5551" w:rsidRDefault="001C6A70" w:rsidP="00E47B33">
            <w:pPr>
              <w:ind w:left="85"/>
              <w:jc w:val="right"/>
              <w:rPr>
                <w:color w:val="000000"/>
              </w:rPr>
            </w:pPr>
            <w:r w:rsidRPr="004C5551">
              <w:rPr>
                <w:color w:val="000000"/>
                <w:szCs w:val="22"/>
              </w:rPr>
              <w:t>209 495</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116 636</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263 398</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6</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1 950</w:t>
            </w:r>
          </w:p>
        </w:tc>
        <w:tc>
          <w:tcPr>
            <w:tcW w:w="960" w:type="dxa"/>
            <w:shd w:val="clear" w:color="000000" w:fill="FFFFFF"/>
            <w:noWrap/>
            <w:vAlign w:val="center"/>
            <w:hideMark/>
          </w:tcPr>
          <w:p w:rsidR="006775D8" w:rsidRPr="004C5551" w:rsidRDefault="006775D8" w:rsidP="00E47B33">
            <w:pPr>
              <w:ind w:left="85"/>
              <w:jc w:val="right"/>
              <w:rPr>
                <w:color w:val="000000"/>
              </w:rPr>
            </w:pPr>
            <w:r w:rsidRPr="004C5551">
              <w:rPr>
                <w:color w:val="000000"/>
                <w:szCs w:val="22"/>
              </w:rPr>
              <w:t>12 800</w:t>
            </w:r>
          </w:p>
        </w:tc>
      </w:tr>
    </w:tbl>
    <w:p w:rsidR="006775D8" w:rsidRPr="004C5551" w:rsidRDefault="007B3499" w:rsidP="00162996">
      <w:pPr>
        <w:pStyle w:val="zdroj"/>
      </w:pPr>
      <w:r w:rsidRPr="004C5551">
        <w:rPr>
          <w:noProof/>
        </w:rPr>
        <mc:AlternateContent>
          <mc:Choice Requires="wps">
            <w:drawing>
              <wp:anchor distT="0" distB="0" distL="114300" distR="114300" simplePos="0" relativeHeight="251713536" behindDoc="0" locked="0" layoutInCell="1" allowOverlap="1" wp14:anchorId="748E81FD" wp14:editId="1A1DC577">
                <wp:simplePos x="0" y="0"/>
                <wp:positionH relativeFrom="column">
                  <wp:posOffset>3857625</wp:posOffset>
                </wp:positionH>
                <wp:positionV relativeFrom="paragraph">
                  <wp:posOffset>3147060</wp:posOffset>
                </wp:positionV>
                <wp:extent cx="63500" cy="160655"/>
                <wp:effectExtent l="0" t="0" r="12700" b="10795"/>
                <wp:wrapNone/>
                <wp:docPr id="301"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18CB" w:rsidRPr="00363505" w:rsidRDefault="008B18CB" w:rsidP="006775D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Obdĺžnik 1" o:spid="_x0000_s1026" style="position:absolute;left:0;text-align:left;margin-left:303.75pt;margin-top:247.8pt;width:5pt;height:12.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" filled="f" stroked="f">
                <v:textbox style="mso-fit-shape-to-text:t" inset="0,0,0,0">
                  <w:txbxContent>
                    <w:p w:rsidR="008B18CB" w:rsidRPr="00363505" w:rsidRDefault="008B18CB" w:rsidP="006775D8"/>
                  </w:txbxContent>
                </v:textbox>
              </v:rect>
            </w:pict>
          </mc:Fallback>
        </mc:AlternateContent>
      </w:r>
      <w:r w:rsidR="006775D8" w:rsidRPr="004C5551">
        <w:t>Zdroj: ÚPSVR</w:t>
      </w:r>
    </w:p>
    <w:p w:rsidR="006775D8" w:rsidRPr="004C5551" w:rsidRDefault="006775D8" w:rsidP="00D6574F">
      <w:pPr>
        <w:ind w:firstLine="431"/>
        <w:rPr>
          <w:szCs w:val="22"/>
        </w:rPr>
      </w:pPr>
      <w:r w:rsidRPr="004C5551">
        <w:rPr>
          <w:szCs w:val="22"/>
        </w:rPr>
        <w:t xml:space="preserve">Z regionálneho hľadiska bol najvyšší počet znevýhodnených </w:t>
      </w:r>
      <w:proofErr w:type="spellStart"/>
      <w:r w:rsidRPr="004C5551">
        <w:rPr>
          <w:szCs w:val="22"/>
        </w:rPr>
        <w:t>UoZ</w:t>
      </w:r>
      <w:proofErr w:type="spellEnd"/>
      <w:r w:rsidRPr="004C5551">
        <w:rPr>
          <w:szCs w:val="22"/>
        </w:rPr>
        <w:t xml:space="preserve"> vo všetkých skupinách (okrem písmena g) v Prešovskom kraji</w:t>
      </w:r>
      <w:r w:rsidR="00E57785" w:rsidRPr="004C5551">
        <w:rPr>
          <w:szCs w:val="22"/>
        </w:rPr>
        <w:t>.</w:t>
      </w:r>
      <w:r w:rsidRPr="004C5551">
        <w:rPr>
          <w:szCs w:val="22"/>
        </w:rPr>
        <w:t xml:space="preserve">. Ďalšími regiónmi s vysokými počtami znevýhodnených </w:t>
      </w:r>
      <w:proofErr w:type="spellStart"/>
      <w:r w:rsidRPr="004C5551">
        <w:rPr>
          <w:szCs w:val="22"/>
        </w:rPr>
        <w:t>UoZ</w:t>
      </w:r>
      <w:proofErr w:type="spellEnd"/>
      <w:r w:rsidRPr="004C5551">
        <w:rPr>
          <w:szCs w:val="22"/>
        </w:rPr>
        <w:t xml:space="preserve"> boli Košický a Žilinský kraj. Vo všetkých krajoch SR</w:t>
      </w:r>
      <w:r w:rsidR="00073D95" w:rsidRPr="004C5551">
        <w:rPr>
          <w:szCs w:val="22"/>
        </w:rPr>
        <w:t xml:space="preserve"> </w:t>
      </w:r>
      <w:r w:rsidRPr="004C5551">
        <w:rPr>
          <w:szCs w:val="22"/>
        </w:rPr>
        <w:t xml:space="preserve">bol v roku 2014 najväčší počet znevýhodnených </w:t>
      </w:r>
      <w:proofErr w:type="spellStart"/>
      <w:r w:rsidRPr="004C5551">
        <w:rPr>
          <w:szCs w:val="22"/>
        </w:rPr>
        <w:t>UoZ</w:t>
      </w:r>
      <w:proofErr w:type="spellEnd"/>
      <w:r w:rsidRPr="004C5551">
        <w:rPr>
          <w:szCs w:val="22"/>
        </w:rPr>
        <w:t>, ktorí 12 mesiacov pred zaradením nemali pravidelne platené zamestnanie a na druhom mieste</w:t>
      </w:r>
      <w:r w:rsidR="00073D95" w:rsidRPr="004C5551">
        <w:rPr>
          <w:szCs w:val="22"/>
        </w:rPr>
        <w:t xml:space="preserve"> </w:t>
      </w:r>
      <w:r w:rsidRPr="004C5551">
        <w:rPr>
          <w:szCs w:val="22"/>
        </w:rPr>
        <w:t xml:space="preserve">bola skupina dlhodobo evidovaných </w:t>
      </w:r>
      <w:proofErr w:type="spellStart"/>
      <w:r w:rsidRPr="004C5551">
        <w:rPr>
          <w:szCs w:val="22"/>
        </w:rPr>
        <w:t>UoZ</w:t>
      </w:r>
      <w:proofErr w:type="spellEnd"/>
      <w:r w:rsidRPr="004C5551">
        <w:rPr>
          <w:szCs w:val="22"/>
        </w:rPr>
        <w:t>.</w:t>
      </w:r>
    </w:p>
    <w:p w:rsidR="006775D8" w:rsidRPr="004C5551" w:rsidRDefault="006775D8" w:rsidP="00D6574F">
      <w:pPr>
        <w:ind w:firstLine="431"/>
      </w:pPr>
    </w:p>
    <w:p w:rsidR="006775D8" w:rsidRPr="004C5551" w:rsidRDefault="006775D8" w:rsidP="00D6574F">
      <w:pPr>
        <w:ind w:firstLine="431"/>
        <w:rPr>
          <w:szCs w:val="22"/>
        </w:rPr>
      </w:pPr>
      <w:r w:rsidRPr="004C5551">
        <w:rPr>
          <w:szCs w:val="22"/>
        </w:rPr>
        <w:t xml:space="preserve">Najpočetnejšou skupinou znevýhodnených </w:t>
      </w:r>
      <w:proofErr w:type="spellStart"/>
      <w:r w:rsidRPr="004C5551">
        <w:rPr>
          <w:szCs w:val="22"/>
        </w:rPr>
        <w:t>UoZ</w:t>
      </w:r>
      <w:proofErr w:type="spellEnd"/>
      <w:r w:rsidRPr="004C5551">
        <w:rPr>
          <w:szCs w:val="22"/>
        </w:rPr>
        <w:t xml:space="preserve"> sú občania, ktorí najmenej </w:t>
      </w:r>
      <w:r w:rsidRPr="004C5551">
        <w:rPr>
          <w:b/>
          <w:szCs w:val="22"/>
        </w:rPr>
        <w:t>12 po sebe nasledujúcich kalendárnych mesiacov</w:t>
      </w:r>
      <w:r w:rsidRPr="004C5551">
        <w:rPr>
          <w:szCs w:val="22"/>
        </w:rPr>
        <w:t xml:space="preserve"> pred zaradením do </w:t>
      </w:r>
      <w:r w:rsidRPr="004C5551">
        <w:rPr>
          <w:b/>
          <w:szCs w:val="22"/>
        </w:rPr>
        <w:t>evidencie nemali pravidelne platené zamestnanie</w:t>
      </w:r>
      <w:r w:rsidRPr="004C5551">
        <w:rPr>
          <w:szCs w:val="22"/>
        </w:rPr>
        <w:t>, t.j. nemali zamestnanie, ktoré trvalo najmenej 6 po sebe nasledujúcich mesiacov. V roku 2014 ich bolo</w:t>
      </w:r>
      <w:r w:rsidR="000275FB" w:rsidRPr="004C5551">
        <w:rPr>
          <w:szCs w:val="22"/>
        </w:rPr>
        <w:t xml:space="preserve"> v priemere v evidencii 263 398</w:t>
      </w:r>
      <w:r w:rsidRPr="004C5551">
        <w:rPr>
          <w:szCs w:val="22"/>
        </w:rPr>
        <w:t>, čo predstavovalo nárast oproti roku 2013 (250 227)</w:t>
      </w:r>
      <w:r w:rsidR="00073D95" w:rsidRPr="004C5551">
        <w:rPr>
          <w:szCs w:val="22"/>
        </w:rPr>
        <w:t xml:space="preserve"> </w:t>
      </w:r>
      <w:r w:rsidRPr="004C5551">
        <w:rPr>
          <w:szCs w:val="22"/>
        </w:rPr>
        <w:t>o</w:t>
      </w:r>
      <w:r w:rsidR="000275FB" w:rsidRPr="004C5551">
        <w:rPr>
          <w:szCs w:val="22"/>
        </w:rPr>
        <w:t> </w:t>
      </w:r>
      <w:r w:rsidRPr="004C5551">
        <w:rPr>
          <w:szCs w:val="22"/>
        </w:rPr>
        <w:t xml:space="preserve">13 171 osôb. Podiel na celkovom priemernom počte </w:t>
      </w:r>
      <w:proofErr w:type="spellStart"/>
      <w:r w:rsidRPr="004C5551">
        <w:rPr>
          <w:szCs w:val="22"/>
        </w:rPr>
        <w:t>UoZ</w:t>
      </w:r>
      <w:proofErr w:type="spellEnd"/>
      <w:r w:rsidR="00073D95" w:rsidRPr="004C5551">
        <w:rPr>
          <w:szCs w:val="22"/>
        </w:rPr>
        <w:t xml:space="preserve"> </w:t>
      </w:r>
      <w:r w:rsidRPr="004C5551">
        <w:rPr>
          <w:szCs w:val="22"/>
        </w:rPr>
        <w:t>predstavoval 68,29</w:t>
      </w:r>
      <w:r w:rsidR="009425AA" w:rsidRPr="004C5551">
        <w:rPr>
          <w:szCs w:val="22"/>
        </w:rPr>
        <w:t> %</w:t>
      </w:r>
      <w:r w:rsidRPr="004C5551">
        <w:rPr>
          <w:szCs w:val="22"/>
        </w:rPr>
        <w:t>, čo</w:t>
      </w:r>
      <w:r w:rsidR="00073D95" w:rsidRPr="004C5551">
        <w:rPr>
          <w:szCs w:val="22"/>
        </w:rPr>
        <w:t xml:space="preserve"> </w:t>
      </w:r>
      <w:r w:rsidRPr="004C5551">
        <w:rPr>
          <w:szCs w:val="22"/>
        </w:rPr>
        <w:t>v porovnaní s rokom 2013 (60,29</w:t>
      </w:r>
      <w:r w:rsidR="009425AA" w:rsidRPr="004C5551">
        <w:rPr>
          <w:szCs w:val="22"/>
        </w:rPr>
        <w:t> %</w:t>
      </w:r>
      <w:r w:rsidRPr="004C5551">
        <w:rPr>
          <w:szCs w:val="22"/>
        </w:rPr>
        <w:t xml:space="preserve">) znamenalo </w:t>
      </w:r>
      <w:r w:rsidR="0022214F" w:rsidRPr="004C5551">
        <w:rPr>
          <w:szCs w:val="22"/>
        </w:rPr>
        <w:t>nárast o 8,0 p. b.</w:t>
      </w:r>
    </w:p>
    <w:p w:rsidR="006775D8" w:rsidRPr="004C5551" w:rsidRDefault="006775D8" w:rsidP="00D6574F">
      <w:pPr>
        <w:ind w:firstLine="431"/>
        <w:rPr>
          <w:szCs w:val="22"/>
        </w:rPr>
      </w:pPr>
      <w:r w:rsidRPr="004C5551">
        <w:t xml:space="preserve">Druhou najpočetnejšou znevýhodnenou skupinou </w:t>
      </w:r>
      <w:r w:rsidR="001C6A70" w:rsidRPr="004C5551">
        <w:t xml:space="preserve">sú </w:t>
      </w:r>
      <w:proofErr w:type="spellStart"/>
      <w:r w:rsidRPr="004C5551">
        <w:t>UoZ</w:t>
      </w:r>
      <w:proofErr w:type="spellEnd"/>
      <w:r w:rsidRPr="004C5551">
        <w:t xml:space="preserve"> </w:t>
      </w:r>
      <w:r w:rsidR="001C6A70" w:rsidRPr="004C5551">
        <w:t>v evidencii nad 12 mesiacov</w:t>
      </w:r>
      <w:r w:rsidRPr="004C5551">
        <w:t xml:space="preserve">. V roku 2014 bolo v priemere </w:t>
      </w:r>
      <w:r w:rsidRPr="004C5551">
        <w:rPr>
          <w:b/>
        </w:rPr>
        <w:t>v evidencii</w:t>
      </w:r>
      <w:r w:rsidRPr="004C5551">
        <w:t xml:space="preserve"> </w:t>
      </w:r>
      <w:r w:rsidRPr="004C5551">
        <w:rPr>
          <w:szCs w:val="22"/>
        </w:rPr>
        <w:t>2</w:t>
      </w:r>
      <w:r w:rsidR="001C6A70" w:rsidRPr="004C5551">
        <w:rPr>
          <w:szCs w:val="22"/>
        </w:rPr>
        <w:t>09 495</w:t>
      </w:r>
      <w:r w:rsidR="00073D95" w:rsidRPr="004C5551">
        <w:rPr>
          <w:szCs w:val="22"/>
        </w:rPr>
        <w:t xml:space="preserve"> </w:t>
      </w:r>
      <w:proofErr w:type="spellStart"/>
      <w:r w:rsidRPr="004C5551">
        <w:t>UoZ</w:t>
      </w:r>
      <w:proofErr w:type="spellEnd"/>
      <w:r w:rsidRPr="004C5551">
        <w:t xml:space="preserve"> </w:t>
      </w:r>
      <w:r w:rsidR="00460DEB" w:rsidRPr="004C5551">
        <w:rPr>
          <w:b/>
        </w:rPr>
        <w:t>nad 12 mesiacov</w:t>
      </w:r>
      <w:r w:rsidR="00347853" w:rsidRPr="004C5551">
        <w:rPr>
          <w:szCs w:val="22"/>
        </w:rPr>
        <w:t>.</w:t>
      </w:r>
      <w:r w:rsidRPr="004C5551">
        <w:rPr>
          <w:szCs w:val="22"/>
        </w:rPr>
        <w:t xml:space="preserve"> Ich absolútny počet v porovnaní </w:t>
      </w:r>
      <w:r w:rsidR="001C6A70" w:rsidRPr="004C5551">
        <w:rPr>
          <w:szCs w:val="22"/>
        </w:rPr>
        <w:t>s </w:t>
      </w:r>
      <w:r w:rsidRPr="004C5551">
        <w:rPr>
          <w:szCs w:val="22"/>
        </w:rPr>
        <w:t>rokom 2013 poklesol o</w:t>
      </w:r>
      <w:r w:rsidR="001C6A70" w:rsidRPr="004C5551">
        <w:rPr>
          <w:szCs w:val="22"/>
        </w:rPr>
        <w:t> 4 096</w:t>
      </w:r>
      <w:r w:rsidRPr="004C5551">
        <w:rPr>
          <w:szCs w:val="22"/>
        </w:rPr>
        <w:t xml:space="preserve"> osôb (o </w:t>
      </w:r>
      <w:r w:rsidR="001C6A70" w:rsidRPr="004C5551">
        <w:rPr>
          <w:szCs w:val="22"/>
        </w:rPr>
        <w:t>1,92</w:t>
      </w:r>
      <w:r w:rsidR="009425AA" w:rsidRPr="004C5551">
        <w:rPr>
          <w:szCs w:val="22"/>
        </w:rPr>
        <w:t> %</w:t>
      </w:r>
      <w:r w:rsidRPr="004C5551">
        <w:rPr>
          <w:szCs w:val="22"/>
        </w:rPr>
        <w:t xml:space="preserve">). Podiel dlhodobo nezamestnaných osôb na celkovom počte </w:t>
      </w:r>
      <w:proofErr w:type="spellStart"/>
      <w:r w:rsidRPr="004C5551">
        <w:rPr>
          <w:szCs w:val="22"/>
        </w:rPr>
        <w:t>UoZ</w:t>
      </w:r>
      <w:proofErr w:type="spellEnd"/>
      <w:r w:rsidRPr="004C5551">
        <w:rPr>
          <w:szCs w:val="22"/>
        </w:rPr>
        <w:t xml:space="preserve"> v roku 2014 predstavoval v priemere 54,</w:t>
      </w:r>
      <w:r w:rsidR="00632C97" w:rsidRPr="004C5551">
        <w:rPr>
          <w:szCs w:val="22"/>
        </w:rPr>
        <w:t>3</w:t>
      </w:r>
      <w:r w:rsidRPr="004C5551">
        <w:rPr>
          <w:szCs w:val="22"/>
        </w:rPr>
        <w:t>2</w:t>
      </w:r>
      <w:r w:rsidR="009425AA" w:rsidRPr="004C5551">
        <w:rPr>
          <w:szCs w:val="22"/>
        </w:rPr>
        <w:t> %</w:t>
      </w:r>
      <w:r w:rsidRPr="004C5551">
        <w:rPr>
          <w:szCs w:val="22"/>
        </w:rPr>
        <w:t>, čo v porovnaní s rokom 2013 (5</w:t>
      </w:r>
      <w:r w:rsidR="00632C97" w:rsidRPr="004C5551">
        <w:rPr>
          <w:szCs w:val="22"/>
        </w:rPr>
        <w:t>1,47</w:t>
      </w:r>
      <w:r w:rsidR="009425AA" w:rsidRPr="004C5551">
        <w:rPr>
          <w:szCs w:val="22"/>
        </w:rPr>
        <w:t> %</w:t>
      </w:r>
      <w:r w:rsidRPr="004C5551">
        <w:rPr>
          <w:szCs w:val="22"/>
        </w:rPr>
        <w:t xml:space="preserve">) </w:t>
      </w:r>
      <w:r w:rsidR="00632C97" w:rsidRPr="004C5551">
        <w:rPr>
          <w:szCs w:val="22"/>
        </w:rPr>
        <w:t>predstavuje</w:t>
      </w:r>
      <w:r w:rsidRPr="004C5551">
        <w:rPr>
          <w:szCs w:val="22"/>
        </w:rPr>
        <w:t xml:space="preserve"> nárast o</w:t>
      </w:r>
      <w:r w:rsidR="00632C97" w:rsidRPr="004C5551">
        <w:rPr>
          <w:szCs w:val="22"/>
        </w:rPr>
        <w:t> 2,85</w:t>
      </w:r>
      <w:r w:rsidR="00073D95" w:rsidRPr="004C5551">
        <w:rPr>
          <w:szCs w:val="22"/>
        </w:rPr>
        <w:t xml:space="preserve"> </w:t>
      </w:r>
      <w:r w:rsidRPr="004C5551">
        <w:rPr>
          <w:szCs w:val="22"/>
        </w:rPr>
        <w:t>p. b.</w:t>
      </w:r>
    </w:p>
    <w:p w:rsidR="006775D8" w:rsidRPr="004C5551" w:rsidRDefault="006775D8" w:rsidP="006775D8">
      <w:pPr>
        <w:pStyle w:val="Nadpis7"/>
      </w:pPr>
      <w:r w:rsidRPr="004C5551">
        <w:t xml:space="preserve">Graf 2.15 Vývoj </w:t>
      </w:r>
      <w:r w:rsidR="00E57785" w:rsidRPr="004C5551">
        <w:t xml:space="preserve">počtov </w:t>
      </w:r>
      <w:proofErr w:type="spellStart"/>
      <w:r w:rsidRPr="004C5551">
        <w:t>UoZ</w:t>
      </w:r>
      <w:proofErr w:type="spellEnd"/>
      <w:r w:rsidR="00632C97" w:rsidRPr="004C5551">
        <w:t xml:space="preserve"> nad 12 mesiacov</w:t>
      </w:r>
      <w:r w:rsidRPr="004C5551">
        <w:t xml:space="preserve"> a ich podiel na celkovom počte </w:t>
      </w:r>
      <w:proofErr w:type="spellStart"/>
      <w:r w:rsidRPr="004C5551">
        <w:t>UoZ</w:t>
      </w:r>
      <w:proofErr w:type="spellEnd"/>
    </w:p>
    <w:p w:rsidR="006775D8" w:rsidRPr="004C5551" w:rsidRDefault="00543CF2" w:rsidP="006775D8">
      <w:r w:rsidRPr="004C5551">
        <w:rPr>
          <w:noProof/>
        </w:rPr>
        <w:drawing>
          <wp:inline distT="0" distB="0" distL="0" distR="0" wp14:anchorId="032D3822" wp14:editId="78CF11EB">
            <wp:extent cx="5762625" cy="30099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75D8" w:rsidRPr="004C5551" w:rsidRDefault="006775D8" w:rsidP="004B576F">
      <w:pPr>
        <w:pStyle w:val="zdroj"/>
      </w:pPr>
      <w:r w:rsidRPr="004C5551">
        <w:t>Zdroj: ÚPSVR</w:t>
      </w:r>
      <w:r w:rsidR="00E57785" w:rsidRPr="004C5551">
        <w:t>, do 31. 4. 2013 bola táto kategória znevýhodneného občana definovaná ako nezamestnaný evidovaný najmenej 12 z posledných 16 mesiacov, od 1. 4. 2014 ide o </w:t>
      </w:r>
      <w:proofErr w:type="spellStart"/>
      <w:r w:rsidR="00E57785" w:rsidRPr="004C5551">
        <w:t>UoZ</w:t>
      </w:r>
      <w:proofErr w:type="spellEnd"/>
      <w:r w:rsidR="00E57785" w:rsidRPr="004C5551">
        <w:t xml:space="preserve"> v evidencii najmenej 12 po sebe nasledujúcich mesiacov</w:t>
      </w:r>
    </w:p>
    <w:p w:rsidR="006775D8" w:rsidRPr="004C5551" w:rsidRDefault="006775D8" w:rsidP="00D6574F">
      <w:pPr>
        <w:pStyle w:val="Normlnysozarkami1"/>
        <w:ind w:firstLine="431"/>
        <w:rPr>
          <w:szCs w:val="22"/>
        </w:rPr>
      </w:pPr>
      <w:r w:rsidRPr="004C5551">
        <w:rPr>
          <w:szCs w:val="22"/>
        </w:rPr>
        <w:t xml:space="preserve">Priemerný mesačný počet </w:t>
      </w:r>
      <w:proofErr w:type="spellStart"/>
      <w:r w:rsidRPr="004C5551">
        <w:rPr>
          <w:szCs w:val="22"/>
        </w:rPr>
        <w:t>UoZ</w:t>
      </w:r>
      <w:proofErr w:type="spellEnd"/>
      <w:r w:rsidRPr="004C5551">
        <w:rPr>
          <w:szCs w:val="22"/>
        </w:rPr>
        <w:t xml:space="preserve"> z radov </w:t>
      </w:r>
      <w:r w:rsidRPr="004C5551">
        <w:rPr>
          <w:b/>
          <w:szCs w:val="22"/>
        </w:rPr>
        <w:t>absolventov škôl</w:t>
      </w:r>
      <w:r w:rsidRPr="004C5551">
        <w:rPr>
          <w:szCs w:val="22"/>
        </w:rPr>
        <w:t xml:space="preserve"> </w:t>
      </w:r>
      <w:r w:rsidR="00632C97" w:rsidRPr="004C5551">
        <w:rPr>
          <w:szCs w:val="22"/>
        </w:rPr>
        <w:t xml:space="preserve">v roku 2014 </w:t>
      </w:r>
      <w:r w:rsidR="005C4F14" w:rsidRPr="004C5551">
        <w:rPr>
          <w:szCs w:val="22"/>
        </w:rPr>
        <w:t xml:space="preserve">dosiahol </w:t>
      </w:r>
      <w:r w:rsidRPr="004C5551">
        <w:rPr>
          <w:szCs w:val="22"/>
        </w:rPr>
        <w:t xml:space="preserve">27 728 osôb. </w:t>
      </w:r>
      <w:r w:rsidR="00003E80" w:rsidRPr="004C5551">
        <w:rPr>
          <w:szCs w:val="22"/>
        </w:rPr>
        <w:t>V </w:t>
      </w:r>
      <w:r w:rsidRPr="004C5551">
        <w:rPr>
          <w:szCs w:val="22"/>
        </w:rPr>
        <w:t xml:space="preserve">porovnaní s rokom 2013 (27 085 </w:t>
      </w:r>
      <w:proofErr w:type="spellStart"/>
      <w:r w:rsidRPr="004C5551">
        <w:rPr>
          <w:szCs w:val="22"/>
        </w:rPr>
        <w:t>UoZ</w:t>
      </w:r>
      <w:proofErr w:type="spellEnd"/>
      <w:r w:rsidRPr="004C5551">
        <w:rPr>
          <w:szCs w:val="22"/>
        </w:rPr>
        <w:t xml:space="preserve">) vzrástol o 643 osôb. Podiel na celkovom priemernom počte </w:t>
      </w:r>
      <w:proofErr w:type="spellStart"/>
      <w:r w:rsidRPr="004C5551">
        <w:rPr>
          <w:szCs w:val="22"/>
        </w:rPr>
        <w:t>UoZ</w:t>
      </w:r>
      <w:proofErr w:type="spellEnd"/>
      <w:r w:rsidR="00073D95" w:rsidRPr="004C5551">
        <w:rPr>
          <w:szCs w:val="22"/>
        </w:rPr>
        <w:t xml:space="preserve"> </w:t>
      </w:r>
      <w:r w:rsidRPr="004C5551">
        <w:rPr>
          <w:szCs w:val="22"/>
        </w:rPr>
        <w:t>v porovnaní s rokom 2013 vzrástol o 0,66 p. b., zo 6,53</w:t>
      </w:r>
      <w:r w:rsidR="009425AA" w:rsidRPr="004C5551">
        <w:rPr>
          <w:szCs w:val="22"/>
        </w:rPr>
        <w:t> %</w:t>
      </w:r>
      <w:r w:rsidRPr="004C5551">
        <w:rPr>
          <w:szCs w:val="22"/>
        </w:rPr>
        <w:t xml:space="preserve"> na 7,19</w:t>
      </w:r>
      <w:r w:rsidR="009425AA" w:rsidRPr="004C5551">
        <w:rPr>
          <w:szCs w:val="22"/>
        </w:rPr>
        <w:t> %</w:t>
      </w:r>
      <w:r w:rsidRPr="004C5551">
        <w:rPr>
          <w:szCs w:val="22"/>
        </w:rPr>
        <w:t xml:space="preserve"> v roku 2014. </w:t>
      </w:r>
    </w:p>
    <w:p w:rsidR="006775D8" w:rsidRPr="004C5551" w:rsidRDefault="006775D8" w:rsidP="00D6574F">
      <w:pPr>
        <w:pStyle w:val="Normlnysozarkami1"/>
        <w:ind w:firstLine="431"/>
      </w:pPr>
      <w:r w:rsidRPr="004C5551">
        <w:rPr>
          <w:szCs w:val="22"/>
        </w:rPr>
        <w:t xml:space="preserve">Vývoj stavov </w:t>
      </w:r>
      <w:proofErr w:type="spellStart"/>
      <w:r w:rsidRPr="004C5551">
        <w:rPr>
          <w:szCs w:val="22"/>
        </w:rPr>
        <w:t>UoZ</w:t>
      </w:r>
      <w:proofErr w:type="spellEnd"/>
      <w:r w:rsidRPr="004C5551">
        <w:rPr>
          <w:szCs w:val="22"/>
        </w:rPr>
        <w:t xml:space="preserve"> absolventov má cyklický charakter a </w:t>
      </w:r>
      <w:r w:rsidRPr="004C5551">
        <w:t>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nastáva v júni kvôli prílevu absolventov vysokých škôl. Odtok je výraznejší v septembri, a to kvôli nástupu časti absolventov na sústavnú prípravu na povolanie.</w:t>
      </w:r>
    </w:p>
    <w:p w:rsidR="006775D8" w:rsidRPr="004C5551" w:rsidRDefault="006775D8" w:rsidP="00D6574F">
      <w:pPr>
        <w:pStyle w:val="Zkladntext"/>
        <w:spacing w:after="0"/>
        <w:ind w:firstLine="431"/>
        <w:rPr>
          <w:szCs w:val="22"/>
        </w:rPr>
      </w:pPr>
      <w:r w:rsidRPr="004C5551">
        <w:rPr>
          <w:szCs w:val="22"/>
        </w:rPr>
        <w:t xml:space="preserve">Ku koncu roka 2014 bolo v evidencii na úradoch </w:t>
      </w:r>
      <w:r w:rsidR="00F41E61" w:rsidRPr="004C5551">
        <w:rPr>
          <w:szCs w:val="22"/>
        </w:rPr>
        <w:t>PSVR</w:t>
      </w:r>
      <w:r w:rsidRPr="004C5551">
        <w:rPr>
          <w:szCs w:val="22"/>
        </w:rPr>
        <w:t xml:space="preserve"> 26 417 nezamestnaných absolventov škôl denného štúdia, čo predstavovalo 7,1</w:t>
      </w:r>
      <w:r w:rsidR="009425AA" w:rsidRPr="004C5551">
        <w:rPr>
          <w:szCs w:val="22"/>
        </w:rPr>
        <w:t> %</w:t>
      </w:r>
      <w:r w:rsidRPr="004C5551">
        <w:rPr>
          <w:szCs w:val="22"/>
        </w:rPr>
        <w:t xml:space="preserve"> na celkovom počte všetkých </w:t>
      </w:r>
      <w:proofErr w:type="spellStart"/>
      <w:r w:rsidRPr="004C5551">
        <w:rPr>
          <w:szCs w:val="22"/>
        </w:rPr>
        <w:t>UoZ</w:t>
      </w:r>
      <w:proofErr w:type="spellEnd"/>
      <w:r w:rsidRPr="004C5551">
        <w:rPr>
          <w:szCs w:val="22"/>
        </w:rPr>
        <w:t>. V</w:t>
      </w:r>
      <w:r w:rsidR="00073D95" w:rsidRPr="004C5551">
        <w:rPr>
          <w:szCs w:val="22"/>
        </w:rPr>
        <w:t xml:space="preserve"> </w:t>
      </w:r>
      <w:r w:rsidRPr="004C5551">
        <w:rPr>
          <w:szCs w:val="22"/>
        </w:rPr>
        <w:t>porovnaní s rovnakým obdobím minulého roka (28 702 osôb) to znamenalo pokles o</w:t>
      </w:r>
      <w:r w:rsidR="000275FB" w:rsidRPr="004C5551">
        <w:rPr>
          <w:szCs w:val="22"/>
        </w:rPr>
        <w:t> </w:t>
      </w:r>
      <w:r w:rsidRPr="004C5551">
        <w:rPr>
          <w:szCs w:val="22"/>
        </w:rPr>
        <w:t>2</w:t>
      </w:r>
      <w:r w:rsidR="000275FB" w:rsidRPr="004C5551">
        <w:rPr>
          <w:szCs w:val="22"/>
        </w:rPr>
        <w:t> </w:t>
      </w:r>
      <w:r w:rsidRPr="004C5551">
        <w:rPr>
          <w:szCs w:val="22"/>
        </w:rPr>
        <w:t>285 absolventov (relatívne o 8</w:t>
      </w:r>
      <w:r w:rsidR="009425AA" w:rsidRPr="004C5551">
        <w:rPr>
          <w:szCs w:val="22"/>
        </w:rPr>
        <w:t> %</w:t>
      </w:r>
      <w:r w:rsidRPr="004C5551">
        <w:rPr>
          <w:szCs w:val="22"/>
        </w:rPr>
        <w:t>). Percentuálny podiel na celkových počtoch ku koncu roka 2013 predstavoval 7,2</w:t>
      </w:r>
      <w:r w:rsidR="009425AA" w:rsidRPr="004C5551">
        <w:rPr>
          <w:szCs w:val="22"/>
        </w:rPr>
        <w:t> %</w:t>
      </w:r>
      <w:r w:rsidRPr="004C5551">
        <w:rPr>
          <w:szCs w:val="22"/>
        </w:rPr>
        <w:t>. Z h</w:t>
      </w:r>
      <w:r w:rsidR="008D1BC5" w:rsidRPr="004C5551">
        <w:rPr>
          <w:szCs w:val="22"/>
        </w:rPr>
        <w:t>ľadiska vzdelanostnej štruktúry</w:t>
      </w:r>
      <w:r w:rsidRPr="004C5551">
        <w:rPr>
          <w:szCs w:val="22"/>
        </w:rPr>
        <w:t xml:space="preserve"> najpočetnejšiu skupinu v roku 2014 tvorili absolventi s úplným stredným odborným vzdelaním, ktoré získali na SOŠ, v počte </w:t>
      </w:r>
      <w:r w:rsidR="004D2EB5" w:rsidRPr="004C5551">
        <w:rPr>
          <w:szCs w:val="22"/>
        </w:rPr>
        <w:t>1</w:t>
      </w:r>
      <w:r w:rsidRPr="004C5551">
        <w:rPr>
          <w:szCs w:val="22"/>
        </w:rPr>
        <w:t>3 070 osôb (49,5</w:t>
      </w:r>
      <w:r w:rsidR="009425AA" w:rsidRPr="004C5551">
        <w:rPr>
          <w:szCs w:val="22"/>
        </w:rPr>
        <w:t> %</w:t>
      </w:r>
      <w:r w:rsidRPr="004C5551">
        <w:rPr>
          <w:szCs w:val="22"/>
        </w:rPr>
        <w:t xml:space="preserve"> zo všetkých evidovaných absolventov). Špecifickú skupinu reprezentovali absolventi s vysokoškolským vzdelaním II. stupňa s</w:t>
      </w:r>
      <w:r w:rsidR="00E47B33" w:rsidRPr="004C5551">
        <w:rPr>
          <w:szCs w:val="22"/>
        </w:rPr>
        <w:t> </w:t>
      </w:r>
      <w:r w:rsidRPr="004C5551">
        <w:rPr>
          <w:szCs w:val="22"/>
        </w:rPr>
        <w:t>počtom 5 04</w:t>
      </w:r>
      <w:r w:rsidR="00460DEB" w:rsidRPr="004C5551">
        <w:rPr>
          <w:szCs w:val="22"/>
        </w:rPr>
        <w:t>4</w:t>
      </w:r>
      <w:r w:rsidRPr="004C5551">
        <w:rPr>
          <w:szCs w:val="22"/>
        </w:rPr>
        <w:t xml:space="preserve"> a</w:t>
      </w:r>
      <w:r w:rsidR="00073D95" w:rsidRPr="004C5551">
        <w:rPr>
          <w:szCs w:val="22"/>
        </w:rPr>
        <w:t> </w:t>
      </w:r>
      <w:r w:rsidRPr="004C5551">
        <w:rPr>
          <w:szCs w:val="22"/>
        </w:rPr>
        <w:t>podielom</w:t>
      </w:r>
      <w:r w:rsidR="00073D95" w:rsidRPr="004C5551">
        <w:rPr>
          <w:szCs w:val="22"/>
        </w:rPr>
        <w:t xml:space="preserve"> </w:t>
      </w:r>
      <w:r w:rsidRPr="004C5551">
        <w:rPr>
          <w:szCs w:val="22"/>
        </w:rPr>
        <w:t>19,1</w:t>
      </w:r>
      <w:r w:rsidR="009425AA" w:rsidRPr="004C5551">
        <w:rPr>
          <w:szCs w:val="22"/>
        </w:rPr>
        <w:t> %</w:t>
      </w:r>
      <w:r w:rsidRPr="004C5551">
        <w:rPr>
          <w:szCs w:val="22"/>
        </w:rPr>
        <w:t xml:space="preserve"> na celkovom počte evidovaných absolventov škôl</w:t>
      </w:r>
      <w:r w:rsidR="00C62D2B" w:rsidRPr="004C5551">
        <w:rPr>
          <w:szCs w:val="22"/>
        </w:rPr>
        <w:t xml:space="preserve"> (príloha ku</w:t>
      </w:r>
      <w:r w:rsidR="00E47B33" w:rsidRPr="004C5551">
        <w:rPr>
          <w:szCs w:val="22"/>
        </w:rPr>
        <w:t> </w:t>
      </w:r>
      <w:r w:rsidR="00C62D2B" w:rsidRPr="004C5551">
        <w:rPr>
          <w:szCs w:val="22"/>
        </w:rPr>
        <w:t>kapitole 2 tabuľka 4).</w:t>
      </w:r>
      <w:r w:rsidRPr="004C5551">
        <w:rPr>
          <w:szCs w:val="22"/>
        </w:rPr>
        <w:t xml:space="preserve"> Z pohľadu študijného odboru, najväčší podiel </w:t>
      </w:r>
      <w:r w:rsidR="00632C97" w:rsidRPr="004C5551">
        <w:rPr>
          <w:szCs w:val="22"/>
        </w:rPr>
        <w:t>(</w:t>
      </w:r>
      <w:r w:rsidRPr="004C5551">
        <w:rPr>
          <w:szCs w:val="22"/>
        </w:rPr>
        <w:t>53,6</w:t>
      </w:r>
      <w:r w:rsidR="006D0272" w:rsidRPr="004C5551">
        <w:rPr>
          <w:szCs w:val="22"/>
        </w:rPr>
        <w:t> </w:t>
      </w:r>
      <w:r w:rsidRPr="004C5551">
        <w:rPr>
          <w:szCs w:val="22"/>
        </w:rPr>
        <w:t>%</w:t>
      </w:r>
      <w:r w:rsidR="00632C97" w:rsidRPr="004C5551">
        <w:rPr>
          <w:szCs w:val="22"/>
        </w:rPr>
        <w:t>)</w:t>
      </w:r>
      <w:r w:rsidRPr="004C5551">
        <w:rPr>
          <w:szCs w:val="22"/>
        </w:rPr>
        <w:t xml:space="preserve"> tvorili absolventi</w:t>
      </w:r>
      <w:r w:rsidR="00073D95" w:rsidRPr="004C5551">
        <w:rPr>
          <w:szCs w:val="22"/>
        </w:rPr>
        <w:t xml:space="preserve"> </w:t>
      </w:r>
      <w:r w:rsidRPr="004C5551">
        <w:rPr>
          <w:szCs w:val="22"/>
        </w:rPr>
        <w:t>v oblasti „Spoločenské vedy, náuky a služby“, a to v počte takmer 14,2 tis. osôb. Táto skupina zaznamenala ku koncu roka 2014 medziročný pokles absolventov</w:t>
      </w:r>
      <w:r w:rsidR="00073D95" w:rsidRPr="004C5551">
        <w:rPr>
          <w:szCs w:val="22"/>
        </w:rPr>
        <w:t xml:space="preserve"> </w:t>
      </w:r>
      <w:r w:rsidRPr="004C5551">
        <w:rPr>
          <w:szCs w:val="22"/>
        </w:rPr>
        <w:t>o 947 osôb, pričom percentuálny podiel vzrástol medziročne</w:t>
      </w:r>
      <w:r w:rsidR="008D1BC5" w:rsidRPr="004C5551">
        <w:rPr>
          <w:szCs w:val="22"/>
        </w:rPr>
        <w:t xml:space="preserve"> </w:t>
      </w:r>
      <w:r w:rsidRPr="004C5551">
        <w:rPr>
          <w:szCs w:val="22"/>
        </w:rPr>
        <w:t>o 1,</w:t>
      </w:r>
      <w:r w:rsidR="005308FD" w:rsidRPr="004C5551">
        <w:rPr>
          <w:szCs w:val="22"/>
        </w:rPr>
        <w:t>0 </w:t>
      </w:r>
      <w:proofErr w:type="spellStart"/>
      <w:r w:rsidRPr="004C5551">
        <w:rPr>
          <w:szCs w:val="22"/>
        </w:rPr>
        <w:t>p.b</w:t>
      </w:r>
      <w:proofErr w:type="spellEnd"/>
      <w:r w:rsidRPr="004C5551">
        <w:rPr>
          <w:szCs w:val="22"/>
        </w:rPr>
        <w:t>. Druhou najpočetnejšou skupinou boli absolventi</w:t>
      </w:r>
      <w:r w:rsidR="00073D95" w:rsidRPr="004C5551">
        <w:rPr>
          <w:szCs w:val="22"/>
        </w:rPr>
        <w:t xml:space="preserve"> </w:t>
      </w:r>
      <w:r w:rsidRPr="004C5551">
        <w:rPr>
          <w:szCs w:val="22"/>
        </w:rPr>
        <w:t>v odbore „Technické vedy a náuky“, v počte 9,0 tis. osôb a s podielom 34,2</w:t>
      </w:r>
      <w:r w:rsidR="009425AA" w:rsidRPr="004C5551">
        <w:rPr>
          <w:szCs w:val="22"/>
        </w:rPr>
        <w:t> %</w:t>
      </w:r>
      <w:r w:rsidR="008D1BC5" w:rsidRPr="004C5551">
        <w:rPr>
          <w:szCs w:val="22"/>
        </w:rPr>
        <w:t>.</w:t>
      </w:r>
    </w:p>
    <w:p w:rsidR="006775D8" w:rsidRPr="004C5551" w:rsidRDefault="006775D8" w:rsidP="00D6574F">
      <w:pPr>
        <w:ind w:firstLine="431"/>
        <w:rPr>
          <w:szCs w:val="22"/>
        </w:rPr>
      </w:pPr>
      <w:r w:rsidRPr="004C5551">
        <w:rPr>
          <w:szCs w:val="22"/>
        </w:rPr>
        <w:t>V roku 2014 bolo priemerne</w:t>
      </w:r>
      <w:r w:rsidRPr="004C5551">
        <w:rPr>
          <w:b/>
          <w:szCs w:val="22"/>
        </w:rPr>
        <w:t xml:space="preserve"> </w:t>
      </w:r>
      <w:r w:rsidRPr="004C5551">
        <w:rPr>
          <w:szCs w:val="22"/>
        </w:rPr>
        <w:t xml:space="preserve">mesačne evidovaných 94 215 </w:t>
      </w:r>
      <w:proofErr w:type="spellStart"/>
      <w:r w:rsidRPr="004C5551">
        <w:rPr>
          <w:szCs w:val="22"/>
        </w:rPr>
        <w:t>UoZ</w:t>
      </w:r>
      <w:proofErr w:type="spellEnd"/>
      <w:r w:rsidR="00073D95" w:rsidRPr="004C5551">
        <w:rPr>
          <w:szCs w:val="22"/>
        </w:rPr>
        <w:t xml:space="preserve"> </w:t>
      </w:r>
      <w:r w:rsidRPr="004C5551">
        <w:rPr>
          <w:b/>
          <w:szCs w:val="22"/>
        </w:rPr>
        <w:t>starších ako 50 rokov</w:t>
      </w:r>
      <w:r w:rsidRPr="004C5551">
        <w:rPr>
          <w:szCs w:val="22"/>
        </w:rPr>
        <w:t>. V</w:t>
      </w:r>
      <w:r w:rsidR="004B576F" w:rsidRPr="004C5551">
        <w:rPr>
          <w:szCs w:val="22"/>
        </w:rPr>
        <w:t> </w:t>
      </w:r>
      <w:r w:rsidRPr="004C5551">
        <w:rPr>
          <w:szCs w:val="22"/>
        </w:rPr>
        <w:t>porovnaní s rokom 2013 (97 632 osôb) to predstavovalo pokles o 3 417 osôb (o 3,50</w:t>
      </w:r>
      <w:r w:rsidR="009425AA" w:rsidRPr="004C5551">
        <w:rPr>
          <w:szCs w:val="22"/>
        </w:rPr>
        <w:t> %</w:t>
      </w:r>
      <w:r w:rsidRPr="004C5551">
        <w:rPr>
          <w:szCs w:val="22"/>
        </w:rPr>
        <w:t>). Na</w:t>
      </w:r>
      <w:r w:rsidR="004B576F" w:rsidRPr="004C5551">
        <w:rPr>
          <w:szCs w:val="22"/>
        </w:rPr>
        <w:t> </w:t>
      </w:r>
      <w:r w:rsidRPr="004C5551">
        <w:rPr>
          <w:szCs w:val="22"/>
        </w:rPr>
        <w:t xml:space="preserve">celkovom počte </w:t>
      </w:r>
      <w:proofErr w:type="spellStart"/>
      <w:r w:rsidRPr="004C5551">
        <w:rPr>
          <w:szCs w:val="22"/>
        </w:rPr>
        <w:t>UoZ</w:t>
      </w:r>
      <w:proofErr w:type="spellEnd"/>
      <w:r w:rsidRPr="004C5551">
        <w:rPr>
          <w:szCs w:val="22"/>
        </w:rPr>
        <w:t xml:space="preserve"> predstavoval podiel </w:t>
      </w:r>
      <w:proofErr w:type="spellStart"/>
      <w:r w:rsidRPr="004C5551">
        <w:rPr>
          <w:szCs w:val="22"/>
        </w:rPr>
        <w:t>UoZ</w:t>
      </w:r>
      <w:proofErr w:type="spellEnd"/>
      <w:r w:rsidRPr="004C5551">
        <w:rPr>
          <w:szCs w:val="22"/>
        </w:rPr>
        <w:t xml:space="preserve"> starších ako 50 rokov</w:t>
      </w:r>
      <w:r w:rsidR="00073D95" w:rsidRPr="004C5551">
        <w:rPr>
          <w:szCs w:val="22"/>
        </w:rPr>
        <w:t xml:space="preserve"> </w:t>
      </w:r>
      <w:r w:rsidRPr="004C5551">
        <w:rPr>
          <w:szCs w:val="22"/>
        </w:rPr>
        <w:t>24,43</w:t>
      </w:r>
      <w:r w:rsidR="009425AA" w:rsidRPr="004C5551">
        <w:rPr>
          <w:szCs w:val="22"/>
        </w:rPr>
        <w:t> %</w:t>
      </w:r>
      <w:r w:rsidRPr="004C5551">
        <w:rPr>
          <w:szCs w:val="22"/>
        </w:rPr>
        <w:t>, čo bol v porovnaní s rokom 2013 (23,53</w:t>
      </w:r>
      <w:r w:rsidR="009425AA" w:rsidRPr="004C5551">
        <w:rPr>
          <w:szCs w:val="22"/>
        </w:rPr>
        <w:t> %</w:t>
      </w:r>
      <w:r w:rsidRPr="004C5551">
        <w:rPr>
          <w:szCs w:val="22"/>
        </w:rPr>
        <w:t>) nárast o 0,90 p. b.</w:t>
      </w:r>
    </w:p>
    <w:p w:rsidR="006775D8" w:rsidRPr="004C5551" w:rsidRDefault="006775D8" w:rsidP="00D6574F">
      <w:pPr>
        <w:pStyle w:val="Normlnysozarkami1"/>
        <w:ind w:firstLine="431"/>
        <w:rPr>
          <w:szCs w:val="22"/>
        </w:rPr>
      </w:pPr>
      <w:r w:rsidRPr="004C5551">
        <w:rPr>
          <w:szCs w:val="22"/>
        </w:rPr>
        <w:t xml:space="preserve">V roku 2014 bolo v evidencii v priemere 12 800 </w:t>
      </w:r>
      <w:r w:rsidRPr="004C5551">
        <w:rPr>
          <w:b/>
          <w:szCs w:val="22"/>
        </w:rPr>
        <w:t>občanov so zdravotným postihnutím</w:t>
      </w:r>
      <w:r w:rsidRPr="004C5551">
        <w:rPr>
          <w:szCs w:val="22"/>
        </w:rPr>
        <w:t xml:space="preserve"> a ich počet medziročne vzrástol o 1 141 osôb. Podiel </w:t>
      </w:r>
      <w:proofErr w:type="spellStart"/>
      <w:r w:rsidRPr="004C5551">
        <w:rPr>
          <w:szCs w:val="22"/>
        </w:rPr>
        <w:t>UoZ</w:t>
      </w:r>
      <w:proofErr w:type="spellEnd"/>
      <w:r w:rsidRPr="004C5551">
        <w:rPr>
          <w:szCs w:val="22"/>
        </w:rPr>
        <w:t xml:space="preserve"> so zdravotným postihnutím na celkovom počte </w:t>
      </w:r>
      <w:proofErr w:type="spellStart"/>
      <w:r w:rsidRPr="004C5551">
        <w:rPr>
          <w:szCs w:val="22"/>
        </w:rPr>
        <w:t>UoZ</w:t>
      </w:r>
      <w:proofErr w:type="spellEnd"/>
      <w:r w:rsidRPr="004C5551">
        <w:rPr>
          <w:szCs w:val="22"/>
        </w:rPr>
        <w:t xml:space="preserve"> v roku 2014 predstavoval 3,32</w:t>
      </w:r>
      <w:r w:rsidR="009425AA" w:rsidRPr="004C5551">
        <w:rPr>
          <w:szCs w:val="22"/>
        </w:rPr>
        <w:t> %</w:t>
      </w:r>
      <w:r w:rsidRPr="004C5551">
        <w:rPr>
          <w:szCs w:val="22"/>
        </w:rPr>
        <w:t xml:space="preserve">, pričom v porovnaní s predchádzajúcim </w:t>
      </w:r>
      <w:r w:rsidR="0022214F" w:rsidRPr="004C5551">
        <w:rPr>
          <w:szCs w:val="22"/>
        </w:rPr>
        <w:t>rokom vzrástol o 0,51 p. b</w:t>
      </w:r>
      <w:r w:rsidRPr="004C5551">
        <w:rPr>
          <w:szCs w:val="22"/>
        </w:rPr>
        <w:t xml:space="preserve">. </w:t>
      </w:r>
    </w:p>
    <w:p w:rsidR="006775D8" w:rsidRPr="004C5551" w:rsidRDefault="006775D8" w:rsidP="00D6574F">
      <w:pPr>
        <w:ind w:firstLine="431"/>
        <w:rPr>
          <w:szCs w:val="22"/>
        </w:rPr>
      </w:pPr>
      <w:r w:rsidRPr="004C5551">
        <w:rPr>
          <w:szCs w:val="22"/>
        </w:rPr>
        <w:t>Podiel uchádzačov o zamestnanie, ktorí žili ako osamelé dospelé osoby s jednou alebo viacerými osobami odkázanými na ich starostlivosť alebo starajúce sa aspoň o jedno dieťa pred skončením povinnej školskej dochádzky</w:t>
      </w:r>
      <w:r w:rsidR="00BC0FE1" w:rsidRPr="004C5551">
        <w:rPr>
          <w:szCs w:val="22"/>
        </w:rPr>
        <w:t xml:space="preserve"> </w:t>
      </w:r>
      <w:r w:rsidRPr="004C5551">
        <w:rPr>
          <w:szCs w:val="22"/>
        </w:rPr>
        <w:t xml:space="preserve">na celkovom počte </w:t>
      </w:r>
      <w:proofErr w:type="spellStart"/>
      <w:r w:rsidRPr="004C5551">
        <w:rPr>
          <w:szCs w:val="22"/>
        </w:rPr>
        <w:t>UoZ</w:t>
      </w:r>
      <w:proofErr w:type="spellEnd"/>
      <w:r w:rsidR="005C4F14" w:rsidRPr="004C5551">
        <w:rPr>
          <w:szCs w:val="22"/>
        </w:rPr>
        <w:t xml:space="preserve"> v roku 2014 narástol o 0,3 p. b. na</w:t>
      </w:r>
      <w:r w:rsidR="00372A33" w:rsidRPr="004C5551">
        <w:rPr>
          <w:szCs w:val="22"/>
        </w:rPr>
        <w:t xml:space="preserve"> </w:t>
      </w:r>
      <w:r w:rsidRPr="004C5551">
        <w:rPr>
          <w:szCs w:val="22"/>
        </w:rPr>
        <w:t>0,56</w:t>
      </w:r>
      <w:r w:rsidR="009425AA" w:rsidRPr="004C5551">
        <w:rPr>
          <w:szCs w:val="22"/>
        </w:rPr>
        <w:t> %</w:t>
      </w:r>
      <w:r w:rsidRPr="004C5551">
        <w:rPr>
          <w:szCs w:val="22"/>
        </w:rPr>
        <w:t>. V roku 2014 bolo v evidencii v </w:t>
      </w:r>
      <w:r w:rsidR="00460DEB" w:rsidRPr="004C5551">
        <w:rPr>
          <w:szCs w:val="22"/>
        </w:rPr>
        <w:t xml:space="preserve">priemere 1 950 </w:t>
      </w:r>
      <w:r w:rsidRPr="004C5551">
        <w:rPr>
          <w:szCs w:val="22"/>
        </w:rPr>
        <w:t>týchto uchádzačov o</w:t>
      </w:r>
      <w:r w:rsidR="005C4F14" w:rsidRPr="004C5551">
        <w:rPr>
          <w:szCs w:val="22"/>
        </w:rPr>
        <w:t> </w:t>
      </w:r>
      <w:r w:rsidRPr="004C5551">
        <w:rPr>
          <w:szCs w:val="22"/>
        </w:rPr>
        <w:t>zamestnanie</w:t>
      </w:r>
      <w:r w:rsidR="005C4F14" w:rsidRPr="004C5551">
        <w:rPr>
          <w:szCs w:val="22"/>
        </w:rPr>
        <w:t xml:space="preserve">, čo bolo </w:t>
      </w:r>
      <w:r w:rsidR="00E47B33" w:rsidRPr="004C5551">
        <w:rPr>
          <w:szCs w:val="22"/>
        </w:rPr>
        <w:br/>
      </w:r>
      <w:r w:rsidR="005C4F14" w:rsidRPr="004C5551">
        <w:rPr>
          <w:szCs w:val="22"/>
        </w:rPr>
        <w:t>o</w:t>
      </w:r>
      <w:r w:rsidR="00E47B33" w:rsidRPr="004C5551">
        <w:rPr>
          <w:szCs w:val="22"/>
        </w:rPr>
        <w:t> </w:t>
      </w:r>
      <w:r w:rsidR="005C4F14" w:rsidRPr="004C5551">
        <w:rPr>
          <w:szCs w:val="22"/>
        </w:rPr>
        <w:t>1</w:t>
      </w:r>
      <w:r w:rsidR="00E47B33" w:rsidRPr="004C5551">
        <w:rPr>
          <w:szCs w:val="22"/>
        </w:rPr>
        <w:t> </w:t>
      </w:r>
      <w:r w:rsidR="005C4F14" w:rsidRPr="004C5551">
        <w:rPr>
          <w:szCs w:val="22"/>
        </w:rPr>
        <w:t>908 osôb viac ako v roku 2013</w:t>
      </w:r>
      <w:r w:rsidRPr="004C5551">
        <w:rPr>
          <w:szCs w:val="22"/>
        </w:rPr>
        <w:t xml:space="preserve">. </w:t>
      </w:r>
    </w:p>
    <w:p w:rsidR="006775D8" w:rsidRPr="004C5551" w:rsidRDefault="006775D8" w:rsidP="006775D8">
      <w:pPr>
        <w:pStyle w:val="Nadpis7"/>
      </w:pPr>
      <w:r w:rsidRPr="004C5551">
        <w:t>Tabuľka 2.1</w:t>
      </w:r>
      <w:r w:rsidR="005F2A7C" w:rsidRPr="004C5551">
        <w:t>3</w:t>
      </w:r>
      <w:r w:rsidRPr="004C5551">
        <w:t xml:space="preserve"> Podiel </w:t>
      </w:r>
      <w:r w:rsidR="00460DEB" w:rsidRPr="004C5551">
        <w:t>vybraných</w:t>
      </w:r>
      <w:r w:rsidRPr="004C5551">
        <w:t xml:space="preserve"> znevýhodnených skupín uchádzačov o zamestnanie </w:t>
      </w:r>
      <w:r w:rsidRPr="004C5551">
        <w:br/>
        <w:t>na celkovom počte uchádzačov o zamestnanie (v</w:t>
      </w:r>
      <w:r w:rsidR="009425AA" w:rsidRPr="004C5551">
        <w:t> %</w:t>
      </w:r>
      <w:r w:rsidRPr="004C5551">
        <w:t>)</w:t>
      </w:r>
    </w:p>
    <w:tbl>
      <w:tblPr>
        <w:tblW w:w="7572" w:type="dxa"/>
        <w:jc w:val="center"/>
        <w:tblInd w:w="55"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3508"/>
        <w:gridCol w:w="1401"/>
        <w:gridCol w:w="1276"/>
        <w:gridCol w:w="1387"/>
      </w:tblGrid>
      <w:tr w:rsidR="006775D8" w:rsidRPr="004C5551" w:rsidTr="00E47B33">
        <w:trPr>
          <w:trHeight w:val="567"/>
          <w:jc w:val="center"/>
        </w:trPr>
        <w:tc>
          <w:tcPr>
            <w:tcW w:w="3508" w:type="dxa"/>
            <w:vMerge w:val="restart"/>
            <w:shd w:val="clear" w:color="auto" w:fill="BF0000" w:themeFill="accent3" w:themeFillShade="BF"/>
            <w:vAlign w:val="center"/>
            <w:hideMark/>
          </w:tcPr>
          <w:p w:rsidR="006775D8" w:rsidRPr="004C5551" w:rsidRDefault="006775D8" w:rsidP="00D36062">
            <w:pPr>
              <w:jc w:val="left"/>
              <w:rPr>
                <w:b/>
                <w:bCs/>
                <w:color w:val="FFFFFF"/>
              </w:rPr>
            </w:pPr>
            <w:r w:rsidRPr="004C5551">
              <w:rPr>
                <w:b/>
                <w:bCs/>
                <w:color w:val="FFFFFF"/>
                <w:szCs w:val="22"/>
              </w:rPr>
              <w:t>Znevýhodnení uchádzači o zamestnanie</w:t>
            </w:r>
          </w:p>
        </w:tc>
        <w:tc>
          <w:tcPr>
            <w:tcW w:w="1401" w:type="dxa"/>
            <w:vMerge w:val="restart"/>
            <w:shd w:val="clear" w:color="auto"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2013</w:t>
            </w:r>
          </w:p>
        </w:tc>
        <w:tc>
          <w:tcPr>
            <w:tcW w:w="1276" w:type="dxa"/>
            <w:vMerge w:val="restart"/>
            <w:shd w:val="clear" w:color="auto"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2014</w:t>
            </w:r>
          </w:p>
        </w:tc>
        <w:tc>
          <w:tcPr>
            <w:tcW w:w="1387" w:type="dxa"/>
            <w:vMerge w:val="restart"/>
            <w:shd w:val="clear" w:color="auto" w:fill="BF0000" w:themeFill="accent3" w:themeFillShade="BF"/>
            <w:vAlign w:val="center"/>
            <w:hideMark/>
          </w:tcPr>
          <w:p w:rsidR="006775D8" w:rsidRPr="004C5551" w:rsidRDefault="006775D8" w:rsidP="00D36062">
            <w:pPr>
              <w:jc w:val="center"/>
              <w:rPr>
                <w:b/>
                <w:bCs/>
                <w:color w:val="FFFFFF"/>
              </w:rPr>
            </w:pPr>
            <w:r w:rsidRPr="004C5551">
              <w:rPr>
                <w:b/>
                <w:bCs/>
                <w:color w:val="FFFFFF"/>
                <w:szCs w:val="22"/>
              </w:rPr>
              <w:t>medziročný rast/pokles (</w:t>
            </w:r>
            <w:proofErr w:type="spellStart"/>
            <w:r w:rsidRPr="004C5551">
              <w:rPr>
                <w:b/>
                <w:bCs/>
                <w:color w:val="FFFFFF"/>
                <w:szCs w:val="22"/>
              </w:rPr>
              <w:t>p.b</w:t>
            </w:r>
            <w:proofErr w:type="spellEnd"/>
            <w:r w:rsidRPr="004C5551">
              <w:rPr>
                <w:b/>
                <w:bCs/>
                <w:color w:val="FFFFFF"/>
                <w:szCs w:val="22"/>
              </w:rPr>
              <w:t>.)</w:t>
            </w:r>
          </w:p>
        </w:tc>
      </w:tr>
      <w:tr w:rsidR="006775D8" w:rsidRPr="004C5551" w:rsidTr="00E47B33">
        <w:trPr>
          <w:trHeight w:val="253"/>
          <w:jc w:val="center"/>
        </w:trPr>
        <w:tc>
          <w:tcPr>
            <w:tcW w:w="3508" w:type="dxa"/>
            <w:vMerge/>
            <w:shd w:val="clear" w:color="auto" w:fill="BF0000" w:themeFill="accent3" w:themeFillShade="BF"/>
            <w:vAlign w:val="center"/>
            <w:hideMark/>
          </w:tcPr>
          <w:p w:rsidR="006775D8" w:rsidRPr="004C5551" w:rsidRDefault="006775D8" w:rsidP="00D36062">
            <w:pPr>
              <w:jc w:val="left"/>
              <w:rPr>
                <w:b/>
                <w:bCs/>
                <w:color w:val="FFFFFF"/>
              </w:rPr>
            </w:pPr>
          </w:p>
        </w:tc>
        <w:tc>
          <w:tcPr>
            <w:tcW w:w="1401" w:type="dxa"/>
            <w:vMerge/>
            <w:shd w:val="clear" w:color="auto" w:fill="BF0000" w:themeFill="accent3" w:themeFillShade="BF"/>
            <w:vAlign w:val="center"/>
            <w:hideMark/>
          </w:tcPr>
          <w:p w:rsidR="006775D8" w:rsidRPr="004C5551" w:rsidRDefault="006775D8" w:rsidP="00D36062">
            <w:pPr>
              <w:jc w:val="left"/>
              <w:rPr>
                <w:b/>
                <w:bCs/>
                <w:color w:val="FFFFFF"/>
              </w:rPr>
            </w:pPr>
          </w:p>
        </w:tc>
        <w:tc>
          <w:tcPr>
            <w:tcW w:w="1276" w:type="dxa"/>
            <w:vMerge/>
            <w:shd w:val="clear" w:color="auto" w:fill="BF0000" w:themeFill="accent3" w:themeFillShade="BF"/>
            <w:vAlign w:val="center"/>
            <w:hideMark/>
          </w:tcPr>
          <w:p w:rsidR="006775D8" w:rsidRPr="004C5551" w:rsidRDefault="006775D8" w:rsidP="00D36062">
            <w:pPr>
              <w:jc w:val="left"/>
              <w:rPr>
                <w:b/>
                <w:bCs/>
                <w:color w:val="FFFFFF"/>
              </w:rPr>
            </w:pPr>
          </w:p>
        </w:tc>
        <w:tc>
          <w:tcPr>
            <w:tcW w:w="1387" w:type="dxa"/>
            <w:vMerge/>
            <w:shd w:val="clear" w:color="auto" w:fill="BF0000" w:themeFill="accent3" w:themeFillShade="BF"/>
            <w:vAlign w:val="center"/>
            <w:hideMark/>
          </w:tcPr>
          <w:p w:rsidR="006775D8" w:rsidRPr="004C5551" w:rsidRDefault="006775D8" w:rsidP="00D36062">
            <w:pPr>
              <w:jc w:val="left"/>
              <w:rPr>
                <w:b/>
                <w:bCs/>
                <w:color w:val="FFFFFF"/>
              </w:rPr>
            </w:pPr>
          </w:p>
        </w:tc>
      </w:tr>
      <w:tr w:rsidR="008D1BC5" w:rsidRPr="004C5551" w:rsidTr="00E47B33">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8D1BC5" w:rsidRPr="004C5551" w:rsidRDefault="008D1BC5" w:rsidP="00E346A0">
            <w:pPr>
              <w:jc w:val="left"/>
              <w:rPr>
                <w:color w:val="000000"/>
                <w:szCs w:val="22"/>
              </w:rPr>
            </w:pPr>
            <w:r w:rsidRPr="004C5551">
              <w:rPr>
                <w:color w:val="000000"/>
                <w:szCs w:val="22"/>
              </w:rPr>
              <w:t>Absolventi škôl</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8D1BC5" w:rsidRPr="004C5551" w:rsidRDefault="008D1BC5" w:rsidP="00E346A0">
            <w:pPr>
              <w:ind w:right="167"/>
              <w:jc w:val="right"/>
              <w:rPr>
                <w:color w:val="000000"/>
                <w:szCs w:val="22"/>
              </w:rPr>
            </w:pPr>
            <w:r w:rsidRPr="004C5551">
              <w:rPr>
                <w:color w:val="000000"/>
                <w:szCs w:val="22"/>
              </w:rPr>
              <w:t>6,53</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8D1BC5" w:rsidRPr="004C5551" w:rsidRDefault="008D1BC5" w:rsidP="00E346A0">
            <w:pPr>
              <w:ind w:right="167"/>
              <w:jc w:val="right"/>
              <w:rPr>
                <w:color w:val="000000"/>
                <w:szCs w:val="22"/>
              </w:rPr>
            </w:pPr>
            <w:r w:rsidRPr="004C5551">
              <w:rPr>
                <w:color w:val="000000"/>
                <w:szCs w:val="22"/>
              </w:rPr>
              <w:t>7,19</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8D1BC5" w:rsidRPr="004C5551" w:rsidRDefault="008D1BC5" w:rsidP="00E346A0">
            <w:pPr>
              <w:ind w:right="167"/>
              <w:jc w:val="right"/>
              <w:rPr>
                <w:color w:val="000000"/>
                <w:szCs w:val="22"/>
              </w:rPr>
            </w:pPr>
            <w:r w:rsidRPr="004C5551">
              <w:rPr>
                <w:color w:val="000000"/>
                <w:szCs w:val="22"/>
              </w:rPr>
              <w:t>0,66</w:t>
            </w:r>
          </w:p>
        </w:tc>
      </w:tr>
      <w:tr w:rsidR="00372A33" w:rsidRPr="004C5551" w:rsidTr="00E47B33">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372A33" w:rsidRPr="004C5551" w:rsidRDefault="00372A33" w:rsidP="00E346A0">
            <w:pPr>
              <w:jc w:val="left"/>
              <w:rPr>
                <w:color w:val="000000"/>
                <w:szCs w:val="22"/>
              </w:rPr>
            </w:pPr>
            <w:proofErr w:type="spellStart"/>
            <w:r w:rsidRPr="004C5551">
              <w:rPr>
                <w:color w:val="000000"/>
                <w:szCs w:val="22"/>
              </w:rPr>
              <w:t>UoZ</w:t>
            </w:r>
            <w:proofErr w:type="spellEnd"/>
            <w:r w:rsidRPr="004C5551">
              <w:rPr>
                <w:color w:val="000000"/>
                <w:szCs w:val="22"/>
              </w:rPr>
              <w:t xml:space="preserve"> starší ako 50 rokov</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372A33" w:rsidRPr="004C5551" w:rsidRDefault="00372A33" w:rsidP="00E346A0">
            <w:pPr>
              <w:ind w:right="167"/>
              <w:jc w:val="right"/>
              <w:rPr>
                <w:color w:val="000000"/>
                <w:szCs w:val="22"/>
              </w:rPr>
            </w:pPr>
            <w:r w:rsidRPr="004C5551">
              <w:rPr>
                <w:color w:val="000000"/>
                <w:szCs w:val="22"/>
              </w:rPr>
              <w:t>23,53</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372A33" w:rsidRPr="004C5551" w:rsidRDefault="00372A33" w:rsidP="00E346A0">
            <w:pPr>
              <w:ind w:right="167"/>
              <w:jc w:val="right"/>
              <w:rPr>
                <w:color w:val="000000"/>
                <w:szCs w:val="22"/>
              </w:rPr>
            </w:pPr>
            <w:r w:rsidRPr="004C5551">
              <w:rPr>
                <w:color w:val="000000"/>
                <w:szCs w:val="22"/>
              </w:rPr>
              <w:t>24,43</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372A33" w:rsidRPr="004C5551" w:rsidRDefault="00372A33" w:rsidP="00E346A0">
            <w:pPr>
              <w:ind w:right="167"/>
              <w:jc w:val="right"/>
              <w:rPr>
                <w:color w:val="000000"/>
                <w:szCs w:val="22"/>
              </w:rPr>
            </w:pPr>
            <w:r w:rsidRPr="004C5551">
              <w:rPr>
                <w:color w:val="000000"/>
                <w:szCs w:val="22"/>
              </w:rPr>
              <w:t>0,89</w:t>
            </w:r>
          </w:p>
        </w:tc>
      </w:tr>
      <w:tr w:rsidR="00372A33" w:rsidRPr="004C5551" w:rsidTr="00E47B33">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372A33" w:rsidRPr="004C5551" w:rsidRDefault="00372A33" w:rsidP="00E346A0">
            <w:pPr>
              <w:jc w:val="left"/>
              <w:rPr>
                <w:color w:val="000000"/>
                <w:szCs w:val="22"/>
              </w:rPr>
            </w:pPr>
            <w:proofErr w:type="spellStart"/>
            <w:r w:rsidRPr="004C5551">
              <w:rPr>
                <w:color w:val="000000"/>
                <w:szCs w:val="22"/>
              </w:rPr>
              <w:t>UoZ</w:t>
            </w:r>
            <w:proofErr w:type="spellEnd"/>
            <w:r w:rsidRPr="004C5551">
              <w:rPr>
                <w:color w:val="000000"/>
                <w:szCs w:val="22"/>
              </w:rPr>
              <w:t xml:space="preserve"> nad 12 mesiacov</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372A33" w:rsidRPr="004C5551" w:rsidRDefault="00372A33" w:rsidP="00372A33">
            <w:pPr>
              <w:ind w:right="167"/>
              <w:jc w:val="right"/>
              <w:rPr>
                <w:color w:val="000000"/>
                <w:szCs w:val="22"/>
              </w:rPr>
            </w:pPr>
            <w:r w:rsidRPr="004C5551">
              <w:rPr>
                <w:color w:val="000000"/>
                <w:szCs w:val="22"/>
              </w:rPr>
              <w:t>51,47</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372A33" w:rsidRPr="004C5551" w:rsidRDefault="00372A33" w:rsidP="00372A33">
            <w:pPr>
              <w:ind w:right="167"/>
              <w:jc w:val="right"/>
              <w:rPr>
                <w:color w:val="000000"/>
                <w:szCs w:val="22"/>
              </w:rPr>
            </w:pPr>
            <w:r w:rsidRPr="004C5551">
              <w:rPr>
                <w:color w:val="000000"/>
                <w:szCs w:val="22"/>
              </w:rPr>
              <w:t>54,32</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372A33" w:rsidRPr="004C5551" w:rsidRDefault="00372A33" w:rsidP="00E346A0">
            <w:pPr>
              <w:ind w:right="167"/>
              <w:jc w:val="right"/>
              <w:rPr>
                <w:color w:val="000000"/>
                <w:szCs w:val="22"/>
              </w:rPr>
            </w:pPr>
            <w:r w:rsidRPr="004C5551">
              <w:rPr>
                <w:color w:val="000000"/>
                <w:szCs w:val="22"/>
              </w:rPr>
              <w:t>2,85</w:t>
            </w:r>
          </w:p>
        </w:tc>
      </w:tr>
      <w:tr w:rsidR="008D1BC5" w:rsidRPr="004C5551" w:rsidTr="00E47B33">
        <w:trPr>
          <w:trHeight w:val="358"/>
          <w:jc w:val="center"/>
        </w:trPr>
        <w:tc>
          <w:tcPr>
            <w:tcW w:w="3508"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8D1BC5" w:rsidRPr="004C5551" w:rsidRDefault="008D1BC5" w:rsidP="00E346A0">
            <w:pPr>
              <w:jc w:val="left"/>
              <w:rPr>
                <w:color w:val="000000"/>
                <w:szCs w:val="22"/>
              </w:rPr>
            </w:pPr>
            <w:proofErr w:type="spellStart"/>
            <w:r w:rsidRPr="004C5551">
              <w:rPr>
                <w:color w:val="000000"/>
                <w:szCs w:val="22"/>
              </w:rPr>
              <w:t>UoZ</w:t>
            </w:r>
            <w:proofErr w:type="spellEnd"/>
            <w:r w:rsidRPr="004C5551">
              <w:rPr>
                <w:color w:val="000000"/>
                <w:szCs w:val="22"/>
              </w:rPr>
              <w:t xml:space="preserve"> so zdravotným postihnutím</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8D1BC5" w:rsidRPr="004C5551" w:rsidRDefault="008D1BC5" w:rsidP="00E346A0">
            <w:pPr>
              <w:ind w:right="167"/>
              <w:jc w:val="right"/>
              <w:rPr>
                <w:color w:val="000000"/>
                <w:szCs w:val="22"/>
              </w:rPr>
            </w:pPr>
            <w:r w:rsidRPr="004C5551">
              <w:rPr>
                <w:color w:val="000000"/>
                <w:szCs w:val="22"/>
              </w:rPr>
              <w:t>2,81</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8D1BC5" w:rsidRPr="004C5551" w:rsidRDefault="008D1BC5" w:rsidP="00E346A0">
            <w:pPr>
              <w:ind w:right="167"/>
              <w:jc w:val="right"/>
              <w:rPr>
                <w:color w:val="000000"/>
                <w:szCs w:val="22"/>
              </w:rPr>
            </w:pPr>
            <w:r w:rsidRPr="004C5551">
              <w:rPr>
                <w:color w:val="000000"/>
                <w:szCs w:val="22"/>
              </w:rPr>
              <w:t>3,32</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8D1BC5" w:rsidRPr="004C5551" w:rsidRDefault="008D1BC5" w:rsidP="00E346A0">
            <w:pPr>
              <w:ind w:right="167"/>
              <w:jc w:val="right"/>
              <w:rPr>
                <w:color w:val="000000"/>
                <w:szCs w:val="22"/>
              </w:rPr>
            </w:pPr>
            <w:r w:rsidRPr="004C5551">
              <w:rPr>
                <w:color w:val="000000"/>
                <w:szCs w:val="22"/>
              </w:rPr>
              <w:t>0,51</w:t>
            </w:r>
          </w:p>
        </w:tc>
      </w:tr>
    </w:tbl>
    <w:p w:rsidR="006775D8" w:rsidRPr="004C5551" w:rsidRDefault="006775D8" w:rsidP="00E47B33">
      <w:pPr>
        <w:pStyle w:val="zdroj"/>
      </w:pPr>
      <w:r w:rsidRPr="004C5551">
        <w:t xml:space="preserve">Zdroj: ÚPSVR </w:t>
      </w:r>
    </w:p>
    <w:p w:rsidR="00861811" w:rsidRPr="004C5551" w:rsidRDefault="00861811" w:rsidP="00861811">
      <w:pPr>
        <w:pStyle w:val="Nadpis41"/>
      </w:pPr>
      <w:r w:rsidRPr="004C5551">
        <w:t>Nezamestnanosť podľa výberového zisťovania pracovných síl</w:t>
      </w:r>
      <w:r w:rsidR="008C3EAD" w:rsidRPr="004C5551">
        <w:t xml:space="preserve"> ŠÚ SR</w:t>
      </w:r>
    </w:p>
    <w:p w:rsidR="006775D8" w:rsidRPr="004C5551" w:rsidRDefault="00861811" w:rsidP="00D6574F">
      <w:pPr>
        <w:ind w:firstLine="431"/>
      </w:pPr>
      <w:r w:rsidRPr="004C5551">
        <w:t xml:space="preserve">Podľa </w:t>
      </w:r>
      <w:r w:rsidRPr="004C5551">
        <w:rPr>
          <w:b/>
        </w:rPr>
        <w:t>výberového zisťovania pracovných síl realizovaného ŠÚ SR</w:t>
      </w:r>
      <w:r w:rsidRPr="004C5551">
        <w:t xml:space="preserve"> </w:t>
      </w:r>
      <w:r w:rsidR="006775D8" w:rsidRPr="004C5551">
        <w:t>bol vývoj nezamestnanosti v jednotlivých štvrťrokoch 2014 charakteristický postupným zrýchľovaním medziročného tempa poklesu počtu nezamestnaných (z 3,2</w:t>
      </w:r>
      <w:r w:rsidR="009425AA" w:rsidRPr="004C5551">
        <w:t> %</w:t>
      </w:r>
      <w:r w:rsidR="006775D8" w:rsidRPr="004C5551">
        <w:t xml:space="preserve"> v 1. štvrťroku na 10,8</w:t>
      </w:r>
      <w:r w:rsidR="009425AA" w:rsidRPr="004C5551">
        <w:t> %</w:t>
      </w:r>
      <w:r w:rsidR="006775D8" w:rsidRPr="004C5551">
        <w:t xml:space="preserve"> v 4. štvrťroku) i miery nezamestnanosti (z 14,1</w:t>
      </w:r>
      <w:r w:rsidR="009425AA" w:rsidRPr="004C5551">
        <w:t> %</w:t>
      </w:r>
      <w:r w:rsidR="006775D8" w:rsidRPr="004C5551">
        <w:t xml:space="preserve"> v 1. štvrťroku na 12,6</w:t>
      </w:r>
      <w:r w:rsidR="009425AA" w:rsidRPr="004C5551">
        <w:t> %</w:t>
      </w:r>
      <w:r w:rsidR="006775D8" w:rsidRPr="004C5551">
        <w:t xml:space="preserve"> v 4. štvrťroku). V 4. štvrťroku 2014 bol počet nezamestnaných najnižší od 3. štvrťroka 2009.</w:t>
      </w:r>
    </w:p>
    <w:p w:rsidR="006775D8" w:rsidRPr="004C5551" w:rsidRDefault="006775D8" w:rsidP="00D6574F">
      <w:pPr>
        <w:pStyle w:val="Normlnysozarkami2"/>
        <w:ind w:firstLine="431"/>
      </w:pPr>
      <w:r w:rsidRPr="004C5551">
        <w:t xml:space="preserve">V priemere za rok 2014 sa </w:t>
      </w:r>
      <w:r w:rsidRPr="004C5551">
        <w:rPr>
          <w:b/>
        </w:rPr>
        <w:t>počet nezamestnaných</w:t>
      </w:r>
      <w:r w:rsidRPr="004C5551">
        <w:t xml:space="preserve"> </w:t>
      </w:r>
      <w:r w:rsidRPr="004C5551">
        <w:rPr>
          <w:b/>
        </w:rPr>
        <w:t>v SR</w:t>
      </w:r>
      <w:r w:rsidRPr="004C5551">
        <w:t xml:space="preserve"> medziročne znížil o 27,3 tis. osôb, resp. o 7,1</w:t>
      </w:r>
      <w:r w:rsidR="009425AA" w:rsidRPr="004C5551">
        <w:t> %</w:t>
      </w:r>
      <w:r w:rsidRPr="004C5551">
        <w:t xml:space="preserve"> na 358,7 tis. osôb. Medziročný pokles počtu nezamestnaných bol intenzívnejší u mužov, keď počet nezamestnaných mužov sa medziročne znížil o 7,9</w:t>
      </w:r>
      <w:r w:rsidR="009425AA" w:rsidRPr="004C5551">
        <w:t> %</w:t>
      </w:r>
      <w:r w:rsidRPr="004C5551">
        <w:t>, resp. o 16,7 tis. osôb. Počet nezamestnaných žien za rovnaké obdobie poklesol o 6,0</w:t>
      </w:r>
      <w:r w:rsidR="009425AA" w:rsidRPr="004C5551">
        <w:t> %</w:t>
      </w:r>
      <w:r w:rsidRPr="004C5551">
        <w:t>, resp. o 10,5 tis. osôb.</w:t>
      </w:r>
    </w:p>
    <w:p w:rsidR="006775D8" w:rsidRPr="004C5551" w:rsidRDefault="006775D8" w:rsidP="00D6574F">
      <w:pPr>
        <w:ind w:firstLine="431"/>
      </w:pPr>
      <w:r w:rsidRPr="004C5551">
        <w:rPr>
          <w:b/>
        </w:rPr>
        <w:t xml:space="preserve">Priemerná miera nezamestnanosti </w:t>
      </w:r>
      <w:r w:rsidRPr="004C5551">
        <w:t>dosiahla úroveň 13,2</w:t>
      </w:r>
      <w:r w:rsidR="009425AA" w:rsidRPr="004C5551">
        <w:t> %</w:t>
      </w:r>
      <w:r w:rsidRPr="004C5551">
        <w:t xml:space="preserve"> (u mužov 12,9</w:t>
      </w:r>
      <w:r w:rsidR="009425AA" w:rsidRPr="004C5551">
        <w:t> %</w:t>
      </w:r>
      <w:r w:rsidRPr="004C5551">
        <w:t xml:space="preserve"> a u žien 13,6</w:t>
      </w:r>
      <w:r w:rsidR="009425AA" w:rsidRPr="004C5551">
        <w:t> %</w:t>
      </w:r>
      <w:r w:rsidRPr="004C5551">
        <w:t xml:space="preserve">) a medziročne poklesla o 1,0 p. b. (u mužov o 1,1 p. b. a u žien o 0,9 p. b.). </w:t>
      </w:r>
    </w:p>
    <w:p w:rsidR="006775D8" w:rsidRPr="004C5551" w:rsidRDefault="006775D8" w:rsidP="00D6574F">
      <w:pPr>
        <w:pStyle w:val="Normlnysozarkami2"/>
        <w:ind w:firstLine="431"/>
      </w:pPr>
      <w:r w:rsidRPr="004C5551">
        <w:t>Rozdiel v úrovni miery nezamestnanosti medzi mužmi a ženami sa oproti predchádzajúcemu roku zvýšil. V roku 2014 bola miera nezamestnanosti</w:t>
      </w:r>
      <w:r w:rsidR="00073D95" w:rsidRPr="004C5551">
        <w:t xml:space="preserve"> </w:t>
      </w:r>
      <w:r w:rsidRPr="004C5551">
        <w:t>mužov v porovnaní so ženami nižšia o 0,7 p. b., kým pred rokom bol tento rozdiel 0,5 p. b.</w:t>
      </w:r>
    </w:p>
    <w:p w:rsidR="006775D8" w:rsidRPr="004C5551" w:rsidRDefault="006775D8" w:rsidP="00D6574F">
      <w:pPr>
        <w:pStyle w:val="Normlnysozarkami2"/>
        <w:ind w:firstLine="431"/>
      </w:pPr>
      <w:r w:rsidRPr="004C5551">
        <w:t xml:space="preserve">Špecifická </w:t>
      </w:r>
      <w:r w:rsidRPr="004C5551">
        <w:rPr>
          <w:b/>
          <w:i/>
        </w:rPr>
        <w:t xml:space="preserve">miera nezamestnanosti mladých ľudí vo veku 15 </w:t>
      </w:r>
      <w:r w:rsidRPr="004C5551">
        <w:rPr>
          <w:i/>
          <w:color w:val="000000" w:themeColor="text1"/>
        </w:rPr>
        <w:t>–</w:t>
      </w:r>
      <w:r w:rsidRPr="004C5551">
        <w:rPr>
          <w:b/>
          <w:i/>
        </w:rPr>
        <w:t xml:space="preserve"> 24 rokov</w:t>
      </w:r>
      <w:r w:rsidRPr="004C5551">
        <w:t xml:space="preserve"> sa medziročne znížila o 3,9 p. b. na 29,7</w:t>
      </w:r>
      <w:r w:rsidR="009425AA" w:rsidRPr="004C5551">
        <w:t> %</w:t>
      </w:r>
      <w:r w:rsidRPr="004C5551">
        <w:t>, pričom jej pokles bol výraznejší u mužov (o 5,4 p. b. na 29,5</w:t>
      </w:r>
      <w:r w:rsidR="009425AA" w:rsidRPr="004C5551">
        <w:t> %</w:t>
      </w:r>
      <w:r w:rsidRPr="004C5551">
        <w:t>) ako u žien (o</w:t>
      </w:r>
      <w:r w:rsidR="004B576F" w:rsidRPr="004C5551">
        <w:t> </w:t>
      </w:r>
      <w:r w:rsidRPr="004C5551">
        <w:t>1,5 p. b. na 30,1</w:t>
      </w:r>
      <w:r w:rsidR="00D3036E" w:rsidRPr="004C5551">
        <w:t> </w:t>
      </w:r>
      <w:r w:rsidRPr="004C5551">
        <w:t xml:space="preserve">%). </w:t>
      </w:r>
    </w:p>
    <w:p w:rsidR="006775D8" w:rsidRPr="004C5551" w:rsidRDefault="006775D8" w:rsidP="00D6574F">
      <w:pPr>
        <w:pStyle w:val="Normlnysozarkami2"/>
        <w:ind w:firstLine="431"/>
      </w:pPr>
      <w:r w:rsidRPr="004C5551">
        <w:t xml:space="preserve">Špecifická </w:t>
      </w:r>
      <w:r w:rsidRPr="004C5551">
        <w:rPr>
          <w:b/>
          <w:i/>
        </w:rPr>
        <w:t xml:space="preserve">miera nezamestnanosti starších osôb (vo veku 55 </w:t>
      </w:r>
      <w:r w:rsidRPr="004C5551">
        <w:rPr>
          <w:i/>
          <w:color w:val="000000" w:themeColor="text1"/>
        </w:rPr>
        <w:t>–</w:t>
      </w:r>
      <w:r w:rsidRPr="004C5551">
        <w:rPr>
          <w:b/>
          <w:i/>
        </w:rPr>
        <w:t xml:space="preserve"> 64 rokov)</w:t>
      </w:r>
      <w:r w:rsidRPr="004C5551">
        <w:t xml:space="preserve"> bola medziročne nižšia o 0,5 p. b., keď dosiahla 10,6</w:t>
      </w:r>
      <w:r w:rsidR="009425AA" w:rsidRPr="004C5551">
        <w:t> %</w:t>
      </w:r>
      <w:r w:rsidRPr="004C5551">
        <w:t>, pričom poklesla len u mužov (0,9 p. b. na 9,7</w:t>
      </w:r>
      <w:r w:rsidR="009425AA" w:rsidRPr="004C5551">
        <w:t> %</w:t>
      </w:r>
      <w:r w:rsidRPr="004C5551">
        <w:t>). Naopak, u</w:t>
      </w:r>
      <w:r w:rsidR="004B576F" w:rsidRPr="004C5551">
        <w:t> </w:t>
      </w:r>
      <w:r w:rsidRPr="004C5551">
        <w:t>žien v uvedenej vekovej skupine sa miera nezamestnanosti medziročne zvýšila o 0,1 p. b. na 11,8</w:t>
      </w:r>
      <w:r w:rsidR="009425AA" w:rsidRPr="004C5551">
        <w:t> %</w:t>
      </w:r>
      <w:r w:rsidRPr="004C5551">
        <w:t xml:space="preserve">. </w:t>
      </w:r>
    </w:p>
    <w:p w:rsidR="00BE4E77" w:rsidRPr="004C5551" w:rsidRDefault="00BE4E77" w:rsidP="008E1A4D">
      <w:bookmarkStart w:id="96" w:name="_Toc313878469"/>
    </w:p>
    <w:p w:rsidR="008E1A4D" w:rsidRPr="004C5551" w:rsidRDefault="008E1A4D" w:rsidP="008E1A4D"/>
    <w:p w:rsidR="008E1A4D" w:rsidRPr="004C5551" w:rsidRDefault="008E1A4D" w:rsidP="008E1A4D"/>
    <w:p w:rsidR="00BE4E77" w:rsidRPr="004C5551" w:rsidRDefault="00BE4E77" w:rsidP="008E1A4D"/>
    <w:p w:rsidR="006775D8" w:rsidRPr="004C5551" w:rsidRDefault="006775D8" w:rsidP="004B576F">
      <w:pPr>
        <w:pStyle w:val="Nadpis7"/>
      </w:pPr>
      <w:r w:rsidRPr="004C5551">
        <w:t>Tabuľka 2.1</w:t>
      </w:r>
      <w:r w:rsidR="005F2A7C" w:rsidRPr="004C5551">
        <w:t>4</w:t>
      </w:r>
      <w:r w:rsidRPr="004C5551">
        <w:t xml:space="preserve"> Nezamestnanosť podľa veku v roku 2014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6775D8" w:rsidRPr="004C5551" w:rsidTr="00D36062">
        <w:trPr>
          <w:trHeight w:val="300"/>
          <w:jc w:val="center"/>
        </w:trPr>
        <w:tc>
          <w:tcPr>
            <w:tcW w:w="1750" w:type="dxa"/>
            <w:vMerge w:val="restar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Kraj</w:t>
            </w:r>
          </w:p>
        </w:tc>
        <w:tc>
          <w:tcPr>
            <w:tcW w:w="4130" w:type="dxa"/>
            <w:gridSpan w:val="3"/>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Nezamestnaní</w:t>
            </w:r>
          </w:p>
        </w:tc>
        <w:tc>
          <w:tcPr>
            <w:tcW w:w="2693" w:type="dxa"/>
            <w:gridSpan w:val="2"/>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Miera nezamestnanosti</w:t>
            </w:r>
          </w:p>
        </w:tc>
      </w:tr>
      <w:tr w:rsidR="006775D8" w:rsidRPr="004C5551" w:rsidTr="00D36062">
        <w:trPr>
          <w:trHeight w:val="510"/>
          <w:jc w:val="center"/>
        </w:trPr>
        <w:tc>
          <w:tcPr>
            <w:tcW w:w="1750"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295"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v tis. osôb</w:t>
            </w:r>
          </w:p>
        </w:tc>
        <w:tc>
          <w:tcPr>
            <w:tcW w:w="1559"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Podiel</w:t>
            </w:r>
          </w:p>
          <w:p w:rsidR="006775D8" w:rsidRPr="004C5551" w:rsidRDefault="006775D8" w:rsidP="00D36062">
            <w:pPr>
              <w:jc w:val="center"/>
              <w:rPr>
                <w:b/>
                <w:color w:val="FFFFFF" w:themeColor="background1"/>
              </w:rPr>
            </w:pPr>
            <w:r w:rsidRPr="004C5551">
              <w:rPr>
                <w:b/>
                <w:color w:val="FFFFFF" w:themeColor="background1"/>
              </w:rPr>
              <w:t>na SR (v</w:t>
            </w:r>
            <w:r w:rsidR="009425AA" w:rsidRPr="004C5551">
              <w:rPr>
                <w:b/>
                <w:color w:val="FFFFFF" w:themeColor="background1"/>
              </w:rPr>
              <w:t> %</w:t>
            </w:r>
            <w:r w:rsidRPr="004C5551">
              <w:rPr>
                <w:b/>
                <w:color w:val="FFFFFF" w:themeColor="background1"/>
              </w:rPr>
              <w:t>)</w:t>
            </w:r>
          </w:p>
        </w:tc>
        <w:tc>
          <w:tcPr>
            <w:tcW w:w="1276"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Index</w:t>
            </w:r>
          </w:p>
          <w:p w:rsidR="006775D8" w:rsidRPr="004C5551" w:rsidRDefault="006775D8" w:rsidP="00D36062">
            <w:pPr>
              <w:jc w:val="center"/>
              <w:rPr>
                <w:b/>
                <w:color w:val="FFFFFF" w:themeColor="background1"/>
              </w:rPr>
            </w:pPr>
            <w:r w:rsidRPr="004C5551">
              <w:rPr>
                <w:b/>
                <w:color w:val="FFFFFF" w:themeColor="background1"/>
              </w:rPr>
              <w:t>2014/2013</w:t>
            </w:r>
          </w:p>
        </w:tc>
        <w:tc>
          <w:tcPr>
            <w:tcW w:w="1134"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v</w:t>
            </w:r>
            <w:r w:rsidR="009425AA" w:rsidRPr="004C5551">
              <w:rPr>
                <w:b/>
                <w:color w:val="FFFFFF" w:themeColor="background1"/>
              </w:rPr>
              <w:t> %</w:t>
            </w:r>
          </w:p>
        </w:tc>
        <w:tc>
          <w:tcPr>
            <w:tcW w:w="1559"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Zmena oproti</w:t>
            </w:r>
          </w:p>
          <w:p w:rsidR="006775D8" w:rsidRPr="004C5551" w:rsidRDefault="006775D8" w:rsidP="00D36062">
            <w:pPr>
              <w:jc w:val="center"/>
              <w:rPr>
                <w:b/>
                <w:color w:val="FFFFFF" w:themeColor="background1"/>
              </w:rPr>
            </w:pPr>
            <w:r w:rsidRPr="004C5551">
              <w:rPr>
                <w:b/>
                <w:color w:val="FFFFFF" w:themeColor="background1"/>
              </w:rPr>
              <w:t>2013 (v p. b.)</w:t>
            </w:r>
          </w:p>
        </w:tc>
      </w:tr>
      <w:tr w:rsidR="006775D8" w:rsidRPr="004C5551" w:rsidTr="00D36062">
        <w:trPr>
          <w:trHeight w:val="259"/>
          <w:jc w:val="center"/>
        </w:trPr>
        <w:tc>
          <w:tcPr>
            <w:tcW w:w="1750" w:type="dxa"/>
            <w:noWrap/>
            <w:vAlign w:val="center"/>
          </w:tcPr>
          <w:p w:rsidR="006775D8" w:rsidRPr="004C5551" w:rsidRDefault="006775D8" w:rsidP="00D36062">
            <w:pPr>
              <w:rPr>
                <w:b/>
              </w:rPr>
            </w:pPr>
            <w:r w:rsidRPr="004C5551">
              <w:rPr>
                <w:b/>
              </w:rPr>
              <w:t>SR spolu</w:t>
            </w:r>
          </w:p>
        </w:tc>
        <w:tc>
          <w:tcPr>
            <w:tcW w:w="1295" w:type="dxa"/>
            <w:noWrap/>
            <w:vAlign w:val="center"/>
          </w:tcPr>
          <w:p w:rsidR="006775D8" w:rsidRPr="004C5551" w:rsidRDefault="006775D8" w:rsidP="00D36062">
            <w:pPr>
              <w:ind w:right="226"/>
              <w:jc w:val="right"/>
              <w:rPr>
                <w:b/>
              </w:rPr>
            </w:pPr>
            <w:r w:rsidRPr="004C5551">
              <w:rPr>
                <w:b/>
              </w:rPr>
              <w:t>358,7</w:t>
            </w:r>
          </w:p>
        </w:tc>
        <w:tc>
          <w:tcPr>
            <w:tcW w:w="1559" w:type="dxa"/>
            <w:noWrap/>
            <w:vAlign w:val="center"/>
          </w:tcPr>
          <w:p w:rsidR="006775D8" w:rsidRPr="004C5551" w:rsidRDefault="006775D8" w:rsidP="00D36062">
            <w:pPr>
              <w:ind w:right="226"/>
              <w:jc w:val="right"/>
              <w:rPr>
                <w:b/>
              </w:rPr>
            </w:pPr>
            <w:r w:rsidRPr="004C5551">
              <w:rPr>
                <w:b/>
              </w:rPr>
              <w:t>100,0</w:t>
            </w:r>
          </w:p>
        </w:tc>
        <w:tc>
          <w:tcPr>
            <w:tcW w:w="1276" w:type="dxa"/>
            <w:noWrap/>
            <w:vAlign w:val="center"/>
          </w:tcPr>
          <w:p w:rsidR="006775D8" w:rsidRPr="004C5551" w:rsidRDefault="006775D8" w:rsidP="00D36062">
            <w:pPr>
              <w:ind w:right="226"/>
              <w:jc w:val="right"/>
              <w:rPr>
                <w:b/>
              </w:rPr>
            </w:pPr>
            <w:r w:rsidRPr="004C5551">
              <w:rPr>
                <w:b/>
              </w:rPr>
              <w:t>92,9</w:t>
            </w:r>
          </w:p>
        </w:tc>
        <w:tc>
          <w:tcPr>
            <w:tcW w:w="1134" w:type="dxa"/>
            <w:noWrap/>
            <w:vAlign w:val="center"/>
          </w:tcPr>
          <w:p w:rsidR="006775D8" w:rsidRPr="004C5551" w:rsidRDefault="006775D8" w:rsidP="00D36062">
            <w:pPr>
              <w:ind w:right="214"/>
              <w:jc w:val="right"/>
              <w:rPr>
                <w:b/>
              </w:rPr>
            </w:pPr>
            <w:r w:rsidRPr="004C5551">
              <w:rPr>
                <w:b/>
              </w:rPr>
              <w:t>13,2</w:t>
            </w:r>
          </w:p>
        </w:tc>
        <w:tc>
          <w:tcPr>
            <w:tcW w:w="1559" w:type="dxa"/>
            <w:noWrap/>
            <w:vAlign w:val="center"/>
          </w:tcPr>
          <w:p w:rsidR="006775D8" w:rsidRPr="004C5551" w:rsidRDefault="006775D8" w:rsidP="00D36062">
            <w:pPr>
              <w:ind w:right="529"/>
              <w:jc w:val="right"/>
              <w:rPr>
                <w:b/>
              </w:rPr>
            </w:pPr>
            <w:r w:rsidRPr="004C5551">
              <w:rPr>
                <w:b/>
              </w:rPr>
              <w:t>-1,0</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v tom veková skupina:</w:t>
            </w:r>
          </w:p>
        </w:tc>
        <w:tc>
          <w:tcPr>
            <w:tcW w:w="1295" w:type="dxa"/>
            <w:noWrap/>
            <w:vAlign w:val="center"/>
          </w:tcPr>
          <w:p w:rsidR="006775D8" w:rsidRPr="004C5551" w:rsidRDefault="006775D8" w:rsidP="00D36062">
            <w:pPr>
              <w:ind w:right="226"/>
              <w:jc w:val="right"/>
            </w:pPr>
          </w:p>
        </w:tc>
        <w:tc>
          <w:tcPr>
            <w:tcW w:w="1559" w:type="dxa"/>
            <w:noWrap/>
            <w:vAlign w:val="center"/>
          </w:tcPr>
          <w:p w:rsidR="006775D8" w:rsidRPr="004C5551" w:rsidRDefault="006775D8" w:rsidP="00D36062">
            <w:pPr>
              <w:ind w:right="226"/>
              <w:jc w:val="right"/>
            </w:pPr>
          </w:p>
        </w:tc>
        <w:tc>
          <w:tcPr>
            <w:tcW w:w="1276" w:type="dxa"/>
            <w:noWrap/>
            <w:vAlign w:val="center"/>
          </w:tcPr>
          <w:p w:rsidR="006775D8" w:rsidRPr="004C5551" w:rsidRDefault="006775D8" w:rsidP="00D36062">
            <w:pPr>
              <w:ind w:right="226"/>
              <w:jc w:val="right"/>
            </w:pPr>
          </w:p>
        </w:tc>
        <w:tc>
          <w:tcPr>
            <w:tcW w:w="1134" w:type="dxa"/>
            <w:noWrap/>
            <w:vAlign w:val="center"/>
          </w:tcPr>
          <w:p w:rsidR="006775D8" w:rsidRPr="004C5551" w:rsidRDefault="006775D8" w:rsidP="00D36062">
            <w:pPr>
              <w:ind w:right="214"/>
              <w:jc w:val="right"/>
            </w:pPr>
          </w:p>
        </w:tc>
        <w:tc>
          <w:tcPr>
            <w:tcW w:w="1559" w:type="dxa"/>
            <w:noWrap/>
            <w:vAlign w:val="center"/>
          </w:tcPr>
          <w:p w:rsidR="006775D8" w:rsidRPr="004C5551" w:rsidRDefault="006775D8" w:rsidP="00D36062">
            <w:pPr>
              <w:ind w:right="529"/>
              <w:jc w:val="right"/>
            </w:pP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15 </w:t>
            </w:r>
            <w:r w:rsidRPr="004C5551">
              <w:rPr>
                <w:color w:val="000000" w:themeColor="text1"/>
                <w:sz w:val="20"/>
                <w:szCs w:val="20"/>
              </w:rPr>
              <w:t>–</w:t>
            </w:r>
            <w:r w:rsidRPr="004C5551">
              <w:rPr>
                <w:sz w:val="20"/>
                <w:szCs w:val="20"/>
              </w:rPr>
              <w:t xml:space="preserve"> 19 rokov</w:t>
            </w:r>
          </w:p>
        </w:tc>
        <w:tc>
          <w:tcPr>
            <w:tcW w:w="1295" w:type="dxa"/>
            <w:noWrap/>
            <w:vAlign w:val="center"/>
          </w:tcPr>
          <w:p w:rsidR="006775D8" w:rsidRPr="004C5551" w:rsidRDefault="006775D8" w:rsidP="00D36062">
            <w:pPr>
              <w:ind w:right="226"/>
              <w:jc w:val="right"/>
            </w:pPr>
            <w:r w:rsidRPr="004C5551">
              <w:t>10,8</w:t>
            </w:r>
          </w:p>
        </w:tc>
        <w:tc>
          <w:tcPr>
            <w:tcW w:w="1559" w:type="dxa"/>
            <w:noWrap/>
            <w:vAlign w:val="center"/>
          </w:tcPr>
          <w:p w:rsidR="006775D8" w:rsidRPr="004C5551" w:rsidRDefault="006775D8" w:rsidP="00D36062">
            <w:pPr>
              <w:ind w:right="226"/>
              <w:jc w:val="right"/>
            </w:pPr>
            <w:r w:rsidRPr="004C5551">
              <w:t>3,0</w:t>
            </w:r>
          </w:p>
        </w:tc>
        <w:tc>
          <w:tcPr>
            <w:tcW w:w="1276" w:type="dxa"/>
            <w:noWrap/>
            <w:vAlign w:val="center"/>
          </w:tcPr>
          <w:p w:rsidR="006775D8" w:rsidRPr="004C5551" w:rsidRDefault="006775D8" w:rsidP="00D36062">
            <w:pPr>
              <w:ind w:right="226"/>
              <w:jc w:val="right"/>
            </w:pPr>
            <w:r w:rsidRPr="004C5551">
              <w:t>89,3</w:t>
            </w:r>
          </w:p>
        </w:tc>
        <w:tc>
          <w:tcPr>
            <w:tcW w:w="1134" w:type="dxa"/>
            <w:noWrap/>
            <w:vAlign w:val="center"/>
          </w:tcPr>
          <w:p w:rsidR="006775D8" w:rsidRPr="004C5551" w:rsidRDefault="006775D8" w:rsidP="00D36062">
            <w:pPr>
              <w:ind w:right="214"/>
              <w:jc w:val="right"/>
            </w:pPr>
            <w:r w:rsidRPr="004C5551">
              <w:t>56,0</w:t>
            </w:r>
          </w:p>
        </w:tc>
        <w:tc>
          <w:tcPr>
            <w:tcW w:w="1559" w:type="dxa"/>
            <w:noWrap/>
            <w:vAlign w:val="center"/>
          </w:tcPr>
          <w:p w:rsidR="006775D8" w:rsidRPr="004C5551" w:rsidRDefault="006775D8" w:rsidP="00D36062">
            <w:pPr>
              <w:ind w:right="529"/>
              <w:jc w:val="right"/>
            </w:pPr>
            <w:r w:rsidRPr="004C5551">
              <w:t>-6,6</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20 </w:t>
            </w:r>
            <w:r w:rsidRPr="004C5551">
              <w:rPr>
                <w:color w:val="000000" w:themeColor="text1"/>
                <w:sz w:val="20"/>
                <w:szCs w:val="20"/>
              </w:rPr>
              <w:t>–</w:t>
            </w:r>
            <w:r w:rsidRPr="004C5551">
              <w:rPr>
                <w:sz w:val="20"/>
                <w:szCs w:val="20"/>
              </w:rPr>
              <w:t xml:space="preserve"> 24 rokov</w:t>
            </w:r>
          </w:p>
        </w:tc>
        <w:tc>
          <w:tcPr>
            <w:tcW w:w="1295" w:type="dxa"/>
            <w:noWrap/>
            <w:vAlign w:val="center"/>
          </w:tcPr>
          <w:p w:rsidR="006775D8" w:rsidRPr="004C5551" w:rsidRDefault="006775D8" w:rsidP="00D36062">
            <w:pPr>
              <w:ind w:right="226"/>
              <w:jc w:val="right"/>
            </w:pPr>
            <w:r w:rsidRPr="004C5551">
              <w:t>51,9</w:t>
            </w:r>
          </w:p>
        </w:tc>
        <w:tc>
          <w:tcPr>
            <w:tcW w:w="1559" w:type="dxa"/>
            <w:noWrap/>
            <w:vAlign w:val="center"/>
          </w:tcPr>
          <w:p w:rsidR="006775D8" w:rsidRPr="004C5551" w:rsidRDefault="006775D8" w:rsidP="00D36062">
            <w:pPr>
              <w:ind w:right="226"/>
              <w:jc w:val="right"/>
            </w:pPr>
            <w:r w:rsidRPr="004C5551">
              <w:t>14,5</w:t>
            </w:r>
          </w:p>
        </w:tc>
        <w:tc>
          <w:tcPr>
            <w:tcW w:w="1276" w:type="dxa"/>
            <w:noWrap/>
            <w:vAlign w:val="center"/>
          </w:tcPr>
          <w:p w:rsidR="006775D8" w:rsidRPr="004C5551" w:rsidRDefault="006775D8" w:rsidP="00D36062">
            <w:pPr>
              <w:ind w:right="226"/>
              <w:jc w:val="right"/>
            </w:pPr>
            <w:r w:rsidRPr="004C5551">
              <w:t>85,1</w:t>
            </w:r>
          </w:p>
        </w:tc>
        <w:tc>
          <w:tcPr>
            <w:tcW w:w="1134" w:type="dxa"/>
            <w:noWrap/>
            <w:vAlign w:val="center"/>
          </w:tcPr>
          <w:p w:rsidR="006775D8" w:rsidRPr="004C5551" w:rsidRDefault="006775D8" w:rsidP="00D36062">
            <w:pPr>
              <w:ind w:right="214"/>
              <w:jc w:val="right"/>
            </w:pPr>
            <w:r w:rsidRPr="004C5551">
              <w:t>27,1</w:t>
            </w:r>
          </w:p>
        </w:tc>
        <w:tc>
          <w:tcPr>
            <w:tcW w:w="1559" w:type="dxa"/>
            <w:noWrap/>
            <w:vAlign w:val="center"/>
          </w:tcPr>
          <w:p w:rsidR="006775D8" w:rsidRPr="004C5551" w:rsidRDefault="006775D8" w:rsidP="00D36062">
            <w:pPr>
              <w:ind w:right="529"/>
              <w:jc w:val="right"/>
            </w:pPr>
            <w:r w:rsidRPr="004C5551">
              <w:t>-3,7</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25 </w:t>
            </w:r>
            <w:r w:rsidRPr="004C5551">
              <w:rPr>
                <w:color w:val="000000" w:themeColor="text1"/>
                <w:sz w:val="20"/>
                <w:szCs w:val="20"/>
              </w:rPr>
              <w:t>–</w:t>
            </w:r>
            <w:r w:rsidRPr="004C5551">
              <w:rPr>
                <w:sz w:val="20"/>
                <w:szCs w:val="20"/>
              </w:rPr>
              <w:t xml:space="preserve"> 29 rokov</w:t>
            </w:r>
          </w:p>
        </w:tc>
        <w:tc>
          <w:tcPr>
            <w:tcW w:w="1295" w:type="dxa"/>
            <w:noWrap/>
            <w:vAlign w:val="center"/>
          </w:tcPr>
          <w:p w:rsidR="006775D8" w:rsidRPr="004C5551" w:rsidRDefault="006775D8" w:rsidP="00D36062">
            <w:pPr>
              <w:ind w:right="226"/>
              <w:jc w:val="right"/>
            </w:pPr>
            <w:r w:rsidRPr="004C5551">
              <w:t>54,9</w:t>
            </w:r>
          </w:p>
        </w:tc>
        <w:tc>
          <w:tcPr>
            <w:tcW w:w="1559" w:type="dxa"/>
            <w:noWrap/>
            <w:vAlign w:val="center"/>
          </w:tcPr>
          <w:p w:rsidR="006775D8" w:rsidRPr="004C5551" w:rsidRDefault="006775D8" w:rsidP="00D36062">
            <w:pPr>
              <w:ind w:right="226"/>
              <w:jc w:val="right"/>
            </w:pPr>
            <w:r w:rsidRPr="004C5551">
              <w:t>15,3</w:t>
            </w:r>
          </w:p>
        </w:tc>
        <w:tc>
          <w:tcPr>
            <w:tcW w:w="1276" w:type="dxa"/>
            <w:noWrap/>
            <w:vAlign w:val="center"/>
          </w:tcPr>
          <w:p w:rsidR="006775D8" w:rsidRPr="004C5551" w:rsidRDefault="006775D8" w:rsidP="00D36062">
            <w:pPr>
              <w:ind w:right="226"/>
              <w:jc w:val="right"/>
            </w:pPr>
            <w:r w:rsidRPr="004C5551">
              <w:t>83,8</w:t>
            </w:r>
          </w:p>
        </w:tc>
        <w:tc>
          <w:tcPr>
            <w:tcW w:w="1134" w:type="dxa"/>
            <w:noWrap/>
            <w:vAlign w:val="center"/>
          </w:tcPr>
          <w:p w:rsidR="006775D8" w:rsidRPr="004C5551" w:rsidRDefault="006775D8" w:rsidP="00D36062">
            <w:pPr>
              <w:ind w:right="214"/>
              <w:jc w:val="right"/>
            </w:pPr>
            <w:r w:rsidRPr="004C5551">
              <w:t>16,1</w:t>
            </w:r>
          </w:p>
        </w:tc>
        <w:tc>
          <w:tcPr>
            <w:tcW w:w="1559" w:type="dxa"/>
            <w:noWrap/>
            <w:vAlign w:val="center"/>
          </w:tcPr>
          <w:p w:rsidR="006775D8" w:rsidRPr="004C5551" w:rsidRDefault="006775D8" w:rsidP="00D36062">
            <w:pPr>
              <w:ind w:right="529"/>
              <w:jc w:val="right"/>
            </w:pPr>
            <w:r w:rsidRPr="004C5551">
              <w:t>-2,5</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30 </w:t>
            </w:r>
            <w:r w:rsidRPr="004C5551">
              <w:rPr>
                <w:color w:val="000000" w:themeColor="text1"/>
                <w:sz w:val="20"/>
                <w:szCs w:val="20"/>
              </w:rPr>
              <w:t>–</w:t>
            </w:r>
            <w:r w:rsidRPr="004C5551">
              <w:rPr>
                <w:sz w:val="20"/>
                <w:szCs w:val="20"/>
              </w:rPr>
              <w:t xml:space="preserve"> 34 rokov</w:t>
            </w:r>
          </w:p>
        </w:tc>
        <w:tc>
          <w:tcPr>
            <w:tcW w:w="1295" w:type="dxa"/>
            <w:noWrap/>
            <w:vAlign w:val="center"/>
          </w:tcPr>
          <w:p w:rsidR="006775D8" w:rsidRPr="004C5551" w:rsidRDefault="006775D8" w:rsidP="00D36062">
            <w:pPr>
              <w:ind w:right="226"/>
              <w:jc w:val="right"/>
            </w:pPr>
            <w:r w:rsidRPr="004C5551">
              <w:t>56,9</w:t>
            </w:r>
          </w:p>
        </w:tc>
        <w:tc>
          <w:tcPr>
            <w:tcW w:w="1559" w:type="dxa"/>
            <w:noWrap/>
            <w:vAlign w:val="center"/>
          </w:tcPr>
          <w:p w:rsidR="006775D8" w:rsidRPr="004C5551" w:rsidRDefault="006775D8" w:rsidP="00D36062">
            <w:pPr>
              <w:ind w:right="226"/>
              <w:jc w:val="right"/>
            </w:pPr>
            <w:r w:rsidRPr="004C5551">
              <w:t>15,9</w:t>
            </w:r>
          </w:p>
        </w:tc>
        <w:tc>
          <w:tcPr>
            <w:tcW w:w="1276" w:type="dxa"/>
            <w:noWrap/>
            <w:vAlign w:val="center"/>
          </w:tcPr>
          <w:p w:rsidR="006775D8" w:rsidRPr="004C5551" w:rsidRDefault="006775D8" w:rsidP="00D36062">
            <w:pPr>
              <w:ind w:right="226"/>
              <w:jc w:val="right"/>
            </w:pPr>
            <w:r w:rsidRPr="004C5551">
              <w:t>110,1</w:t>
            </w:r>
          </w:p>
        </w:tc>
        <w:tc>
          <w:tcPr>
            <w:tcW w:w="1134" w:type="dxa"/>
            <w:noWrap/>
            <w:vAlign w:val="center"/>
          </w:tcPr>
          <w:p w:rsidR="006775D8" w:rsidRPr="004C5551" w:rsidRDefault="006775D8" w:rsidP="00D36062">
            <w:pPr>
              <w:ind w:right="214"/>
              <w:jc w:val="right"/>
            </w:pPr>
            <w:r w:rsidRPr="004C5551">
              <w:t>15,4</w:t>
            </w:r>
          </w:p>
        </w:tc>
        <w:tc>
          <w:tcPr>
            <w:tcW w:w="1559" w:type="dxa"/>
            <w:noWrap/>
            <w:vAlign w:val="center"/>
          </w:tcPr>
          <w:p w:rsidR="006775D8" w:rsidRPr="004C5551" w:rsidRDefault="006775D8" w:rsidP="00D36062">
            <w:pPr>
              <w:ind w:right="529"/>
              <w:jc w:val="right"/>
            </w:pPr>
            <w:r w:rsidRPr="004C5551">
              <w:t>-1,7</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35 </w:t>
            </w:r>
            <w:r w:rsidRPr="004C5551">
              <w:rPr>
                <w:color w:val="000000" w:themeColor="text1"/>
                <w:sz w:val="20"/>
                <w:szCs w:val="20"/>
              </w:rPr>
              <w:t>–</w:t>
            </w:r>
            <w:r w:rsidRPr="004C5551">
              <w:rPr>
                <w:sz w:val="20"/>
                <w:szCs w:val="20"/>
              </w:rPr>
              <w:t xml:space="preserve"> 39 rokov</w:t>
            </w:r>
          </w:p>
        </w:tc>
        <w:tc>
          <w:tcPr>
            <w:tcW w:w="1295" w:type="dxa"/>
            <w:noWrap/>
            <w:vAlign w:val="center"/>
          </w:tcPr>
          <w:p w:rsidR="006775D8" w:rsidRPr="004C5551" w:rsidRDefault="006775D8" w:rsidP="00D36062">
            <w:pPr>
              <w:ind w:right="226"/>
              <w:jc w:val="right"/>
            </w:pPr>
            <w:r w:rsidRPr="004C5551">
              <w:t>39,3</w:t>
            </w:r>
          </w:p>
        </w:tc>
        <w:tc>
          <w:tcPr>
            <w:tcW w:w="1559" w:type="dxa"/>
            <w:noWrap/>
            <w:vAlign w:val="center"/>
          </w:tcPr>
          <w:p w:rsidR="006775D8" w:rsidRPr="004C5551" w:rsidRDefault="006775D8" w:rsidP="00D36062">
            <w:pPr>
              <w:ind w:right="226"/>
              <w:jc w:val="right"/>
            </w:pPr>
            <w:r w:rsidRPr="004C5551">
              <w:t>11,0</w:t>
            </w:r>
          </w:p>
        </w:tc>
        <w:tc>
          <w:tcPr>
            <w:tcW w:w="1276" w:type="dxa"/>
            <w:noWrap/>
            <w:vAlign w:val="center"/>
          </w:tcPr>
          <w:p w:rsidR="006775D8" w:rsidRPr="004C5551" w:rsidRDefault="006775D8" w:rsidP="00D36062">
            <w:pPr>
              <w:ind w:right="226"/>
              <w:jc w:val="right"/>
            </w:pPr>
            <w:r w:rsidRPr="004C5551">
              <w:t>85,6</w:t>
            </w:r>
          </w:p>
        </w:tc>
        <w:tc>
          <w:tcPr>
            <w:tcW w:w="1134" w:type="dxa"/>
            <w:noWrap/>
            <w:vAlign w:val="center"/>
          </w:tcPr>
          <w:p w:rsidR="006775D8" w:rsidRPr="004C5551" w:rsidRDefault="006775D8" w:rsidP="00D36062">
            <w:pPr>
              <w:ind w:right="214"/>
              <w:jc w:val="right"/>
            </w:pPr>
            <w:r w:rsidRPr="004C5551">
              <w:t>9,7</w:t>
            </w:r>
          </w:p>
        </w:tc>
        <w:tc>
          <w:tcPr>
            <w:tcW w:w="1559" w:type="dxa"/>
            <w:noWrap/>
            <w:vAlign w:val="center"/>
          </w:tcPr>
          <w:p w:rsidR="006775D8" w:rsidRPr="004C5551" w:rsidRDefault="006775D8" w:rsidP="00D36062">
            <w:pPr>
              <w:ind w:right="529"/>
              <w:jc w:val="right"/>
            </w:pPr>
            <w:r w:rsidRPr="004C5551">
              <w:t>-1,8</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40 </w:t>
            </w:r>
            <w:r w:rsidRPr="004C5551">
              <w:rPr>
                <w:color w:val="000000" w:themeColor="text1"/>
                <w:sz w:val="20"/>
                <w:szCs w:val="20"/>
              </w:rPr>
              <w:t>–</w:t>
            </w:r>
            <w:r w:rsidRPr="004C5551">
              <w:rPr>
                <w:sz w:val="20"/>
                <w:szCs w:val="20"/>
              </w:rPr>
              <w:t xml:space="preserve"> 44 rokov</w:t>
            </w:r>
          </w:p>
        </w:tc>
        <w:tc>
          <w:tcPr>
            <w:tcW w:w="1295" w:type="dxa"/>
            <w:noWrap/>
            <w:vAlign w:val="center"/>
          </w:tcPr>
          <w:p w:rsidR="006775D8" w:rsidRPr="004C5551" w:rsidRDefault="006775D8" w:rsidP="00D36062">
            <w:pPr>
              <w:ind w:right="226"/>
              <w:jc w:val="right"/>
            </w:pPr>
            <w:r w:rsidRPr="004C5551">
              <w:t>33,8</w:t>
            </w:r>
          </w:p>
        </w:tc>
        <w:tc>
          <w:tcPr>
            <w:tcW w:w="1559" w:type="dxa"/>
            <w:noWrap/>
            <w:vAlign w:val="center"/>
          </w:tcPr>
          <w:p w:rsidR="006775D8" w:rsidRPr="004C5551" w:rsidRDefault="006775D8" w:rsidP="00D36062">
            <w:pPr>
              <w:ind w:right="226"/>
              <w:jc w:val="right"/>
            </w:pPr>
            <w:r w:rsidRPr="004C5551">
              <w:t>9,4</w:t>
            </w:r>
          </w:p>
        </w:tc>
        <w:tc>
          <w:tcPr>
            <w:tcW w:w="1276" w:type="dxa"/>
            <w:noWrap/>
            <w:vAlign w:val="center"/>
          </w:tcPr>
          <w:p w:rsidR="006775D8" w:rsidRPr="004C5551" w:rsidRDefault="006775D8" w:rsidP="00D36062">
            <w:pPr>
              <w:ind w:right="226"/>
              <w:jc w:val="right"/>
            </w:pPr>
            <w:r w:rsidRPr="004C5551">
              <w:t>100,0</w:t>
            </w:r>
          </w:p>
        </w:tc>
        <w:tc>
          <w:tcPr>
            <w:tcW w:w="1134" w:type="dxa"/>
            <w:noWrap/>
            <w:vAlign w:val="center"/>
          </w:tcPr>
          <w:p w:rsidR="006775D8" w:rsidRPr="004C5551" w:rsidRDefault="006775D8" w:rsidP="00D36062">
            <w:pPr>
              <w:ind w:right="214"/>
              <w:jc w:val="right"/>
            </w:pPr>
            <w:r w:rsidRPr="004C5551">
              <w:t>9,4</w:t>
            </w:r>
          </w:p>
        </w:tc>
        <w:tc>
          <w:tcPr>
            <w:tcW w:w="1559" w:type="dxa"/>
            <w:noWrap/>
            <w:vAlign w:val="center"/>
          </w:tcPr>
          <w:p w:rsidR="006775D8" w:rsidRPr="004C5551" w:rsidRDefault="006775D8" w:rsidP="00D36062">
            <w:pPr>
              <w:ind w:right="529"/>
              <w:jc w:val="right"/>
            </w:pPr>
            <w:r w:rsidRPr="004C5551">
              <w:t>-0,5</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45 </w:t>
            </w:r>
            <w:r w:rsidRPr="004C5551">
              <w:rPr>
                <w:color w:val="000000" w:themeColor="text1"/>
                <w:sz w:val="20"/>
                <w:szCs w:val="20"/>
              </w:rPr>
              <w:t>–</w:t>
            </w:r>
            <w:r w:rsidRPr="004C5551">
              <w:rPr>
                <w:sz w:val="20"/>
                <w:szCs w:val="20"/>
              </w:rPr>
              <w:t xml:space="preserve"> 49 rokov</w:t>
            </w:r>
          </w:p>
        </w:tc>
        <w:tc>
          <w:tcPr>
            <w:tcW w:w="1295" w:type="dxa"/>
            <w:noWrap/>
            <w:vAlign w:val="center"/>
          </w:tcPr>
          <w:p w:rsidR="006775D8" w:rsidRPr="004C5551" w:rsidRDefault="006775D8" w:rsidP="006C6492">
            <w:pPr>
              <w:ind w:right="226"/>
              <w:jc w:val="right"/>
            </w:pPr>
            <w:r w:rsidRPr="004C5551">
              <w:t>33,</w:t>
            </w:r>
            <w:r w:rsidR="006C6492" w:rsidRPr="004C5551">
              <w:t>6</w:t>
            </w:r>
          </w:p>
        </w:tc>
        <w:tc>
          <w:tcPr>
            <w:tcW w:w="1559" w:type="dxa"/>
            <w:noWrap/>
            <w:vAlign w:val="center"/>
          </w:tcPr>
          <w:p w:rsidR="006775D8" w:rsidRPr="004C5551" w:rsidRDefault="006775D8" w:rsidP="00D36062">
            <w:pPr>
              <w:ind w:right="226"/>
              <w:jc w:val="right"/>
            </w:pPr>
            <w:r w:rsidRPr="004C5551">
              <w:t>9,4</w:t>
            </w:r>
          </w:p>
        </w:tc>
        <w:tc>
          <w:tcPr>
            <w:tcW w:w="1276" w:type="dxa"/>
            <w:noWrap/>
            <w:vAlign w:val="center"/>
          </w:tcPr>
          <w:p w:rsidR="006775D8" w:rsidRPr="004C5551" w:rsidRDefault="006775D8" w:rsidP="006C6492">
            <w:pPr>
              <w:ind w:right="226"/>
              <w:jc w:val="right"/>
            </w:pPr>
            <w:r w:rsidRPr="004C5551">
              <w:t>90,</w:t>
            </w:r>
            <w:r w:rsidR="006C6492" w:rsidRPr="004C5551">
              <w:t>6</w:t>
            </w:r>
          </w:p>
        </w:tc>
        <w:tc>
          <w:tcPr>
            <w:tcW w:w="1134" w:type="dxa"/>
            <w:noWrap/>
            <w:vAlign w:val="center"/>
          </w:tcPr>
          <w:p w:rsidR="006775D8" w:rsidRPr="004C5551" w:rsidRDefault="006775D8" w:rsidP="00D36062">
            <w:pPr>
              <w:ind w:right="214"/>
              <w:jc w:val="right"/>
            </w:pPr>
            <w:r w:rsidRPr="004C5551">
              <w:t>10,2</w:t>
            </w:r>
          </w:p>
        </w:tc>
        <w:tc>
          <w:tcPr>
            <w:tcW w:w="1559" w:type="dxa"/>
            <w:noWrap/>
            <w:vAlign w:val="center"/>
          </w:tcPr>
          <w:p w:rsidR="006775D8" w:rsidRPr="004C5551" w:rsidRDefault="006775D8" w:rsidP="00D36062">
            <w:pPr>
              <w:ind w:right="529"/>
              <w:jc w:val="right"/>
            </w:pPr>
            <w:r w:rsidRPr="004C5551">
              <w:t>-0,9</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 xml:space="preserve">50 </w:t>
            </w:r>
            <w:r w:rsidRPr="004C5551">
              <w:rPr>
                <w:color w:val="000000" w:themeColor="text1"/>
                <w:sz w:val="20"/>
                <w:szCs w:val="20"/>
              </w:rPr>
              <w:t>–</w:t>
            </w:r>
            <w:r w:rsidRPr="004C5551">
              <w:rPr>
                <w:sz w:val="20"/>
                <w:szCs w:val="20"/>
              </w:rPr>
              <w:t xml:space="preserve"> 54 rokov</w:t>
            </w:r>
          </w:p>
        </w:tc>
        <w:tc>
          <w:tcPr>
            <w:tcW w:w="1295" w:type="dxa"/>
            <w:noWrap/>
            <w:vAlign w:val="center"/>
          </w:tcPr>
          <w:p w:rsidR="006775D8" w:rsidRPr="004C5551" w:rsidRDefault="006775D8" w:rsidP="00D36062">
            <w:pPr>
              <w:ind w:right="226"/>
              <w:jc w:val="right"/>
            </w:pPr>
            <w:r w:rsidRPr="004C5551">
              <w:t>37,7</w:t>
            </w:r>
          </w:p>
        </w:tc>
        <w:tc>
          <w:tcPr>
            <w:tcW w:w="1559" w:type="dxa"/>
            <w:noWrap/>
            <w:vAlign w:val="center"/>
          </w:tcPr>
          <w:p w:rsidR="006775D8" w:rsidRPr="004C5551" w:rsidRDefault="006775D8" w:rsidP="00D36062">
            <w:pPr>
              <w:ind w:right="226"/>
              <w:jc w:val="right"/>
            </w:pPr>
            <w:r w:rsidRPr="004C5551">
              <w:t>10,5</w:t>
            </w:r>
          </w:p>
        </w:tc>
        <w:tc>
          <w:tcPr>
            <w:tcW w:w="1276" w:type="dxa"/>
            <w:noWrap/>
            <w:vAlign w:val="center"/>
          </w:tcPr>
          <w:p w:rsidR="006775D8" w:rsidRPr="004C5551" w:rsidRDefault="006775D8" w:rsidP="00D36062">
            <w:pPr>
              <w:ind w:right="226"/>
              <w:jc w:val="right"/>
            </w:pPr>
            <w:r w:rsidRPr="004C5551">
              <w:t>96,4</w:t>
            </w:r>
          </w:p>
        </w:tc>
        <w:tc>
          <w:tcPr>
            <w:tcW w:w="1134" w:type="dxa"/>
            <w:noWrap/>
            <w:vAlign w:val="center"/>
          </w:tcPr>
          <w:p w:rsidR="006775D8" w:rsidRPr="004C5551" w:rsidRDefault="006775D8" w:rsidP="00D36062">
            <w:pPr>
              <w:ind w:right="214"/>
              <w:jc w:val="right"/>
            </w:pPr>
            <w:r w:rsidRPr="004C5551">
              <w:t>11,8</w:t>
            </w:r>
          </w:p>
        </w:tc>
        <w:tc>
          <w:tcPr>
            <w:tcW w:w="1559" w:type="dxa"/>
            <w:noWrap/>
            <w:vAlign w:val="center"/>
          </w:tcPr>
          <w:p w:rsidR="006775D8" w:rsidRPr="004C5551" w:rsidRDefault="006775D8" w:rsidP="00D36062">
            <w:pPr>
              <w:ind w:right="529"/>
              <w:jc w:val="right"/>
            </w:pPr>
            <w:r w:rsidRPr="004C5551">
              <w:t>-0,3</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55 – 59 rokov</w:t>
            </w:r>
          </w:p>
        </w:tc>
        <w:tc>
          <w:tcPr>
            <w:tcW w:w="1295" w:type="dxa"/>
            <w:noWrap/>
            <w:vAlign w:val="center"/>
          </w:tcPr>
          <w:p w:rsidR="006775D8" w:rsidRPr="004C5551" w:rsidRDefault="006775D8" w:rsidP="00D36062">
            <w:pPr>
              <w:ind w:right="226"/>
              <w:jc w:val="right"/>
            </w:pPr>
            <w:r w:rsidRPr="004C5551">
              <w:t>34,3</w:t>
            </w:r>
          </w:p>
        </w:tc>
        <w:tc>
          <w:tcPr>
            <w:tcW w:w="1559" w:type="dxa"/>
            <w:noWrap/>
            <w:vAlign w:val="center"/>
          </w:tcPr>
          <w:p w:rsidR="006775D8" w:rsidRPr="004C5551" w:rsidRDefault="006775D8" w:rsidP="00D36062">
            <w:pPr>
              <w:ind w:right="226"/>
              <w:jc w:val="right"/>
            </w:pPr>
            <w:r w:rsidRPr="004C5551">
              <w:t>9,6</w:t>
            </w:r>
          </w:p>
        </w:tc>
        <w:tc>
          <w:tcPr>
            <w:tcW w:w="1276" w:type="dxa"/>
            <w:noWrap/>
            <w:vAlign w:val="center"/>
          </w:tcPr>
          <w:p w:rsidR="006775D8" w:rsidRPr="004C5551" w:rsidRDefault="006775D8" w:rsidP="00D36062">
            <w:pPr>
              <w:ind w:right="226"/>
              <w:jc w:val="right"/>
            </w:pPr>
            <w:r w:rsidRPr="004C5551">
              <w:t>95,3</w:t>
            </w:r>
          </w:p>
        </w:tc>
        <w:tc>
          <w:tcPr>
            <w:tcW w:w="1134" w:type="dxa"/>
            <w:noWrap/>
            <w:vAlign w:val="center"/>
          </w:tcPr>
          <w:p w:rsidR="006775D8" w:rsidRPr="004C5551" w:rsidRDefault="006775D8" w:rsidP="00D36062">
            <w:pPr>
              <w:ind w:right="214"/>
              <w:jc w:val="right"/>
            </w:pPr>
            <w:r w:rsidRPr="004C5551">
              <w:t>11,9</w:t>
            </w:r>
          </w:p>
        </w:tc>
        <w:tc>
          <w:tcPr>
            <w:tcW w:w="1559" w:type="dxa"/>
            <w:noWrap/>
            <w:vAlign w:val="center"/>
          </w:tcPr>
          <w:p w:rsidR="006775D8" w:rsidRPr="004C5551" w:rsidRDefault="006775D8" w:rsidP="00D36062">
            <w:pPr>
              <w:ind w:right="529"/>
              <w:jc w:val="right"/>
            </w:pPr>
            <w:r w:rsidRPr="004C5551">
              <w:t>-0,7</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60 – 64 rokov</w:t>
            </w:r>
          </w:p>
        </w:tc>
        <w:tc>
          <w:tcPr>
            <w:tcW w:w="1295" w:type="dxa"/>
            <w:noWrap/>
            <w:vAlign w:val="center"/>
          </w:tcPr>
          <w:p w:rsidR="006775D8" w:rsidRPr="004C5551" w:rsidRDefault="006775D8" w:rsidP="00D36062">
            <w:pPr>
              <w:ind w:right="226"/>
              <w:jc w:val="right"/>
            </w:pPr>
            <w:r w:rsidRPr="004C5551">
              <w:t>4,7</w:t>
            </w:r>
          </w:p>
        </w:tc>
        <w:tc>
          <w:tcPr>
            <w:tcW w:w="1559" w:type="dxa"/>
            <w:noWrap/>
            <w:vAlign w:val="center"/>
          </w:tcPr>
          <w:p w:rsidR="006775D8" w:rsidRPr="004C5551" w:rsidRDefault="006775D8" w:rsidP="00D36062">
            <w:pPr>
              <w:ind w:right="226"/>
              <w:jc w:val="right"/>
            </w:pPr>
            <w:r w:rsidRPr="004C5551">
              <w:t>1,3</w:t>
            </w:r>
          </w:p>
        </w:tc>
        <w:tc>
          <w:tcPr>
            <w:tcW w:w="1276" w:type="dxa"/>
            <w:noWrap/>
            <w:vAlign w:val="center"/>
          </w:tcPr>
          <w:p w:rsidR="006775D8" w:rsidRPr="004C5551" w:rsidRDefault="006775D8" w:rsidP="00D36062">
            <w:pPr>
              <w:ind w:right="226"/>
              <w:jc w:val="right"/>
            </w:pPr>
            <w:r w:rsidRPr="004C5551">
              <w:t>134,3</w:t>
            </w:r>
          </w:p>
        </w:tc>
        <w:tc>
          <w:tcPr>
            <w:tcW w:w="1134" w:type="dxa"/>
            <w:noWrap/>
            <w:vAlign w:val="center"/>
          </w:tcPr>
          <w:p w:rsidR="006775D8" w:rsidRPr="004C5551" w:rsidRDefault="006775D8" w:rsidP="00D36062">
            <w:pPr>
              <w:ind w:right="214"/>
              <w:jc w:val="right"/>
            </w:pPr>
            <w:r w:rsidRPr="004C5551">
              <w:t>6,0</w:t>
            </w:r>
          </w:p>
        </w:tc>
        <w:tc>
          <w:tcPr>
            <w:tcW w:w="1559" w:type="dxa"/>
            <w:noWrap/>
            <w:vAlign w:val="center"/>
          </w:tcPr>
          <w:p w:rsidR="006775D8" w:rsidRPr="004C5551" w:rsidRDefault="006775D8" w:rsidP="00D36062">
            <w:pPr>
              <w:ind w:right="529"/>
              <w:jc w:val="right"/>
            </w:pPr>
            <w:r w:rsidRPr="004C5551">
              <w:t>-1,2</w:t>
            </w:r>
          </w:p>
        </w:tc>
      </w:tr>
      <w:tr w:rsidR="006775D8" w:rsidRPr="004C5551" w:rsidTr="00D36062">
        <w:trPr>
          <w:trHeight w:val="259"/>
          <w:jc w:val="center"/>
        </w:trPr>
        <w:tc>
          <w:tcPr>
            <w:tcW w:w="1750" w:type="dxa"/>
            <w:noWrap/>
            <w:vAlign w:val="center"/>
          </w:tcPr>
          <w:p w:rsidR="006775D8" w:rsidRPr="004C5551" w:rsidRDefault="006775D8" w:rsidP="00D36062">
            <w:pPr>
              <w:jc w:val="left"/>
              <w:rPr>
                <w:sz w:val="20"/>
                <w:szCs w:val="20"/>
              </w:rPr>
            </w:pPr>
            <w:r w:rsidRPr="004C5551">
              <w:rPr>
                <w:sz w:val="20"/>
                <w:szCs w:val="20"/>
              </w:rPr>
              <w:t>65 a viac rokov</w:t>
            </w:r>
          </w:p>
        </w:tc>
        <w:tc>
          <w:tcPr>
            <w:tcW w:w="1295" w:type="dxa"/>
            <w:noWrap/>
            <w:vAlign w:val="center"/>
          </w:tcPr>
          <w:p w:rsidR="006775D8" w:rsidRPr="004C5551" w:rsidRDefault="006775D8" w:rsidP="00D36062">
            <w:pPr>
              <w:ind w:right="226"/>
              <w:jc w:val="right"/>
            </w:pPr>
            <w:r w:rsidRPr="004C5551">
              <w:t>0,9</w:t>
            </w:r>
          </w:p>
        </w:tc>
        <w:tc>
          <w:tcPr>
            <w:tcW w:w="1559" w:type="dxa"/>
            <w:noWrap/>
            <w:vAlign w:val="center"/>
          </w:tcPr>
          <w:p w:rsidR="006775D8" w:rsidRPr="004C5551" w:rsidRDefault="006775D8" w:rsidP="00D36062">
            <w:pPr>
              <w:ind w:right="226"/>
              <w:jc w:val="right"/>
            </w:pPr>
            <w:r w:rsidRPr="004C5551">
              <w:t>0,3</w:t>
            </w:r>
          </w:p>
        </w:tc>
        <w:tc>
          <w:tcPr>
            <w:tcW w:w="1276" w:type="dxa"/>
            <w:noWrap/>
            <w:vAlign w:val="center"/>
          </w:tcPr>
          <w:p w:rsidR="006775D8" w:rsidRPr="004C5551" w:rsidRDefault="006775D8" w:rsidP="00D36062">
            <w:pPr>
              <w:ind w:right="226"/>
              <w:jc w:val="right"/>
            </w:pPr>
            <w:r w:rsidRPr="004C5551">
              <w:t>180,0</w:t>
            </w:r>
          </w:p>
        </w:tc>
        <w:tc>
          <w:tcPr>
            <w:tcW w:w="1134" w:type="dxa"/>
            <w:noWrap/>
            <w:vAlign w:val="center"/>
          </w:tcPr>
          <w:p w:rsidR="006775D8" w:rsidRPr="004C5551" w:rsidRDefault="006775D8" w:rsidP="00D36062">
            <w:pPr>
              <w:ind w:right="214"/>
              <w:jc w:val="right"/>
            </w:pPr>
            <w:r w:rsidRPr="004C5551">
              <w:t>6,5</w:t>
            </w:r>
          </w:p>
        </w:tc>
        <w:tc>
          <w:tcPr>
            <w:tcW w:w="1559" w:type="dxa"/>
            <w:noWrap/>
            <w:vAlign w:val="center"/>
          </w:tcPr>
          <w:p w:rsidR="006775D8" w:rsidRPr="004C5551" w:rsidRDefault="006775D8" w:rsidP="002361AD">
            <w:pPr>
              <w:ind w:right="529"/>
              <w:jc w:val="right"/>
            </w:pPr>
            <w:r w:rsidRPr="004C5551">
              <w:t>-</w:t>
            </w:r>
            <w:r w:rsidR="002361AD" w:rsidRPr="004C5551">
              <w:t>2,2</w:t>
            </w:r>
          </w:p>
        </w:tc>
      </w:tr>
    </w:tbl>
    <w:p w:rsidR="006775D8" w:rsidRPr="004C5551" w:rsidRDefault="006775D8" w:rsidP="004B576F">
      <w:pPr>
        <w:pStyle w:val="zdroj"/>
      </w:pPr>
      <w:r w:rsidRPr="004C5551">
        <w:t>Zdroj: ŠÚ SR, VZPS</w:t>
      </w:r>
    </w:p>
    <w:p w:rsidR="006775D8" w:rsidRPr="004C5551" w:rsidRDefault="006775D8" w:rsidP="00C92B2F">
      <w:pPr>
        <w:pStyle w:val="Normlnysozarkami2"/>
        <w:ind w:firstLine="431"/>
      </w:pPr>
      <w:r w:rsidRPr="004C5551">
        <w:rPr>
          <w:b/>
          <w:i/>
        </w:rPr>
        <w:t>Z hľadiska vzdelania</w:t>
      </w:r>
      <w:r w:rsidRPr="004C5551">
        <w:t xml:space="preserve"> najvyššiu mieru nezamestnanosti mali osoby so základným vzdelaním (44,4</w:t>
      </w:r>
      <w:r w:rsidR="009425AA" w:rsidRPr="004C5551">
        <w:t> %</w:t>
      </w:r>
      <w:r w:rsidRPr="004C5551">
        <w:t xml:space="preserve">), </w:t>
      </w:r>
      <w:r w:rsidR="00E43BBB" w:rsidRPr="004C5551">
        <w:t>pričom táto</w:t>
      </w:r>
      <w:r w:rsidRPr="004C5551">
        <w:t xml:space="preserve"> viac ako trojnásobne prevyšovala mieru celkovej nezamestnanosti a naopak, najnižšia bola u osôb s vysokoškolským vzdelaním (6,4</w:t>
      </w:r>
      <w:r w:rsidR="009425AA" w:rsidRPr="004C5551">
        <w:t> %</w:t>
      </w:r>
      <w:r w:rsidRPr="004C5551">
        <w:t>), ktorej úroveň bola o polovicu nižšia ako bol priemer za SR. Miera nezamestnanosti pod úrovňou SR bola aj u osôb s vyšším odborným vzdelaním, s</w:t>
      </w:r>
      <w:r w:rsidR="002361AD" w:rsidRPr="004C5551">
        <w:t xml:space="preserve"> úplným </w:t>
      </w:r>
      <w:r w:rsidRPr="004C5551">
        <w:t>stredným odborným vzdelaním</w:t>
      </w:r>
      <w:r w:rsidR="00073D95" w:rsidRPr="004C5551">
        <w:t xml:space="preserve"> </w:t>
      </w:r>
      <w:r w:rsidRPr="004C5551">
        <w:t>a úplným stredným odborným (učňovským) vzdelaním s</w:t>
      </w:r>
      <w:r w:rsidR="00E47B33" w:rsidRPr="004C5551">
        <w:t> </w:t>
      </w:r>
      <w:r w:rsidRPr="004C5551">
        <w:t xml:space="preserve">maturitou (príloha ku kapitole 2, tabuľka </w:t>
      </w:r>
      <w:r w:rsidR="00D46EB5" w:rsidRPr="004C5551">
        <w:t>3</w:t>
      </w:r>
      <w:r w:rsidRPr="004C5551">
        <w:t>).</w:t>
      </w:r>
    </w:p>
    <w:p w:rsidR="006775D8" w:rsidRPr="004C5551" w:rsidRDefault="006775D8" w:rsidP="00C92B2F">
      <w:pPr>
        <w:pStyle w:val="Normlnysozarkami2"/>
        <w:ind w:firstLine="431"/>
      </w:pPr>
      <w:r w:rsidRPr="004C5551">
        <w:t xml:space="preserve">V roku 2014 počet nezamestnaných klesol medziročne s výnimkou Trnavského kraja </w:t>
      </w:r>
      <w:r w:rsidR="00003E80" w:rsidRPr="004C5551">
        <w:t>vo </w:t>
      </w:r>
      <w:r w:rsidRPr="004C5551">
        <w:t xml:space="preserve">všetkých </w:t>
      </w:r>
      <w:r w:rsidRPr="004C5551">
        <w:rPr>
          <w:i/>
        </w:rPr>
        <w:t>krajoch</w:t>
      </w:r>
      <w:r w:rsidRPr="004C5551">
        <w:t xml:space="preserve"> v rozsahu od 2,5</w:t>
      </w:r>
      <w:r w:rsidR="009425AA" w:rsidRPr="004C5551">
        <w:t> %</w:t>
      </w:r>
      <w:r w:rsidRPr="004C5551">
        <w:t xml:space="preserve"> v Žilinskom kraji do 16,6</w:t>
      </w:r>
      <w:r w:rsidR="009425AA" w:rsidRPr="004C5551">
        <w:t> %</w:t>
      </w:r>
      <w:r w:rsidRPr="004C5551">
        <w:t xml:space="preserve"> v Košickom kraji. Najviac nezamestnaných sa koncentrovalo v krajoch východného Slovenska (Prešovský a Košický) a juhu stredného Slovenska (Banskobystrický), ktoré súčasne vykázali aj najvyššiu úroveň miery nezamestnanosti. </w:t>
      </w:r>
    </w:p>
    <w:p w:rsidR="006775D8" w:rsidRPr="004C5551" w:rsidRDefault="006775D8" w:rsidP="00C92B2F">
      <w:pPr>
        <w:autoSpaceDE w:val="0"/>
        <w:autoSpaceDN w:val="0"/>
        <w:adjustRightInd w:val="0"/>
        <w:ind w:firstLine="431"/>
        <w:rPr>
          <w:rFonts w:ascii="TimesNewRoman CE" w:hAnsi="TimesNewRoman CE" w:cs="TimesNewRoman CE"/>
        </w:rPr>
      </w:pPr>
      <w:r w:rsidRPr="004C5551">
        <w:rPr>
          <w:rFonts w:ascii="TimesNewRoman" w:hAnsi="TimesNewRoman" w:cs="TimesNewRoman"/>
        </w:rPr>
        <w:t>Pokiaľ ide o vývoj miery nezam</w:t>
      </w:r>
      <w:r w:rsidRPr="004C5551">
        <w:rPr>
          <w:rFonts w:ascii="TimesNewRoman CE" w:hAnsi="TimesNewRoman CE" w:cs="TimesNewRoman CE"/>
        </w:rPr>
        <w:t xml:space="preserve">estnanosti, v roku 2014 bola miera nezamestnanosti vo všetkých krajoch (s výnimkou Trnavského) nižšia ako </w:t>
      </w:r>
      <w:r w:rsidR="00E43BBB" w:rsidRPr="004C5551">
        <w:rPr>
          <w:rFonts w:ascii="TimesNewRoman CE" w:hAnsi="TimesNewRoman CE" w:cs="TimesNewRoman CE"/>
        </w:rPr>
        <w:t xml:space="preserve">v </w:t>
      </w:r>
      <w:r w:rsidRPr="004C5551">
        <w:rPr>
          <w:rFonts w:ascii="TimesNewRoman CE" w:hAnsi="TimesNewRoman CE" w:cs="TimesNewRoman CE"/>
        </w:rPr>
        <w:t>pred</w:t>
      </w:r>
      <w:r w:rsidR="00E43BBB" w:rsidRPr="004C5551">
        <w:rPr>
          <w:rFonts w:ascii="TimesNewRoman CE" w:hAnsi="TimesNewRoman CE" w:cs="TimesNewRoman CE"/>
        </w:rPr>
        <w:t>chádzajúcom</w:t>
      </w:r>
      <w:r w:rsidRPr="004C5551">
        <w:rPr>
          <w:rFonts w:ascii="TimesNewRoman CE" w:hAnsi="TimesNewRoman CE" w:cs="TimesNewRoman CE"/>
        </w:rPr>
        <w:t xml:space="preserve"> rok</w:t>
      </w:r>
      <w:r w:rsidR="00E43BBB" w:rsidRPr="004C5551">
        <w:rPr>
          <w:rFonts w:ascii="TimesNewRoman CE" w:hAnsi="TimesNewRoman CE" w:cs="TimesNewRoman CE"/>
        </w:rPr>
        <w:t>u</w:t>
      </w:r>
      <w:r w:rsidRPr="004C5551">
        <w:rPr>
          <w:rFonts w:ascii="TimesNewRoman CE" w:hAnsi="TimesNewRoman CE" w:cs="TimesNewRoman CE"/>
        </w:rPr>
        <w:t>. Pozitívne je, že okrem Žilinského kraja bol nadpriemerný pokles miery nezamestnanosti zaznamenaný aj v regiónoch s dlhodo</w:t>
      </w:r>
      <w:r w:rsidR="007023DE" w:rsidRPr="004C5551">
        <w:rPr>
          <w:rFonts w:ascii="TimesNewRoman CE" w:hAnsi="TimesNewRoman CE" w:cs="TimesNewRoman CE"/>
        </w:rPr>
        <w:t>bo</w:t>
      </w:r>
      <w:r w:rsidRPr="004C5551">
        <w:rPr>
          <w:rFonts w:ascii="TimesNewRoman CE" w:hAnsi="TimesNewRoman CE" w:cs="TimesNewRoman CE"/>
        </w:rPr>
        <w:t xml:space="preserve"> najvyššou mierou nezamestnanosti (kraje Košický a Banskobystrický).</w:t>
      </w:r>
    </w:p>
    <w:p w:rsidR="006775D8" w:rsidRPr="004C5551" w:rsidRDefault="006775D8" w:rsidP="00C92B2F">
      <w:pPr>
        <w:autoSpaceDE w:val="0"/>
        <w:autoSpaceDN w:val="0"/>
        <w:adjustRightInd w:val="0"/>
        <w:ind w:firstLine="431"/>
        <w:rPr>
          <w:rFonts w:ascii="TimesNewRoman CE" w:hAnsi="TimesNewRoman CE" w:cs="TimesNewRoman CE"/>
        </w:rPr>
      </w:pPr>
      <w:r w:rsidRPr="004C5551">
        <w:rPr>
          <w:rFonts w:ascii="TimesNewRoman CE" w:hAnsi="TimesNewRoman CE" w:cs="TimesNewRoman CE"/>
        </w:rPr>
        <w:t xml:space="preserve">Výrazné regionálne rozdiely v úrovni miery nezamestnanosti naďalej pretrvávali. </w:t>
      </w:r>
      <w:r w:rsidRPr="004C5551">
        <w:t>Miera nezamestnanosti pod priemerom SR bola v štyroch krajoch (Bratislavskom, Trnavskom, Trenčianskom a v Nitrianskom), mierne nad priemerom SR bola v Žilinskom kraji. V</w:t>
      </w:r>
      <w:r w:rsidRPr="004C5551">
        <w:rPr>
          <w:rFonts w:ascii="TimesNewRoman CE" w:hAnsi="TimesNewRoman CE" w:cs="TimesNewRoman CE"/>
        </w:rPr>
        <w:t xml:space="preserve">ysoko nadpriemernú úroveň miery nezamestnanosti vykazovali aj v roku 2014 Košický, Prešovský </w:t>
      </w:r>
      <w:r w:rsidR="00003E80" w:rsidRPr="004C5551">
        <w:rPr>
          <w:rFonts w:ascii="TimesNewRoman CE" w:hAnsi="TimesNewRoman CE" w:cs="TimesNewRoman CE"/>
        </w:rPr>
        <w:t>a </w:t>
      </w:r>
      <w:r w:rsidRPr="004C5551">
        <w:rPr>
          <w:rFonts w:ascii="TimesNewRoman CE" w:hAnsi="TimesNewRoman CE" w:cs="TimesNewRoman CE"/>
        </w:rPr>
        <w:t>Banskobystrický kraj.</w:t>
      </w: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CE" w:hAnsi="TimesNewRoman CE" w:cs="TimesNewRoman CE"/>
        </w:rPr>
      </w:pPr>
    </w:p>
    <w:p w:rsidR="008E1A4D" w:rsidRPr="004C5551" w:rsidRDefault="008E1A4D" w:rsidP="00C92B2F">
      <w:pPr>
        <w:autoSpaceDE w:val="0"/>
        <w:autoSpaceDN w:val="0"/>
        <w:adjustRightInd w:val="0"/>
        <w:ind w:firstLine="431"/>
        <w:rPr>
          <w:rFonts w:ascii="TimesNewRoman" w:hAnsi="TimesNewRoman" w:cs="TimesNewRoman"/>
        </w:rPr>
      </w:pPr>
    </w:p>
    <w:p w:rsidR="006775D8" w:rsidRPr="004C5551" w:rsidRDefault="006775D8" w:rsidP="00A15FB2">
      <w:pPr>
        <w:pStyle w:val="Nadpis7"/>
      </w:pPr>
      <w:r w:rsidRPr="004C5551">
        <w:t>Tabuľka 2.1</w:t>
      </w:r>
      <w:r w:rsidR="005F2A7C" w:rsidRPr="004C5551">
        <w:t>5</w:t>
      </w:r>
      <w:r w:rsidRPr="004C5551">
        <w:t xml:space="preserve"> Nezamestnanosť podľa krajov v roku 2014 (priemer za rok)</w:t>
      </w:r>
    </w:p>
    <w:tbl>
      <w:tblPr>
        <w:tblW w:w="8573" w:type="dxa"/>
        <w:jc w:val="center"/>
        <w:tblInd w:w="327"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6775D8" w:rsidRPr="004C5551" w:rsidTr="00D36062">
        <w:trPr>
          <w:trHeight w:val="300"/>
          <w:jc w:val="center"/>
        </w:trPr>
        <w:tc>
          <w:tcPr>
            <w:tcW w:w="1750" w:type="dxa"/>
            <w:vMerge w:val="restart"/>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Kraj</w:t>
            </w:r>
          </w:p>
        </w:tc>
        <w:tc>
          <w:tcPr>
            <w:tcW w:w="4130" w:type="dxa"/>
            <w:gridSpan w:val="3"/>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Nezamestnaní</w:t>
            </w:r>
          </w:p>
        </w:tc>
        <w:tc>
          <w:tcPr>
            <w:tcW w:w="2693" w:type="dxa"/>
            <w:gridSpan w:val="2"/>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Miera nezamestnanosti</w:t>
            </w:r>
          </w:p>
        </w:tc>
      </w:tr>
      <w:tr w:rsidR="006775D8" w:rsidRPr="004C5551" w:rsidTr="00D36062">
        <w:trPr>
          <w:trHeight w:val="510"/>
          <w:jc w:val="center"/>
        </w:trPr>
        <w:tc>
          <w:tcPr>
            <w:tcW w:w="1750" w:type="dxa"/>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1295"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v tis. osôb</w:t>
            </w:r>
          </w:p>
        </w:tc>
        <w:tc>
          <w:tcPr>
            <w:tcW w:w="1559"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Podiel</w:t>
            </w:r>
          </w:p>
          <w:p w:rsidR="006775D8" w:rsidRPr="004C5551" w:rsidRDefault="006775D8" w:rsidP="00D36062">
            <w:pPr>
              <w:jc w:val="center"/>
              <w:rPr>
                <w:b/>
                <w:color w:val="FFFFFF" w:themeColor="background1"/>
              </w:rPr>
            </w:pPr>
            <w:r w:rsidRPr="004C5551">
              <w:rPr>
                <w:b/>
                <w:color w:val="FFFFFF" w:themeColor="background1"/>
              </w:rPr>
              <w:t>na SR (v</w:t>
            </w:r>
            <w:r w:rsidR="009425AA" w:rsidRPr="004C5551">
              <w:rPr>
                <w:b/>
                <w:color w:val="FFFFFF" w:themeColor="background1"/>
              </w:rPr>
              <w:t> %</w:t>
            </w:r>
            <w:r w:rsidRPr="004C5551">
              <w:rPr>
                <w:b/>
                <w:color w:val="FFFFFF" w:themeColor="background1"/>
              </w:rPr>
              <w:t>)</w:t>
            </w:r>
          </w:p>
        </w:tc>
        <w:tc>
          <w:tcPr>
            <w:tcW w:w="1276"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Index</w:t>
            </w:r>
          </w:p>
          <w:p w:rsidR="006775D8" w:rsidRPr="004C5551" w:rsidRDefault="006775D8" w:rsidP="00D36062">
            <w:pPr>
              <w:jc w:val="center"/>
              <w:rPr>
                <w:b/>
                <w:color w:val="FFFFFF" w:themeColor="background1"/>
              </w:rPr>
            </w:pPr>
            <w:r w:rsidRPr="004C5551">
              <w:rPr>
                <w:b/>
                <w:color w:val="FFFFFF" w:themeColor="background1"/>
              </w:rPr>
              <w:t>2014/2013</w:t>
            </w:r>
          </w:p>
        </w:tc>
        <w:tc>
          <w:tcPr>
            <w:tcW w:w="1134"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v</w:t>
            </w:r>
            <w:r w:rsidR="009425AA" w:rsidRPr="004C5551">
              <w:rPr>
                <w:b/>
                <w:color w:val="FFFFFF" w:themeColor="background1"/>
              </w:rPr>
              <w:t> %</w:t>
            </w:r>
          </w:p>
        </w:tc>
        <w:tc>
          <w:tcPr>
            <w:tcW w:w="1559" w:type="dxa"/>
            <w:shd w:val="clear" w:color="auto" w:fill="BF0000" w:themeFill="accent3" w:themeFillShade="BF"/>
            <w:noWrap/>
            <w:vAlign w:val="center"/>
          </w:tcPr>
          <w:p w:rsidR="006775D8" w:rsidRPr="004C5551" w:rsidRDefault="006775D8" w:rsidP="00D36062">
            <w:pPr>
              <w:jc w:val="center"/>
              <w:rPr>
                <w:b/>
                <w:color w:val="FFFFFF" w:themeColor="background1"/>
              </w:rPr>
            </w:pPr>
            <w:r w:rsidRPr="004C5551">
              <w:rPr>
                <w:b/>
                <w:color w:val="FFFFFF" w:themeColor="background1"/>
              </w:rPr>
              <w:t>Zmena oproti</w:t>
            </w:r>
          </w:p>
          <w:p w:rsidR="006775D8" w:rsidRPr="004C5551" w:rsidRDefault="006775D8" w:rsidP="00D36062">
            <w:pPr>
              <w:jc w:val="center"/>
              <w:rPr>
                <w:b/>
                <w:color w:val="FFFFFF" w:themeColor="background1"/>
              </w:rPr>
            </w:pPr>
            <w:r w:rsidRPr="004C5551">
              <w:rPr>
                <w:b/>
                <w:color w:val="FFFFFF" w:themeColor="background1"/>
              </w:rPr>
              <w:t>2013 (v p. b.)</w:t>
            </w:r>
          </w:p>
        </w:tc>
      </w:tr>
      <w:tr w:rsidR="006775D8" w:rsidRPr="004C5551" w:rsidTr="00D36062">
        <w:trPr>
          <w:trHeight w:val="259"/>
          <w:jc w:val="center"/>
        </w:trPr>
        <w:tc>
          <w:tcPr>
            <w:tcW w:w="1750" w:type="dxa"/>
            <w:noWrap/>
            <w:vAlign w:val="center"/>
          </w:tcPr>
          <w:p w:rsidR="006775D8" w:rsidRPr="004C5551" w:rsidRDefault="006775D8" w:rsidP="00D36062">
            <w:pPr>
              <w:rPr>
                <w:b/>
              </w:rPr>
            </w:pPr>
            <w:r w:rsidRPr="004C5551">
              <w:rPr>
                <w:b/>
              </w:rPr>
              <w:t>SR spolu</w:t>
            </w:r>
          </w:p>
        </w:tc>
        <w:tc>
          <w:tcPr>
            <w:tcW w:w="1295" w:type="dxa"/>
            <w:noWrap/>
            <w:vAlign w:val="center"/>
          </w:tcPr>
          <w:p w:rsidR="006775D8" w:rsidRPr="004C5551" w:rsidRDefault="006775D8" w:rsidP="00D36062">
            <w:pPr>
              <w:ind w:right="226"/>
              <w:jc w:val="right"/>
              <w:rPr>
                <w:b/>
              </w:rPr>
            </w:pPr>
            <w:r w:rsidRPr="004C5551">
              <w:rPr>
                <w:b/>
              </w:rPr>
              <w:t>358,7</w:t>
            </w:r>
          </w:p>
        </w:tc>
        <w:tc>
          <w:tcPr>
            <w:tcW w:w="1559" w:type="dxa"/>
            <w:noWrap/>
            <w:vAlign w:val="center"/>
          </w:tcPr>
          <w:p w:rsidR="006775D8" w:rsidRPr="004C5551" w:rsidRDefault="006775D8" w:rsidP="00D36062">
            <w:pPr>
              <w:ind w:right="226"/>
              <w:jc w:val="right"/>
              <w:rPr>
                <w:b/>
              </w:rPr>
            </w:pPr>
            <w:r w:rsidRPr="004C5551">
              <w:rPr>
                <w:b/>
              </w:rPr>
              <w:t>100,0</w:t>
            </w:r>
          </w:p>
        </w:tc>
        <w:tc>
          <w:tcPr>
            <w:tcW w:w="1276" w:type="dxa"/>
            <w:noWrap/>
            <w:vAlign w:val="center"/>
          </w:tcPr>
          <w:p w:rsidR="006775D8" w:rsidRPr="004C5551" w:rsidRDefault="006775D8" w:rsidP="00D36062">
            <w:pPr>
              <w:ind w:right="226"/>
              <w:jc w:val="right"/>
              <w:rPr>
                <w:b/>
              </w:rPr>
            </w:pPr>
            <w:r w:rsidRPr="004C5551">
              <w:rPr>
                <w:b/>
              </w:rPr>
              <w:t>92,9</w:t>
            </w:r>
          </w:p>
        </w:tc>
        <w:tc>
          <w:tcPr>
            <w:tcW w:w="1134" w:type="dxa"/>
            <w:noWrap/>
            <w:vAlign w:val="center"/>
          </w:tcPr>
          <w:p w:rsidR="006775D8" w:rsidRPr="004C5551" w:rsidRDefault="006775D8" w:rsidP="00D36062">
            <w:pPr>
              <w:ind w:right="214"/>
              <w:jc w:val="right"/>
              <w:rPr>
                <w:b/>
              </w:rPr>
            </w:pPr>
            <w:r w:rsidRPr="004C5551">
              <w:rPr>
                <w:b/>
              </w:rPr>
              <w:t>13,2</w:t>
            </w:r>
          </w:p>
        </w:tc>
        <w:tc>
          <w:tcPr>
            <w:tcW w:w="1559" w:type="dxa"/>
            <w:noWrap/>
            <w:vAlign w:val="center"/>
          </w:tcPr>
          <w:p w:rsidR="006775D8" w:rsidRPr="004C5551" w:rsidRDefault="006775D8" w:rsidP="00D36062">
            <w:pPr>
              <w:ind w:right="529"/>
              <w:jc w:val="right"/>
              <w:rPr>
                <w:b/>
              </w:rPr>
            </w:pPr>
            <w:r w:rsidRPr="004C5551">
              <w:rPr>
                <w:b/>
              </w:rPr>
              <w:t>-1,0</w:t>
            </w:r>
          </w:p>
        </w:tc>
      </w:tr>
      <w:tr w:rsidR="006775D8" w:rsidRPr="004C5551" w:rsidTr="00D36062">
        <w:trPr>
          <w:trHeight w:val="259"/>
          <w:jc w:val="center"/>
        </w:trPr>
        <w:tc>
          <w:tcPr>
            <w:tcW w:w="1750" w:type="dxa"/>
            <w:noWrap/>
            <w:vAlign w:val="center"/>
          </w:tcPr>
          <w:p w:rsidR="006775D8" w:rsidRPr="004C5551" w:rsidRDefault="006775D8" w:rsidP="00D36062">
            <w:r w:rsidRPr="004C5551">
              <w:t>v tom:</w:t>
            </w:r>
          </w:p>
        </w:tc>
        <w:tc>
          <w:tcPr>
            <w:tcW w:w="1295" w:type="dxa"/>
            <w:noWrap/>
            <w:vAlign w:val="center"/>
          </w:tcPr>
          <w:p w:rsidR="006775D8" w:rsidRPr="004C5551" w:rsidRDefault="006775D8" w:rsidP="00D36062">
            <w:pPr>
              <w:ind w:right="226"/>
              <w:jc w:val="right"/>
            </w:pPr>
          </w:p>
        </w:tc>
        <w:tc>
          <w:tcPr>
            <w:tcW w:w="1559" w:type="dxa"/>
            <w:noWrap/>
            <w:vAlign w:val="center"/>
          </w:tcPr>
          <w:p w:rsidR="006775D8" w:rsidRPr="004C5551" w:rsidRDefault="006775D8" w:rsidP="00D36062">
            <w:pPr>
              <w:ind w:right="226"/>
              <w:jc w:val="right"/>
            </w:pPr>
          </w:p>
        </w:tc>
        <w:tc>
          <w:tcPr>
            <w:tcW w:w="1276" w:type="dxa"/>
            <w:noWrap/>
            <w:vAlign w:val="center"/>
          </w:tcPr>
          <w:p w:rsidR="006775D8" w:rsidRPr="004C5551" w:rsidRDefault="006775D8" w:rsidP="00D36062">
            <w:pPr>
              <w:ind w:right="226"/>
              <w:jc w:val="right"/>
            </w:pPr>
          </w:p>
        </w:tc>
        <w:tc>
          <w:tcPr>
            <w:tcW w:w="1134" w:type="dxa"/>
            <w:noWrap/>
            <w:vAlign w:val="center"/>
          </w:tcPr>
          <w:p w:rsidR="006775D8" w:rsidRPr="004C5551" w:rsidRDefault="006775D8" w:rsidP="00D36062">
            <w:pPr>
              <w:ind w:right="214"/>
              <w:jc w:val="right"/>
            </w:pPr>
          </w:p>
        </w:tc>
        <w:tc>
          <w:tcPr>
            <w:tcW w:w="1559" w:type="dxa"/>
            <w:noWrap/>
            <w:vAlign w:val="center"/>
          </w:tcPr>
          <w:p w:rsidR="006775D8" w:rsidRPr="004C5551" w:rsidRDefault="006775D8" w:rsidP="00D36062">
            <w:pPr>
              <w:ind w:right="529"/>
              <w:jc w:val="right"/>
            </w:pPr>
          </w:p>
        </w:tc>
      </w:tr>
      <w:tr w:rsidR="006775D8" w:rsidRPr="004C5551" w:rsidTr="00D36062">
        <w:trPr>
          <w:trHeight w:val="259"/>
          <w:jc w:val="center"/>
        </w:trPr>
        <w:tc>
          <w:tcPr>
            <w:tcW w:w="1750" w:type="dxa"/>
            <w:noWrap/>
            <w:vAlign w:val="center"/>
          </w:tcPr>
          <w:p w:rsidR="006775D8" w:rsidRPr="004C5551" w:rsidRDefault="006775D8" w:rsidP="00D36062">
            <w:r w:rsidRPr="004C5551">
              <w:t>Bratislavský</w:t>
            </w:r>
          </w:p>
        </w:tc>
        <w:tc>
          <w:tcPr>
            <w:tcW w:w="1295" w:type="dxa"/>
            <w:noWrap/>
            <w:vAlign w:val="center"/>
          </w:tcPr>
          <w:p w:rsidR="006775D8" w:rsidRPr="004C5551" w:rsidRDefault="006775D8" w:rsidP="00D36062">
            <w:pPr>
              <w:ind w:right="226"/>
              <w:jc w:val="right"/>
            </w:pPr>
            <w:r w:rsidRPr="004C5551">
              <w:t>20,0</w:t>
            </w:r>
          </w:p>
        </w:tc>
        <w:tc>
          <w:tcPr>
            <w:tcW w:w="1559" w:type="dxa"/>
            <w:noWrap/>
            <w:vAlign w:val="center"/>
          </w:tcPr>
          <w:p w:rsidR="006775D8" w:rsidRPr="004C5551" w:rsidRDefault="006775D8" w:rsidP="00D36062">
            <w:pPr>
              <w:ind w:right="226"/>
              <w:jc w:val="right"/>
            </w:pPr>
            <w:r w:rsidRPr="004C5551">
              <w:t>5,6</w:t>
            </w:r>
          </w:p>
        </w:tc>
        <w:tc>
          <w:tcPr>
            <w:tcW w:w="1276" w:type="dxa"/>
            <w:noWrap/>
            <w:vAlign w:val="center"/>
          </w:tcPr>
          <w:p w:rsidR="006775D8" w:rsidRPr="004C5551" w:rsidRDefault="006775D8" w:rsidP="00D36062">
            <w:pPr>
              <w:ind w:right="226"/>
              <w:jc w:val="right"/>
            </w:pPr>
            <w:r w:rsidRPr="004C5551">
              <w:t>93,5</w:t>
            </w:r>
          </w:p>
        </w:tc>
        <w:tc>
          <w:tcPr>
            <w:tcW w:w="1134" w:type="dxa"/>
            <w:noWrap/>
            <w:vAlign w:val="center"/>
          </w:tcPr>
          <w:p w:rsidR="006775D8" w:rsidRPr="004C5551" w:rsidRDefault="006775D8" w:rsidP="00D36062">
            <w:pPr>
              <w:ind w:right="214"/>
              <w:jc w:val="right"/>
            </w:pPr>
            <w:r w:rsidRPr="004C5551">
              <w:t>6,0</w:t>
            </w:r>
          </w:p>
        </w:tc>
        <w:tc>
          <w:tcPr>
            <w:tcW w:w="1559" w:type="dxa"/>
            <w:noWrap/>
            <w:vAlign w:val="center"/>
          </w:tcPr>
          <w:p w:rsidR="006775D8" w:rsidRPr="004C5551" w:rsidRDefault="006775D8" w:rsidP="00D36062">
            <w:pPr>
              <w:ind w:right="529"/>
              <w:jc w:val="right"/>
            </w:pPr>
            <w:r w:rsidRPr="004C5551">
              <w:t>-0,4</w:t>
            </w:r>
          </w:p>
        </w:tc>
      </w:tr>
      <w:tr w:rsidR="006775D8" w:rsidRPr="004C5551" w:rsidTr="00D36062">
        <w:trPr>
          <w:trHeight w:val="259"/>
          <w:jc w:val="center"/>
        </w:trPr>
        <w:tc>
          <w:tcPr>
            <w:tcW w:w="1750" w:type="dxa"/>
            <w:noWrap/>
            <w:vAlign w:val="center"/>
          </w:tcPr>
          <w:p w:rsidR="006775D8" w:rsidRPr="004C5551" w:rsidRDefault="006775D8" w:rsidP="00D36062">
            <w:r w:rsidRPr="004C5551">
              <w:t>Trnavský</w:t>
            </w:r>
          </w:p>
        </w:tc>
        <w:tc>
          <w:tcPr>
            <w:tcW w:w="1295" w:type="dxa"/>
            <w:noWrap/>
            <w:vAlign w:val="center"/>
          </w:tcPr>
          <w:p w:rsidR="006775D8" w:rsidRPr="004C5551" w:rsidRDefault="006775D8" w:rsidP="00D36062">
            <w:pPr>
              <w:ind w:right="226"/>
              <w:jc w:val="right"/>
            </w:pPr>
            <w:r w:rsidRPr="004C5551">
              <w:t>36,9</w:t>
            </w:r>
          </w:p>
        </w:tc>
        <w:tc>
          <w:tcPr>
            <w:tcW w:w="1559" w:type="dxa"/>
            <w:noWrap/>
            <w:vAlign w:val="center"/>
          </w:tcPr>
          <w:p w:rsidR="006775D8" w:rsidRPr="004C5551" w:rsidRDefault="006775D8" w:rsidP="00D36062">
            <w:pPr>
              <w:ind w:right="226"/>
              <w:jc w:val="right"/>
            </w:pPr>
            <w:r w:rsidRPr="004C5551">
              <w:t>10,3</w:t>
            </w:r>
          </w:p>
        </w:tc>
        <w:tc>
          <w:tcPr>
            <w:tcW w:w="1276" w:type="dxa"/>
            <w:noWrap/>
            <w:vAlign w:val="center"/>
          </w:tcPr>
          <w:p w:rsidR="006775D8" w:rsidRPr="004C5551" w:rsidRDefault="006775D8" w:rsidP="00D36062">
            <w:pPr>
              <w:ind w:right="226"/>
              <w:jc w:val="right"/>
            </w:pPr>
            <w:r w:rsidRPr="004C5551">
              <w:t>101,4</w:t>
            </w:r>
          </w:p>
        </w:tc>
        <w:tc>
          <w:tcPr>
            <w:tcW w:w="1134" w:type="dxa"/>
            <w:noWrap/>
            <w:vAlign w:val="center"/>
          </w:tcPr>
          <w:p w:rsidR="006775D8" w:rsidRPr="004C5551" w:rsidRDefault="006775D8" w:rsidP="00D36062">
            <w:pPr>
              <w:ind w:right="214"/>
              <w:jc w:val="right"/>
            </w:pPr>
            <w:r w:rsidRPr="004C5551">
              <w:t>12,4</w:t>
            </w:r>
          </w:p>
        </w:tc>
        <w:tc>
          <w:tcPr>
            <w:tcW w:w="1559" w:type="dxa"/>
            <w:noWrap/>
            <w:vAlign w:val="center"/>
          </w:tcPr>
          <w:p w:rsidR="006775D8" w:rsidRPr="004C5551" w:rsidRDefault="006775D8" w:rsidP="00D36062">
            <w:pPr>
              <w:ind w:right="529"/>
              <w:jc w:val="right"/>
            </w:pPr>
            <w:r w:rsidRPr="004C5551">
              <w:t>0,2</w:t>
            </w:r>
          </w:p>
        </w:tc>
      </w:tr>
      <w:tr w:rsidR="006775D8" w:rsidRPr="004C5551" w:rsidTr="00D36062">
        <w:trPr>
          <w:trHeight w:val="259"/>
          <w:jc w:val="center"/>
        </w:trPr>
        <w:tc>
          <w:tcPr>
            <w:tcW w:w="1750" w:type="dxa"/>
            <w:noWrap/>
            <w:vAlign w:val="center"/>
          </w:tcPr>
          <w:p w:rsidR="006775D8" w:rsidRPr="004C5551" w:rsidRDefault="006775D8" w:rsidP="00D36062">
            <w:r w:rsidRPr="004C5551">
              <w:t>Trenčiansky</w:t>
            </w:r>
          </w:p>
        </w:tc>
        <w:tc>
          <w:tcPr>
            <w:tcW w:w="1295" w:type="dxa"/>
            <w:noWrap/>
            <w:vAlign w:val="center"/>
          </w:tcPr>
          <w:p w:rsidR="006775D8" w:rsidRPr="004C5551" w:rsidRDefault="006775D8" w:rsidP="00D36062">
            <w:pPr>
              <w:ind w:right="226"/>
              <w:jc w:val="right"/>
            </w:pPr>
            <w:r w:rsidRPr="004C5551">
              <w:t>25,3</w:t>
            </w:r>
          </w:p>
        </w:tc>
        <w:tc>
          <w:tcPr>
            <w:tcW w:w="1559" w:type="dxa"/>
            <w:noWrap/>
            <w:vAlign w:val="center"/>
          </w:tcPr>
          <w:p w:rsidR="006775D8" w:rsidRPr="004C5551" w:rsidRDefault="006775D8" w:rsidP="00D36062">
            <w:pPr>
              <w:ind w:right="226"/>
              <w:jc w:val="right"/>
            </w:pPr>
            <w:r w:rsidRPr="004C5551">
              <w:t>7,1</w:t>
            </w:r>
          </w:p>
        </w:tc>
        <w:tc>
          <w:tcPr>
            <w:tcW w:w="1276" w:type="dxa"/>
            <w:noWrap/>
            <w:vAlign w:val="center"/>
          </w:tcPr>
          <w:p w:rsidR="006775D8" w:rsidRPr="004C5551" w:rsidRDefault="006775D8" w:rsidP="00D36062">
            <w:pPr>
              <w:ind w:right="226"/>
              <w:jc w:val="right"/>
            </w:pPr>
            <w:r w:rsidRPr="004C5551">
              <w:t>91,7</w:t>
            </w:r>
          </w:p>
        </w:tc>
        <w:tc>
          <w:tcPr>
            <w:tcW w:w="1134" w:type="dxa"/>
            <w:noWrap/>
            <w:vAlign w:val="center"/>
          </w:tcPr>
          <w:p w:rsidR="006775D8" w:rsidRPr="004C5551" w:rsidRDefault="006775D8" w:rsidP="00D36062">
            <w:pPr>
              <w:ind w:right="214"/>
              <w:jc w:val="right"/>
            </w:pPr>
            <w:r w:rsidRPr="004C5551">
              <w:t>8,6</w:t>
            </w:r>
          </w:p>
        </w:tc>
        <w:tc>
          <w:tcPr>
            <w:tcW w:w="1559" w:type="dxa"/>
            <w:noWrap/>
            <w:vAlign w:val="center"/>
          </w:tcPr>
          <w:p w:rsidR="006775D8" w:rsidRPr="004C5551" w:rsidRDefault="006775D8" w:rsidP="00D36062">
            <w:pPr>
              <w:ind w:right="529"/>
              <w:jc w:val="right"/>
            </w:pPr>
            <w:r w:rsidRPr="004C5551">
              <w:t>-0,9</w:t>
            </w:r>
          </w:p>
        </w:tc>
      </w:tr>
      <w:tr w:rsidR="006775D8" w:rsidRPr="004C5551" w:rsidTr="00D36062">
        <w:trPr>
          <w:trHeight w:val="259"/>
          <w:jc w:val="center"/>
        </w:trPr>
        <w:tc>
          <w:tcPr>
            <w:tcW w:w="1750" w:type="dxa"/>
            <w:noWrap/>
            <w:vAlign w:val="center"/>
          </w:tcPr>
          <w:p w:rsidR="006775D8" w:rsidRPr="004C5551" w:rsidRDefault="006775D8" w:rsidP="00D36062">
            <w:r w:rsidRPr="004C5551">
              <w:t>Nitriansky</w:t>
            </w:r>
          </w:p>
        </w:tc>
        <w:tc>
          <w:tcPr>
            <w:tcW w:w="1295" w:type="dxa"/>
            <w:noWrap/>
            <w:vAlign w:val="center"/>
          </w:tcPr>
          <w:p w:rsidR="006775D8" w:rsidRPr="004C5551" w:rsidRDefault="006775D8" w:rsidP="00D36062">
            <w:pPr>
              <w:ind w:right="226"/>
              <w:jc w:val="right"/>
            </w:pPr>
            <w:r w:rsidRPr="004C5551">
              <w:t>41,2</w:t>
            </w:r>
          </w:p>
        </w:tc>
        <w:tc>
          <w:tcPr>
            <w:tcW w:w="1559" w:type="dxa"/>
            <w:noWrap/>
            <w:vAlign w:val="center"/>
          </w:tcPr>
          <w:p w:rsidR="006775D8" w:rsidRPr="004C5551" w:rsidRDefault="006775D8" w:rsidP="00D36062">
            <w:pPr>
              <w:ind w:right="226"/>
              <w:jc w:val="right"/>
            </w:pPr>
            <w:r w:rsidRPr="004C5551">
              <w:t>11,5</w:t>
            </w:r>
          </w:p>
        </w:tc>
        <w:tc>
          <w:tcPr>
            <w:tcW w:w="1276" w:type="dxa"/>
            <w:noWrap/>
            <w:vAlign w:val="center"/>
          </w:tcPr>
          <w:p w:rsidR="006775D8" w:rsidRPr="004C5551" w:rsidRDefault="006775D8" w:rsidP="00D36062">
            <w:pPr>
              <w:ind w:right="226"/>
              <w:jc w:val="right"/>
            </w:pPr>
            <w:r w:rsidRPr="004C5551">
              <w:t>90,5</w:t>
            </w:r>
          </w:p>
        </w:tc>
        <w:tc>
          <w:tcPr>
            <w:tcW w:w="1134" w:type="dxa"/>
            <w:noWrap/>
            <w:vAlign w:val="center"/>
          </w:tcPr>
          <w:p w:rsidR="006775D8" w:rsidRPr="004C5551" w:rsidRDefault="006775D8" w:rsidP="00D36062">
            <w:pPr>
              <w:ind w:right="214"/>
              <w:jc w:val="right"/>
            </w:pPr>
            <w:r w:rsidRPr="004C5551">
              <w:t>11,9</w:t>
            </w:r>
          </w:p>
        </w:tc>
        <w:tc>
          <w:tcPr>
            <w:tcW w:w="1559" w:type="dxa"/>
            <w:noWrap/>
            <w:vAlign w:val="center"/>
          </w:tcPr>
          <w:p w:rsidR="006775D8" w:rsidRPr="004C5551" w:rsidRDefault="006775D8" w:rsidP="00D36062">
            <w:pPr>
              <w:ind w:right="529"/>
              <w:jc w:val="right"/>
            </w:pPr>
            <w:r w:rsidRPr="004C5551">
              <w:t>-1,3</w:t>
            </w:r>
          </w:p>
        </w:tc>
      </w:tr>
      <w:tr w:rsidR="006775D8" w:rsidRPr="004C5551" w:rsidTr="00D36062">
        <w:trPr>
          <w:trHeight w:val="259"/>
          <w:jc w:val="center"/>
        </w:trPr>
        <w:tc>
          <w:tcPr>
            <w:tcW w:w="1750" w:type="dxa"/>
            <w:noWrap/>
            <w:vAlign w:val="center"/>
          </w:tcPr>
          <w:p w:rsidR="006775D8" w:rsidRPr="004C5551" w:rsidRDefault="006775D8" w:rsidP="00D36062">
            <w:r w:rsidRPr="004C5551">
              <w:t>Žilinský</w:t>
            </w:r>
          </w:p>
        </w:tc>
        <w:tc>
          <w:tcPr>
            <w:tcW w:w="1295" w:type="dxa"/>
            <w:noWrap/>
            <w:vAlign w:val="center"/>
          </w:tcPr>
          <w:p w:rsidR="006775D8" w:rsidRPr="004C5551" w:rsidRDefault="006775D8" w:rsidP="00D36062">
            <w:pPr>
              <w:ind w:right="226"/>
              <w:jc w:val="right"/>
            </w:pPr>
            <w:r w:rsidRPr="004C5551">
              <w:t>46,0</w:t>
            </w:r>
          </w:p>
        </w:tc>
        <w:tc>
          <w:tcPr>
            <w:tcW w:w="1559" w:type="dxa"/>
            <w:noWrap/>
            <w:vAlign w:val="center"/>
          </w:tcPr>
          <w:p w:rsidR="006775D8" w:rsidRPr="004C5551" w:rsidRDefault="006775D8" w:rsidP="00D36062">
            <w:pPr>
              <w:ind w:right="226"/>
              <w:jc w:val="right"/>
            </w:pPr>
            <w:r w:rsidRPr="004C5551">
              <w:t>12,8</w:t>
            </w:r>
          </w:p>
        </w:tc>
        <w:tc>
          <w:tcPr>
            <w:tcW w:w="1276" w:type="dxa"/>
            <w:noWrap/>
            <w:vAlign w:val="center"/>
          </w:tcPr>
          <w:p w:rsidR="006775D8" w:rsidRPr="004C5551" w:rsidRDefault="006775D8" w:rsidP="00D36062">
            <w:pPr>
              <w:ind w:right="226"/>
              <w:jc w:val="right"/>
            </w:pPr>
            <w:r w:rsidRPr="004C5551">
              <w:t>87,5</w:t>
            </w:r>
          </w:p>
        </w:tc>
        <w:tc>
          <w:tcPr>
            <w:tcW w:w="1134" w:type="dxa"/>
            <w:noWrap/>
            <w:vAlign w:val="center"/>
          </w:tcPr>
          <w:p w:rsidR="006775D8" w:rsidRPr="004C5551" w:rsidRDefault="006775D8" w:rsidP="00D36062">
            <w:pPr>
              <w:ind w:right="214"/>
              <w:jc w:val="right"/>
            </w:pPr>
            <w:r w:rsidRPr="004C5551">
              <w:t>13,6</w:t>
            </w:r>
          </w:p>
        </w:tc>
        <w:tc>
          <w:tcPr>
            <w:tcW w:w="1559" w:type="dxa"/>
            <w:noWrap/>
            <w:vAlign w:val="center"/>
          </w:tcPr>
          <w:p w:rsidR="006775D8" w:rsidRPr="004C5551" w:rsidRDefault="006775D8" w:rsidP="00D36062">
            <w:pPr>
              <w:ind w:right="529"/>
              <w:jc w:val="right"/>
            </w:pPr>
            <w:r w:rsidRPr="004C5551">
              <w:t>-0,4</w:t>
            </w:r>
          </w:p>
        </w:tc>
      </w:tr>
      <w:tr w:rsidR="006775D8" w:rsidRPr="004C5551" w:rsidTr="00D36062">
        <w:trPr>
          <w:trHeight w:val="259"/>
          <w:jc w:val="center"/>
        </w:trPr>
        <w:tc>
          <w:tcPr>
            <w:tcW w:w="1750" w:type="dxa"/>
            <w:noWrap/>
            <w:vAlign w:val="center"/>
          </w:tcPr>
          <w:p w:rsidR="006775D8" w:rsidRPr="004C5551" w:rsidRDefault="006775D8" w:rsidP="00D36062">
            <w:r w:rsidRPr="004C5551">
              <w:t>Banskobystrický</w:t>
            </w:r>
          </w:p>
        </w:tc>
        <w:tc>
          <w:tcPr>
            <w:tcW w:w="1295" w:type="dxa"/>
            <w:noWrap/>
            <w:vAlign w:val="center"/>
          </w:tcPr>
          <w:p w:rsidR="006775D8" w:rsidRPr="004C5551" w:rsidRDefault="006775D8" w:rsidP="00D36062">
            <w:pPr>
              <w:ind w:right="226"/>
              <w:jc w:val="right"/>
            </w:pPr>
            <w:r w:rsidRPr="004C5551">
              <w:t>61,7</w:t>
            </w:r>
          </w:p>
        </w:tc>
        <w:tc>
          <w:tcPr>
            <w:tcW w:w="1559" w:type="dxa"/>
            <w:noWrap/>
            <w:vAlign w:val="center"/>
          </w:tcPr>
          <w:p w:rsidR="006775D8" w:rsidRPr="004C5551" w:rsidRDefault="006775D8" w:rsidP="00D36062">
            <w:pPr>
              <w:ind w:right="226"/>
              <w:jc w:val="right"/>
            </w:pPr>
            <w:r w:rsidRPr="004C5551">
              <w:t>17,2</w:t>
            </w:r>
          </w:p>
        </w:tc>
        <w:tc>
          <w:tcPr>
            <w:tcW w:w="1276" w:type="dxa"/>
            <w:noWrap/>
            <w:vAlign w:val="center"/>
          </w:tcPr>
          <w:p w:rsidR="006775D8" w:rsidRPr="004C5551" w:rsidRDefault="006775D8" w:rsidP="00D36062">
            <w:pPr>
              <w:ind w:right="226"/>
              <w:jc w:val="right"/>
            </w:pPr>
            <w:r w:rsidRPr="004C5551">
              <w:t>92,6</w:t>
            </w:r>
          </w:p>
        </w:tc>
        <w:tc>
          <w:tcPr>
            <w:tcW w:w="1134" w:type="dxa"/>
            <w:noWrap/>
            <w:vAlign w:val="center"/>
          </w:tcPr>
          <w:p w:rsidR="006775D8" w:rsidRPr="004C5551" w:rsidRDefault="006775D8" w:rsidP="00D36062">
            <w:pPr>
              <w:ind w:right="214"/>
              <w:jc w:val="right"/>
            </w:pPr>
            <w:r w:rsidRPr="004C5551">
              <w:t>18,3</w:t>
            </w:r>
          </w:p>
        </w:tc>
        <w:tc>
          <w:tcPr>
            <w:tcW w:w="1559" w:type="dxa"/>
            <w:noWrap/>
            <w:vAlign w:val="center"/>
          </w:tcPr>
          <w:p w:rsidR="006775D8" w:rsidRPr="004C5551" w:rsidRDefault="006775D8" w:rsidP="00D36062">
            <w:pPr>
              <w:ind w:right="529"/>
              <w:jc w:val="right"/>
            </w:pPr>
            <w:r w:rsidRPr="004C5551">
              <w:t>-1,3</w:t>
            </w:r>
          </w:p>
        </w:tc>
      </w:tr>
      <w:tr w:rsidR="006775D8" w:rsidRPr="004C5551" w:rsidTr="00D36062">
        <w:trPr>
          <w:trHeight w:val="259"/>
          <w:jc w:val="center"/>
        </w:trPr>
        <w:tc>
          <w:tcPr>
            <w:tcW w:w="1750" w:type="dxa"/>
            <w:noWrap/>
            <w:vAlign w:val="center"/>
          </w:tcPr>
          <w:p w:rsidR="006775D8" w:rsidRPr="004C5551" w:rsidRDefault="006775D8" w:rsidP="00D36062">
            <w:r w:rsidRPr="004C5551">
              <w:t>Prešovský</w:t>
            </w:r>
          </w:p>
        </w:tc>
        <w:tc>
          <w:tcPr>
            <w:tcW w:w="1295" w:type="dxa"/>
            <w:noWrap/>
            <w:vAlign w:val="center"/>
          </w:tcPr>
          <w:p w:rsidR="006775D8" w:rsidRPr="004C5551" w:rsidRDefault="006775D8" w:rsidP="00D36062">
            <w:pPr>
              <w:ind w:right="226"/>
              <w:jc w:val="right"/>
            </w:pPr>
            <w:r w:rsidRPr="004C5551">
              <w:t>69,2</w:t>
            </w:r>
          </w:p>
        </w:tc>
        <w:tc>
          <w:tcPr>
            <w:tcW w:w="1559" w:type="dxa"/>
            <w:noWrap/>
            <w:vAlign w:val="center"/>
          </w:tcPr>
          <w:p w:rsidR="006775D8" w:rsidRPr="004C5551" w:rsidRDefault="006775D8" w:rsidP="00D36062">
            <w:pPr>
              <w:ind w:right="226"/>
              <w:jc w:val="right"/>
            </w:pPr>
            <w:r w:rsidRPr="004C5551">
              <w:t>19,3</w:t>
            </w:r>
          </w:p>
        </w:tc>
        <w:tc>
          <w:tcPr>
            <w:tcW w:w="1276" w:type="dxa"/>
            <w:noWrap/>
            <w:vAlign w:val="center"/>
          </w:tcPr>
          <w:p w:rsidR="006775D8" w:rsidRPr="004C5551" w:rsidRDefault="006775D8" w:rsidP="00D36062">
            <w:pPr>
              <w:ind w:right="226"/>
              <w:jc w:val="right"/>
            </w:pPr>
            <w:r w:rsidRPr="004C5551">
              <w:t>96,8</w:t>
            </w:r>
          </w:p>
        </w:tc>
        <w:tc>
          <w:tcPr>
            <w:tcW w:w="1134" w:type="dxa"/>
            <w:noWrap/>
            <w:vAlign w:val="center"/>
          </w:tcPr>
          <w:p w:rsidR="006775D8" w:rsidRPr="004C5551" w:rsidRDefault="006775D8" w:rsidP="00D36062">
            <w:pPr>
              <w:ind w:right="214"/>
              <w:jc w:val="right"/>
            </w:pPr>
            <w:r w:rsidRPr="004C5551">
              <w:t>17,5</w:t>
            </w:r>
          </w:p>
        </w:tc>
        <w:tc>
          <w:tcPr>
            <w:tcW w:w="1559" w:type="dxa"/>
            <w:noWrap/>
            <w:vAlign w:val="center"/>
          </w:tcPr>
          <w:p w:rsidR="006775D8" w:rsidRPr="004C5551" w:rsidRDefault="006775D8" w:rsidP="00D36062">
            <w:pPr>
              <w:ind w:right="529"/>
              <w:jc w:val="right"/>
            </w:pPr>
            <w:r w:rsidRPr="004C5551">
              <w:t>-0,7</w:t>
            </w:r>
          </w:p>
        </w:tc>
      </w:tr>
      <w:tr w:rsidR="006775D8" w:rsidRPr="004C5551" w:rsidTr="00D36062">
        <w:trPr>
          <w:trHeight w:val="259"/>
          <w:jc w:val="center"/>
        </w:trPr>
        <w:tc>
          <w:tcPr>
            <w:tcW w:w="1750" w:type="dxa"/>
            <w:noWrap/>
            <w:vAlign w:val="center"/>
          </w:tcPr>
          <w:p w:rsidR="006775D8" w:rsidRPr="004C5551" w:rsidRDefault="006775D8" w:rsidP="00D36062">
            <w:r w:rsidRPr="004C5551">
              <w:t>Košický</w:t>
            </w:r>
          </w:p>
        </w:tc>
        <w:tc>
          <w:tcPr>
            <w:tcW w:w="1295" w:type="dxa"/>
            <w:noWrap/>
            <w:vAlign w:val="center"/>
          </w:tcPr>
          <w:p w:rsidR="006775D8" w:rsidRPr="004C5551" w:rsidRDefault="006775D8" w:rsidP="00D36062">
            <w:pPr>
              <w:ind w:right="226"/>
              <w:jc w:val="right"/>
            </w:pPr>
            <w:r w:rsidRPr="004C5551">
              <w:t>58,4</w:t>
            </w:r>
          </w:p>
        </w:tc>
        <w:tc>
          <w:tcPr>
            <w:tcW w:w="1559" w:type="dxa"/>
            <w:noWrap/>
            <w:vAlign w:val="center"/>
          </w:tcPr>
          <w:p w:rsidR="006775D8" w:rsidRPr="004C5551" w:rsidRDefault="006775D8" w:rsidP="00D36062">
            <w:pPr>
              <w:ind w:right="226"/>
              <w:jc w:val="right"/>
            </w:pPr>
            <w:r w:rsidRPr="004C5551">
              <w:t>16,3</w:t>
            </w:r>
          </w:p>
        </w:tc>
        <w:tc>
          <w:tcPr>
            <w:tcW w:w="1276" w:type="dxa"/>
            <w:noWrap/>
            <w:vAlign w:val="center"/>
          </w:tcPr>
          <w:p w:rsidR="006775D8" w:rsidRPr="004C5551" w:rsidRDefault="006775D8" w:rsidP="00D36062">
            <w:pPr>
              <w:ind w:right="226"/>
              <w:jc w:val="right"/>
            </w:pPr>
            <w:r w:rsidRPr="004C5551">
              <w:t>83,4</w:t>
            </w:r>
          </w:p>
        </w:tc>
        <w:tc>
          <w:tcPr>
            <w:tcW w:w="1134" w:type="dxa"/>
            <w:noWrap/>
            <w:vAlign w:val="center"/>
          </w:tcPr>
          <w:p w:rsidR="006775D8" w:rsidRPr="004C5551" w:rsidRDefault="006775D8" w:rsidP="00D36062">
            <w:pPr>
              <w:ind w:right="214"/>
              <w:jc w:val="right"/>
            </w:pPr>
            <w:r w:rsidRPr="004C5551">
              <w:t>15,6</w:t>
            </w:r>
          </w:p>
        </w:tc>
        <w:tc>
          <w:tcPr>
            <w:tcW w:w="1559" w:type="dxa"/>
            <w:noWrap/>
            <w:vAlign w:val="center"/>
          </w:tcPr>
          <w:p w:rsidR="006775D8" w:rsidRPr="004C5551" w:rsidRDefault="006775D8" w:rsidP="00D36062">
            <w:pPr>
              <w:ind w:right="529"/>
              <w:jc w:val="right"/>
            </w:pPr>
            <w:r w:rsidRPr="004C5551">
              <w:t>-3,1</w:t>
            </w:r>
          </w:p>
        </w:tc>
      </w:tr>
    </w:tbl>
    <w:p w:rsidR="006775D8" w:rsidRPr="004C5551" w:rsidRDefault="006775D8" w:rsidP="004B576F">
      <w:pPr>
        <w:pStyle w:val="zdroj"/>
      </w:pPr>
      <w:r w:rsidRPr="004C5551">
        <w:t>Zdroj: ŠÚ SR, VZPS</w:t>
      </w:r>
    </w:p>
    <w:p w:rsidR="001A37C9" w:rsidRPr="004C5551" w:rsidRDefault="001A37C9" w:rsidP="00C92B2F">
      <w:pPr>
        <w:ind w:firstLine="431"/>
      </w:pPr>
      <w:r w:rsidRPr="004C5551">
        <w:t xml:space="preserve">Pokles bol zaznamenaný ako u krátkodobej nezamestnanosti (do 6 mesiacov), tak u strednodobej (6 mesiacov až 1 rok), a čo je pozitívne aj u dlhodobej nezamestnanosti (od 1 roka). Miera dlhodobej nezamestnanosti (podiel dlhodobo nezamestnaných na celkovom počte ekonomicky aktívnych obyvateľov) medziročne poklesla o 0,7 p. b. (z 9,5 % v roku 2013 na 8,8 % v roku 2014). </w:t>
      </w:r>
    </w:p>
    <w:p w:rsidR="006775D8" w:rsidRPr="004C5551" w:rsidRDefault="006775D8" w:rsidP="00C92B2F">
      <w:pPr>
        <w:ind w:firstLine="431"/>
      </w:pPr>
      <w:r w:rsidRPr="004C5551">
        <w:t xml:space="preserve">Pokles </w:t>
      </w:r>
      <w:r w:rsidR="001A37C9" w:rsidRPr="004C5551">
        <w:t xml:space="preserve">celkovej </w:t>
      </w:r>
      <w:r w:rsidRPr="004C5551">
        <w:t xml:space="preserve">nezamestnanosti ovplyvnila </w:t>
      </w:r>
      <w:r w:rsidR="001A37C9" w:rsidRPr="004C5551">
        <w:t>práve</w:t>
      </w:r>
      <w:r w:rsidRPr="004C5551">
        <w:t xml:space="preserve"> </w:t>
      </w:r>
      <w:r w:rsidRPr="004C5551">
        <w:rPr>
          <w:b/>
          <w:i/>
        </w:rPr>
        <w:t>dlhodobá nezamestnanosť</w:t>
      </w:r>
      <w:r w:rsidRPr="004C5551">
        <w:t>. Absolútny počet dlhodobo nezamestnaných medziročne poklesol (o</w:t>
      </w:r>
      <w:r w:rsidR="004B576F" w:rsidRPr="004C5551">
        <w:t> </w:t>
      </w:r>
      <w:r w:rsidR="00A41A41" w:rsidRPr="004C5551">
        <w:t xml:space="preserve">približne </w:t>
      </w:r>
      <w:r w:rsidRPr="004C5551">
        <w:t>18 tis. osôb, resp. o 7,0</w:t>
      </w:r>
      <w:r w:rsidR="009425AA" w:rsidRPr="004C5551">
        <w:t> %</w:t>
      </w:r>
      <w:r w:rsidRPr="004C5551">
        <w:t xml:space="preserve">) a zníženie počtu dlhodobo nezamestnaných osôb malo takmer </w:t>
      </w:r>
      <w:r w:rsidR="00A41A41" w:rsidRPr="004C5551">
        <w:t>65</w:t>
      </w:r>
      <w:r w:rsidR="009425AA" w:rsidRPr="004C5551">
        <w:t> %</w:t>
      </w:r>
      <w:r w:rsidRPr="004C5551">
        <w:t xml:space="preserve"> podiel na celkovom úbytku počtu nezamestnaných osôb v roku 2014.</w:t>
      </w:r>
    </w:p>
    <w:p w:rsidR="006775D8" w:rsidRPr="004C5551" w:rsidRDefault="0096140A" w:rsidP="00C92B2F">
      <w:pPr>
        <w:ind w:firstLine="431"/>
      </w:pPr>
      <w:r w:rsidRPr="004C5551">
        <w:t>V</w:t>
      </w:r>
      <w:r w:rsidR="006775D8" w:rsidRPr="004C5551">
        <w:t>ysoký podiel dlhodobo nezamestnaných na celkovom počte nezamestnaných v SR (viac ako 60</w:t>
      </w:r>
      <w:r w:rsidR="009425AA" w:rsidRPr="004C5551">
        <w:t> %</w:t>
      </w:r>
      <w:r w:rsidR="006775D8" w:rsidRPr="004C5551">
        <w:t xml:space="preserve"> nezamestnaných bolo bez práce viac ako 1 rok</w:t>
      </w:r>
      <w:r w:rsidR="006775D8" w:rsidRPr="004C5551">
        <w:rPr>
          <w:i/>
        </w:rPr>
        <w:t>)</w:t>
      </w:r>
      <w:r w:rsidR="006775D8" w:rsidRPr="004C5551">
        <w:t xml:space="preserve"> pretrvával naďalej a mal výrazný vplyv na</w:t>
      </w:r>
      <w:r w:rsidR="004B576F" w:rsidRPr="004C5551">
        <w:t> </w:t>
      </w:r>
      <w:r w:rsidR="006775D8" w:rsidRPr="004C5551">
        <w:t xml:space="preserve">celkovú úroveň miery nezamestnanosti v SR. </w:t>
      </w:r>
      <w:r w:rsidRPr="004C5551">
        <w:t xml:space="preserve">Naďalej pretrváva </w:t>
      </w:r>
      <w:r w:rsidR="006775D8" w:rsidRPr="004C5551">
        <w:t>veľmi dlhodobá nezamestnanosť (nezamestnaní viac ako 2 roky), ktorá tvorila takmer 50</w:t>
      </w:r>
      <w:r w:rsidR="009425AA" w:rsidRPr="004C5551">
        <w:t> %</w:t>
      </w:r>
      <w:r w:rsidR="006775D8" w:rsidRPr="004C5551">
        <w:t xml:space="preserve"> z celkovej nezamestnanosti v SR a takmer dve tretiny z celkového počtu dlhodobo nezamestnaných. </w:t>
      </w:r>
    </w:p>
    <w:p w:rsidR="006775D8" w:rsidRPr="004C5551" w:rsidRDefault="006775D8" w:rsidP="001A37C9">
      <w:pPr>
        <w:pStyle w:val="Nadpis7"/>
      </w:pPr>
      <w:r w:rsidRPr="004C5551">
        <w:t>Tabuľka 2.1</w:t>
      </w:r>
      <w:r w:rsidR="005F2A7C" w:rsidRPr="004C5551">
        <w:t>6</w:t>
      </w:r>
      <w:r w:rsidRPr="004C5551">
        <w:t xml:space="preserve"> Nezamestnanosť podľa dĺžky trvania nezamestnanosti v roku 2014 </w:t>
      </w:r>
      <w:r w:rsidRPr="004C5551">
        <w:br/>
        <w:t xml:space="preserve">(priemer za rok) </w:t>
      </w:r>
    </w:p>
    <w:tbl>
      <w:tblPr>
        <w:tblW w:w="9145" w:type="dxa"/>
        <w:jc w:val="center"/>
        <w:tblInd w:w="397"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2910"/>
        <w:gridCol w:w="2342"/>
        <w:gridCol w:w="2440"/>
        <w:gridCol w:w="1453"/>
      </w:tblGrid>
      <w:tr w:rsidR="006775D8" w:rsidRPr="004C5551" w:rsidTr="00A41A41">
        <w:trPr>
          <w:jc w:val="center"/>
        </w:trPr>
        <w:tc>
          <w:tcPr>
            <w:tcW w:w="2910"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Trvanie nezamestnanosti</w:t>
            </w:r>
          </w:p>
        </w:tc>
        <w:tc>
          <w:tcPr>
            <w:tcW w:w="2342"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Počet nezamestnaných</w:t>
            </w:r>
          </w:p>
          <w:p w:rsidR="006775D8" w:rsidRPr="004C5551" w:rsidRDefault="006775D8" w:rsidP="00D36062">
            <w:pPr>
              <w:jc w:val="center"/>
              <w:rPr>
                <w:b/>
                <w:color w:val="FFFFFF" w:themeColor="background1"/>
              </w:rPr>
            </w:pPr>
            <w:r w:rsidRPr="004C5551">
              <w:rPr>
                <w:b/>
                <w:color w:val="FFFFFF" w:themeColor="background1"/>
              </w:rPr>
              <w:t>(v tis. osôb)</w:t>
            </w:r>
          </w:p>
        </w:tc>
        <w:tc>
          <w:tcPr>
            <w:tcW w:w="2440"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Podiel z celkového počtu nezamestnaných (v</w:t>
            </w:r>
            <w:r w:rsidR="009425AA" w:rsidRPr="004C5551">
              <w:rPr>
                <w:b/>
                <w:color w:val="FFFFFF" w:themeColor="background1"/>
              </w:rPr>
              <w:t> %</w:t>
            </w:r>
            <w:r w:rsidRPr="004C5551">
              <w:rPr>
                <w:b/>
                <w:color w:val="FFFFFF" w:themeColor="background1"/>
              </w:rPr>
              <w:t>)</w:t>
            </w:r>
          </w:p>
        </w:tc>
        <w:tc>
          <w:tcPr>
            <w:tcW w:w="1453" w:type="dxa"/>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Index</w:t>
            </w:r>
          </w:p>
          <w:p w:rsidR="006775D8" w:rsidRPr="004C5551" w:rsidRDefault="006775D8" w:rsidP="00D36062">
            <w:pPr>
              <w:jc w:val="center"/>
              <w:rPr>
                <w:b/>
                <w:color w:val="FFFFFF" w:themeColor="background1"/>
              </w:rPr>
            </w:pPr>
            <w:r w:rsidRPr="004C5551">
              <w:rPr>
                <w:b/>
                <w:color w:val="FFFFFF" w:themeColor="background1"/>
              </w:rPr>
              <w:t>2014/2013</w:t>
            </w:r>
          </w:p>
        </w:tc>
      </w:tr>
      <w:tr w:rsidR="006775D8" w:rsidRPr="004C5551" w:rsidTr="00A41A41">
        <w:trPr>
          <w:trHeight w:val="255"/>
          <w:jc w:val="center"/>
        </w:trPr>
        <w:tc>
          <w:tcPr>
            <w:tcW w:w="2910" w:type="dxa"/>
            <w:vAlign w:val="center"/>
          </w:tcPr>
          <w:p w:rsidR="006775D8" w:rsidRPr="004C5551" w:rsidRDefault="006775D8" w:rsidP="00D36062">
            <w:pPr>
              <w:jc w:val="left"/>
              <w:rPr>
                <w:b/>
              </w:rPr>
            </w:pPr>
            <w:r w:rsidRPr="004C5551">
              <w:rPr>
                <w:b/>
              </w:rPr>
              <w:t>Spolu</w:t>
            </w:r>
          </w:p>
        </w:tc>
        <w:tc>
          <w:tcPr>
            <w:tcW w:w="2342" w:type="dxa"/>
            <w:vAlign w:val="center"/>
          </w:tcPr>
          <w:p w:rsidR="006775D8" w:rsidRPr="004C5551" w:rsidRDefault="006775D8" w:rsidP="00D36062">
            <w:pPr>
              <w:ind w:right="672"/>
              <w:jc w:val="right"/>
              <w:rPr>
                <w:b/>
              </w:rPr>
            </w:pPr>
            <w:r w:rsidRPr="004C5551">
              <w:rPr>
                <w:b/>
              </w:rPr>
              <w:t>358,7</w:t>
            </w:r>
          </w:p>
        </w:tc>
        <w:tc>
          <w:tcPr>
            <w:tcW w:w="2440" w:type="dxa"/>
            <w:vAlign w:val="center"/>
          </w:tcPr>
          <w:p w:rsidR="006775D8" w:rsidRPr="004C5551" w:rsidRDefault="006775D8" w:rsidP="00D36062">
            <w:pPr>
              <w:ind w:right="672"/>
              <w:jc w:val="right"/>
              <w:rPr>
                <w:b/>
              </w:rPr>
            </w:pPr>
            <w:r w:rsidRPr="004C5551">
              <w:rPr>
                <w:b/>
              </w:rPr>
              <w:t>100,0</w:t>
            </w:r>
          </w:p>
        </w:tc>
        <w:tc>
          <w:tcPr>
            <w:tcW w:w="1453" w:type="dxa"/>
            <w:vAlign w:val="center"/>
          </w:tcPr>
          <w:p w:rsidR="006775D8" w:rsidRPr="004C5551" w:rsidRDefault="006775D8" w:rsidP="00A41A41">
            <w:pPr>
              <w:ind w:right="353"/>
              <w:jc w:val="right"/>
              <w:rPr>
                <w:b/>
              </w:rPr>
            </w:pPr>
            <w:r w:rsidRPr="004C5551">
              <w:rPr>
                <w:b/>
              </w:rPr>
              <w:t>92,9</w:t>
            </w: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v tom:</w:t>
            </w:r>
          </w:p>
        </w:tc>
        <w:tc>
          <w:tcPr>
            <w:tcW w:w="2342" w:type="dxa"/>
            <w:vAlign w:val="center"/>
          </w:tcPr>
          <w:p w:rsidR="006775D8" w:rsidRPr="004C5551" w:rsidRDefault="006775D8" w:rsidP="00D36062">
            <w:pPr>
              <w:ind w:right="672"/>
              <w:jc w:val="right"/>
            </w:pPr>
          </w:p>
        </w:tc>
        <w:tc>
          <w:tcPr>
            <w:tcW w:w="2440" w:type="dxa"/>
            <w:vAlign w:val="center"/>
          </w:tcPr>
          <w:p w:rsidR="006775D8" w:rsidRPr="004C5551" w:rsidRDefault="006775D8" w:rsidP="00D36062">
            <w:pPr>
              <w:ind w:right="672"/>
              <w:jc w:val="right"/>
            </w:pPr>
          </w:p>
        </w:tc>
        <w:tc>
          <w:tcPr>
            <w:tcW w:w="1453" w:type="dxa"/>
            <w:vAlign w:val="center"/>
          </w:tcPr>
          <w:p w:rsidR="006775D8" w:rsidRPr="004C5551" w:rsidRDefault="006775D8" w:rsidP="00A41A41">
            <w:pPr>
              <w:ind w:right="353"/>
              <w:jc w:val="right"/>
            </w:pP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do 1 mesiaca</w:t>
            </w:r>
          </w:p>
        </w:tc>
        <w:tc>
          <w:tcPr>
            <w:tcW w:w="2342" w:type="dxa"/>
            <w:vAlign w:val="center"/>
          </w:tcPr>
          <w:p w:rsidR="006775D8" w:rsidRPr="004C5551" w:rsidRDefault="006775D8" w:rsidP="00D36062">
            <w:pPr>
              <w:ind w:right="672"/>
              <w:jc w:val="right"/>
            </w:pPr>
            <w:r w:rsidRPr="004C5551">
              <w:t>23,0</w:t>
            </w:r>
          </w:p>
        </w:tc>
        <w:tc>
          <w:tcPr>
            <w:tcW w:w="2440" w:type="dxa"/>
            <w:vAlign w:val="center"/>
          </w:tcPr>
          <w:p w:rsidR="006775D8" w:rsidRPr="004C5551" w:rsidRDefault="006775D8" w:rsidP="00D36062">
            <w:pPr>
              <w:ind w:right="672"/>
              <w:jc w:val="right"/>
            </w:pPr>
            <w:r w:rsidRPr="004C5551">
              <w:t>6,4</w:t>
            </w:r>
          </w:p>
        </w:tc>
        <w:tc>
          <w:tcPr>
            <w:tcW w:w="1453" w:type="dxa"/>
            <w:vAlign w:val="center"/>
          </w:tcPr>
          <w:p w:rsidR="006775D8" w:rsidRPr="004C5551" w:rsidRDefault="006775D8" w:rsidP="00A41A41">
            <w:pPr>
              <w:ind w:right="353"/>
              <w:jc w:val="right"/>
            </w:pPr>
            <w:r w:rsidRPr="004C5551">
              <w:t>96,2</w:t>
            </w: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od 1 mesiaca do 3 mesiacov</w:t>
            </w:r>
          </w:p>
        </w:tc>
        <w:tc>
          <w:tcPr>
            <w:tcW w:w="2342" w:type="dxa"/>
            <w:vAlign w:val="center"/>
          </w:tcPr>
          <w:p w:rsidR="006775D8" w:rsidRPr="004C5551" w:rsidRDefault="006775D8" w:rsidP="00D36062">
            <w:pPr>
              <w:ind w:right="672"/>
              <w:jc w:val="right"/>
            </w:pPr>
            <w:r w:rsidRPr="004C5551">
              <w:t>22,2</w:t>
            </w:r>
          </w:p>
        </w:tc>
        <w:tc>
          <w:tcPr>
            <w:tcW w:w="2440" w:type="dxa"/>
            <w:vAlign w:val="center"/>
          </w:tcPr>
          <w:p w:rsidR="006775D8" w:rsidRPr="004C5551" w:rsidRDefault="006775D8" w:rsidP="00D36062">
            <w:pPr>
              <w:ind w:right="672"/>
              <w:jc w:val="right"/>
            </w:pPr>
            <w:r w:rsidRPr="004C5551">
              <w:t>6,2</w:t>
            </w:r>
          </w:p>
        </w:tc>
        <w:tc>
          <w:tcPr>
            <w:tcW w:w="1453" w:type="dxa"/>
            <w:vAlign w:val="center"/>
          </w:tcPr>
          <w:p w:rsidR="006775D8" w:rsidRPr="004C5551" w:rsidRDefault="006775D8" w:rsidP="00A41A41">
            <w:pPr>
              <w:tabs>
                <w:tab w:val="left" w:pos="1107"/>
              </w:tabs>
              <w:ind w:right="353"/>
              <w:jc w:val="right"/>
            </w:pPr>
            <w:r w:rsidRPr="004C5551">
              <w:t>98,2</w:t>
            </w: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od 3 mesiacov do 6 mesiacov</w:t>
            </w:r>
          </w:p>
        </w:tc>
        <w:tc>
          <w:tcPr>
            <w:tcW w:w="2342" w:type="dxa"/>
            <w:vAlign w:val="center"/>
          </w:tcPr>
          <w:p w:rsidR="006775D8" w:rsidRPr="004C5551" w:rsidRDefault="006775D8" w:rsidP="00D36062">
            <w:pPr>
              <w:ind w:right="672"/>
              <w:jc w:val="right"/>
            </w:pPr>
            <w:r w:rsidRPr="004C5551">
              <w:t>26,7</w:t>
            </w:r>
          </w:p>
        </w:tc>
        <w:tc>
          <w:tcPr>
            <w:tcW w:w="2440" w:type="dxa"/>
            <w:vAlign w:val="center"/>
          </w:tcPr>
          <w:p w:rsidR="006775D8" w:rsidRPr="004C5551" w:rsidRDefault="006775D8" w:rsidP="00D36062">
            <w:pPr>
              <w:ind w:right="672"/>
              <w:jc w:val="right"/>
            </w:pPr>
            <w:r w:rsidRPr="004C5551">
              <w:t>7,4</w:t>
            </w:r>
          </w:p>
        </w:tc>
        <w:tc>
          <w:tcPr>
            <w:tcW w:w="1453" w:type="dxa"/>
            <w:vAlign w:val="center"/>
          </w:tcPr>
          <w:p w:rsidR="006775D8" w:rsidRPr="004C5551" w:rsidRDefault="006775D8" w:rsidP="00A41A41">
            <w:pPr>
              <w:ind w:right="353"/>
              <w:jc w:val="right"/>
            </w:pPr>
            <w:r w:rsidRPr="004C5551">
              <w:t>87,3</w:t>
            </w: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od 6 mesiacov do 1 roka</w:t>
            </w:r>
          </w:p>
        </w:tc>
        <w:tc>
          <w:tcPr>
            <w:tcW w:w="2342" w:type="dxa"/>
            <w:vAlign w:val="center"/>
          </w:tcPr>
          <w:p w:rsidR="006775D8" w:rsidRPr="004C5551" w:rsidRDefault="006775D8" w:rsidP="00D36062">
            <w:pPr>
              <w:ind w:right="672"/>
              <w:jc w:val="right"/>
            </w:pPr>
            <w:r w:rsidRPr="004C5551">
              <w:t>47,3</w:t>
            </w:r>
          </w:p>
        </w:tc>
        <w:tc>
          <w:tcPr>
            <w:tcW w:w="2440" w:type="dxa"/>
            <w:vAlign w:val="center"/>
          </w:tcPr>
          <w:p w:rsidR="006775D8" w:rsidRPr="004C5551" w:rsidRDefault="006775D8" w:rsidP="00D36062">
            <w:pPr>
              <w:ind w:right="672"/>
              <w:jc w:val="right"/>
            </w:pPr>
            <w:r w:rsidRPr="004C5551">
              <w:t>13,2</w:t>
            </w:r>
          </w:p>
        </w:tc>
        <w:tc>
          <w:tcPr>
            <w:tcW w:w="1453" w:type="dxa"/>
            <w:vAlign w:val="center"/>
          </w:tcPr>
          <w:p w:rsidR="006775D8" w:rsidRPr="004C5551" w:rsidRDefault="006775D8" w:rsidP="00A41A41">
            <w:pPr>
              <w:ind w:right="353"/>
              <w:jc w:val="right"/>
            </w:pPr>
            <w:r w:rsidRPr="004C5551">
              <w:t>91,1</w:t>
            </w:r>
          </w:p>
        </w:tc>
      </w:tr>
      <w:tr w:rsidR="006775D8" w:rsidRPr="004C5551" w:rsidTr="00A41A41">
        <w:trPr>
          <w:trHeight w:val="255"/>
          <w:jc w:val="center"/>
        </w:trPr>
        <w:tc>
          <w:tcPr>
            <w:tcW w:w="2910" w:type="dxa"/>
            <w:vAlign w:val="center"/>
          </w:tcPr>
          <w:p w:rsidR="006775D8" w:rsidRPr="004C5551" w:rsidRDefault="006775D8" w:rsidP="00D36062">
            <w:pPr>
              <w:jc w:val="left"/>
            </w:pPr>
            <w:r w:rsidRPr="004C5551">
              <w:t>od 1 roka spolu, v tom:</w:t>
            </w:r>
          </w:p>
        </w:tc>
        <w:tc>
          <w:tcPr>
            <w:tcW w:w="2342" w:type="dxa"/>
            <w:vAlign w:val="center"/>
          </w:tcPr>
          <w:p w:rsidR="006775D8" w:rsidRPr="004C5551" w:rsidRDefault="006775D8" w:rsidP="00D36062">
            <w:pPr>
              <w:ind w:right="672"/>
              <w:jc w:val="right"/>
            </w:pPr>
            <w:r w:rsidRPr="004C5551">
              <w:t>239,6</w:t>
            </w:r>
          </w:p>
        </w:tc>
        <w:tc>
          <w:tcPr>
            <w:tcW w:w="2440" w:type="dxa"/>
            <w:vAlign w:val="center"/>
          </w:tcPr>
          <w:p w:rsidR="006775D8" w:rsidRPr="004C5551" w:rsidRDefault="006775D8" w:rsidP="00D36062">
            <w:pPr>
              <w:ind w:right="672"/>
              <w:jc w:val="right"/>
            </w:pPr>
            <w:r w:rsidRPr="004C5551">
              <w:t>66,8</w:t>
            </w:r>
          </w:p>
        </w:tc>
        <w:tc>
          <w:tcPr>
            <w:tcW w:w="1453" w:type="dxa"/>
            <w:vAlign w:val="center"/>
          </w:tcPr>
          <w:p w:rsidR="006775D8" w:rsidRPr="004C5551" w:rsidRDefault="006775D8" w:rsidP="00A41A41">
            <w:pPr>
              <w:tabs>
                <w:tab w:val="left" w:pos="1107"/>
              </w:tabs>
              <w:ind w:right="353"/>
              <w:jc w:val="right"/>
            </w:pPr>
            <w:r w:rsidRPr="004C5551">
              <w:t>93,2</w:t>
            </w:r>
          </w:p>
        </w:tc>
      </w:tr>
      <w:tr w:rsidR="006775D8" w:rsidRPr="004C5551" w:rsidTr="00A41A41">
        <w:trPr>
          <w:trHeight w:val="255"/>
          <w:jc w:val="center"/>
        </w:trPr>
        <w:tc>
          <w:tcPr>
            <w:tcW w:w="2910" w:type="dxa"/>
            <w:vAlign w:val="center"/>
          </w:tcPr>
          <w:p w:rsidR="006775D8" w:rsidRPr="004C5551" w:rsidRDefault="006775D8" w:rsidP="00D36062">
            <w:pPr>
              <w:ind w:firstLine="316"/>
              <w:jc w:val="left"/>
            </w:pPr>
            <w:r w:rsidRPr="004C5551">
              <w:t>od 1do 2 rokov</w:t>
            </w:r>
          </w:p>
        </w:tc>
        <w:tc>
          <w:tcPr>
            <w:tcW w:w="2342" w:type="dxa"/>
            <w:vAlign w:val="center"/>
          </w:tcPr>
          <w:p w:rsidR="006775D8" w:rsidRPr="004C5551" w:rsidRDefault="006775D8" w:rsidP="00D36062">
            <w:pPr>
              <w:ind w:right="672"/>
              <w:jc w:val="right"/>
            </w:pPr>
            <w:r w:rsidRPr="004C5551">
              <w:t>64,5</w:t>
            </w:r>
          </w:p>
        </w:tc>
        <w:tc>
          <w:tcPr>
            <w:tcW w:w="2440" w:type="dxa"/>
            <w:vAlign w:val="center"/>
          </w:tcPr>
          <w:p w:rsidR="006775D8" w:rsidRPr="004C5551" w:rsidRDefault="006775D8" w:rsidP="00D36062">
            <w:pPr>
              <w:ind w:right="672"/>
              <w:jc w:val="right"/>
            </w:pPr>
            <w:r w:rsidRPr="004C5551">
              <w:t>18,0</w:t>
            </w:r>
          </w:p>
        </w:tc>
        <w:tc>
          <w:tcPr>
            <w:tcW w:w="1453" w:type="dxa"/>
            <w:vAlign w:val="center"/>
          </w:tcPr>
          <w:p w:rsidR="006775D8" w:rsidRPr="004C5551" w:rsidRDefault="00A41A41" w:rsidP="00A41A41">
            <w:pPr>
              <w:ind w:right="353"/>
              <w:jc w:val="right"/>
            </w:pPr>
            <w:r w:rsidRPr="004C5551">
              <w:t>105,4</w:t>
            </w:r>
          </w:p>
        </w:tc>
      </w:tr>
      <w:tr w:rsidR="006775D8" w:rsidRPr="004C5551" w:rsidTr="00A41A41">
        <w:trPr>
          <w:trHeight w:val="255"/>
          <w:jc w:val="center"/>
        </w:trPr>
        <w:tc>
          <w:tcPr>
            <w:tcW w:w="2910" w:type="dxa"/>
            <w:vAlign w:val="center"/>
          </w:tcPr>
          <w:p w:rsidR="006775D8" w:rsidRPr="004C5551" w:rsidRDefault="006775D8" w:rsidP="00D36062">
            <w:pPr>
              <w:ind w:firstLine="316"/>
              <w:jc w:val="left"/>
            </w:pPr>
            <w:r w:rsidRPr="004C5551">
              <w:t>viac ako 2 roky</w:t>
            </w:r>
          </w:p>
        </w:tc>
        <w:tc>
          <w:tcPr>
            <w:tcW w:w="2342" w:type="dxa"/>
            <w:vAlign w:val="center"/>
          </w:tcPr>
          <w:p w:rsidR="006775D8" w:rsidRPr="004C5551" w:rsidRDefault="006775D8" w:rsidP="00D36062">
            <w:pPr>
              <w:ind w:right="672"/>
              <w:jc w:val="right"/>
            </w:pPr>
            <w:r w:rsidRPr="004C5551">
              <w:t>175,1</w:t>
            </w:r>
          </w:p>
        </w:tc>
        <w:tc>
          <w:tcPr>
            <w:tcW w:w="2440" w:type="dxa"/>
            <w:vAlign w:val="center"/>
          </w:tcPr>
          <w:p w:rsidR="006775D8" w:rsidRPr="004C5551" w:rsidRDefault="006775D8" w:rsidP="00D36062">
            <w:pPr>
              <w:ind w:right="672"/>
              <w:jc w:val="right"/>
            </w:pPr>
            <w:r w:rsidRPr="004C5551">
              <w:t>48,8</w:t>
            </w:r>
          </w:p>
        </w:tc>
        <w:tc>
          <w:tcPr>
            <w:tcW w:w="1453" w:type="dxa"/>
            <w:vAlign w:val="center"/>
          </w:tcPr>
          <w:p w:rsidR="006775D8" w:rsidRPr="004C5551" w:rsidRDefault="00A41A41" w:rsidP="00A41A41">
            <w:pPr>
              <w:ind w:right="353"/>
              <w:jc w:val="right"/>
            </w:pPr>
            <w:r w:rsidRPr="004C5551">
              <w:t>120,6</w:t>
            </w:r>
          </w:p>
        </w:tc>
      </w:tr>
    </w:tbl>
    <w:p w:rsidR="006775D8" w:rsidRPr="004C5551" w:rsidRDefault="006775D8" w:rsidP="004B576F">
      <w:pPr>
        <w:pStyle w:val="zdroj"/>
      </w:pPr>
      <w:r w:rsidRPr="004C5551">
        <w:t>Zdroj: ŠÚ SR, VZPS</w:t>
      </w:r>
    </w:p>
    <w:p w:rsidR="004B576F" w:rsidRPr="004C5551" w:rsidRDefault="004B576F">
      <w:pPr>
        <w:jc w:val="left"/>
        <w:rPr>
          <w:i/>
          <w:color w:val="000000"/>
          <w:sz w:val="20"/>
          <w:szCs w:val="20"/>
        </w:rPr>
      </w:pPr>
      <w:r w:rsidRPr="004C5551">
        <w:br w:type="page"/>
      </w:r>
    </w:p>
    <w:p w:rsidR="00A966B5" w:rsidRPr="004C5551" w:rsidRDefault="00A966B5" w:rsidP="00ED16E0">
      <w:pPr>
        <w:pStyle w:val="Nadpis6"/>
      </w:pPr>
      <w:bookmarkStart w:id="97" w:name="_Toc422233407"/>
      <w:r w:rsidRPr="004C5551">
        <w:t>Aktívne opatrenia na trhu práce</w:t>
      </w:r>
      <w:bookmarkEnd w:id="97"/>
    </w:p>
    <w:p w:rsidR="00A966B5" w:rsidRPr="004C5551" w:rsidRDefault="00A167EE" w:rsidP="00ED16E0">
      <w:pPr>
        <w:pStyle w:val="Nadpis41"/>
      </w:pPr>
      <w:r w:rsidRPr="004C5551">
        <w:t>V</w:t>
      </w:r>
      <w:r w:rsidR="00A966B5" w:rsidRPr="004C5551">
        <w:t>yhodnotenie zmien právnych predpisov v oblasti služieb zamestnanosti v roku 201</w:t>
      </w:r>
      <w:r w:rsidR="008355D2" w:rsidRPr="004C5551">
        <w:t>3</w:t>
      </w:r>
    </w:p>
    <w:p w:rsidR="006775D8" w:rsidRPr="004C5551" w:rsidRDefault="006775D8" w:rsidP="006775D8">
      <w:pPr>
        <w:ind w:firstLine="567"/>
        <w:rPr>
          <w:b/>
          <w:szCs w:val="22"/>
        </w:rPr>
      </w:pPr>
      <w:r w:rsidRPr="004C5551">
        <w:rPr>
          <w:b/>
          <w:szCs w:val="22"/>
        </w:rPr>
        <w:t>Zákon o službách zamestnanosti</w:t>
      </w:r>
    </w:p>
    <w:p w:rsidR="006775D8" w:rsidRPr="004C5551" w:rsidRDefault="006775D8" w:rsidP="006775D8">
      <w:pPr>
        <w:ind w:firstLine="567"/>
        <w:rPr>
          <w:b/>
          <w:szCs w:val="22"/>
        </w:rPr>
      </w:pPr>
    </w:p>
    <w:p w:rsidR="006775D8" w:rsidRPr="004C5551" w:rsidRDefault="006775D8" w:rsidP="00C92B2F">
      <w:pPr>
        <w:ind w:firstLine="431"/>
        <w:rPr>
          <w:szCs w:val="22"/>
        </w:rPr>
      </w:pPr>
      <w:r w:rsidRPr="004C5551">
        <w:rPr>
          <w:szCs w:val="22"/>
        </w:rPr>
        <w:t>Reformou aktívnej politiky trhu práce (ďalej len „APTP“) z 1. mája 2013 sa v roku 2014 znížila administratívna náročnosť a zvýšila efektívnosť poskytovania opatrení APTP. Uvoľnená admini</w:t>
      </w:r>
      <w:r w:rsidR="00F02E09" w:rsidRPr="004C5551">
        <w:rPr>
          <w:szCs w:val="22"/>
        </w:rPr>
        <w:softHyphen/>
      </w:r>
      <w:r w:rsidRPr="004C5551">
        <w:rPr>
          <w:szCs w:val="22"/>
        </w:rPr>
        <w:t>stratívna kapacita sa využila v prospech zabezpečenia individualizovanejších odborných a</w:t>
      </w:r>
      <w:r w:rsidR="004B576F" w:rsidRPr="004C5551">
        <w:rPr>
          <w:szCs w:val="22"/>
        </w:rPr>
        <w:t> </w:t>
      </w:r>
      <w:r w:rsidRPr="004C5551">
        <w:rPr>
          <w:szCs w:val="22"/>
        </w:rPr>
        <w:t>pora</w:t>
      </w:r>
      <w:r w:rsidR="00F02E09" w:rsidRPr="004C5551">
        <w:rPr>
          <w:szCs w:val="22"/>
        </w:rPr>
        <w:softHyphen/>
      </w:r>
      <w:r w:rsidRPr="004C5551">
        <w:rPr>
          <w:szCs w:val="22"/>
        </w:rPr>
        <w:t xml:space="preserve">denských služieb zamestnanosti pre znevýhodnených uchádzačov o zamestnanie (mladí ľudia, dlhodobo nezamestnaní, atď.). V roku 2014 pokračovala podpora vytvárania pracovných miest pre mladých prostredníctvom projektov na vytvorenie nových pracovných miest pre uchádzačov o zamestnanie do 29 rokov formou príspevku pre zamestnávateľa na úhradu časti mzdových nákladov z prostriedkov Európskeho sociálneho fondu. </w:t>
      </w:r>
    </w:p>
    <w:p w:rsidR="006775D8" w:rsidRPr="004C5551" w:rsidRDefault="006775D8" w:rsidP="00C92B2F">
      <w:pPr>
        <w:ind w:firstLine="431"/>
        <w:rPr>
          <w:szCs w:val="22"/>
        </w:rPr>
      </w:pPr>
      <w:r w:rsidRPr="004C5551">
        <w:rPr>
          <w:szCs w:val="22"/>
        </w:rPr>
        <w:t>Na trhu práce pôsobili aktívne opatrenia s cieľom podporiť motiváciu zamestnávateľov pri vytváraní nových pracovných miest pre uchádzačov o zamestnanie, podporiť vytváranie reálnych pracovných miest na miestnej a regionálnej úrovni a podporiť udržanie zamestnanosti v malých podnikoch alebo stredných podnikoch.</w:t>
      </w:r>
    </w:p>
    <w:p w:rsidR="006775D8" w:rsidRPr="004C5551" w:rsidRDefault="006775D8" w:rsidP="00C92B2F">
      <w:pPr>
        <w:pStyle w:val="Normlnysozarkami1"/>
        <w:ind w:firstLine="431"/>
        <w:rPr>
          <w:szCs w:val="22"/>
        </w:rPr>
      </w:pPr>
      <w:r w:rsidRPr="004C5551">
        <w:rPr>
          <w:b/>
          <w:szCs w:val="22"/>
        </w:rPr>
        <w:t xml:space="preserve">Aktívne opatrenia na trhu práce </w:t>
      </w:r>
      <w:r w:rsidRPr="004C5551">
        <w:rPr>
          <w:szCs w:val="22"/>
        </w:rPr>
        <w:t>(ďalej aj „AOTP") v hodnotenom období boli realizované najmä uplatňovaním zákona č. 5/2004 Z. z. o službách zamestnanosti a o zmene a doplnení niektorých zákonov v znení neskorších predpisov (ďalej len zákon o službách zamestnanosti), ktorý bol s</w:t>
      </w:r>
      <w:r w:rsidR="004B576F" w:rsidRPr="004C5551">
        <w:rPr>
          <w:szCs w:val="22"/>
        </w:rPr>
        <w:t> </w:t>
      </w:r>
      <w:r w:rsidRPr="004C5551">
        <w:rPr>
          <w:szCs w:val="22"/>
        </w:rPr>
        <w:t>účinnosťou od 1. januára 2014 novelizovaný:</w:t>
      </w:r>
    </w:p>
    <w:p w:rsidR="006775D8" w:rsidRPr="004C5551" w:rsidRDefault="006775D8" w:rsidP="00AD5331">
      <w:pPr>
        <w:pStyle w:val="Odsekzoznamu"/>
        <w:numPr>
          <w:ilvl w:val="0"/>
          <w:numId w:val="21"/>
        </w:numPr>
        <w:tabs>
          <w:tab w:val="left" w:pos="567"/>
        </w:tabs>
        <w:ind w:left="567" w:hanging="283"/>
        <w:rPr>
          <w:rStyle w:val="Textzstupnhosymbolu"/>
          <w:color w:val="auto"/>
          <w:szCs w:val="22"/>
        </w:rPr>
      </w:pPr>
      <w:r w:rsidRPr="004C5551">
        <w:rPr>
          <w:b/>
          <w:bCs/>
          <w:szCs w:val="22"/>
        </w:rPr>
        <w:t>zákonom č. 352/2013 Z. z.,</w:t>
      </w:r>
      <w:r w:rsidRPr="004C5551">
        <w:rPr>
          <w:bCs/>
          <w:szCs w:val="22"/>
        </w:rPr>
        <w:t xml:space="preserve"> ktorým sa mení a dopĺňa zákon č. 431/2002 Z. z. o účtovníctve v znení neskorších predpisov a ktorým sa menia a dopĺňajú niektoré zákony</w:t>
      </w:r>
      <w:r w:rsidRPr="004C5551">
        <w:rPr>
          <w:szCs w:val="22"/>
        </w:rPr>
        <w:t xml:space="preserve"> sa v čl. XVII. novelizoval zákon o službách zamestnanosti. Novelou sa </w:t>
      </w:r>
      <w:r w:rsidRPr="004C5551">
        <w:rPr>
          <w:rStyle w:val="Textzstupnhosymbolu"/>
          <w:color w:val="000000"/>
          <w:szCs w:val="22"/>
        </w:rPr>
        <w:t xml:space="preserve">zrušila povinnosť právnických </w:t>
      </w:r>
      <w:r w:rsidRPr="004C5551">
        <w:rPr>
          <w:rStyle w:val="Textzstupnhosymbolu"/>
          <w:color w:val="000000"/>
          <w:szCs w:val="22"/>
        </w:rPr>
        <w:br/>
        <w:t>a fyzických osôb predkladať účtovné závierky k žiadostiam podľa § 29 a pri plnení povinností podľa § 31 s cieľom zníženia administratívnej záťaže a nevyžadovania dokladov, ktoré je možné získať z iných orgánov verejnej správy.</w:t>
      </w:r>
    </w:p>
    <w:p w:rsidR="006775D8" w:rsidRPr="004C5551" w:rsidRDefault="006775D8" w:rsidP="00AD5331">
      <w:pPr>
        <w:pStyle w:val="Odsekzoznamu"/>
        <w:numPr>
          <w:ilvl w:val="0"/>
          <w:numId w:val="21"/>
        </w:numPr>
        <w:tabs>
          <w:tab w:val="left" w:pos="567"/>
        </w:tabs>
        <w:ind w:left="567" w:hanging="283"/>
        <w:rPr>
          <w:bCs/>
          <w:szCs w:val="22"/>
        </w:rPr>
      </w:pPr>
      <w:r w:rsidRPr="004C5551">
        <w:rPr>
          <w:b/>
          <w:bCs/>
          <w:szCs w:val="22"/>
        </w:rPr>
        <w:t xml:space="preserve">zákonom č. 436/2013 Z. z., </w:t>
      </w:r>
      <w:r w:rsidRPr="004C5551">
        <w:rPr>
          <w:bCs/>
          <w:szCs w:val="22"/>
        </w:rPr>
        <w:t xml:space="preserve">ktorým sa mení a dopĺňa zákon č. 523/2004 Z. z. o rozpočtových pravidlách verejnej správy a o zmene a doplnení niektorých zákonov v znení neskorších predpisov a ktorým sa dopĺňajú niektoré zákony sa v čl. IV novelizoval zákon o službách zamestnanosti. Novelou sa ustanovilo, že Ministerstvo financií Slovenskej republiky na účely zostavenia, vyhodnocovania a prognózovania rozpočtu verejnej správy získava údaje </w:t>
      </w:r>
      <w:r w:rsidRPr="004C5551">
        <w:rPr>
          <w:bCs/>
          <w:szCs w:val="22"/>
        </w:rPr>
        <w:br/>
        <w:t>o uchádzačoch o zamestnanie z informačného systému Ústredia práce, sociál</w:t>
      </w:r>
      <w:r w:rsidR="004928A6" w:rsidRPr="004C5551">
        <w:rPr>
          <w:bCs/>
          <w:szCs w:val="22"/>
        </w:rPr>
        <w:t>nych vecí a rodiny (ďalej len „Ú</w:t>
      </w:r>
      <w:r w:rsidRPr="004C5551">
        <w:rPr>
          <w:bCs/>
          <w:szCs w:val="22"/>
        </w:rPr>
        <w:t xml:space="preserve">stredie“) a úradov </w:t>
      </w:r>
      <w:r w:rsidR="00F41E61" w:rsidRPr="004C5551">
        <w:rPr>
          <w:bCs/>
          <w:szCs w:val="22"/>
        </w:rPr>
        <w:t>PSVR</w:t>
      </w:r>
      <w:r w:rsidRPr="004C5551">
        <w:rPr>
          <w:bCs/>
          <w:szCs w:val="22"/>
        </w:rPr>
        <w:t>.</w:t>
      </w:r>
    </w:p>
    <w:p w:rsidR="006775D8" w:rsidRPr="004C5551" w:rsidRDefault="006775D8" w:rsidP="00AD5331">
      <w:pPr>
        <w:pStyle w:val="Odsekzoznamu"/>
        <w:numPr>
          <w:ilvl w:val="0"/>
          <w:numId w:val="21"/>
        </w:numPr>
        <w:tabs>
          <w:tab w:val="left" w:pos="567"/>
        </w:tabs>
        <w:ind w:left="567" w:hanging="283"/>
        <w:rPr>
          <w:bCs/>
          <w:szCs w:val="22"/>
        </w:rPr>
      </w:pPr>
      <w:r w:rsidRPr="004C5551">
        <w:rPr>
          <w:b/>
          <w:bCs/>
          <w:szCs w:val="22"/>
        </w:rPr>
        <w:t>zákonom č. 495/2013 Z. z.</w:t>
      </w:r>
      <w:r w:rsidRPr="004C5551">
        <w:rPr>
          <w:bCs/>
          <w:szCs w:val="22"/>
        </w:rPr>
        <w:t>, ktorým sa mení a dopĺňa zákon č. 480/2002 Z. z. o azyle a o zmene a doplnení niektorých zákonov v znení neskorších predpisov a ktorým sa menia a dopĺňajú niektoré zákony sa v čl. III. novelizoval zákon o službách zamestnanosti. Novelou sa</w:t>
      </w:r>
      <w:r w:rsidRPr="004C5551">
        <w:rPr>
          <w:szCs w:val="22"/>
        </w:rPr>
        <w:t>:</w:t>
      </w:r>
    </w:p>
    <w:p w:rsidR="006775D8" w:rsidRPr="004C5551" w:rsidRDefault="006775D8" w:rsidP="00AD5331">
      <w:pPr>
        <w:numPr>
          <w:ilvl w:val="0"/>
          <w:numId w:val="19"/>
        </w:numPr>
        <w:ind w:left="851" w:hanging="284"/>
        <w:rPr>
          <w:rStyle w:val="Textzstupnhosymbolu"/>
          <w:color w:val="000000"/>
          <w:szCs w:val="22"/>
        </w:rPr>
      </w:pPr>
      <w:r w:rsidRPr="004C5551">
        <w:rPr>
          <w:rStyle w:val="Textzstupnhosymbolu"/>
          <w:color w:val="000000"/>
          <w:szCs w:val="22"/>
        </w:rPr>
        <w:t>transponovala smernica Európskeho parlamentu a Rady 2011/98/EÚ z 13. decembra 2011 o</w:t>
      </w:r>
      <w:r w:rsidR="00003E80" w:rsidRPr="004C5551">
        <w:rPr>
          <w:rStyle w:val="Textzstupnhosymbolu"/>
          <w:color w:val="000000"/>
          <w:szCs w:val="22"/>
        </w:rPr>
        <w:t> </w:t>
      </w:r>
      <w:r w:rsidRPr="004C5551">
        <w:rPr>
          <w:rStyle w:val="Textzstupnhosymbolu"/>
          <w:color w:val="000000"/>
          <w:szCs w:val="22"/>
        </w:rPr>
        <w:t xml:space="preserve">jednotnom postupe vybavovania žiadostí o jednotné povolenie na pobyt a zamestnanie </w:t>
      </w:r>
      <w:r w:rsidR="00003E80" w:rsidRPr="004C5551">
        <w:rPr>
          <w:rStyle w:val="Textzstupnhosymbolu"/>
          <w:color w:val="000000"/>
          <w:szCs w:val="22"/>
        </w:rPr>
        <w:t>na </w:t>
      </w:r>
      <w:r w:rsidRPr="004C5551">
        <w:rPr>
          <w:rStyle w:val="Textzstupnhosymbolu"/>
          <w:color w:val="000000"/>
          <w:szCs w:val="22"/>
        </w:rPr>
        <w:t>území členského štátu pre štátnych príslušníkov tretích krajín a o spoločnom súbore práv pracovníkov z tretích krajín s oprávneným pobytom v členskom štáte (ďalej len „smernica Európskeho parlamentu a Rady 2011/98/EÚ“) do</w:t>
      </w:r>
      <w:r w:rsidR="004B576F" w:rsidRPr="004C5551">
        <w:rPr>
          <w:rStyle w:val="Textzstupnhosymbolu"/>
          <w:color w:val="000000"/>
          <w:szCs w:val="22"/>
        </w:rPr>
        <w:t> </w:t>
      </w:r>
      <w:r w:rsidRPr="004C5551">
        <w:rPr>
          <w:rStyle w:val="Textzstupnhosymbolu"/>
          <w:color w:val="000000"/>
          <w:szCs w:val="22"/>
        </w:rPr>
        <w:t>právneho poriadku Slovenskej republiky.</w:t>
      </w:r>
    </w:p>
    <w:p w:rsidR="006775D8" w:rsidRPr="004C5551" w:rsidRDefault="006775D8" w:rsidP="00AD5331">
      <w:pPr>
        <w:numPr>
          <w:ilvl w:val="0"/>
          <w:numId w:val="19"/>
        </w:numPr>
        <w:ind w:left="851" w:hanging="284"/>
        <w:rPr>
          <w:color w:val="000000"/>
          <w:szCs w:val="22"/>
        </w:rPr>
      </w:pPr>
      <w:r w:rsidRPr="004C5551">
        <w:rPr>
          <w:color w:val="000000"/>
          <w:szCs w:val="22"/>
          <w:lang w:eastAsia="ar-SA"/>
        </w:rPr>
        <w:t xml:space="preserve">stanovil jednotný postup vybavovania žiadostí vedúci k jednotnému povoleniu zahŕňajúcemu povolenie na prechodný pobyt aj povolenie na zamestnanie a jednotný postup vybavovania žiadostí vedúci k vydaniu modrej karty Európskej únie v rámci jedného správneho aktu. </w:t>
      </w:r>
      <w:r w:rsidR="00003E80" w:rsidRPr="004C5551">
        <w:rPr>
          <w:color w:val="000000"/>
          <w:szCs w:val="22"/>
          <w:lang w:eastAsia="ar-SA"/>
        </w:rPr>
        <w:t>Do </w:t>
      </w:r>
      <w:r w:rsidRPr="004C5551">
        <w:rPr>
          <w:color w:val="000000"/>
          <w:szCs w:val="22"/>
          <w:lang w:eastAsia="ar-SA"/>
        </w:rPr>
        <w:t xml:space="preserve">praxe sa zaviedol efektívnejší proces vybavovania žiadostí štátnych príslušníkov tretích krajín o vydanie jednotného povolenia na pobyt a zamestnanie na jednom mieste. Smernica </w:t>
      </w:r>
      <w:r w:rsidRPr="004C5551">
        <w:rPr>
          <w:szCs w:val="22"/>
        </w:rPr>
        <w:t>Európskeho parlamentu a Rady</w:t>
      </w:r>
      <w:r w:rsidRPr="004C5551">
        <w:rPr>
          <w:b/>
          <w:i/>
          <w:color w:val="000000"/>
          <w:szCs w:val="22"/>
          <w:lang w:eastAsia="ar-SA"/>
        </w:rPr>
        <w:t xml:space="preserve"> </w:t>
      </w:r>
      <w:r w:rsidRPr="004C5551">
        <w:rPr>
          <w:color w:val="000000"/>
          <w:szCs w:val="22"/>
          <w:lang w:eastAsia="ar-SA"/>
        </w:rPr>
        <w:t>2011/98/EÚ</w:t>
      </w:r>
      <w:r w:rsidRPr="004C5551">
        <w:rPr>
          <w:b/>
          <w:i/>
          <w:color w:val="000000"/>
          <w:szCs w:val="22"/>
          <w:lang w:eastAsia="ar-SA"/>
        </w:rPr>
        <w:t xml:space="preserve"> </w:t>
      </w:r>
      <w:r w:rsidRPr="004C5551">
        <w:rPr>
          <w:color w:val="000000"/>
          <w:szCs w:val="22"/>
          <w:lang w:eastAsia="ar-SA"/>
        </w:rPr>
        <w:t xml:space="preserve">sa vzťahuje aj na štátnych príslušníkov tretích krajín, ktorí sa oprávnene zdržiavajú na území Slovenskej republiky na iný účel ako zamestnanie a môžu pracovať, pričom sa im táto skutočnosť vyznačí v doklade o pobyte formou zápisu „oprávnenie pracovať“. </w:t>
      </w:r>
    </w:p>
    <w:p w:rsidR="006775D8" w:rsidRPr="004C5551" w:rsidRDefault="006775D8" w:rsidP="00AD5331">
      <w:pPr>
        <w:numPr>
          <w:ilvl w:val="0"/>
          <w:numId w:val="19"/>
        </w:numPr>
        <w:ind w:left="851" w:hanging="284"/>
        <w:rPr>
          <w:szCs w:val="22"/>
        </w:rPr>
      </w:pPr>
      <w:r w:rsidRPr="004C5551">
        <w:rPr>
          <w:szCs w:val="22"/>
        </w:rPr>
        <w:t>upravili podmienky udeľovania povolenia na zamestnanie pre štátnych príslušníkov tretích krajín v Slovenskej republike. Povolenia na zamestnanie udeľujú úrady</w:t>
      </w:r>
      <w:r w:rsidR="00F41E61" w:rsidRPr="004C5551">
        <w:rPr>
          <w:szCs w:val="22"/>
        </w:rPr>
        <w:t xml:space="preserve"> PSVR</w:t>
      </w:r>
      <w:r w:rsidRPr="004C5551">
        <w:rPr>
          <w:szCs w:val="22"/>
        </w:rPr>
        <w:t>), ktoré taktiež vydávajú potvrdenia o možnosti obsadenia voľného pracovného miesta. Potvrdenia o možnosti obsadenia voľného pracovného miesta, ktoré zodpovedá vysokokvali</w:t>
      </w:r>
      <w:r w:rsidR="004928A6" w:rsidRPr="004C5551">
        <w:rPr>
          <w:szCs w:val="22"/>
        </w:rPr>
        <w:t>fikovanému zamestnaniu, vydáva Ú</w:t>
      </w:r>
      <w:r w:rsidRPr="004C5551">
        <w:rPr>
          <w:szCs w:val="22"/>
        </w:rPr>
        <w:t>stredie.</w:t>
      </w:r>
    </w:p>
    <w:p w:rsidR="006775D8" w:rsidRPr="004C5551" w:rsidRDefault="004928A6" w:rsidP="00AD5331">
      <w:pPr>
        <w:numPr>
          <w:ilvl w:val="0"/>
          <w:numId w:val="19"/>
        </w:numPr>
        <w:ind w:left="851" w:hanging="284"/>
        <w:rPr>
          <w:szCs w:val="22"/>
        </w:rPr>
      </w:pPr>
      <w:r w:rsidRPr="004C5551">
        <w:rPr>
          <w:szCs w:val="22"/>
        </w:rPr>
        <w:t>rozšírila pôsobnosť Ú</w:t>
      </w:r>
      <w:r w:rsidR="006775D8" w:rsidRPr="004C5551">
        <w:rPr>
          <w:szCs w:val="22"/>
        </w:rPr>
        <w:t>stredia zrušiť potvrdenie o možnosti obsadenia voľného pracovného miesta, ktoré zodpovedá vysokokvalifikovanému zamestnaniu (na účel udelenia modrej karty) a viesť centrálnu evidenciu vydaných a zrušených potvrdení o možnosti obsadenia voľného pracovného miesta, ktoré zodpovedá vysokokvalifikovanému zamestnaniu, vydaných a zrušených potvrdení o možnosti obsadenia voľného pracovného miesta a vydaných a odňatých povolení na zamestnanie,</w:t>
      </w:r>
    </w:p>
    <w:p w:rsidR="006775D8" w:rsidRPr="004C5551" w:rsidRDefault="006775D8" w:rsidP="00AD5331">
      <w:pPr>
        <w:numPr>
          <w:ilvl w:val="0"/>
          <w:numId w:val="19"/>
        </w:numPr>
        <w:ind w:left="851" w:hanging="284"/>
        <w:rPr>
          <w:szCs w:val="22"/>
        </w:rPr>
      </w:pPr>
      <w:r w:rsidRPr="004C5551">
        <w:rPr>
          <w:szCs w:val="22"/>
        </w:rPr>
        <w:t>rozšírila pôsobnosť úradu</w:t>
      </w:r>
      <w:r w:rsidR="00F41E61" w:rsidRPr="004C5551">
        <w:rPr>
          <w:szCs w:val="22"/>
        </w:rPr>
        <w:t xml:space="preserve"> PSVR</w:t>
      </w:r>
      <w:r w:rsidRPr="004C5551">
        <w:rPr>
          <w:szCs w:val="22"/>
        </w:rPr>
        <w:t xml:space="preserve"> vydávať a zrušiť potvrdenie o možnosti obsadenia voľného pracovného miesta (na účel udelenia prechodného pobytu na účel zamestnania, tzv. jednotné povolenie na pobyt) a viesť evidenciu vydaných a zrušených potvrdení o možnosti obsadenia voľného pracovného miesta a vydaných a odňatých povolení na zamestnanie,</w:t>
      </w:r>
    </w:p>
    <w:p w:rsidR="006775D8" w:rsidRPr="004C5551" w:rsidRDefault="006775D8" w:rsidP="00AD5331">
      <w:pPr>
        <w:numPr>
          <w:ilvl w:val="0"/>
          <w:numId w:val="19"/>
        </w:numPr>
        <w:ind w:left="851" w:hanging="284"/>
        <w:rPr>
          <w:szCs w:val="22"/>
        </w:rPr>
      </w:pPr>
      <w:r w:rsidRPr="004C5551">
        <w:rPr>
          <w:szCs w:val="22"/>
        </w:rPr>
        <w:t>stanovilo na účely zákona o službách zamestnanosti, že zamestnávateľ môže zamestnať len štátneho príslušníka tretej krajiny,</w:t>
      </w:r>
    </w:p>
    <w:p w:rsidR="006775D8" w:rsidRPr="004C5551" w:rsidRDefault="006775D8" w:rsidP="00AD5331">
      <w:pPr>
        <w:numPr>
          <w:ilvl w:val="1"/>
          <w:numId w:val="20"/>
        </w:numPr>
        <w:tabs>
          <w:tab w:val="clear" w:pos="1080"/>
        </w:tabs>
        <w:ind w:left="1134" w:hanging="283"/>
        <w:rPr>
          <w:szCs w:val="22"/>
        </w:rPr>
      </w:pPr>
      <w:r w:rsidRPr="004C5551">
        <w:rPr>
          <w:szCs w:val="22"/>
        </w:rPr>
        <w:t xml:space="preserve">ktorý má vydané potvrdenie o možnosti obsadenia voľného pracovného miesta </w:t>
      </w:r>
      <w:r w:rsidRPr="004C5551">
        <w:rPr>
          <w:szCs w:val="22"/>
        </w:rPr>
        <w:br/>
        <w:t>a udelený prechodný pobyt na účel zamestnania,</w:t>
      </w:r>
    </w:p>
    <w:p w:rsidR="006775D8" w:rsidRPr="004C5551" w:rsidRDefault="006775D8" w:rsidP="00AD5331">
      <w:pPr>
        <w:numPr>
          <w:ilvl w:val="1"/>
          <w:numId w:val="20"/>
        </w:numPr>
        <w:tabs>
          <w:tab w:val="clear" w:pos="1080"/>
        </w:tabs>
        <w:ind w:left="1134" w:hanging="283"/>
        <w:rPr>
          <w:szCs w:val="22"/>
        </w:rPr>
      </w:pPr>
      <w:r w:rsidRPr="004C5551">
        <w:rPr>
          <w:szCs w:val="22"/>
        </w:rPr>
        <w:t>ktorý je držiteľom modrej karty Európskej únie,</w:t>
      </w:r>
    </w:p>
    <w:p w:rsidR="006775D8" w:rsidRPr="004C5551" w:rsidRDefault="006775D8" w:rsidP="00AD5331">
      <w:pPr>
        <w:numPr>
          <w:ilvl w:val="1"/>
          <w:numId w:val="20"/>
        </w:numPr>
        <w:tabs>
          <w:tab w:val="clear" w:pos="1080"/>
        </w:tabs>
        <w:ind w:left="1134" w:hanging="283"/>
        <w:rPr>
          <w:szCs w:val="22"/>
        </w:rPr>
      </w:pPr>
      <w:r w:rsidRPr="004C5551">
        <w:rPr>
          <w:szCs w:val="22"/>
        </w:rPr>
        <w:t>ktorý má udelené povolenie na zamestnanie a udelený prechodný pobyt na účel zamestnania, ak osobitný predpis neustanovuje inak,</w:t>
      </w:r>
    </w:p>
    <w:p w:rsidR="006775D8" w:rsidRPr="004C5551" w:rsidRDefault="006775D8" w:rsidP="00AD5331">
      <w:pPr>
        <w:numPr>
          <w:ilvl w:val="1"/>
          <w:numId w:val="20"/>
        </w:numPr>
        <w:tabs>
          <w:tab w:val="clear" w:pos="1080"/>
        </w:tabs>
        <w:ind w:left="1134" w:hanging="283"/>
        <w:rPr>
          <w:szCs w:val="22"/>
        </w:rPr>
      </w:pPr>
      <w:r w:rsidRPr="004C5551">
        <w:rPr>
          <w:szCs w:val="22"/>
        </w:rPr>
        <w:t>ktorý má udelené povolenie na zamestnanie a udelený prechodný pobyt na účel zlúčenia rodiny,</w:t>
      </w:r>
    </w:p>
    <w:p w:rsidR="006775D8" w:rsidRPr="004C5551" w:rsidRDefault="006775D8" w:rsidP="00AD5331">
      <w:pPr>
        <w:numPr>
          <w:ilvl w:val="1"/>
          <w:numId w:val="20"/>
        </w:numPr>
        <w:tabs>
          <w:tab w:val="clear" w:pos="1080"/>
        </w:tabs>
        <w:ind w:left="1134" w:hanging="283"/>
        <w:rPr>
          <w:szCs w:val="22"/>
        </w:rPr>
      </w:pPr>
      <w:r w:rsidRPr="004C5551">
        <w:rPr>
          <w:szCs w:val="22"/>
        </w:rPr>
        <w:t>ktorý má udelené povolenie na zamestnanie a má udelený prechodný pobyt štátneho príslušníka tretej krajiny, ktorý má priznané postavenie osoby s dlhodobým pobytom v členskom štáte Európskej únie, ak osobitný predpis neustanovuje inak, alebo</w:t>
      </w:r>
    </w:p>
    <w:p w:rsidR="006775D8" w:rsidRPr="004C5551" w:rsidRDefault="006775D8" w:rsidP="00AD5331">
      <w:pPr>
        <w:numPr>
          <w:ilvl w:val="1"/>
          <w:numId w:val="20"/>
        </w:numPr>
        <w:tabs>
          <w:tab w:val="clear" w:pos="1080"/>
        </w:tabs>
        <w:ind w:left="1134" w:hanging="283"/>
        <w:rPr>
          <w:szCs w:val="22"/>
        </w:rPr>
      </w:pPr>
      <w:r w:rsidRPr="004C5551">
        <w:rPr>
          <w:szCs w:val="22"/>
        </w:rPr>
        <w:t>u ktorého sa nevyžaduje potvrdenie o možnosti obsadenia voľného pracovného miesta, ktoré zodpovedá vysokokvalifikovanému zamestnaniu,</w:t>
      </w:r>
      <w:r w:rsidR="00073D95" w:rsidRPr="004C5551">
        <w:rPr>
          <w:szCs w:val="22"/>
        </w:rPr>
        <w:t xml:space="preserve"> </w:t>
      </w:r>
      <w:r w:rsidRPr="004C5551">
        <w:rPr>
          <w:szCs w:val="22"/>
        </w:rPr>
        <w:t>potvrdenie o možnosti obsadenia voľného pracovného miesta alebo povolenie na zamestnanie,</w:t>
      </w:r>
    </w:p>
    <w:p w:rsidR="006775D8" w:rsidRPr="004C5551" w:rsidRDefault="006775D8" w:rsidP="00AD5331">
      <w:pPr>
        <w:numPr>
          <w:ilvl w:val="0"/>
          <w:numId w:val="19"/>
        </w:numPr>
        <w:ind w:left="851" w:hanging="284"/>
        <w:rPr>
          <w:szCs w:val="22"/>
        </w:rPr>
      </w:pPr>
      <w:r w:rsidRPr="004C5551">
        <w:rPr>
          <w:szCs w:val="22"/>
        </w:rPr>
        <w:t xml:space="preserve">stanovila povinnosť zamestnávateľa oznámiť úradu </w:t>
      </w:r>
      <w:r w:rsidR="00F41E61" w:rsidRPr="004C5551">
        <w:rPr>
          <w:szCs w:val="22"/>
        </w:rPr>
        <w:t xml:space="preserve">PSVR </w:t>
      </w:r>
      <w:r w:rsidRPr="004C5551">
        <w:rPr>
          <w:szCs w:val="22"/>
        </w:rPr>
        <w:t>voľné pracovné miesta, ich počet a charakteristiku pred podaním žiadosti o</w:t>
      </w:r>
    </w:p>
    <w:p w:rsidR="006775D8" w:rsidRPr="004C5551" w:rsidRDefault="006775D8" w:rsidP="00AD5331">
      <w:pPr>
        <w:numPr>
          <w:ilvl w:val="1"/>
          <w:numId w:val="20"/>
        </w:numPr>
        <w:tabs>
          <w:tab w:val="clear" w:pos="1080"/>
        </w:tabs>
        <w:ind w:left="1134" w:hanging="283"/>
        <w:rPr>
          <w:szCs w:val="22"/>
        </w:rPr>
      </w:pPr>
      <w:r w:rsidRPr="004C5551">
        <w:rPr>
          <w:szCs w:val="22"/>
        </w:rPr>
        <w:t xml:space="preserve">vydanie povolenia na zamestnanie pre vybrané skupiny štátnych príslušníkov tretích krajín, </w:t>
      </w:r>
    </w:p>
    <w:p w:rsidR="006775D8" w:rsidRPr="004C5551" w:rsidRDefault="006775D8" w:rsidP="00AD5331">
      <w:pPr>
        <w:numPr>
          <w:ilvl w:val="1"/>
          <w:numId w:val="20"/>
        </w:numPr>
        <w:tabs>
          <w:tab w:val="clear" w:pos="1080"/>
        </w:tabs>
        <w:ind w:left="1134" w:hanging="283"/>
        <w:rPr>
          <w:szCs w:val="22"/>
        </w:rPr>
      </w:pPr>
      <w:r w:rsidRPr="004C5551">
        <w:rPr>
          <w:szCs w:val="22"/>
        </w:rPr>
        <w:t xml:space="preserve">udelenie prechodného pobytu na účel zamestnania pre štátneho príslušníka tretej krajiny alebo </w:t>
      </w:r>
    </w:p>
    <w:p w:rsidR="006775D8" w:rsidRPr="004C5551" w:rsidRDefault="006775D8" w:rsidP="00AD5331">
      <w:pPr>
        <w:numPr>
          <w:ilvl w:val="1"/>
          <w:numId w:val="20"/>
        </w:numPr>
        <w:tabs>
          <w:tab w:val="clear" w:pos="1080"/>
        </w:tabs>
        <w:ind w:left="1134" w:hanging="283"/>
        <w:rPr>
          <w:szCs w:val="22"/>
        </w:rPr>
      </w:pPr>
      <w:r w:rsidRPr="004C5551">
        <w:rPr>
          <w:szCs w:val="22"/>
        </w:rPr>
        <w:t>vydanie modrej karty Európskej únie pre štátneho príslušníka tretej krajiny,</w:t>
      </w:r>
    </w:p>
    <w:p w:rsidR="006775D8" w:rsidRPr="004C5551" w:rsidRDefault="006775D8" w:rsidP="00AD5331">
      <w:pPr>
        <w:numPr>
          <w:ilvl w:val="0"/>
          <w:numId w:val="19"/>
        </w:numPr>
        <w:ind w:left="851" w:hanging="284"/>
        <w:rPr>
          <w:szCs w:val="22"/>
        </w:rPr>
      </w:pPr>
      <w:r w:rsidRPr="004C5551">
        <w:rPr>
          <w:szCs w:val="22"/>
        </w:rPr>
        <w:t>stanovila povinnosť tuzemskej právnickej osoby alebo tuzemskej fyzickej osoby pred uzatvorením zmluvy, na základe ktorej dôjde k vyslaniu štátnych príslušníkov tretej krajiny k</w:t>
      </w:r>
      <w:r w:rsidR="00F02E09" w:rsidRPr="004C5551">
        <w:rPr>
          <w:szCs w:val="22"/>
        </w:rPr>
        <w:t> </w:t>
      </w:r>
      <w:r w:rsidRPr="004C5551">
        <w:rPr>
          <w:szCs w:val="22"/>
        </w:rPr>
        <w:t xml:space="preserve">výkonu práce na územie Slovenskej republiky, odsúhlasiť s úradom </w:t>
      </w:r>
      <w:r w:rsidR="00F41E61" w:rsidRPr="004C5551">
        <w:rPr>
          <w:szCs w:val="22"/>
        </w:rPr>
        <w:t xml:space="preserve">PSVR </w:t>
      </w:r>
      <w:r w:rsidRPr="004C5551">
        <w:rPr>
          <w:szCs w:val="22"/>
        </w:rPr>
        <w:t>počty a profesie vyslaných zamestnancov a dobu ich vyslania,</w:t>
      </w:r>
    </w:p>
    <w:p w:rsidR="006775D8" w:rsidRPr="004C5551" w:rsidRDefault="006775D8" w:rsidP="00F02E09">
      <w:pPr>
        <w:numPr>
          <w:ilvl w:val="0"/>
          <w:numId w:val="19"/>
        </w:numPr>
        <w:ind w:left="851" w:hanging="284"/>
      </w:pPr>
      <w:r w:rsidRPr="004C5551">
        <w:rPr>
          <w:szCs w:val="22"/>
        </w:rPr>
        <w:t>spresnila povinnosť zamestnávateľa pri zamestnávaní občana členského štátu Európskej únie a štátneho príslušníka tretej krajiny.</w:t>
      </w:r>
    </w:p>
    <w:p w:rsidR="00A966B5" w:rsidRPr="004C5551" w:rsidRDefault="00A966B5" w:rsidP="00ED16E0">
      <w:pPr>
        <w:pStyle w:val="Nadpis41"/>
      </w:pPr>
      <w:r w:rsidRPr="004C5551">
        <w:t xml:space="preserve">AOTP na podporu </w:t>
      </w:r>
      <w:proofErr w:type="spellStart"/>
      <w:r w:rsidRPr="004C5551">
        <w:t>zamestnateľnosti</w:t>
      </w:r>
      <w:proofErr w:type="spellEnd"/>
      <w:r w:rsidRPr="004C5551">
        <w:t xml:space="preserve"> a zvyšovanie zamestnanosti a ich uplatňovanie v roku 201</w:t>
      </w:r>
      <w:r w:rsidR="00AD4406" w:rsidRPr="004C5551">
        <w:t>4</w:t>
      </w:r>
    </w:p>
    <w:p w:rsidR="006775D8" w:rsidRPr="004C5551" w:rsidRDefault="006775D8" w:rsidP="00C92B2F">
      <w:pPr>
        <w:ind w:firstLine="431"/>
      </w:pPr>
      <w:r w:rsidRPr="004C5551">
        <w:t xml:space="preserve">Podľa zákona o službách zamestnanosti boli v roku 2014 </w:t>
      </w:r>
      <w:proofErr w:type="spellStart"/>
      <w:r w:rsidRPr="004C5551">
        <w:t>UoZ</w:t>
      </w:r>
      <w:proofErr w:type="spellEnd"/>
      <w:r w:rsidRPr="004C5551">
        <w:t>, záujemcom o zamestnanie (ďalej len „</w:t>
      </w:r>
      <w:proofErr w:type="spellStart"/>
      <w:r w:rsidRPr="004C5551">
        <w:t>ZoZ</w:t>
      </w:r>
      <w:proofErr w:type="spellEnd"/>
      <w:r w:rsidRPr="004C5551">
        <w:t xml:space="preserve">“), zamestnancom za účelom ich umiestnenia a udržania na trhu práce a zamestnávateľom zabezpečené tieto AOTP: </w:t>
      </w:r>
    </w:p>
    <w:p w:rsidR="006775D8" w:rsidRPr="004C5551" w:rsidRDefault="006775D8" w:rsidP="006775D8">
      <w:pPr>
        <w:rPr>
          <w:b/>
        </w:rPr>
      </w:pPr>
      <w:r w:rsidRPr="004C5551">
        <w:rPr>
          <w:b/>
          <w:bCs/>
        </w:rPr>
        <w:t xml:space="preserve">a) podpora zvyšovania </w:t>
      </w:r>
      <w:proofErr w:type="spellStart"/>
      <w:r w:rsidRPr="004C5551">
        <w:rPr>
          <w:b/>
          <w:bCs/>
        </w:rPr>
        <w:t>zamestnateľnosti</w:t>
      </w:r>
      <w:proofErr w:type="spellEnd"/>
      <w:r w:rsidRPr="004C5551">
        <w:rPr>
          <w:b/>
          <w:bCs/>
        </w:rPr>
        <w:t xml:space="preserve"> </w:t>
      </w:r>
      <w:proofErr w:type="spellStart"/>
      <w:r w:rsidRPr="004C5551">
        <w:rPr>
          <w:b/>
        </w:rPr>
        <w:t>UoZ</w:t>
      </w:r>
      <w:proofErr w:type="spellEnd"/>
      <w:r w:rsidRPr="004C5551">
        <w:rPr>
          <w:b/>
        </w:rPr>
        <w:t xml:space="preserve"> a </w:t>
      </w:r>
      <w:proofErr w:type="spellStart"/>
      <w:r w:rsidRPr="004C5551">
        <w:rPr>
          <w:b/>
        </w:rPr>
        <w:t>ZoZ</w:t>
      </w:r>
      <w:proofErr w:type="spellEnd"/>
    </w:p>
    <w:p w:rsidR="006775D8" w:rsidRPr="004C5551" w:rsidRDefault="006775D8" w:rsidP="00F02E09">
      <w:pPr>
        <w:pStyle w:val="bullet1"/>
        <w:ind w:hanging="76"/>
      </w:pPr>
      <w:r w:rsidRPr="004C5551">
        <w:t>informačné a poradenské služby (§ 42)</w:t>
      </w:r>
    </w:p>
    <w:p w:rsidR="006775D8" w:rsidRPr="004C5551" w:rsidRDefault="006775D8" w:rsidP="00F02E09">
      <w:pPr>
        <w:pStyle w:val="bullet1"/>
        <w:ind w:hanging="76"/>
      </w:pPr>
      <w:r w:rsidRPr="004C5551">
        <w:t>odborné poradenské služby (§ 43)</w:t>
      </w:r>
    </w:p>
    <w:p w:rsidR="006775D8" w:rsidRPr="004C5551" w:rsidRDefault="006775D8" w:rsidP="00F02E09">
      <w:pPr>
        <w:pStyle w:val="bullet1"/>
        <w:ind w:hanging="76"/>
      </w:pPr>
      <w:r w:rsidRPr="004C5551">
        <w:t>vzdelávanie a príprava pre trh práce uchádzača o zamestnanie (§ 46)</w:t>
      </w:r>
    </w:p>
    <w:p w:rsidR="006775D8" w:rsidRPr="004C5551" w:rsidRDefault="006775D8" w:rsidP="00F02E09">
      <w:pPr>
        <w:pStyle w:val="bullet1"/>
        <w:ind w:hanging="76"/>
      </w:pPr>
      <w:r w:rsidRPr="004C5551">
        <w:t>príspevok na vykonávanie absolventskej praxe (§ 51)</w:t>
      </w:r>
    </w:p>
    <w:p w:rsidR="006775D8" w:rsidRPr="004C5551" w:rsidRDefault="006775D8" w:rsidP="00F02E09">
      <w:pPr>
        <w:pStyle w:val="bullet1"/>
        <w:ind w:hanging="76"/>
      </w:pPr>
      <w:r w:rsidRPr="004C5551">
        <w:t>príspevok na aktivačnú činnosť formou menších obecných služieb pre obec alebo formou menších služieb pre samosprávny kraj(§ 52)</w:t>
      </w:r>
    </w:p>
    <w:p w:rsidR="006775D8" w:rsidRPr="004C5551" w:rsidRDefault="006775D8" w:rsidP="00F02E09">
      <w:pPr>
        <w:pStyle w:val="bullet1"/>
        <w:ind w:hanging="76"/>
      </w:pPr>
      <w:r w:rsidRPr="004C5551">
        <w:t>príspevok na aktivačnú činnosť formou dobrovoľníckej služby (§ 52a)</w:t>
      </w:r>
    </w:p>
    <w:p w:rsidR="006775D8" w:rsidRPr="004C5551" w:rsidRDefault="006775D8" w:rsidP="006775D8">
      <w:pPr>
        <w:rPr>
          <w:b/>
        </w:rPr>
      </w:pPr>
      <w:r w:rsidRPr="004C5551">
        <w:rPr>
          <w:b/>
        </w:rPr>
        <w:t xml:space="preserve">b) podpora zamestnanosti, vytvárania a udržania pracovných miest </w:t>
      </w:r>
    </w:p>
    <w:p w:rsidR="006775D8" w:rsidRPr="004C5551" w:rsidRDefault="006775D8" w:rsidP="00F02E09">
      <w:pPr>
        <w:pStyle w:val="bullet1"/>
        <w:ind w:hanging="76"/>
      </w:pPr>
      <w:r w:rsidRPr="004C5551">
        <w:t>sprostredkovanie zamestnania (§ 32)</w:t>
      </w:r>
    </w:p>
    <w:p w:rsidR="006775D8" w:rsidRPr="004C5551" w:rsidRDefault="006775D8" w:rsidP="00F02E09">
      <w:pPr>
        <w:pStyle w:val="bullet1"/>
        <w:ind w:hanging="76"/>
      </w:pPr>
      <w:r w:rsidRPr="004C5551">
        <w:t>vzdelávanie a príprava pre trh práce zamestnanca (§ 47)</w:t>
      </w:r>
    </w:p>
    <w:p w:rsidR="006775D8" w:rsidRPr="004C5551" w:rsidRDefault="006775D8" w:rsidP="00F02E09">
      <w:pPr>
        <w:pStyle w:val="bullet1"/>
        <w:ind w:hanging="76"/>
      </w:pPr>
      <w:r w:rsidRPr="004C5551">
        <w:t>príspevok na samostatnú zárobkovú činnosť (§ 49)</w:t>
      </w:r>
    </w:p>
    <w:p w:rsidR="006775D8" w:rsidRPr="004C5551" w:rsidRDefault="006775D8" w:rsidP="00F02E09">
      <w:pPr>
        <w:pStyle w:val="bullet1"/>
        <w:ind w:hanging="76"/>
      </w:pPr>
      <w:r w:rsidRPr="004C5551">
        <w:t xml:space="preserve">príspevok na podporu zamestnávania znevýhodneného uchádzača o zamestnanie (§ 50) </w:t>
      </w:r>
    </w:p>
    <w:p w:rsidR="006775D8" w:rsidRPr="004C5551" w:rsidRDefault="006775D8" w:rsidP="00F02E09">
      <w:pPr>
        <w:pStyle w:val="bullet1"/>
        <w:ind w:hanging="76"/>
      </w:pPr>
      <w:r w:rsidRPr="004C5551">
        <w:t xml:space="preserve">integrácia znevýhodnených uchádzačov o zamestnanie v sociálnom podniku (§ 50b) </w:t>
      </w:r>
    </w:p>
    <w:p w:rsidR="006775D8" w:rsidRPr="004C5551" w:rsidRDefault="006775D8" w:rsidP="00F02E09">
      <w:pPr>
        <w:pStyle w:val="bullet1"/>
        <w:ind w:hanging="76"/>
      </w:pPr>
      <w:r w:rsidRPr="004C5551">
        <w:t xml:space="preserve">príspevok na podporu rozvoja miestnej a regionálnej zamestnanosti (§ 50j) </w:t>
      </w:r>
    </w:p>
    <w:p w:rsidR="006775D8" w:rsidRPr="004C5551" w:rsidRDefault="006775D8" w:rsidP="00F02E09">
      <w:pPr>
        <w:pStyle w:val="bullet1"/>
        <w:ind w:hanging="76"/>
      </w:pPr>
      <w:r w:rsidRPr="004C5551">
        <w:t xml:space="preserve">príspevok na podporu udržania pracovných miest (§ 50k) </w:t>
      </w:r>
    </w:p>
    <w:p w:rsidR="006775D8" w:rsidRPr="004C5551" w:rsidRDefault="006775D8" w:rsidP="00F02E09">
      <w:pPr>
        <w:pStyle w:val="bullet1"/>
        <w:ind w:hanging="76"/>
      </w:pPr>
      <w:r w:rsidRPr="004C5551">
        <w:t>príspevok na dochádzku za prácou (§ 53)</w:t>
      </w:r>
    </w:p>
    <w:p w:rsidR="006775D8" w:rsidRPr="004C5551" w:rsidRDefault="006775D8" w:rsidP="00F02E09">
      <w:pPr>
        <w:pStyle w:val="bullet1"/>
        <w:ind w:hanging="76"/>
      </w:pPr>
      <w:r w:rsidRPr="004C5551">
        <w:t>príspevok na presťahovanie za prácou (§ 53a)</w:t>
      </w:r>
    </w:p>
    <w:p w:rsidR="006775D8" w:rsidRPr="004C5551" w:rsidRDefault="006775D8" w:rsidP="00F02E09">
      <w:pPr>
        <w:pStyle w:val="bullet1"/>
        <w:ind w:hanging="76"/>
      </w:pPr>
      <w:r w:rsidRPr="004C5551">
        <w:t>príspevok na dopravu do zamestnania (§ 53b)</w:t>
      </w:r>
    </w:p>
    <w:p w:rsidR="006775D8" w:rsidRPr="004C5551" w:rsidRDefault="006775D8" w:rsidP="00F02E09">
      <w:pPr>
        <w:pStyle w:val="bullet1"/>
        <w:ind w:hanging="76"/>
      </w:pPr>
      <w:r w:rsidRPr="004C5551">
        <w:t>príspevok na vytvorenie nového pracovného miesta (§ 53d)</w:t>
      </w:r>
    </w:p>
    <w:p w:rsidR="006775D8" w:rsidRPr="004C5551" w:rsidRDefault="006775D8" w:rsidP="00F02E09">
      <w:pPr>
        <w:pStyle w:val="bullet1"/>
        <w:ind w:hanging="76"/>
      </w:pPr>
      <w:r w:rsidRPr="004C5551">
        <w:t>finančná pomoc na podporu udržania zamestnanosti v malých podnikoch alebo stredných podnikoch (§ 53e)</w:t>
      </w:r>
    </w:p>
    <w:p w:rsidR="006775D8" w:rsidRPr="004C5551" w:rsidRDefault="006775D8" w:rsidP="00F02E09">
      <w:pPr>
        <w:pStyle w:val="bullet1"/>
        <w:ind w:hanging="76"/>
      </w:pPr>
      <w:r w:rsidRPr="004C5551">
        <w:t xml:space="preserve">projekty a programy (§ 54) </w:t>
      </w:r>
    </w:p>
    <w:p w:rsidR="006775D8" w:rsidRPr="004C5551" w:rsidRDefault="006775D8" w:rsidP="00F02E09">
      <w:pPr>
        <w:pStyle w:val="bullet1"/>
        <w:ind w:hanging="76"/>
      </w:pPr>
      <w:r w:rsidRPr="004C5551">
        <w:t>príspevok na zriadenie chránenej dielne alebo chráneného pracoviska (§ 56)</w:t>
      </w:r>
    </w:p>
    <w:p w:rsidR="006775D8" w:rsidRPr="004C5551" w:rsidRDefault="006775D8" w:rsidP="00F02E09">
      <w:pPr>
        <w:pStyle w:val="bullet1"/>
        <w:ind w:hanging="76"/>
      </w:pPr>
      <w:r w:rsidRPr="004C5551">
        <w:t>príspevok na udržanie občana so zdravotným postihnutím v zamestnaní (§ 56a)</w:t>
      </w:r>
    </w:p>
    <w:p w:rsidR="006775D8" w:rsidRPr="004C5551" w:rsidRDefault="006775D8" w:rsidP="00F02E09">
      <w:pPr>
        <w:pStyle w:val="bullet1"/>
        <w:ind w:hanging="76"/>
      </w:pPr>
      <w:r w:rsidRPr="004C5551">
        <w:t xml:space="preserve">príspevok občanovi so zdravotným postihnutím na samostatnú zárobkovú činnosť (§ 57) </w:t>
      </w:r>
    </w:p>
    <w:p w:rsidR="006775D8" w:rsidRPr="004C5551" w:rsidRDefault="006775D8" w:rsidP="00F02E09">
      <w:pPr>
        <w:pStyle w:val="bullet1"/>
        <w:ind w:hanging="76"/>
        <w:rPr>
          <w:b/>
          <w:bCs/>
        </w:rPr>
      </w:pPr>
      <w:r w:rsidRPr="004C5551">
        <w:t>príspevok na činnosť pracovného asistenta (§ 59)</w:t>
      </w:r>
    </w:p>
    <w:p w:rsidR="006775D8" w:rsidRPr="004C5551" w:rsidRDefault="006775D8" w:rsidP="00F02E09">
      <w:pPr>
        <w:pStyle w:val="bullet1"/>
        <w:ind w:hanging="76"/>
        <w:rPr>
          <w:b/>
          <w:bCs/>
        </w:rPr>
      </w:pPr>
      <w:r w:rsidRPr="004C5551">
        <w:t>príspevok na úhradu prevádzkových nákladov chránenej dielne alebo chráneného pracoviska a na úhradu nákladov na dopravu zamestnancov (§ 60).</w:t>
      </w:r>
    </w:p>
    <w:p w:rsidR="00C92B2F" w:rsidRPr="004C5551" w:rsidRDefault="00C92B2F" w:rsidP="00C92B2F">
      <w:pPr>
        <w:pStyle w:val="bullet1"/>
        <w:numPr>
          <w:ilvl w:val="0"/>
          <w:numId w:val="0"/>
        </w:numPr>
        <w:ind w:left="360"/>
        <w:rPr>
          <w:b/>
          <w:bCs/>
        </w:rPr>
      </w:pPr>
    </w:p>
    <w:p w:rsidR="006775D8" w:rsidRPr="004C5551" w:rsidRDefault="006775D8" w:rsidP="00C92B2F">
      <w:pPr>
        <w:pStyle w:val="Normlnysozarkami12"/>
        <w:ind w:firstLine="431"/>
      </w:pPr>
      <w:r w:rsidRPr="004C5551">
        <w:t xml:space="preserve">Väčšina z AOTP sa realizovala prostredníctvom národných projektov, ktoré sú financované zo zdrojov Európskeho sociálneho fondu a spolufinancované zo zdrojov štátneho rozpočtu. V roku 2014 bolo podporených celkovo 519 653 </w:t>
      </w:r>
      <w:proofErr w:type="spellStart"/>
      <w:r w:rsidRPr="004C5551">
        <w:t>UoZ</w:t>
      </w:r>
      <w:proofErr w:type="spellEnd"/>
      <w:r w:rsidRPr="004C5551">
        <w:t xml:space="preserve">, </w:t>
      </w:r>
      <w:proofErr w:type="spellStart"/>
      <w:r w:rsidRPr="004C5551">
        <w:t>ZoZ</w:t>
      </w:r>
      <w:proofErr w:type="spellEnd"/>
      <w:r w:rsidRPr="004C5551">
        <w:t>, resp. zamestnancov/pracovných miest</w:t>
      </w:r>
      <w:r w:rsidR="001A37C9" w:rsidRPr="004C5551">
        <w:t xml:space="preserve"> (medziročný nárast o</w:t>
      </w:r>
      <w:r w:rsidR="00C00D81" w:rsidRPr="004C5551">
        <w:t> 107 533</w:t>
      </w:r>
      <w:r w:rsidR="001A37C9" w:rsidRPr="004C5551">
        <w:t xml:space="preserve"> podporených, resp. o</w:t>
      </w:r>
      <w:r w:rsidR="00C00D81" w:rsidRPr="004C5551">
        <w:t xml:space="preserve"> 26,1 </w:t>
      </w:r>
      <w:r w:rsidR="001A37C9" w:rsidRPr="004C5551">
        <w:t>%)</w:t>
      </w:r>
      <w:r w:rsidRPr="004C5551">
        <w:t xml:space="preserve"> v celkovej sume finančných prostriedkov vo výške viac ako 129 mil. </w:t>
      </w:r>
      <w:r w:rsidR="00AA0137" w:rsidRPr="004C5551">
        <w:t>eur</w:t>
      </w:r>
      <w:r w:rsidR="001A37C9" w:rsidRPr="004C5551">
        <w:t xml:space="preserve"> (</w:t>
      </w:r>
      <w:r w:rsidR="00D50870" w:rsidRPr="004C5551">
        <w:t>medziročný nárast o 1,9 mil. eur resp. o 1,49 %</w:t>
      </w:r>
      <w:r w:rsidR="001A37C9" w:rsidRPr="004C5551">
        <w:t>)</w:t>
      </w:r>
      <w:r w:rsidRPr="004C5551">
        <w:t xml:space="preserve">. Prehľad o uplatňovaní jednotlivých AOTP v roku 2014 je uvedený v prílohe ku kapitole 2 </w:t>
      </w:r>
      <w:r w:rsidRPr="004C5551">
        <w:rPr>
          <w:color w:val="000000" w:themeColor="text1"/>
        </w:rPr>
        <w:t>–</w:t>
      </w:r>
      <w:r w:rsidRPr="004C5551">
        <w:t xml:space="preserve"> Prehľad realizácie aktívnych opatrení na trhu práce a v tabuľke </w:t>
      </w:r>
      <w:r w:rsidR="00D46EB5" w:rsidRPr="004C5551">
        <w:t>5</w:t>
      </w:r>
      <w:r w:rsidRPr="004C5551">
        <w:t>.</w:t>
      </w:r>
    </w:p>
    <w:p w:rsidR="00A966B5" w:rsidRPr="004C5551" w:rsidRDefault="00A966B5" w:rsidP="00C76A7E">
      <w:pPr>
        <w:ind w:firstLine="567"/>
        <w:rPr>
          <w:b/>
        </w:rPr>
      </w:pPr>
    </w:p>
    <w:p w:rsidR="00A966B5" w:rsidRPr="004C5551" w:rsidRDefault="00A966B5" w:rsidP="00ED16E0">
      <w:pPr>
        <w:pStyle w:val="nadpis2"/>
      </w:pPr>
      <w:bookmarkStart w:id="98" w:name="_Toc422233408"/>
      <w:r w:rsidRPr="004C5551">
        <w:t>Mzdy a pracovné podmienky</w:t>
      </w:r>
      <w:bookmarkEnd w:id="96"/>
      <w:bookmarkEnd w:id="98"/>
    </w:p>
    <w:p w:rsidR="00A966B5" w:rsidRPr="004C5551" w:rsidRDefault="00A966B5" w:rsidP="00995DD1">
      <w:pPr>
        <w:pStyle w:val="Nadpis7"/>
      </w:pPr>
      <w:r w:rsidRPr="004C5551">
        <w:t>Vyhodnotenie zmien právnych predpisov v roku 201</w:t>
      </w:r>
      <w:r w:rsidR="00AD4406" w:rsidRPr="004C5551">
        <w:t>4</w:t>
      </w:r>
      <w:r w:rsidRPr="004C5551">
        <w:t xml:space="preserve"> v oblasti miezd a pracovných podmienok </w:t>
      </w:r>
    </w:p>
    <w:p w:rsidR="006775D8" w:rsidRPr="004C5551" w:rsidRDefault="00A966B5" w:rsidP="00123A51">
      <w:pPr>
        <w:numPr>
          <w:ilvl w:val="0"/>
          <w:numId w:val="15"/>
        </w:numPr>
        <w:tabs>
          <w:tab w:val="left" w:pos="426"/>
        </w:tabs>
        <w:ind w:left="0" w:firstLine="0"/>
        <w:rPr>
          <w:b/>
        </w:rPr>
      </w:pPr>
      <w:r w:rsidRPr="004C5551">
        <w:rPr>
          <w:b/>
        </w:rPr>
        <w:t>Minimálna mzda</w:t>
      </w:r>
      <w:bookmarkStart w:id="99" w:name="_Toc313878470"/>
    </w:p>
    <w:p w:rsidR="00123A51" w:rsidRPr="004C5551" w:rsidRDefault="00123A51" w:rsidP="00123A51">
      <w:pPr>
        <w:tabs>
          <w:tab w:val="left" w:pos="426"/>
        </w:tabs>
        <w:rPr>
          <w:b/>
        </w:rPr>
      </w:pPr>
    </w:p>
    <w:p w:rsidR="006775D8" w:rsidRPr="004C5551" w:rsidRDefault="006775D8" w:rsidP="00C92B2F">
      <w:pPr>
        <w:ind w:firstLine="431"/>
      </w:pPr>
      <w:r w:rsidRPr="004C5551">
        <w:t xml:space="preserve">S účinnosťou </w:t>
      </w:r>
      <w:r w:rsidRPr="004C5551">
        <w:rPr>
          <w:b/>
          <w:bCs/>
        </w:rPr>
        <w:t>od 1. januára 2014</w:t>
      </w:r>
      <w:r w:rsidRPr="004C5551">
        <w:t xml:space="preserve"> vláda Slovenskej republiky, v súlade so splnomocňovacím ustanovením zákona č. 663/2007 Z. z. o minimálnej mzde v znení neskorších predpisov, schválila nariadenie vlády SR č. 321/2013 Z. z., ktorým sa ustanovuje suma minimálnej mzdy na rok 2014, a to na úrovni </w:t>
      </w:r>
      <w:r w:rsidRPr="004C5551">
        <w:rPr>
          <w:b/>
          <w:bCs/>
        </w:rPr>
        <w:t xml:space="preserve">352,00 </w:t>
      </w:r>
      <w:r w:rsidR="00460DEB" w:rsidRPr="004C5551">
        <w:rPr>
          <w:b/>
          <w:bCs/>
        </w:rPr>
        <w:t xml:space="preserve">eur </w:t>
      </w:r>
      <w:r w:rsidRPr="004C5551">
        <w:rPr>
          <w:b/>
          <w:bCs/>
        </w:rPr>
        <w:t>za mesiac</w:t>
      </w:r>
      <w:r w:rsidRPr="004C5551">
        <w:t xml:space="preserve"> pre zamestnanca odmeňovaného mesačnou mzdou a </w:t>
      </w:r>
      <w:r w:rsidRPr="004C5551">
        <w:rPr>
          <w:b/>
          <w:bCs/>
        </w:rPr>
        <w:t>2,023</w:t>
      </w:r>
      <w:r w:rsidR="00460DEB" w:rsidRPr="004C5551">
        <w:rPr>
          <w:b/>
          <w:bCs/>
        </w:rPr>
        <w:t xml:space="preserve"> eura </w:t>
      </w:r>
      <w:r w:rsidRPr="004C5551">
        <w:rPr>
          <w:b/>
          <w:bCs/>
        </w:rPr>
        <w:t>za</w:t>
      </w:r>
      <w:r w:rsidR="00E47B33" w:rsidRPr="004C5551">
        <w:rPr>
          <w:b/>
          <w:bCs/>
        </w:rPr>
        <w:t> </w:t>
      </w:r>
      <w:r w:rsidRPr="004C5551">
        <w:rPr>
          <w:b/>
          <w:bCs/>
        </w:rPr>
        <w:t>hodinu</w:t>
      </w:r>
      <w:r w:rsidRPr="004C5551">
        <w:t xml:space="preserve"> odpracovanú zamestnancom pre ostatných zamestnancov. </w:t>
      </w:r>
    </w:p>
    <w:p w:rsidR="006775D8" w:rsidRPr="004C5551" w:rsidRDefault="006775D8" w:rsidP="00C92B2F">
      <w:pPr>
        <w:ind w:firstLine="431"/>
      </w:pPr>
      <w:r w:rsidRPr="004C5551">
        <w:t>Medziročné zvýšenie sumy minimálnej mzdy na rok 2014 oproti sume minimálnej mzdy 337,70</w:t>
      </w:r>
      <w:r w:rsidR="00782BB3" w:rsidRPr="004C5551">
        <w:t> </w:t>
      </w:r>
      <w:r w:rsidRPr="004C5551">
        <w:t xml:space="preserve">eura, ustanovenej na rok 2013 nariadením vlády Slovenskej republiky č. 326/2012 Z. z., predstavovalo </w:t>
      </w:r>
      <w:r w:rsidRPr="004C5551">
        <w:rPr>
          <w:b/>
        </w:rPr>
        <w:t>4</w:t>
      </w:r>
      <w:r w:rsidRPr="004C5551">
        <w:rPr>
          <w:b/>
          <w:bCs/>
        </w:rPr>
        <w:t>,2</w:t>
      </w:r>
      <w:r w:rsidR="009425AA" w:rsidRPr="004C5551">
        <w:rPr>
          <w:b/>
          <w:bCs/>
        </w:rPr>
        <w:t> %</w:t>
      </w:r>
      <w:r w:rsidRPr="004C5551">
        <w:t>.</w:t>
      </w:r>
      <w:r w:rsidRPr="004C5551">
        <w:rPr>
          <w:rStyle w:val="Odkaznapoznmkupodiarou"/>
          <w:b/>
          <w:bCs/>
        </w:rPr>
        <w:footnoteReference w:id="17"/>
      </w:r>
    </w:p>
    <w:p w:rsidR="006775D8" w:rsidRPr="004C5551" w:rsidRDefault="006775D8" w:rsidP="006775D8">
      <w:pPr>
        <w:ind w:firstLine="709"/>
      </w:pPr>
    </w:p>
    <w:p w:rsidR="006775D8" w:rsidRPr="004C5551" w:rsidRDefault="006775D8" w:rsidP="006775D8">
      <w:pPr>
        <w:tabs>
          <w:tab w:val="left" w:pos="426"/>
        </w:tabs>
        <w:rPr>
          <w:b/>
        </w:rPr>
      </w:pPr>
      <w:r w:rsidRPr="004C5551">
        <w:rPr>
          <w:b/>
        </w:rPr>
        <w:t>b)</w:t>
      </w:r>
      <w:r w:rsidRPr="004C5551">
        <w:rPr>
          <w:b/>
        </w:rPr>
        <w:tab/>
        <w:t>Zákonník práce</w:t>
      </w:r>
    </w:p>
    <w:p w:rsidR="006775D8" w:rsidRPr="004C5551" w:rsidRDefault="006775D8" w:rsidP="006775D8">
      <w:pPr>
        <w:ind w:firstLine="709"/>
      </w:pPr>
    </w:p>
    <w:p w:rsidR="006775D8" w:rsidRPr="004C5551" w:rsidRDefault="006775D8" w:rsidP="00C92B2F">
      <w:pPr>
        <w:ind w:firstLine="431"/>
      </w:pPr>
      <w:r w:rsidRPr="004C5551">
        <w:t xml:space="preserve">Od 1. júna 2014 nadobudol účinnosť </w:t>
      </w:r>
      <w:r w:rsidRPr="004C5551">
        <w:rPr>
          <w:b/>
          <w:bCs/>
        </w:rPr>
        <w:t>článok II zákona č. 58/2014 Z. z. o výbušninách, výbušných predmetoch a munícii</w:t>
      </w:r>
      <w:r w:rsidRPr="004C5551">
        <w:t>, ktorým sa mení a dopĺňa zákon č. 311/2001 Z. z. Zákonník práce v znení neskorších predpisov (novela Zákonníka práce bola chválená v</w:t>
      </w:r>
      <w:r w:rsidR="00073D95" w:rsidRPr="004C5551">
        <w:t> </w:t>
      </w:r>
      <w:r w:rsidRPr="004C5551">
        <w:t>Národnej</w:t>
      </w:r>
      <w:r w:rsidR="00073D95" w:rsidRPr="004C5551">
        <w:t xml:space="preserve"> </w:t>
      </w:r>
      <w:r w:rsidRPr="004C5551">
        <w:t>rade Slovenskej republiky 4. februára 2014), ktorou sa upravila subsidiárna pôsobnosť Zákonníka práce na</w:t>
      </w:r>
      <w:r w:rsidR="006C29B8" w:rsidRPr="004C5551">
        <w:t> </w:t>
      </w:r>
      <w:r w:rsidRPr="004C5551">
        <w:t>pracovnoprávne vzťahy zamestnancov pracujúcich pri výrobe a spracovaní traskavín, traskavých zloží, čierneho prachu, munície, výbušnín, výbušných predmetov a výbušných pyrotechnických zloží.</w:t>
      </w:r>
    </w:p>
    <w:p w:rsidR="006775D8" w:rsidRPr="004C5551" w:rsidRDefault="006775D8" w:rsidP="00C92B2F">
      <w:pPr>
        <w:ind w:firstLine="431"/>
      </w:pPr>
      <w:r w:rsidRPr="004C5551">
        <w:t xml:space="preserve">Od 1. júla 2014 nadobudol účinnosť </w:t>
      </w:r>
      <w:r w:rsidRPr="004C5551">
        <w:rPr>
          <w:b/>
        </w:rPr>
        <w:t xml:space="preserve">článok V zákona č. 103/2014 Z. z. o divadelnej činnosti a hudobnej činnosti, </w:t>
      </w:r>
      <w:r w:rsidRPr="004C5551">
        <w:t>ktorým sa mení a dopĺňa zákon č. 311/2001 Z. z. Zákonník práce v znení neskorších predpisov (novela Zákonníka práce bola chválená v</w:t>
      </w:r>
      <w:r w:rsidR="00073D95" w:rsidRPr="004C5551">
        <w:t> </w:t>
      </w:r>
      <w:r w:rsidRPr="004C5551">
        <w:t>Národnej</w:t>
      </w:r>
      <w:r w:rsidR="00073D95" w:rsidRPr="004C5551">
        <w:t xml:space="preserve"> </w:t>
      </w:r>
      <w:r w:rsidRPr="004C5551">
        <w:t>rade Slovenskej republiky 25. marca 2014), ktorou sa upravila subsidiárna pôsobnosť Zákonníka práce na zamestnancov, ktorí sú divadelnými umelcami alebo hudobnými umelcami.</w:t>
      </w:r>
    </w:p>
    <w:p w:rsidR="006775D8" w:rsidRPr="004C5551" w:rsidRDefault="006775D8" w:rsidP="00C92B2F">
      <w:pPr>
        <w:ind w:firstLine="431"/>
      </w:pPr>
      <w:r w:rsidRPr="004C5551">
        <w:t>Od 1. júla 2014 nadobudol účinnosť</w:t>
      </w:r>
      <w:r w:rsidRPr="004C5551">
        <w:rPr>
          <w:b/>
          <w:bCs/>
        </w:rPr>
        <w:t xml:space="preserve"> článok II zákona </w:t>
      </w:r>
      <w:r w:rsidRPr="004C5551">
        <w:rPr>
          <w:b/>
        </w:rPr>
        <w:t>č. 183/2014 Z. z</w:t>
      </w:r>
      <w:r w:rsidRPr="004C5551">
        <w:t xml:space="preserve">. </w:t>
      </w:r>
      <w:r w:rsidRPr="004C5551">
        <w:rPr>
          <w:b/>
        </w:rPr>
        <w:t>ktorým sa mení a dopĺňa zákon č</w:t>
      </w:r>
      <w:r w:rsidRPr="004C5551">
        <w:t xml:space="preserve">. </w:t>
      </w:r>
      <w:r w:rsidRPr="004C5551">
        <w:rPr>
          <w:b/>
        </w:rPr>
        <w:t>43/2004 Z. z. o starobnom dôchodkovom sporení</w:t>
      </w:r>
      <w:r w:rsidRPr="004C5551">
        <w:t xml:space="preserve"> a o zmene a doplnení niektorých zákonov v znení neskorších predpisov a ktorým sa mení a dopĺňa zákon č. 311/2001 Z. z. Zákonník práce v znení neskorších predpisov (novela Zákonníka práce bola </w:t>
      </w:r>
      <w:r w:rsidR="006C29B8" w:rsidRPr="004C5551">
        <w:rPr>
          <w:spacing w:val="2"/>
        </w:rPr>
        <w:t xml:space="preserve">chválená v Národnej </w:t>
      </w:r>
      <w:r w:rsidRPr="004C5551">
        <w:rPr>
          <w:spacing w:val="2"/>
        </w:rPr>
        <w:t>rade Slovenskej republiky 5.</w:t>
      </w:r>
      <w:r w:rsidR="00AB3F7F" w:rsidRPr="004C5551">
        <w:rPr>
          <w:spacing w:val="2"/>
        </w:rPr>
        <w:t> </w:t>
      </w:r>
      <w:r w:rsidRPr="004C5551">
        <w:rPr>
          <w:spacing w:val="2"/>
        </w:rPr>
        <w:t>júna 2014), ktorou sa upravilo maximálne</w:t>
      </w:r>
      <w:r w:rsidRPr="004C5551">
        <w:t xml:space="preserve"> </w:t>
      </w:r>
      <w:r w:rsidRPr="004C5551">
        <w:rPr>
          <w:spacing w:val="2"/>
        </w:rPr>
        <w:t>trvanie dohôd o prácach vykonávaných mimo pracovného pomeru na obdobie 12 mesiacov.</w:t>
      </w:r>
      <w:r w:rsidRPr="004C5551">
        <w:t xml:space="preserve"> Ustanovilo sa tiež, že na odmeny, plynúce z týchto dohôd, sa vzťahujú ustanovenia Zákonníka práce o splatnosti mzdy, výplate a vykonávaní zrážok zo mzdy. V súlade s týmito legislatívnymi zmenami musí byť od 1. júla 2014 aj odmena za prácu na základe dohody o pracovnej činnosti a dohody o brigádnickej práci študentov splatná a vyplatená najneskôr do konca kalendárneho mesiaca, ktorý nasleduje po mesiaci, v ktorom sa práca vykonávala. </w:t>
      </w:r>
    </w:p>
    <w:p w:rsidR="00D02678" w:rsidRPr="004C5551" w:rsidRDefault="00D02678">
      <w:pPr>
        <w:jc w:val="left"/>
        <w:rPr>
          <w:rFonts w:ascii="Times New Roman Bold" w:hAnsi="Times New Roman Bold"/>
          <w:b/>
          <w:sz w:val="24"/>
          <w:szCs w:val="20"/>
          <w:lang w:eastAsia="cs-CZ"/>
        </w:rPr>
      </w:pPr>
    </w:p>
    <w:p w:rsidR="00A966B5" w:rsidRPr="004C5551" w:rsidRDefault="00A966B5" w:rsidP="00ED16E0">
      <w:pPr>
        <w:pStyle w:val="Nadpis6"/>
      </w:pPr>
      <w:r w:rsidRPr="004C5551">
        <w:t xml:space="preserve"> </w:t>
      </w:r>
      <w:bookmarkStart w:id="100" w:name="_Toc422233409"/>
      <w:r w:rsidRPr="004C5551">
        <w:t>Mzdy</w:t>
      </w:r>
      <w:bookmarkEnd w:id="99"/>
      <w:bookmarkEnd w:id="100"/>
    </w:p>
    <w:p w:rsidR="006775D8" w:rsidRPr="004C5551" w:rsidRDefault="006775D8" w:rsidP="00C92B2F">
      <w:pPr>
        <w:ind w:firstLine="431"/>
      </w:pPr>
      <w:r w:rsidRPr="004C5551">
        <w:t xml:space="preserve">V roku 2014 dosiahla </w:t>
      </w:r>
      <w:r w:rsidRPr="004C5551">
        <w:rPr>
          <w:b/>
        </w:rPr>
        <w:t>priemerná nominálna mesačná mzda</w:t>
      </w:r>
      <w:r w:rsidRPr="004C5551">
        <w:t xml:space="preserve"> zamestnanca v hospodárstve SR</w:t>
      </w:r>
      <w:r w:rsidRPr="004C5551">
        <w:rPr>
          <w:rStyle w:val="Odkaznapoznmkupodiarou"/>
        </w:rPr>
        <w:footnoteReference w:id="18"/>
      </w:r>
      <w:r w:rsidRPr="004C5551">
        <w:t xml:space="preserve"> podľa údajov ŠÚ SR hodnotu </w:t>
      </w:r>
      <w:r w:rsidRPr="004C5551">
        <w:rPr>
          <w:b/>
        </w:rPr>
        <w:t xml:space="preserve">858 </w:t>
      </w:r>
      <w:r w:rsidR="00AA0137" w:rsidRPr="004C5551">
        <w:rPr>
          <w:b/>
        </w:rPr>
        <w:t>eur</w:t>
      </w:r>
      <w:r w:rsidRPr="004C5551">
        <w:t>, ktorá sa v porovnaní s predchádzajúcim rokom zvýšila o 34 </w:t>
      </w:r>
      <w:r w:rsidR="00AA0137" w:rsidRPr="004C5551">
        <w:t>eur</w:t>
      </w:r>
      <w:r w:rsidRPr="004C5551">
        <w:t xml:space="preserve"> pri medziročnom raste o 4,1</w:t>
      </w:r>
      <w:r w:rsidR="009425AA" w:rsidRPr="004C5551">
        <w:t> %</w:t>
      </w:r>
      <w:r w:rsidRPr="004C5551">
        <w:t xml:space="preserve">. Rast nominálnej mzdy bol o 1,7 p. b. rýchlejší ako v roku 2013. </w:t>
      </w:r>
      <w:r w:rsidRPr="004C5551">
        <w:rPr>
          <w:b/>
        </w:rPr>
        <w:t>Priemerná reálna mesačná mzda</w:t>
      </w:r>
      <w:r w:rsidRPr="004C5551">
        <w:t xml:space="preserve"> zamestnanca v hospodárstve SR v roku 2014 sa medziročne zvýšila o 4,2</w:t>
      </w:r>
      <w:r w:rsidR="009425AA" w:rsidRPr="004C5551">
        <w:t> %</w:t>
      </w:r>
      <w:r w:rsidRPr="004C5551">
        <w:t xml:space="preserve"> (v roku 2013 o 1,0</w:t>
      </w:r>
      <w:r w:rsidR="009425AA" w:rsidRPr="004C5551">
        <w:t> %</w:t>
      </w:r>
      <w:r w:rsidRPr="004C5551">
        <w:t xml:space="preserve">). </w:t>
      </w:r>
    </w:p>
    <w:p w:rsidR="006775D8" w:rsidRPr="004C5551" w:rsidRDefault="006775D8" w:rsidP="0026483B">
      <w:pPr>
        <w:pStyle w:val="Nadpis7"/>
      </w:pPr>
      <w:r w:rsidRPr="004C5551">
        <w:t>Graf 2.</w:t>
      </w:r>
      <w:r w:rsidR="00AB3F7F" w:rsidRPr="004C5551">
        <w:t>16</w:t>
      </w:r>
      <w:r w:rsidRPr="004C5551">
        <w:t xml:space="preserve"> Vývoj priemernej mesačnej mzdy od roku 2000 (v</w:t>
      </w:r>
      <w:r w:rsidR="009425AA" w:rsidRPr="004C5551">
        <w:t> %</w:t>
      </w:r>
      <w:r w:rsidRPr="004C5551">
        <w:t>)</w:t>
      </w:r>
    </w:p>
    <w:p w:rsidR="006775D8" w:rsidRPr="004C5551" w:rsidRDefault="006775D8" w:rsidP="006775D8">
      <w:pPr>
        <w:pStyle w:val="zdroj"/>
        <w:ind w:left="567" w:hanging="567"/>
        <w:jc w:val="left"/>
      </w:pPr>
      <w:r w:rsidRPr="004C5551">
        <w:rPr>
          <w:noProof/>
        </w:rPr>
        <w:drawing>
          <wp:inline distT="0" distB="0" distL="0" distR="0" wp14:anchorId="3AEF4C99" wp14:editId="095A6D77">
            <wp:extent cx="5771072" cy="2907101"/>
            <wp:effectExtent l="0" t="0" r="1270" b="762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C5551">
        <w:t>Zdroj: ŠÚ SR</w:t>
      </w:r>
    </w:p>
    <w:p w:rsidR="006A5C29" w:rsidRPr="004C5551" w:rsidRDefault="006A5C29" w:rsidP="00C92B2F">
      <w:pPr>
        <w:ind w:firstLine="431"/>
      </w:pPr>
    </w:p>
    <w:p w:rsidR="006775D8" w:rsidRPr="004C5551" w:rsidRDefault="006775D8" w:rsidP="00C92B2F">
      <w:pPr>
        <w:ind w:firstLine="431"/>
      </w:pPr>
      <w:r w:rsidRPr="004C5551">
        <w:t>Rovnako ako v predchádzajúcich rokoch, aj v roku 2014 v mzdovom vývoji pretrvávali výrazné regionálne rozdiely, keď sa</w:t>
      </w:r>
      <w:r w:rsidRPr="004C5551">
        <w:rPr>
          <w:b/>
          <w:i/>
        </w:rPr>
        <w:t xml:space="preserve"> v jednotlivých krajoch</w:t>
      </w:r>
      <w:r w:rsidRPr="004C5551">
        <w:t xml:space="preserve"> priemerná nominálna mesačná mzda pohybovala v rozpätí od 657 </w:t>
      </w:r>
      <w:r w:rsidR="00AA0137" w:rsidRPr="004C5551">
        <w:t>eur</w:t>
      </w:r>
      <w:r w:rsidRPr="004C5551">
        <w:t xml:space="preserve"> (Prešovský kraj) do 1 107 </w:t>
      </w:r>
      <w:r w:rsidR="00AA0137" w:rsidRPr="004C5551">
        <w:t>eur</w:t>
      </w:r>
      <w:r w:rsidRPr="004C5551">
        <w:t xml:space="preserve"> (Bratislavs</w:t>
      </w:r>
      <w:r w:rsidR="0026483B" w:rsidRPr="004C5551">
        <w:t>ký kraj) s rozdielom 450</w:t>
      </w:r>
      <w:r w:rsidR="00E47B33" w:rsidRPr="004C5551">
        <w:t> </w:t>
      </w:r>
      <w:r w:rsidR="00AA0137" w:rsidRPr="004C5551">
        <w:t>eur</w:t>
      </w:r>
      <w:r w:rsidR="0026483B" w:rsidRPr="004C5551">
        <w:t>. V </w:t>
      </w:r>
      <w:r w:rsidRPr="004C5551">
        <w:t>Prešovskom kraji dosahovala priemerná nominálna mesačná mzda 59,3</w:t>
      </w:r>
      <w:r w:rsidR="009425AA" w:rsidRPr="004C5551">
        <w:t> %</w:t>
      </w:r>
      <w:r w:rsidRPr="004C5551">
        <w:t xml:space="preserve"> (60,6</w:t>
      </w:r>
      <w:r w:rsidR="009425AA" w:rsidRPr="004C5551">
        <w:t> %</w:t>
      </w:r>
      <w:r w:rsidRPr="004C5551">
        <w:t xml:space="preserve"> v roku 2013) priemernej nominálnej mzdy Bratislavského kraja. Vyššia ako v priemere za celé hospodárstvo SR bola priemerná nominálna mesačná mzda len v Bratislavskom kraji, v ostatných krajoch bola </w:t>
      </w:r>
      <w:r w:rsidR="00003E80" w:rsidRPr="004C5551">
        <w:t>pod </w:t>
      </w:r>
      <w:r w:rsidRPr="004C5551">
        <w:t xml:space="preserve">priemerom SR. </w:t>
      </w:r>
    </w:p>
    <w:p w:rsidR="00A42C26" w:rsidRPr="004C5551" w:rsidRDefault="006775D8" w:rsidP="00C92B2F">
      <w:pPr>
        <w:tabs>
          <w:tab w:val="left" w:pos="-284"/>
          <w:tab w:val="left" w:pos="567"/>
        </w:tabs>
        <w:ind w:firstLine="431"/>
      </w:pPr>
      <w:r w:rsidRPr="004C5551">
        <w:t>Vo všetkých krajoch bola priemerná nominálna mzda zamestnancov v roku 2014 vyššia ako pred rokom. Tempo rastu priemernej nominálnej mesačnej mzdy v roku 2014 sa v porovnaní s rokom 2013 znížilo v Banskobystrickom, Prešovskom a Košickom kraji a v ostatných krajoch bol medziročný rast priemernej nominálnej mzdy zamestnanca rýchlejší ako pred rokom. Medziročný rast priemernej nominálnej mzdy zamestnanca nad priemerom v SR bol len v Bratislavskom kraji, pričom najvýraznejšie zaostávanie tempa rastu priemernej nominálnej mzdy zamestnanca za priemerom v SR zaznamenal Košický kraj (o 1,9 p. b.).</w:t>
      </w:r>
    </w:p>
    <w:p w:rsidR="00460DEB" w:rsidRPr="004C5551" w:rsidRDefault="00A42C26" w:rsidP="00460DEB">
      <w:pPr>
        <w:pStyle w:val="Nadpis7"/>
        <w:rPr>
          <w:b w:val="0"/>
        </w:rPr>
      </w:pPr>
      <w:r w:rsidRPr="004C5551">
        <w:t>Tabuľka 2.17 Priemerná mesačná nominálna mzda a jej rast v rokoch 2013 a 2014 podľa krajov</w:t>
      </w:r>
    </w:p>
    <w:tbl>
      <w:tblPr>
        <w:tblW w:w="7100" w:type="dxa"/>
        <w:jc w:val="center"/>
        <w:tblInd w:w="55" w:type="dxa"/>
        <w:tblCellMar>
          <w:left w:w="70" w:type="dxa"/>
          <w:right w:w="70" w:type="dxa"/>
        </w:tblCellMar>
        <w:tblLook w:val="04A0" w:firstRow="1" w:lastRow="0" w:firstColumn="1" w:lastColumn="0" w:noHBand="0" w:noVBand="1"/>
      </w:tblPr>
      <w:tblGrid>
        <w:gridCol w:w="2300"/>
        <w:gridCol w:w="1300"/>
        <w:gridCol w:w="1120"/>
        <w:gridCol w:w="1200"/>
        <w:gridCol w:w="1180"/>
      </w:tblGrid>
      <w:tr w:rsidR="00156637" w:rsidRPr="004C5551" w:rsidTr="00156637">
        <w:trPr>
          <w:trHeight w:val="300"/>
          <w:jc w:val="center"/>
        </w:trPr>
        <w:tc>
          <w:tcPr>
            <w:tcW w:w="2300" w:type="dxa"/>
            <w:tcBorders>
              <w:top w:val="single" w:sz="4" w:space="0" w:color="C00000"/>
              <w:left w:val="single" w:sz="4" w:space="0" w:color="C00000"/>
              <w:bottom w:val="nil"/>
              <w:right w:val="nil"/>
            </w:tcBorders>
            <w:shd w:val="clear" w:color="000000" w:fill="C00000"/>
            <w:noWrap/>
            <w:vAlign w:val="bottom"/>
            <w:hideMark/>
          </w:tcPr>
          <w:p w:rsidR="00156637" w:rsidRPr="004C5551" w:rsidRDefault="00156637" w:rsidP="00156637">
            <w:pPr>
              <w:jc w:val="left"/>
              <w:rPr>
                <w:b/>
                <w:bCs/>
                <w:color w:val="FFFFFF"/>
                <w:szCs w:val="22"/>
              </w:rPr>
            </w:pPr>
            <w:r w:rsidRPr="004C5551">
              <w:rPr>
                <w:b/>
                <w:bCs/>
                <w:color w:val="FFFFFF"/>
                <w:szCs w:val="22"/>
              </w:rPr>
              <w:t> </w:t>
            </w:r>
          </w:p>
        </w:tc>
        <w:tc>
          <w:tcPr>
            <w:tcW w:w="2420" w:type="dxa"/>
            <w:gridSpan w:val="2"/>
            <w:tcBorders>
              <w:top w:val="single" w:sz="4" w:space="0" w:color="C00000"/>
              <w:left w:val="nil"/>
              <w:bottom w:val="single" w:sz="4" w:space="0" w:color="C00000"/>
              <w:right w:val="nil"/>
            </w:tcBorders>
            <w:shd w:val="clear" w:color="000000" w:fill="C00000"/>
            <w:noWrap/>
            <w:vAlign w:val="bottom"/>
            <w:hideMark/>
          </w:tcPr>
          <w:p w:rsidR="00156637" w:rsidRPr="004C5551" w:rsidRDefault="00156637" w:rsidP="00156637">
            <w:pPr>
              <w:jc w:val="center"/>
              <w:rPr>
                <w:b/>
                <w:bCs/>
                <w:color w:val="FFFFFF"/>
                <w:szCs w:val="22"/>
              </w:rPr>
            </w:pPr>
            <w:r w:rsidRPr="004C5551">
              <w:rPr>
                <w:b/>
                <w:bCs/>
                <w:color w:val="FFFFFF"/>
                <w:szCs w:val="22"/>
              </w:rPr>
              <w:t>2013</w:t>
            </w:r>
          </w:p>
        </w:tc>
        <w:tc>
          <w:tcPr>
            <w:tcW w:w="2380" w:type="dxa"/>
            <w:gridSpan w:val="2"/>
            <w:tcBorders>
              <w:top w:val="single" w:sz="4" w:space="0" w:color="C00000"/>
              <w:left w:val="nil"/>
              <w:bottom w:val="single" w:sz="4" w:space="0" w:color="C00000"/>
              <w:right w:val="single" w:sz="4" w:space="0" w:color="C00000"/>
            </w:tcBorders>
            <w:shd w:val="clear" w:color="000000" w:fill="C00000"/>
            <w:noWrap/>
            <w:vAlign w:val="bottom"/>
            <w:hideMark/>
          </w:tcPr>
          <w:p w:rsidR="00156637" w:rsidRPr="004C5551" w:rsidRDefault="00156637" w:rsidP="00156637">
            <w:pPr>
              <w:jc w:val="center"/>
              <w:rPr>
                <w:b/>
                <w:bCs/>
                <w:color w:val="FFFFFF"/>
                <w:szCs w:val="22"/>
              </w:rPr>
            </w:pPr>
            <w:r w:rsidRPr="004C5551">
              <w:rPr>
                <w:b/>
                <w:bCs/>
                <w:color w:val="FFFFFF"/>
                <w:szCs w:val="22"/>
              </w:rPr>
              <w:t>2014</w:t>
            </w:r>
          </w:p>
        </w:tc>
      </w:tr>
      <w:tr w:rsidR="00156637" w:rsidRPr="004C5551" w:rsidTr="00156637">
        <w:trPr>
          <w:trHeight w:val="585"/>
          <w:jc w:val="center"/>
        </w:trPr>
        <w:tc>
          <w:tcPr>
            <w:tcW w:w="2300" w:type="dxa"/>
            <w:tcBorders>
              <w:top w:val="single" w:sz="4" w:space="0" w:color="C00000"/>
              <w:left w:val="single" w:sz="4" w:space="0" w:color="C00000"/>
              <w:bottom w:val="nil"/>
              <w:right w:val="nil"/>
            </w:tcBorders>
            <w:shd w:val="clear" w:color="000000" w:fill="C00000"/>
            <w:noWrap/>
            <w:vAlign w:val="bottom"/>
            <w:hideMark/>
          </w:tcPr>
          <w:p w:rsidR="00156637" w:rsidRPr="004C5551" w:rsidRDefault="00156637" w:rsidP="00156637">
            <w:pPr>
              <w:jc w:val="left"/>
              <w:rPr>
                <w:b/>
                <w:bCs/>
                <w:color w:val="FFFFFF"/>
                <w:szCs w:val="22"/>
              </w:rPr>
            </w:pPr>
            <w:r w:rsidRPr="004C5551">
              <w:rPr>
                <w:b/>
                <w:bCs/>
                <w:color w:val="FFFFFF"/>
                <w:szCs w:val="22"/>
              </w:rPr>
              <w:t> </w:t>
            </w:r>
          </w:p>
        </w:tc>
        <w:tc>
          <w:tcPr>
            <w:tcW w:w="1300" w:type="dxa"/>
            <w:tcBorders>
              <w:top w:val="nil"/>
              <w:left w:val="nil"/>
              <w:bottom w:val="single" w:sz="4" w:space="0" w:color="C00000"/>
              <w:right w:val="nil"/>
            </w:tcBorders>
            <w:shd w:val="clear" w:color="000000" w:fill="C00000"/>
            <w:vAlign w:val="center"/>
            <w:hideMark/>
          </w:tcPr>
          <w:p w:rsidR="00156637" w:rsidRPr="004C5551" w:rsidRDefault="00156637" w:rsidP="00156637">
            <w:pPr>
              <w:jc w:val="center"/>
              <w:rPr>
                <w:b/>
                <w:bCs/>
                <w:color w:val="FFFFFF"/>
                <w:szCs w:val="22"/>
              </w:rPr>
            </w:pPr>
            <w:r w:rsidRPr="004C5551">
              <w:rPr>
                <w:b/>
                <w:bCs/>
                <w:color w:val="FFFFFF"/>
                <w:szCs w:val="22"/>
              </w:rPr>
              <w:t>priemerná výška v €</w:t>
            </w:r>
          </w:p>
        </w:tc>
        <w:tc>
          <w:tcPr>
            <w:tcW w:w="1120" w:type="dxa"/>
            <w:tcBorders>
              <w:top w:val="nil"/>
              <w:left w:val="nil"/>
              <w:bottom w:val="single" w:sz="4" w:space="0" w:color="C00000"/>
              <w:right w:val="nil"/>
            </w:tcBorders>
            <w:shd w:val="clear" w:color="000000" w:fill="C00000"/>
            <w:vAlign w:val="center"/>
            <w:hideMark/>
          </w:tcPr>
          <w:p w:rsidR="00156637" w:rsidRPr="004C5551" w:rsidRDefault="00156637" w:rsidP="00156637">
            <w:pPr>
              <w:jc w:val="center"/>
              <w:rPr>
                <w:b/>
                <w:bCs/>
                <w:color w:val="FFFFFF"/>
                <w:szCs w:val="22"/>
              </w:rPr>
            </w:pPr>
            <w:r w:rsidRPr="004C5551">
              <w:rPr>
                <w:b/>
                <w:bCs/>
                <w:color w:val="FFFFFF"/>
                <w:szCs w:val="22"/>
              </w:rPr>
              <w:t>index 2013/2012</w:t>
            </w:r>
          </w:p>
        </w:tc>
        <w:tc>
          <w:tcPr>
            <w:tcW w:w="1200" w:type="dxa"/>
            <w:tcBorders>
              <w:top w:val="nil"/>
              <w:left w:val="nil"/>
              <w:bottom w:val="single" w:sz="4" w:space="0" w:color="C00000"/>
              <w:right w:val="nil"/>
            </w:tcBorders>
            <w:shd w:val="clear" w:color="000000" w:fill="C00000"/>
            <w:vAlign w:val="center"/>
            <w:hideMark/>
          </w:tcPr>
          <w:p w:rsidR="00156637" w:rsidRPr="004C5551" w:rsidRDefault="00156637" w:rsidP="00156637">
            <w:pPr>
              <w:jc w:val="center"/>
              <w:rPr>
                <w:b/>
                <w:bCs/>
                <w:color w:val="FFFFFF"/>
                <w:szCs w:val="22"/>
              </w:rPr>
            </w:pPr>
            <w:r w:rsidRPr="004C5551">
              <w:rPr>
                <w:b/>
                <w:bCs/>
                <w:color w:val="FFFFFF"/>
                <w:szCs w:val="22"/>
              </w:rPr>
              <w:t>priemerná výška v €</w:t>
            </w:r>
          </w:p>
        </w:tc>
        <w:tc>
          <w:tcPr>
            <w:tcW w:w="1180" w:type="dxa"/>
            <w:tcBorders>
              <w:top w:val="nil"/>
              <w:left w:val="nil"/>
              <w:bottom w:val="single" w:sz="4" w:space="0" w:color="C00000"/>
              <w:right w:val="nil"/>
            </w:tcBorders>
            <w:shd w:val="clear" w:color="000000" w:fill="C00000"/>
            <w:vAlign w:val="center"/>
            <w:hideMark/>
          </w:tcPr>
          <w:p w:rsidR="00156637" w:rsidRPr="004C5551" w:rsidRDefault="00156637" w:rsidP="00156637">
            <w:pPr>
              <w:jc w:val="center"/>
              <w:rPr>
                <w:b/>
                <w:bCs/>
                <w:color w:val="FFFFFF"/>
                <w:szCs w:val="22"/>
              </w:rPr>
            </w:pPr>
            <w:r w:rsidRPr="004C5551">
              <w:rPr>
                <w:b/>
                <w:bCs/>
                <w:color w:val="FFFFFF"/>
                <w:szCs w:val="22"/>
              </w:rPr>
              <w:t>index 2014/2013</w:t>
            </w:r>
          </w:p>
        </w:tc>
      </w:tr>
      <w:tr w:rsidR="00156637" w:rsidRPr="004C5551" w:rsidTr="00156637">
        <w:trPr>
          <w:trHeight w:val="300"/>
          <w:jc w:val="center"/>
        </w:trPr>
        <w:tc>
          <w:tcPr>
            <w:tcW w:w="2300" w:type="dxa"/>
            <w:tcBorders>
              <w:top w:val="single" w:sz="4" w:space="0" w:color="C00000"/>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Bratislavský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1 049</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101,9</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1 107</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105,5</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Trnavský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745</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101,2</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772</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103,6</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Trenčiansky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750</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103,6</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779</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103,9</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Nitriansky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680</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102,9</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705</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103,7</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Žilinský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732</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100,8</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750</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102,5</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Banskobystrický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706</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104,6</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730</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103,4</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Prešovský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636</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103,8</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657</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103,3</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color w:val="000000"/>
                <w:szCs w:val="22"/>
              </w:rPr>
            </w:pPr>
            <w:r w:rsidRPr="004C5551">
              <w:rPr>
                <w:color w:val="000000"/>
                <w:szCs w:val="22"/>
              </w:rPr>
              <w:t>Košický kraj</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758</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103,1</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775</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color w:val="000000"/>
                <w:szCs w:val="22"/>
              </w:rPr>
            </w:pPr>
            <w:r w:rsidRPr="004C5551">
              <w:rPr>
                <w:color w:val="000000"/>
                <w:szCs w:val="22"/>
              </w:rPr>
              <w:t>102,2</w:t>
            </w:r>
          </w:p>
        </w:tc>
      </w:tr>
      <w:tr w:rsidR="00156637" w:rsidRPr="004C5551" w:rsidTr="00156637">
        <w:trPr>
          <w:trHeight w:val="300"/>
          <w:jc w:val="center"/>
        </w:trPr>
        <w:tc>
          <w:tcPr>
            <w:tcW w:w="2300" w:type="dxa"/>
            <w:tcBorders>
              <w:top w:val="nil"/>
              <w:left w:val="single" w:sz="4" w:space="0" w:color="C00000"/>
              <w:bottom w:val="single" w:sz="4" w:space="0" w:color="C00000"/>
              <w:right w:val="nil"/>
            </w:tcBorders>
            <w:shd w:val="clear" w:color="auto" w:fill="auto"/>
            <w:noWrap/>
            <w:vAlign w:val="bottom"/>
            <w:hideMark/>
          </w:tcPr>
          <w:p w:rsidR="00156637" w:rsidRPr="004C5551" w:rsidRDefault="00156637" w:rsidP="00156637">
            <w:pPr>
              <w:jc w:val="left"/>
              <w:rPr>
                <w:b/>
                <w:bCs/>
                <w:color w:val="000000"/>
                <w:szCs w:val="22"/>
              </w:rPr>
            </w:pPr>
            <w:r w:rsidRPr="004C5551">
              <w:rPr>
                <w:b/>
                <w:bCs/>
                <w:color w:val="000000"/>
                <w:szCs w:val="22"/>
              </w:rPr>
              <w:t>Slovenská republika</w:t>
            </w:r>
          </w:p>
        </w:tc>
        <w:tc>
          <w:tcPr>
            <w:tcW w:w="13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b/>
                <w:bCs/>
                <w:color w:val="000000"/>
                <w:szCs w:val="22"/>
              </w:rPr>
            </w:pPr>
            <w:r w:rsidRPr="004C5551">
              <w:rPr>
                <w:b/>
                <w:bCs/>
                <w:color w:val="000000"/>
                <w:szCs w:val="22"/>
              </w:rPr>
              <w:t>824</w:t>
            </w:r>
          </w:p>
        </w:tc>
        <w:tc>
          <w:tcPr>
            <w:tcW w:w="112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b/>
                <w:bCs/>
                <w:color w:val="000000"/>
                <w:szCs w:val="22"/>
              </w:rPr>
            </w:pPr>
            <w:r w:rsidRPr="004C5551">
              <w:rPr>
                <w:b/>
                <w:bCs/>
                <w:color w:val="000000"/>
                <w:szCs w:val="22"/>
              </w:rPr>
              <w:t>102,4</w:t>
            </w:r>
          </w:p>
        </w:tc>
        <w:tc>
          <w:tcPr>
            <w:tcW w:w="1200" w:type="dxa"/>
            <w:tcBorders>
              <w:top w:val="nil"/>
              <w:left w:val="nil"/>
              <w:bottom w:val="single" w:sz="4" w:space="0" w:color="C00000"/>
              <w:right w:val="nil"/>
            </w:tcBorders>
            <w:shd w:val="clear" w:color="auto" w:fill="auto"/>
            <w:noWrap/>
            <w:vAlign w:val="bottom"/>
            <w:hideMark/>
          </w:tcPr>
          <w:p w:rsidR="00156637" w:rsidRPr="004C5551" w:rsidRDefault="00156637" w:rsidP="00156637">
            <w:pPr>
              <w:jc w:val="right"/>
              <w:rPr>
                <w:b/>
                <w:bCs/>
                <w:color w:val="000000"/>
                <w:szCs w:val="22"/>
              </w:rPr>
            </w:pPr>
            <w:r w:rsidRPr="004C5551">
              <w:rPr>
                <w:b/>
                <w:bCs/>
                <w:color w:val="000000"/>
                <w:szCs w:val="22"/>
              </w:rPr>
              <w:t>858</w:t>
            </w:r>
          </w:p>
        </w:tc>
        <w:tc>
          <w:tcPr>
            <w:tcW w:w="1180" w:type="dxa"/>
            <w:tcBorders>
              <w:top w:val="nil"/>
              <w:left w:val="nil"/>
              <w:bottom w:val="single" w:sz="4" w:space="0" w:color="C00000"/>
              <w:right w:val="single" w:sz="4" w:space="0" w:color="C00000"/>
            </w:tcBorders>
            <w:shd w:val="clear" w:color="auto" w:fill="auto"/>
            <w:noWrap/>
            <w:vAlign w:val="bottom"/>
            <w:hideMark/>
          </w:tcPr>
          <w:p w:rsidR="00156637" w:rsidRPr="004C5551" w:rsidRDefault="00156637" w:rsidP="00156637">
            <w:pPr>
              <w:jc w:val="right"/>
              <w:rPr>
                <w:b/>
                <w:bCs/>
                <w:color w:val="000000"/>
                <w:szCs w:val="22"/>
              </w:rPr>
            </w:pPr>
            <w:r w:rsidRPr="004C5551">
              <w:rPr>
                <w:b/>
                <w:bCs/>
                <w:color w:val="000000"/>
                <w:szCs w:val="22"/>
              </w:rPr>
              <w:t>104,1</w:t>
            </w:r>
          </w:p>
        </w:tc>
      </w:tr>
    </w:tbl>
    <w:p w:rsidR="00460DEB" w:rsidRPr="004C5551" w:rsidRDefault="00156637" w:rsidP="00460DEB">
      <w:pPr>
        <w:pStyle w:val="zdroj"/>
      </w:pPr>
      <w:r w:rsidRPr="004C5551">
        <w:t>Zdroj ŠÚ SR</w:t>
      </w:r>
    </w:p>
    <w:p w:rsidR="006775D8" w:rsidRPr="004C5551" w:rsidRDefault="006775D8" w:rsidP="00C92B2F">
      <w:pPr>
        <w:ind w:firstLine="431"/>
      </w:pPr>
      <w:r w:rsidRPr="004C5551">
        <w:rPr>
          <w:b/>
        </w:rPr>
        <w:t>Podľa odvetví</w:t>
      </w:r>
      <w:r w:rsidRPr="004C5551">
        <w:t xml:space="preserve"> najvyššiu priemernú nominálnu mesačnú mzdu mali zamestnanci v informáciách a komunikáciách (1 660 </w:t>
      </w:r>
      <w:r w:rsidR="000860E9" w:rsidRPr="004C5551">
        <w:t>eur</w:t>
      </w:r>
      <w:r w:rsidRPr="004C5551">
        <w:t xml:space="preserve">) a finančných a poisťovacích činnostiach (1 657 </w:t>
      </w:r>
      <w:r w:rsidR="00AA0137" w:rsidRPr="004C5551">
        <w:t>eur</w:t>
      </w:r>
      <w:r w:rsidRPr="004C5551">
        <w:t>). Vyššia nominálna mesačná mzda ako celoslovenský priemer bola v odborných vedec</w:t>
      </w:r>
      <w:r w:rsidR="00BD0738" w:rsidRPr="004C5551">
        <w:t xml:space="preserve">kých, a technických činnostiach, </w:t>
      </w:r>
      <w:r w:rsidRPr="004C5551">
        <w:t>vo</w:t>
      </w:r>
      <w:r w:rsidR="00FD7AD3" w:rsidRPr="004C5551">
        <w:t> </w:t>
      </w:r>
      <w:r w:rsidRPr="004C5551">
        <w:t>verejnej správe a obrane,</w:t>
      </w:r>
      <w:r w:rsidR="00BD0738" w:rsidRPr="004C5551">
        <w:t xml:space="preserve"> povinnom sociálnom zabezpečení,</w:t>
      </w:r>
      <w:r w:rsidR="00073D95" w:rsidRPr="004C5551">
        <w:t xml:space="preserve"> </w:t>
      </w:r>
      <w:r w:rsidR="00BD0738" w:rsidRPr="004C5551">
        <w:t>v priemysle,</w:t>
      </w:r>
      <w:r w:rsidR="005308FD" w:rsidRPr="004C5551">
        <w:t xml:space="preserve"> </w:t>
      </w:r>
      <w:r w:rsidRPr="004C5551">
        <w:t>admini</w:t>
      </w:r>
      <w:r w:rsidR="000860E9" w:rsidRPr="004C5551">
        <w:softHyphen/>
      </w:r>
      <w:r w:rsidRPr="004C5551">
        <w:t>stratívnych slu</w:t>
      </w:r>
      <w:r w:rsidR="00BD0738" w:rsidRPr="004C5551">
        <w:t>žbách a v</w:t>
      </w:r>
      <w:r w:rsidR="005308FD" w:rsidRPr="004C5551">
        <w:t> </w:t>
      </w:r>
      <w:r w:rsidRPr="004C5551">
        <w:t xml:space="preserve">činnostiach v oblasti nehnuteľností. Najnižšiu priemernú nominálnu mesačnú mzdu mali zamestnanci v ubytovacích a stravovacích službách (511 </w:t>
      </w:r>
      <w:r w:rsidR="00AA0137" w:rsidRPr="004C5551">
        <w:t>eur</w:t>
      </w:r>
      <w:r w:rsidRPr="004C5551">
        <w:t xml:space="preserve">). Rozdiel medzi najlepšie a najhoršie plateným odvetvím sa v porovnaní s predchádzajúcim rokom prehĺbil, keď tvoril 1 149 </w:t>
      </w:r>
      <w:r w:rsidR="00AA0137" w:rsidRPr="004C5551">
        <w:t>eur</w:t>
      </w:r>
      <w:r w:rsidRPr="004C5551">
        <w:t xml:space="preserve"> (v roku 2013 to bolo 1 121 </w:t>
      </w:r>
      <w:r w:rsidR="00AA0137" w:rsidRPr="004C5551">
        <w:t>eur</w:t>
      </w:r>
      <w:r w:rsidRPr="004C5551">
        <w:t>).</w:t>
      </w:r>
    </w:p>
    <w:p w:rsidR="00A42C26" w:rsidRPr="004C5551" w:rsidRDefault="006775D8" w:rsidP="00A42C26">
      <w:pPr>
        <w:ind w:firstLine="431"/>
      </w:pPr>
      <w:r w:rsidRPr="004C5551">
        <w:t>V porovnaní s rokom 2013 vzrástla priemerná nominálna mesačná mzda v prevažujúcej časti odvetví. Najvyšší relatívny prírastok bol v oblasti finančných a poisťovacích činností. Nadpriemerné medziročné tempo rastu mzdy zaznamenali aj odvetvia: administratívne služby, poľnoho</w:t>
      </w:r>
      <w:r w:rsidR="00BD0738" w:rsidRPr="004C5551">
        <w:t>spodárstvo, lesníctvo a rybolov, vzdelávanie,</w:t>
      </w:r>
      <w:r w:rsidRPr="004C5551">
        <w:t xml:space="preserve"> zdravotníctvo a sociálna pomoc. Priemerná nominálna mesačná mzda medziročne klesla v troch odvetviac</w:t>
      </w:r>
      <w:r w:rsidR="00BD0738" w:rsidRPr="004C5551">
        <w:t>h, a to v ostatných činnostiach,</w:t>
      </w:r>
      <w:r w:rsidRPr="004C5551">
        <w:t xml:space="preserve"> stavebníctve a ubytovacích a stravovacích službách.</w:t>
      </w:r>
    </w:p>
    <w:p w:rsidR="006A5C29" w:rsidRPr="004C5551" w:rsidRDefault="006A5C29" w:rsidP="00A42C26">
      <w:pPr>
        <w:ind w:firstLine="431"/>
      </w:pPr>
    </w:p>
    <w:p w:rsidR="006A5C29" w:rsidRPr="004C5551" w:rsidRDefault="006A5C29" w:rsidP="00A42C26">
      <w:pPr>
        <w:ind w:firstLine="431"/>
      </w:pPr>
    </w:p>
    <w:p w:rsidR="006A5C29" w:rsidRPr="004C5551" w:rsidRDefault="006A5C29" w:rsidP="00A42C26">
      <w:pPr>
        <w:ind w:firstLine="431"/>
      </w:pPr>
    </w:p>
    <w:p w:rsidR="006A5C29" w:rsidRPr="004C5551" w:rsidRDefault="006A5C29" w:rsidP="00A42C26">
      <w:pPr>
        <w:ind w:firstLine="431"/>
      </w:pPr>
    </w:p>
    <w:p w:rsidR="006A5C29" w:rsidRPr="004C5551" w:rsidRDefault="006A5C29" w:rsidP="00A42C26">
      <w:pPr>
        <w:ind w:firstLine="431"/>
      </w:pPr>
    </w:p>
    <w:p w:rsidR="006A5C29" w:rsidRPr="004C5551" w:rsidRDefault="006A5C29" w:rsidP="00A42C26">
      <w:pPr>
        <w:ind w:firstLine="431"/>
      </w:pPr>
    </w:p>
    <w:p w:rsidR="00460DEB" w:rsidRPr="004C5551" w:rsidRDefault="00A42C26" w:rsidP="00460DEB">
      <w:pPr>
        <w:pStyle w:val="Nadpis7"/>
      </w:pPr>
      <w:r w:rsidRPr="004C5551">
        <w:t xml:space="preserve">Tabuľka 2.18 Priemerná mesačná nominálna mzda a jej rast v rokoch 2013 a 2014 </w:t>
      </w:r>
      <w:r w:rsidR="00E47B33" w:rsidRPr="004C5551">
        <w:br/>
      </w:r>
      <w:r w:rsidRPr="004C5551">
        <w:t xml:space="preserve">podľa odvetví </w:t>
      </w:r>
    </w:p>
    <w:tbl>
      <w:tblPr>
        <w:tblW w:w="9080" w:type="dxa"/>
        <w:jc w:val="center"/>
        <w:tblInd w:w="55" w:type="dxa"/>
        <w:tblCellMar>
          <w:left w:w="70" w:type="dxa"/>
          <w:right w:w="70" w:type="dxa"/>
        </w:tblCellMar>
        <w:tblLook w:val="04A0" w:firstRow="1" w:lastRow="0" w:firstColumn="1" w:lastColumn="0" w:noHBand="0" w:noVBand="1"/>
      </w:tblPr>
      <w:tblGrid>
        <w:gridCol w:w="4120"/>
        <w:gridCol w:w="1360"/>
        <w:gridCol w:w="1180"/>
        <w:gridCol w:w="1220"/>
        <w:gridCol w:w="1200"/>
      </w:tblGrid>
      <w:tr w:rsidR="00A42C26" w:rsidRPr="004C5551" w:rsidTr="00A42C26">
        <w:trPr>
          <w:trHeight w:val="300"/>
          <w:jc w:val="center"/>
        </w:trPr>
        <w:tc>
          <w:tcPr>
            <w:tcW w:w="4120" w:type="dxa"/>
            <w:vMerge w:val="restart"/>
            <w:tcBorders>
              <w:top w:val="single" w:sz="4" w:space="0" w:color="C00000"/>
              <w:left w:val="single" w:sz="4" w:space="0" w:color="C00000"/>
              <w:bottom w:val="single" w:sz="4" w:space="0" w:color="C00000"/>
              <w:right w:val="nil"/>
            </w:tcBorders>
            <w:shd w:val="clear" w:color="000000" w:fill="C00000"/>
            <w:noWrap/>
            <w:vAlign w:val="center"/>
            <w:hideMark/>
          </w:tcPr>
          <w:p w:rsidR="00A42C26" w:rsidRPr="004C5551" w:rsidRDefault="00A42C26" w:rsidP="00A42C26">
            <w:pPr>
              <w:jc w:val="left"/>
              <w:rPr>
                <w:b/>
                <w:bCs/>
                <w:color w:val="FFFFFF"/>
                <w:szCs w:val="22"/>
              </w:rPr>
            </w:pPr>
            <w:r w:rsidRPr="004C5551">
              <w:rPr>
                <w:b/>
                <w:bCs/>
                <w:color w:val="FFFFFF"/>
                <w:szCs w:val="22"/>
              </w:rPr>
              <w:t>Ekonomické činnosti (SK NACE rev. 2)</w:t>
            </w:r>
          </w:p>
        </w:tc>
        <w:tc>
          <w:tcPr>
            <w:tcW w:w="2540" w:type="dxa"/>
            <w:gridSpan w:val="2"/>
            <w:tcBorders>
              <w:top w:val="single" w:sz="4" w:space="0" w:color="C00000"/>
              <w:left w:val="nil"/>
              <w:bottom w:val="single" w:sz="4" w:space="0" w:color="C00000"/>
              <w:right w:val="nil"/>
            </w:tcBorders>
            <w:shd w:val="clear" w:color="000000" w:fill="C00000"/>
            <w:noWrap/>
            <w:vAlign w:val="bottom"/>
            <w:hideMark/>
          </w:tcPr>
          <w:p w:rsidR="00A42C26" w:rsidRPr="004C5551" w:rsidRDefault="00A42C26" w:rsidP="00A42C26">
            <w:pPr>
              <w:jc w:val="center"/>
              <w:rPr>
                <w:b/>
                <w:bCs/>
                <w:color w:val="FFFFFF"/>
                <w:szCs w:val="22"/>
              </w:rPr>
            </w:pPr>
            <w:r w:rsidRPr="004C5551">
              <w:rPr>
                <w:b/>
                <w:bCs/>
                <w:color w:val="FFFFFF"/>
                <w:szCs w:val="22"/>
              </w:rPr>
              <w:t>2013</w:t>
            </w:r>
          </w:p>
        </w:tc>
        <w:tc>
          <w:tcPr>
            <w:tcW w:w="2420" w:type="dxa"/>
            <w:gridSpan w:val="2"/>
            <w:tcBorders>
              <w:top w:val="single" w:sz="4" w:space="0" w:color="C00000"/>
              <w:left w:val="nil"/>
              <w:bottom w:val="single" w:sz="4" w:space="0" w:color="C00000"/>
              <w:right w:val="single" w:sz="4" w:space="0" w:color="C00000"/>
            </w:tcBorders>
            <w:shd w:val="clear" w:color="000000" w:fill="C00000"/>
            <w:noWrap/>
            <w:vAlign w:val="bottom"/>
            <w:hideMark/>
          </w:tcPr>
          <w:p w:rsidR="00A42C26" w:rsidRPr="004C5551" w:rsidRDefault="00A42C26" w:rsidP="00A42C26">
            <w:pPr>
              <w:jc w:val="center"/>
              <w:rPr>
                <w:b/>
                <w:bCs/>
                <w:color w:val="FFFFFF"/>
                <w:szCs w:val="22"/>
              </w:rPr>
            </w:pPr>
            <w:r w:rsidRPr="004C5551">
              <w:rPr>
                <w:b/>
                <w:bCs/>
                <w:color w:val="FFFFFF"/>
                <w:szCs w:val="22"/>
              </w:rPr>
              <w:t>2014</w:t>
            </w:r>
          </w:p>
        </w:tc>
      </w:tr>
      <w:tr w:rsidR="00A42C26" w:rsidRPr="004C5551" w:rsidTr="00A42C26">
        <w:trPr>
          <w:trHeight w:val="570"/>
          <w:jc w:val="center"/>
        </w:trPr>
        <w:tc>
          <w:tcPr>
            <w:tcW w:w="4120" w:type="dxa"/>
            <w:vMerge/>
            <w:tcBorders>
              <w:top w:val="single" w:sz="4" w:space="0" w:color="C00000"/>
              <w:left w:val="single" w:sz="4" w:space="0" w:color="C00000"/>
              <w:bottom w:val="single" w:sz="4" w:space="0" w:color="C00000"/>
              <w:right w:val="nil"/>
            </w:tcBorders>
            <w:vAlign w:val="center"/>
            <w:hideMark/>
          </w:tcPr>
          <w:p w:rsidR="00A42C26" w:rsidRPr="004C5551" w:rsidRDefault="00A42C26" w:rsidP="00A42C26">
            <w:pPr>
              <w:jc w:val="left"/>
              <w:rPr>
                <w:b/>
                <w:bCs/>
                <w:color w:val="FFFFFF"/>
                <w:szCs w:val="22"/>
              </w:rPr>
            </w:pPr>
          </w:p>
        </w:tc>
        <w:tc>
          <w:tcPr>
            <w:tcW w:w="1360" w:type="dxa"/>
            <w:tcBorders>
              <w:top w:val="nil"/>
              <w:left w:val="nil"/>
              <w:bottom w:val="single" w:sz="4" w:space="0" w:color="C00000"/>
              <w:right w:val="nil"/>
            </w:tcBorders>
            <w:shd w:val="clear" w:color="000000" w:fill="C00000"/>
            <w:vAlign w:val="center"/>
            <w:hideMark/>
          </w:tcPr>
          <w:p w:rsidR="00A42C26" w:rsidRPr="004C5551" w:rsidRDefault="00A42C26" w:rsidP="00A42C26">
            <w:pPr>
              <w:jc w:val="center"/>
              <w:rPr>
                <w:b/>
                <w:bCs/>
                <w:color w:val="FFFFFF"/>
                <w:szCs w:val="22"/>
              </w:rPr>
            </w:pPr>
            <w:r w:rsidRPr="004C5551">
              <w:rPr>
                <w:b/>
                <w:bCs/>
                <w:color w:val="FFFFFF"/>
                <w:szCs w:val="22"/>
              </w:rPr>
              <w:t>priemerná výška v €</w:t>
            </w:r>
          </w:p>
        </w:tc>
        <w:tc>
          <w:tcPr>
            <w:tcW w:w="1180" w:type="dxa"/>
            <w:tcBorders>
              <w:top w:val="nil"/>
              <w:left w:val="nil"/>
              <w:bottom w:val="single" w:sz="4" w:space="0" w:color="C00000"/>
              <w:right w:val="nil"/>
            </w:tcBorders>
            <w:shd w:val="clear" w:color="000000" w:fill="C00000"/>
            <w:vAlign w:val="center"/>
            <w:hideMark/>
          </w:tcPr>
          <w:p w:rsidR="00A42C26" w:rsidRPr="004C5551" w:rsidRDefault="00A42C26" w:rsidP="00A42C26">
            <w:pPr>
              <w:jc w:val="center"/>
              <w:rPr>
                <w:b/>
                <w:bCs/>
                <w:color w:val="FFFFFF"/>
                <w:szCs w:val="22"/>
              </w:rPr>
            </w:pPr>
            <w:r w:rsidRPr="004C5551">
              <w:rPr>
                <w:b/>
                <w:bCs/>
                <w:color w:val="FFFFFF"/>
                <w:szCs w:val="22"/>
              </w:rPr>
              <w:t>index 2013/2012</w:t>
            </w:r>
          </w:p>
        </w:tc>
        <w:tc>
          <w:tcPr>
            <w:tcW w:w="1220" w:type="dxa"/>
            <w:tcBorders>
              <w:top w:val="nil"/>
              <w:left w:val="nil"/>
              <w:bottom w:val="single" w:sz="4" w:space="0" w:color="C00000"/>
              <w:right w:val="nil"/>
            </w:tcBorders>
            <w:shd w:val="clear" w:color="000000" w:fill="C00000"/>
            <w:vAlign w:val="center"/>
            <w:hideMark/>
          </w:tcPr>
          <w:p w:rsidR="00A42C26" w:rsidRPr="004C5551" w:rsidRDefault="00A42C26" w:rsidP="00A42C26">
            <w:pPr>
              <w:jc w:val="center"/>
              <w:rPr>
                <w:b/>
                <w:bCs/>
                <w:color w:val="FFFFFF"/>
                <w:szCs w:val="22"/>
              </w:rPr>
            </w:pPr>
            <w:r w:rsidRPr="004C5551">
              <w:rPr>
                <w:b/>
                <w:bCs/>
                <w:color w:val="FFFFFF"/>
                <w:szCs w:val="22"/>
              </w:rPr>
              <w:t>priemerná výška v €</w:t>
            </w:r>
          </w:p>
        </w:tc>
        <w:tc>
          <w:tcPr>
            <w:tcW w:w="1200" w:type="dxa"/>
            <w:tcBorders>
              <w:top w:val="nil"/>
              <w:left w:val="nil"/>
              <w:bottom w:val="single" w:sz="4" w:space="0" w:color="C00000"/>
              <w:right w:val="single" w:sz="4" w:space="0" w:color="C00000"/>
            </w:tcBorders>
            <w:shd w:val="clear" w:color="000000" w:fill="C00000"/>
            <w:vAlign w:val="center"/>
            <w:hideMark/>
          </w:tcPr>
          <w:p w:rsidR="00A42C26" w:rsidRPr="004C5551" w:rsidRDefault="00A42C26" w:rsidP="00A42C26">
            <w:pPr>
              <w:jc w:val="center"/>
              <w:rPr>
                <w:b/>
                <w:bCs/>
                <w:color w:val="FFFFFF"/>
                <w:szCs w:val="22"/>
              </w:rPr>
            </w:pPr>
            <w:r w:rsidRPr="004C5551">
              <w:rPr>
                <w:b/>
                <w:bCs/>
                <w:color w:val="FFFFFF"/>
                <w:szCs w:val="22"/>
              </w:rPr>
              <w:t>index 2014/2013</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A Poľnohospodárstvo, lesníctvo a rybolov</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640</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100,5</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686</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107,2</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B,C,D,E Priemysel spolu</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888</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103,6</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936</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105,4</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B Ťažba a dobývanie</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933</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100,1</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992</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106,3</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C Priemyselná výroba</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866</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104,1</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915</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105,7</w:t>
            </w:r>
          </w:p>
        </w:tc>
      </w:tr>
      <w:tr w:rsidR="00A42C26" w:rsidRPr="004C5551" w:rsidTr="006D1C7C">
        <w:trPr>
          <w:trHeight w:val="600"/>
          <w:jc w:val="center"/>
        </w:trPr>
        <w:tc>
          <w:tcPr>
            <w:tcW w:w="4120" w:type="dxa"/>
            <w:tcBorders>
              <w:top w:val="nil"/>
              <w:left w:val="single" w:sz="4" w:space="0" w:color="C00000"/>
              <w:bottom w:val="single" w:sz="4" w:space="0" w:color="C00000"/>
              <w:right w:val="nil"/>
            </w:tcBorders>
            <w:shd w:val="clear" w:color="auto" w:fill="auto"/>
            <w:vAlign w:val="center"/>
            <w:hideMark/>
          </w:tcPr>
          <w:p w:rsidR="00A42C26" w:rsidRPr="004C5551" w:rsidRDefault="00A42C26" w:rsidP="00A42C26">
            <w:pPr>
              <w:jc w:val="left"/>
              <w:rPr>
                <w:color w:val="000000"/>
                <w:szCs w:val="22"/>
              </w:rPr>
            </w:pPr>
            <w:r w:rsidRPr="004C5551">
              <w:rPr>
                <w:color w:val="000000"/>
                <w:szCs w:val="22"/>
              </w:rPr>
              <w:t>D Dodávka elektriny, plynu, pary a studeného vzduchu</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1 466</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99,7</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1 521</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103,8</w:t>
            </w:r>
          </w:p>
        </w:tc>
      </w:tr>
      <w:tr w:rsidR="00A42C26" w:rsidRPr="004C5551" w:rsidTr="006D1C7C">
        <w:trPr>
          <w:trHeight w:val="600"/>
          <w:jc w:val="center"/>
        </w:trPr>
        <w:tc>
          <w:tcPr>
            <w:tcW w:w="4120" w:type="dxa"/>
            <w:tcBorders>
              <w:top w:val="nil"/>
              <w:left w:val="single" w:sz="4" w:space="0" w:color="C00000"/>
              <w:bottom w:val="single" w:sz="4" w:space="0" w:color="C00000"/>
              <w:right w:val="nil"/>
            </w:tcBorders>
            <w:shd w:val="clear" w:color="auto" w:fill="auto"/>
            <w:vAlign w:val="center"/>
            <w:hideMark/>
          </w:tcPr>
          <w:p w:rsidR="00A42C26" w:rsidRPr="004C5551" w:rsidRDefault="00A42C26" w:rsidP="00A42C26">
            <w:pPr>
              <w:jc w:val="left"/>
              <w:rPr>
                <w:color w:val="000000"/>
                <w:szCs w:val="22"/>
              </w:rPr>
            </w:pPr>
            <w:r w:rsidRPr="004C5551">
              <w:rPr>
                <w:color w:val="000000"/>
                <w:szCs w:val="22"/>
              </w:rPr>
              <w:t>E Dodávka vody, čistenie a odvod odpadových vôd, odpady a služby odstraňovania odpadov</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875</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106,3</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866</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99,0</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F Stavebníctvo</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607</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100,0</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600</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98,8</w:t>
            </w:r>
          </w:p>
        </w:tc>
      </w:tr>
      <w:tr w:rsidR="00A42C26" w:rsidRPr="004C5551" w:rsidTr="006D1C7C">
        <w:trPr>
          <w:trHeight w:val="615"/>
          <w:jc w:val="center"/>
        </w:trPr>
        <w:tc>
          <w:tcPr>
            <w:tcW w:w="4120" w:type="dxa"/>
            <w:tcBorders>
              <w:top w:val="nil"/>
              <w:left w:val="single" w:sz="4" w:space="0" w:color="C00000"/>
              <w:bottom w:val="single" w:sz="4" w:space="0" w:color="C00000"/>
              <w:right w:val="nil"/>
            </w:tcBorders>
            <w:shd w:val="clear" w:color="auto" w:fill="auto"/>
            <w:vAlign w:val="center"/>
            <w:hideMark/>
          </w:tcPr>
          <w:p w:rsidR="00A42C26" w:rsidRPr="004C5551" w:rsidRDefault="00A42C26" w:rsidP="00A42C26">
            <w:pPr>
              <w:jc w:val="left"/>
              <w:rPr>
                <w:color w:val="000000"/>
                <w:szCs w:val="22"/>
              </w:rPr>
            </w:pPr>
            <w:r w:rsidRPr="004C5551">
              <w:rPr>
                <w:color w:val="000000"/>
                <w:szCs w:val="22"/>
              </w:rPr>
              <w:t>G Veľkoobchod a maloobchod; oprava motorových vozidiel a motocyklov</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768</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101,1</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799</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104,0</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H Doprava a skladovanie</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803</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98,9</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822</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102,4</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I Ubytovacie a stravovacie služby</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513</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100,4</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511</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99,6</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J Informácie a komunikácia</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1 634</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99,8</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1 660</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101,6</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K Finančné a poisťovacie činnosti</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1 531</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92,3</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1 657</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108,2</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L Činnosti v oblasti nehnuteľností</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865</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95,4</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884</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102,2</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M Odborné, vedecké a technické činnosti</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1 021</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109,4</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1 051</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102,9</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N Administratívne a podporné služby</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824</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101,1</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887</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107,6</w:t>
            </w:r>
          </w:p>
        </w:tc>
      </w:tr>
      <w:tr w:rsidR="00A42C26" w:rsidRPr="004C5551" w:rsidTr="006D1C7C">
        <w:trPr>
          <w:trHeight w:val="570"/>
          <w:jc w:val="center"/>
        </w:trPr>
        <w:tc>
          <w:tcPr>
            <w:tcW w:w="4120" w:type="dxa"/>
            <w:tcBorders>
              <w:top w:val="nil"/>
              <w:left w:val="single" w:sz="4" w:space="0" w:color="C00000"/>
              <w:bottom w:val="single" w:sz="4" w:space="0" w:color="C00000"/>
              <w:right w:val="nil"/>
            </w:tcBorders>
            <w:shd w:val="clear" w:color="auto" w:fill="auto"/>
            <w:vAlign w:val="center"/>
            <w:hideMark/>
          </w:tcPr>
          <w:p w:rsidR="00A42C26" w:rsidRPr="004C5551" w:rsidRDefault="00A42C26" w:rsidP="00A42C26">
            <w:pPr>
              <w:jc w:val="left"/>
              <w:rPr>
                <w:color w:val="000000"/>
                <w:szCs w:val="22"/>
              </w:rPr>
            </w:pPr>
            <w:r w:rsidRPr="004C5551">
              <w:rPr>
                <w:color w:val="000000"/>
                <w:szCs w:val="22"/>
              </w:rPr>
              <w:t>O Verejná správa a obrana; povinné sociálne zabezpečenie</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1 010</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101,2</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1 046</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103,6</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P Vzdelávanie</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722</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105,9</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762</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105,5</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Q Zdravotníctvo a sociálna pomoc</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800</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103,9</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839</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104,9</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R Umenie, zábava a rekreácia</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627</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99,1</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632</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100,8</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color w:val="000000"/>
                <w:szCs w:val="22"/>
              </w:rPr>
            </w:pPr>
            <w:r w:rsidRPr="004C5551">
              <w:rPr>
                <w:color w:val="000000"/>
                <w:szCs w:val="22"/>
              </w:rPr>
              <w:t>S Ostatné činnosti</w:t>
            </w:r>
          </w:p>
        </w:tc>
        <w:tc>
          <w:tcPr>
            <w:tcW w:w="136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580</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99,3</w:t>
            </w:r>
          </w:p>
        </w:tc>
        <w:tc>
          <w:tcPr>
            <w:tcW w:w="122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566</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color w:val="000000"/>
                <w:szCs w:val="22"/>
              </w:rPr>
            </w:pPr>
            <w:r w:rsidRPr="004C5551">
              <w:rPr>
                <w:color w:val="000000"/>
                <w:szCs w:val="22"/>
              </w:rPr>
              <w:t>97,6</w:t>
            </w:r>
          </w:p>
        </w:tc>
      </w:tr>
      <w:tr w:rsidR="00A42C26" w:rsidRPr="004C5551" w:rsidTr="006D1C7C">
        <w:trPr>
          <w:trHeight w:val="300"/>
          <w:jc w:val="center"/>
        </w:trPr>
        <w:tc>
          <w:tcPr>
            <w:tcW w:w="4120" w:type="dxa"/>
            <w:tcBorders>
              <w:top w:val="nil"/>
              <w:left w:val="single" w:sz="4" w:space="0" w:color="C00000"/>
              <w:bottom w:val="single" w:sz="4" w:space="0" w:color="C00000"/>
              <w:right w:val="nil"/>
            </w:tcBorders>
            <w:shd w:val="clear" w:color="auto" w:fill="auto"/>
            <w:noWrap/>
            <w:vAlign w:val="bottom"/>
            <w:hideMark/>
          </w:tcPr>
          <w:p w:rsidR="00A42C26" w:rsidRPr="004C5551" w:rsidRDefault="00A42C26" w:rsidP="00A42C26">
            <w:pPr>
              <w:jc w:val="left"/>
              <w:rPr>
                <w:b/>
                <w:bCs/>
                <w:color w:val="000000"/>
                <w:szCs w:val="22"/>
              </w:rPr>
            </w:pPr>
            <w:r w:rsidRPr="004C5551">
              <w:rPr>
                <w:b/>
                <w:bCs/>
                <w:color w:val="000000"/>
                <w:szCs w:val="22"/>
              </w:rPr>
              <w:t>Hospodárstvo spolu</w:t>
            </w:r>
          </w:p>
        </w:tc>
        <w:tc>
          <w:tcPr>
            <w:tcW w:w="1360" w:type="dxa"/>
            <w:tcBorders>
              <w:top w:val="nil"/>
              <w:left w:val="nil"/>
              <w:bottom w:val="single" w:sz="4" w:space="0" w:color="C00000"/>
              <w:right w:val="nil"/>
            </w:tcBorders>
            <w:shd w:val="clear" w:color="000000" w:fill="FFFFFF"/>
            <w:noWrap/>
            <w:vAlign w:val="bottom"/>
            <w:hideMark/>
          </w:tcPr>
          <w:p w:rsidR="00A42C26" w:rsidRPr="004C5551" w:rsidRDefault="00A42C26" w:rsidP="006D1C7C">
            <w:pPr>
              <w:jc w:val="right"/>
              <w:rPr>
                <w:b/>
                <w:bCs/>
                <w:szCs w:val="22"/>
              </w:rPr>
            </w:pPr>
            <w:r w:rsidRPr="004C5551">
              <w:rPr>
                <w:b/>
                <w:bCs/>
                <w:szCs w:val="22"/>
              </w:rPr>
              <w:t>824</w:t>
            </w:r>
          </w:p>
        </w:tc>
        <w:tc>
          <w:tcPr>
            <w:tcW w:w="1180" w:type="dxa"/>
            <w:tcBorders>
              <w:top w:val="nil"/>
              <w:left w:val="nil"/>
              <w:bottom w:val="single" w:sz="4" w:space="0" w:color="C00000"/>
              <w:right w:val="nil"/>
            </w:tcBorders>
            <w:shd w:val="clear" w:color="auto" w:fill="auto"/>
            <w:noWrap/>
            <w:vAlign w:val="bottom"/>
            <w:hideMark/>
          </w:tcPr>
          <w:p w:rsidR="00A42C26" w:rsidRPr="004C5551" w:rsidRDefault="00A42C26" w:rsidP="006D1C7C">
            <w:pPr>
              <w:jc w:val="right"/>
              <w:rPr>
                <w:b/>
                <w:bCs/>
                <w:szCs w:val="22"/>
              </w:rPr>
            </w:pPr>
            <w:r w:rsidRPr="004C5551">
              <w:rPr>
                <w:b/>
                <w:bCs/>
                <w:szCs w:val="22"/>
              </w:rPr>
              <w:t>102,4</w:t>
            </w:r>
          </w:p>
        </w:tc>
        <w:tc>
          <w:tcPr>
            <w:tcW w:w="1220" w:type="dxa"/>
            <w:tcBorders>
              <w:top w:val="nil"/>
              <w:left w:val="nil"/>
              <w:bottom w:val="single" w:sz="4" w:space="0" w:color="C00000"/>
              <w:right w:val="nil"/>
            </w:tcBorders>
            <w:shd w:val="clear" w:color="000000" w:fill="FFFFFF"/>
            <w:noWrap/>
            <w:vAlign w:val="bottom"/>
            <w:hideMark/>
          </w:tcPr>
          <w:p w:rsidR="00A42C26" w:rsidRPr="004C5551" w:rsidRDefault="00A42C26" w:rsidP="006D1C7C">
            <w:pPr>
              <w:jc w:val="right"/>
              <w:rPr>
                <w:b/>
                <w:bCs/>
                <w:szCs w:val="22"/>
              </w:rPr>
            </w:pPr>
            <w:r w:rsidRPr="004C5551">
              <w:rPr>
                <w:b/>
                <w:bCs/>
                <w:szCs w:val="22"/>
              </w:rPr>
              <w:t>858</w:t>
            </w:r>
          </w:p>
        </w:tc>
        <w:tc>
          <w:tcPr>
            <w:tcW w:w="1200" w:type="dxa"/>
            <w:tcBorders>
              <w:top w:val="nil"/>
              <w:left w:val="nil"/>
              <w:bottom w:val="single" w:sz="4" w:space="0" w:color="C00000"/>
              <w:right w:val="single" w:sz="4" w:space="0" w:color="C00000"/>
            </w:tcBorders>
            <w:shd w:val="clear" w:color="auto" w:fill="auto"/>
            <w:noWrap/>
            <w:vAlign w:val="bottom"/>
            <w:hideMark/>
          </w:tcPr>
          <w:p w:rsidR="00A42C26" w:rsidRPr="004C5551" w:rsidRDefault="00A42C26" w:rsidP="006D1C7C">
            <w:pPr>
              <w:jc w:val="right"/>
              <w:rPr>
                <w:b/>
                <w:bCs/>
                <w:szCs w:val="22"/>
              </w:rPr>
            </w:pPr>
            <w:r w:rsidRPr="004C5551">
              <w:rPr>
                <w:b/>
                <w:bCs/>
                <w:szCs w:val="22"/>
              </w:rPr>
              <w:t>104,1</w:t>
            </w:r>
          </w:p>
        </w:tc>
      </w:tr>
    </w:tbl>
    <w:p w:rsidR="0026483B" w:rsidRPr="004C5551" w:rsidRDefault="00A42C26" w:rsidP="008E1A4D">
      <w:pPr>
        <w:pStyle w:val="zdroj"/>
      </w:pPr>
      <w:r w:rsidRPr="004C5551">
        <w:t>Zdroj: ŠÚ SR</w:t>
      </w:r>
    </w:p>
    <w:p w:rsidR="006775D8" w:rsidRPr="004C5551" w:rsidRDefault="00D50870" w:rsidP="00C92B2F">
      <w:pPr>
        <w:ind w:firstLine="431"/>
      </w:pPr>
      <w:r w:rsidRPr="004C5551">
        <w:t xml:space="preserve">Priemerná nominálna aj reálna mesačná mzda stúpla vo všetkých </w:t>
      </w:r>
      <w:r w:rsidR="00460DEB" w:rsidRPr="004C5551">
        <w:rPr>
          <w:b/>
        </w:rPr>
        <w:t>veľkostných kategóriách podnikov</w:t>
      </w:r>
      <w:r w:rsidRPr="004C5551">
        <w:t xml:space="preserve"> </w:t>
      </w:r>
      <w:r w:rsidR="00982008" w:rsidRPr="004C5551">
        <w:t>(reálna mzda v rozmedzí od 2,7 % do 7,8 % , nominálna mzda v rozmedzí od 2,6 % do</w:t>
      </w:r>
      <w:r w:rsidR="00E47B33" w:rsidRPr="004C5551">
        <w:t> </w:t>
      </w:r>
      <w:r w:rsidR="00982008" w:rsidRPr="004C5551">
        <w:t xml:space="preserve">7,7 %) </w:t>
      </w:r>
      <w:r w:rsidRPr="004C5551">
        <w:t xml:space="preserve">okrem </w:t>
      </w:r>
      <w:proofErr w:type="spellStart"/>
      <w:r w:rsidRPr="004C5551">
        <w:t>mikropodnikov</w:t>
      </w:r>
      <w:proofErr w:type="spellEnd"/>
      <w:r w:rsidRPr="004C5551">
        <w:t xml:space="preserve"> (0</w:t>
      </w:r>
      <w:r w:rsidR="00423669" w:rsidRPr="004C5551">
        <w:t xml:space="preserve"> – </w:t>
      </w:r>
      <w:r w:rsidRPr="004C5551">
        <w:t>19 zamestnancov) a u</w:t>
      </w:r>
      <w:r w:rsidR="00982008" w:rsidRPr="004C5551">
        <w:t> </w:t>
      </w:r>
      <w:r w:rsidRPr="004C5551">
        <w:t>živnostníkov</w:t>
      </w:r>
      <w:r w:rsidR="00982008" w:rsidRPr="004C5551">
        <w:t xml:space="preserve"> (reálna mzda o 0,3 % </w:t>
      </w:r>
      <w:r w:rsidR="00BC0FE1" w:rsidRPr="004C5551">
        <w:t>resp.</w:t>
      </w:r>
      <w:r w:rsidR="00982008" w:rsidRPr="004C5551">
        <w:t xml:space="preserve"> 0,1 % a nominálna mzda o 0,4 % resp. 0,2 %). </w:t>
      </w:r>
      <w:r w:rsidR="00460DEB" w:rsidRPr="004C5551">
        <w:t>Podľa veľkosti podnikov</w:t>
      </w:r>
      <w:r w:rsidR="006775D8" w:rsidRPr="004C5551">
        <w:rPr>
          <w:b/>
        </w:rPr>
        <w:t xml:space="preserve"> </w:t>
      </w:r>
      <w:r w:rsidR="006775D8" w:rsidRPr="004C5551">
        <w:t>mali najvyššiu priemernú nominálnu mesačnú mzdu zamestnanci v podnikoch s počtom zamestnancov 1 000 a</w:t>
      </w:r>
      <w:r w:rsidR="00982008" w:rsidRPr="004C5551">
        <w:t> </w:t>
      </w:r>
      <w:r w:rsidR="006775D8" w:rsidRPr="004C5551">
        <w:t>viac</w:t>
      </w:r>
      <w:r w:rsidR="00982008" w:rsidRPr="004C5551">
        <w:t xml:space="preserve"> zamestnancov</w:t>
      </w:r>
      <w:r w:rsidR="006775D8" w:rsidRPr="004C5551">
        <w:t xml:space="preserve">. Priemernú nominálnu mesačnú mzdu, nižšiu ako celoslovenský priemer mali zamestnanci len v menších podnikoch do 49 zamestnancov vrátane </w:t>
      </w:r>
      <w:r w:rsidR="00982008" w:rsidRPr="004C5551">
        <w:t xml:space="preserve">zamestnancov u </w:t>
      </w:r>
      <w:r w:rsidR="006775D8" w:rsidRPr="004C5551">
        <w:t xml:space="preserve">živnostníkov. </w:t>
      </w:r>
    </w:p>
    <w:p w:rsidR="00A15FB2" w:rsidRPr="004C5551" w:rsidRDefault="00982008" w:rsidP="008E1A4D">
      <w:pPr>
        <w:ind w:firstLine="431"/>
      </w:pPr>
      <w:r w:rsidRPr="004C5551">
        <w:t>Nominálna mzda medziročne stúpla v podnikoch s</w:t>
      </w:r>
      <w:r w:rsidR="00423669" w:rsidRPr="004C5551">
        <w:t> </w:t>
      </w:r>
      <w:r w:rsidRPr="004C5551">
        <w:t>20</w:t>
      </w:r>
      <w:r w:rsidR="00423669" w:rsidRPr="004C5551">
        <w:t xml:space="preserve"> – </w:t>
      </w:r>
      <w:r w:rsidRPr="004C5551">
        <w:t>49 zamestnancami priemerne o 53 eur, s</w:t>
      </w:r>
      <w:r w:rsidR="00423669" w:rsidRPr="004C5551">
        <w:t> </w:t>
      </w:r>
      <w:r w:rsidRPr="004C5551">
        <w:t>50</w:t>
      </w:r>
      <w:r w:rsidR="00423669" w:rsidRPr="004C5551">
        <w:t xml:space="preserve"> – </w:t>
      </w:r>
      <w:r w:rsidRPr="004C5551">
        <w:t>249 zamestnancami o 66 eur, s</w:t>
      </w:r>
      <w:r w:rsidR="00423669" w:rsidRPr="004C5551">
        <w:t> </w:t>
      </w:r>
      <w:r w:rsidRPr="004C5551">
        <w:t>250</w:t>
      </w:r>
      <w:r w:rsidR="00423669" w:rsidRPr="004C5551">
        <w:t xml:space="preserve"> – </w:t>
      </w:r>
      <w:r w:rsidRPr="004C5551">
        <w:t>499 zamestnancami o 61 eur, s</w:t>
      </w:r>
      <w:r w:rsidR="00106028" w:rsidRPr="004C5551">
        <w:t> </w:t>
      </w:r>
      <w:r w:rsidRPr="004C5551">
        <w:t>500</w:t>
      </w:r>
      <w:r w:rsidR="00106028" w:rsidRPr="004C5551">
        <w:t xml:space="preserve"> – </w:t>
      </w:r>
      <w:r w:rsidRPr="004C5551">
        <w:t xml:space="preserve">999 zamestnancami o 26 eur a s 1 000 a viac zamestnancami o 48 eur. </w:t>
      </w:r>
      <w:r w:rsidR="006775D8" w:rsidRPr="004C5551">
        <w:t xml:space="preserve">Oproti roku 2013 sa priemerná nominálna mzda zamestnanca </w:t>
      </w:r>
      <w:r w:rsidRPr="004C5551">
        <w:t xml:space="preserve">znížila </w:t>
      </w:r>
      <w:r w:rsidR="006775D8" w:rsidRPr="004C5551">
        <w:t>len v </w:t>
      </w:r>
      <w:proofErr w:type="spellStart"/>
      <w:r w:rsidR="006775D8" w:rsidRPr="004C5551">
        <w:t>mikropodnikoch</w:t>
      </w:r>
      <w:proofErr w:type="spellEnd"/>
      <w:r w:rsidR="006775D8" w:rsidRPr="004C5551">
        <w:t xml:space="preserve"> </w:t>
      </w:r>
      <w:r w:rsidR="00003E80" w:rsidRPr="004C5551">
        <w:t>do </w:t>
      </w:r>
      <w:r w:rsidR="006775D8" w:rsidRPr="004C5551">
        <w:t xml:space="preserve">20 zamestnancov (o 3 </w:t>
      </w:r>
      <w:r w:rsidR="000860E9" w:rsidRPr="004C5551">
        <w:t>eurá</w:t>
      </w:r>
      <w:r w:rsidR="006775D8" w:rsidRPr="004C5551">
        <w:t xml:space="preserve">) a u živnostníkov (o 1 </w:t>
      </w:r>
      <w:r w:rsidR="000860E9" w:rsidRPr="004C5551">
        <w:t>euro</w:t>
      </w:r>
      <w:r w:rsidR="006775D8" w:rsidRPr="004C5551">
        <w:t>).</w:t>
      </w:r>
    </w:p>
    <w:p w:rsidR="009B7B4B" w:rsidRPr="004C5551" w:rsidRDefault="009B7B4B">
      <w:pPr>
        <w:jc w:val="left"/>
        <w:rPr>
          <w:b/>
        </w:rPr>
      </w:pPr>
      <w:r w:rsidRPr="004C5551">
        <w:br w:type="page"/>
      </w:r>
    </w:p>
    <w:p w:rsidR="006775D8" w:rsidRPr="004C5551" w:rsidRDefault="00460DEB" w:rsidP="006A494C">
      <w:pPr>
        <w:pStyle w:val="Nadpis7"/>
      </w:pPr>
      <w:r w:rsidRPr="004C5551">
        <w:t>Tabuľka 2.1</w:t>
      </w:r>
      <w:r w:rsidR="0022209F" w:rsidRPr="004C5551">
        <w:t>9</w:t>
      </w:r>
      <w:r w:rsidRPr="004C5551">
        <w:t xml:space="preserve"> </w:t>
      </w:r>
      <w:r w:rsidR="006775D8" w:rsidRPr="004C5551">
        <w:t>Priemerná nominálna mesačná mzda podľa veľkosti podnikov</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267"/>
        <w:gridCol w:w="903"/>
        <w:gridCol w:w="1440"/>
        <w:gridCol w:w="1263"/>
        <w:gridCol w:w="903"/>
        <w:gridCol w:w="1438"/>
        <w:gridCol w:w="1074"/>
      </w:tblGrid>
      <w:tr w:rsidR="006775D8" w:rsidRPr="004C5551" w:rsidTr="00D36062">
        <w:trPr>
          <w:jc w:val="center"/>
        </w:trPr>
        <w:tc>
          <w:tcPr>
            <w:tcW w:w="1221" w:type="pct"/>
            <w:vMerge w:val="restar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Počet zamestnancov</w:t>
            </w:r>
          </w:p>
        </w:tc>
        <w:tc>
          <w:tcPr>
            <w:tcW w:w="486" w:type="pct"/>
            <w:vMerge w:val="restar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2013</w:t>
            </w:r>
          </w:p>
          <w:p w:rsidR="006775D8" w:rsidRPr="004C5551" w:rsidRDefault="006775D8" w:rsidP="000860E9">
            <w:pPr>
              <w:jc w:val="center"/>
              <w:rPr>
                <w:b/>
                <w:color w:val="FFFFFF" w:themeColor="background1"/>
              </w:rPr>
            </w:pPr>
            <w:r w:rsidRPr="004C5551">
              <w:rPr>
                <w:b/>
                <w:color w:val="FFFFFF" w:themeColor="background1"/>
              </w:rPr>
              <w:t xml:space="preserve">(v </w:t>
            </w:r>
            <w:r w:rsidR="000860E9" w:rsidRPr="004C5551">
              <w:rPr>
                <w:b/>
                <w:color w:val="FFFFFF" w:themeColor="background1"/>
              </w:rPr>
              <w:t>€</w:t>
            </w:r>
            <w:r w:rsidRPr="004C5551">
              <w:rPr>
                <w:b/>
                <w:color w:val="FFFFFF" w:themeColor="background1"/>
              </w:rPr>
              <w:t>)</w:t>
            </w:r>
          </w:p>
        </w:tc>
        <w:tc>
          <w:tcPr>
            <w:tcW w:w="1455" w:type="pct"/>
            <w:gridSpan w:val="2"/>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Indexy 2013/2012</w:t>
            </w:r>
          </w:p>
        </w:tc>
        <w:tc>
          <w:tcPr>
            <w:tcW w:w="486" w:type="pct"/>
            <w:vMerge w:val="restar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2014</w:t>
            </w:r>
          </w:p>
          <w:p w:rsidR="006775D8" w:rsidRPr="004C5551" w:rsidRDefault="006775D8" w:rsidP="000860E9">
            <w:pPr>
              <w:jc w:val="center"/>
              <w:rPr>
                <w:b/>
                <w:color w:val="FFFFFF" w:themeColor="background1"/>
              </w:rPr>
            </w:pPr>
            <w:r w:rsidRPr="004C5551">
              <w:rPr>
                <w:b/>
                <w:color w:val="FFFFFF" w:themeColor="background1"/>
              </w:rPr>
              <w:t xml:space="preserve">(v </w:t>
            </w:r>
            <w:r w:rsidR="000860E9" w:rsidRPr="004C5551">
              <w:rPr>
                <w:b/>
                <w:color w:val="FFFFFF" w:themeColor="background1"/>
              </w:rPr>
              <w:t>€</w:t>
            </w:r>
            <w:r w:rsidRPr="004C5551">
              <w:rPr>
                <w:b/>
                <w:color w:val="FFFFFF" w:themeColor="background1"/>
              </w:rPr>
              <w:t>)</w:t>
            </w:r>
          </w:p>
        </w:tc>
        <w:tc>
          <w:tcPr>
            <w:tcW w:w="1351" w:type="pct"/>
            <w:gridSpan w:val="2"/>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Indexy 2014/2013</w:t>
            </w:r>
          </w:p>
        </w:tc>
      </w:tr>
      <w:tr w:rsidR="006775D8" w:rsidRPr="004C5551" w:rsidTr="00D36062">
        <w:trPr>
          <w:jc w:val="center"/>
        </w:trPr>
        <w:tc>
          <w:tcPr>
            <w:tcW w:w="1221" w:type="pct"/>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486" w:type="pct"/>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775" w:type="pc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nominálna mzda</w:t>
            </w:r>
          </w:p>
        </w:tc>
        <w:tc>
          <w:tcPr>
            <w:tcW w:w="680" w:type="pc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reálna mzda</w:t>
            </w:r>
          </w:p>
        </w:tc>
        <w:tc>
          <w:tcPr>
            <w:tcW w:w="486" w:type="pct"/>
            <w:vMerge/>
            <w:shd w:val="clear" w:color="auto" w:fill="BF0000" w:themeFill="accent3" w:themeFillShade="BF"/>
            <w:vAlign w:val="center"/>
          </w:tcPr>
          <w:p w:rsidR="006775D8" w:rsidRPr="004C5551" w:rsidRDefault="006775D8" w:rsidP="00D36062">
            <w:pPr>
              <w:jc w:val="center"/>
              <w:rPr>
                <w:b/>
                <w:color w:val="FFFFFF" w:themeColor="background1"/>
              </w:rPr>
            </w:pPr>
          </w:p>
        </w:tc>
        <w:tc>
          <w:tcPr>
            <w:tcW w:w="774" w:type="pc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nominálna mzda</w:t>
            </w:r>
          </w:p>
        </w:tc>
        <w:tc>
          <w:tcPr>
            <w:tcW w:w="578" w:type="pct"/>
            <w:shd w:val="clear" w:color="auto" w:fill="BF0000" w:themeFill="accent3" w:themeFillShade="BF"/>
            <w:vAlign w:val="center"/>
          </w:tcPr>
          <w:p w:rsidR="006775D8" w:rsidRPr="004C5551" w:rsidRDefault="006775D8" w:rsidP="00D36062">
            <w:pPr>
              <w:jc w:val="center"/>
              <w:rPr>
                <w:b/>
                <w:color w:val="FFFFFF" w:themeColor="background1"/>
              </w:rPr>
            </w:pPr>
            <w:r w:rsidRPr="004C5551">
              <w:rPr>
                <w:b/>
                <w:color w:val="FFFFFF" w:themeColor="background1"/>
              </w:rPr>
              <w:t>reálna mzda</w:t>
            </w:r>
          </w:p>
        </w:tc>
      </w:tr>
      <w:tr w:rsidR="006775D8" w:rsidRPr="004C5551" w:rsidTr="00D36062">
        <w:trPr>
          <w:jc w:val="center"/>
        </w:trPr>
        <w:tc>
          <w:tcPr>
            <w:tcW w:w="1221" w:type="pct"/>
            <w:vAlign w:val="center"/>
          </w:tcPr>
          <w:p w:rsidR="006775D8" w:rsidRPr="004C5551" w:rsidRDefault="006775D8" w:rsidP="00D36062">
            <w:r w:rsidRPr="004C5551">
              <w:t xml:space="preserve">0 – 19 </w:t>
            </w:r>
          </w:p>
        </w:tc>
        <w:tc>
          <w:tcPr>
            <w:tcW w:w="486" w:type="pct"/>
            <w:vAlign w:val="center"/>
          </w:tcPr>
          <w:p w:rsidR="006775D8" w:rsidRPr="004C5551" w:rsidRDefault="006775D8" w:rsidP="00D36062">
            <w:pPr>
              <w:ind w:right="105"/>
              <w:jc w:val="right"/>
              <w:rPr>
                <w:szCs w:val="22"/>
              </w:rPr>
            </w:pPr>
            <w:r w:rsidRPr="004C5551">
              <w:rPr>
                <w:szCs w:val="22"/>
              </w:rPr>
              <w:t>690</w:t>
            </w:r>
          </w:p>
        </w:tc>
        <w:tc>
          <w:tcPr>
            <w:tcW w:w="775" w:type="pct"/>
            <w:vAlign w:val="center"/>
          </w:tcPr>
          <w:p w:rsidR="006775D8" w:rsidRPr="004C5551" w:rsidRDefault="006775D8" w:rsidP="00D36062">
            <w:pPr>
              <w:ind w:right="141"/>
              <w:jc w:val="right"/>
              <w:rPr>
                <w:szCs w:val="22"/>
              </w:rPr>
            </w:pPr>
            <w:r w:rsidRPr="004C5551">
              <w:rPr>
                <w:szCs w:val="22"/>
              </w:rPr>
              <w:t>104,5</w:t>
            </w:r>
          </w:p>
        </w:tc>
        <w:tc>
          <w:tcPr>
            <w:tcW w:w="680" w:type="pct"/>
            <w:vAlign w:val="center"/>
          </w:tcPr>
          <w:p w:rsidR="006775D8" w:rsidRPr="004C5551" w:rsidRDefault="006775D8" w:rsidP="00D36062">
            <w:pPr>
              <w:ind w:right="105"/>
              <w:jc w:val="right"/>
              <w:rPr>
                <w:szCs w:val="22"/>
              </w:rPr>
            </w:pPr>
            <w:r w:rsidRPr="004C5551">
              <w:rPr>
                <w:szCs w:val="22"/>
              </w:rPr>
              <w:t>103,1</w:t>
            </w:r>
          </w:p>
        </w:tc>
        <w:tc>
          <w:tcPr>
            <w:tcW w:w="486" w:type="pct"/>
            <w:vAlign w:val="bottom"/>
          </w:tcPr>
          <w:p w:rsidR="006775D8" w:rsidRPr="004C5551" w:rsidRDefault="006775D8" w:rsidP="00D36062">
            <w:pPr>
              <w:ind w:right="105"/>
              <w:jc w:val="right"/>
            </w:pPr>
            <w:r w:rsidRPr="004C5551">
              <w:t>687</w:t>
            </w:r>
          </w:p>
        </w:tc>
        <w:tc>
          <w:tcPr>
            <w:tcW w:w="774" w:type="pct"/>
            <w:vAlign w:val="bottom"/>
          </w:tcPr>
          <w:p w:rsidR="006775D8" w:rsidRPr="004C5551" w:rsidRDefault="006775D8" w:rsidP="00D36062">
            <w:pPr>
              <w:ind w:right="105"/>
              <w:jc w:val="right"/>
            </w:pPr>
            <w:r w:rsidRPr="004C5551">
              <w:t>99,6</w:t>
            </w:r>
          </w:p>
        </w:tc>
        <w:tc>
          <w:tcPr>
            <w:tcW w:w="578" w:type="pct"/>
            <w:vAlign w:val="bottom"/>
          </w:tcPr>
          <w:p w:rsidR="006775D8" w:rsidRPr="004C5551" w:rsidRDefault="006775D8" w:rsidP="00D36062">
            <w:pPr>
              <w:ind w:right="105"/>
              <w:jc w:val="right"/>
            </w:pPr>
            <w:r w:rsidRPr="004C5551">
              <w:t>99,7</w:t>
            </w:r>
          </w:p>
        </w:tc>
      </w:tr>
      <w:tr w:rsidR="006775D8" w:rsidRPr="004C5551" w:rsidTr="00D36062">
        <w:trPr>
          <w:jc w:val="center"/>
        </w:trPr>
        <w:tc>
          <w:tcPr>
            <w:tcW w:w="1221" w:type="pct"/>
            <w:vAlign w:val="center"/>
          </w:tcPr>
          <w:p w:rsidR="006775D8" w:rsidRPr="004C5551" w:rsidRDefault="006775D8" w:rsidP="00D36062">
            <w:r w:rsidRPr="004C5551">
              <w:t>20 – 49</w:t>
            </w:r>
          </w:p>
        </w:tc>
        <w:tc>
          <w:tcPr>
            <w:tcW w:w="486" w:type="pct"/>
            <w:vAlign w:val="center"/>
          </w:tcPr>
          <w:p w:rsidR="006775D8" w:rsidRPr="004C5551" w:rsidRDefault="006775D8" w:rsidP="00D36062">
            <w:pPr>
              <w:ind w:right="105"/>
              <w:jc w:val="right"/>
              <w:rPr>
                <w:szCs w:val="22"/>
              </w:rPr>
            </w:pPr>
            <w:r w:rsidRPr="004C5551">
              <w:rPr>
                <w:szCs w:val="22"/>
              </w:rPr>
              <w:t>755</w:t>
            </w:r>
          </w:p>
        </w:tc>
        <w:tc>
          <w:tcPr>
            <w:tcW w:w="775" w:type="pct"/>
            <w:vAlign w:val="center"/>
          </w:tcPr>
          <w:p w:rsidR="006775D8" w:rsidRPr="004C5551" w:rsidRDefault="006775D8" w:rsidP="00D36062">
            <w:pPr>
              <w:ind w:right="105"/>
              <w:jc w:val="right"/>
              <w:rPr>
                <w:szCs w:val="22"/>
              </w:rPr>
            </w:pPr>
            <w:r w:rsidRPr="004C5551">
              <w:rPr>
                <w:szCs w:val="22"/>
              </w:rPr>
              <w:t>100,5</w:t>
            </w:r>
          </w:p>
        </w:tc>
        <w:tc>
          <w:tcPr>
            <w:tcW w:w="680" w:type="pct"/>
            <w:vAlign w:val="center"/>
          </w:tcPr>
          <w:p w:rsidR="006775D8" w:rsidRPr="004C5551" w:rsidRDefault="006775D8" w:rsidP="00D36062">
            <w:pPr>
              <w:ind w:right="105"/>
              <w:jc w:val="right"/>
              <w:rPr>
                <w:szCs w:val="22"/>
              </w:rPr>
            </w:pPr>
            <w:r w:rsidRPr="004C5551">
              <w:rPr>
                <w:szCs w:val="22"/>
              </w:rPr>
              <w:t>99,1</w:t>
            </w:r>
          </w:p>
        </w:tc>
        <w:tc>
          <w:tcPr>
            <w:tcW w:w="486" w:type="pct"/>
            <w:vAlign w:val="bottom"/>
          </w:tcPr>
          <w:p w:rsidR="006775D8" w:rsidRPr="004C5551" w:rsidRDefault="006775D8" w:rsidP="00D36062">
            <w:pPr>
              <w:ind w:right="105"/>
              <w:jc w:val="right"/>
            </w:pPr>
            <w:r w:rsidRPr="004C5551">
              <w:t>808</w:t>
            </w:r>
          </w:p>
        </w:tc>
        <w:tc>
          <w:tcPr>
            <w:tcW w:w="774" w:type="pct"/>
            <w:vAlign w:val="bottom"/>
          </w:tcPr>
          <w:p w:rsidR="006775D8" w:rsidRPr="004C5551" w:rsidRDefault="006775D8" w:rsidP="00D36062">
            <w:pPr>
              <w:ind w:right="105"/>
              <w:jc w:val="right"/>
            </w:pPr>
            <w:r w:rsidRPr="004C5551">
              <w:t>107,0</w:t>
            </w:r>
          </w:p>
        </w:tc>
        <w:tc>
          <w:tcPr>
            <w:tcW w:w="578" w:type="pct"/>
            <w:vAlign w:val="bottom"/>
          </w:tcPr>
          <w:p w:rsidR="006775D8" w:rsidRPr="004C5551" w:rsidRDefault="006775D8" w:rsidP="00D36062">
            <w:pPr>
              <w:ind w:right="105"/>
              <w:jc w:val="right"/>
            </w:pPr>
            <w:r w:rsidRPr="004C5551">
              <w:t>107,1</w:t>
            </w:r>
          </w:p>
        </w:tc>
      </w:tr>
      <w:tr w:rsidR="006775D8" w:rsidRPr="004C5551" w:rsidTr="00D36062">
        <w:trPr>
          <w:jc w:val="center"/>
        </w:trPr>
        <w:tc>
          <w:tcPr>
            <w:tcW w:w="1221" w:type="pct"/>
            <w:vAlign w:val="center"/>
          </w:tcPr>
          <w:p w:rsidR="006775D8" w:rsidRPr="004C5551" w:rsidRDefault="006775D8" w:rsidP="00D36062">
            <w:r w:rsidRPr="004C5551">
              <w:t>50 – 249</w:t>
            </w:r>
          </w:p>
        </w:tc>
        <w:tc>
          <w:tcPr>
            <w:tcW w:w="486" w:type="pct"/>
            <w:vAlign w:val="center"/>
          </w:tcPr>
          <w:p w:rsidR="006775D8" w:rsidRPr="004C5551" w:rsidRDefault="006775D8" w:rsidP="00D36062">
            <w:pPr>
              <w:ind w:right="105"/>
              <w:jc w:val="right"/>
              <w:rPr>
                <w:szCs w:val="22"/>
              </w:rPr>
            </w:pPr>
            <w:r w:rsidRPr="004C5551">
              <w:rPr>
                <w:szCs w:val="22"/>
              </w:rPr>
              <w:t>852</w:t>
            </w:r>
          </w:p>
        </w:tc>
        <w:tc>
          <w:tcPr>
            <w:tcW w:w="775" w:type="pct"/>
            <w:vAlign w:val="center"/>
          </w:tcPr>
          <w:p w:rsidR="006775D8" w:rsidRPr="004C5551" w:rsidRDefault="006775D8" w:rsidP="00D36062">
            <w:pPr>
              <w:ind w:right="105"/>
              <w:jc w:val="right"/>
              <w:rPr>
                <w:szCs w:val="22"/>
              </w:rPr>
            </w:pPr>
            <w:r w:rsidRPr="004C5551">
              <w:rPr>
                <w:szCs w:val="22"/>
              </w:rPr>
              <w:t>100,7</w:t>
            </w:r>
          </w:p>
        </w:tc>
        <w:tc>
          <w:tcPr>
            <w:tcW w:w="680" w:type="pct"/>
            <w:vAlign w:val="center"/>
          </w:tcPr>
          <w:p w:rsidR="006775D8" w:rsidRPr="004C5551" w:rsidRDefault="006775D8" w:rsidP="00D36062">
            <w:pPr>
              <w:ind w:right="105"/>
              <w:jc w:val="right"/>
              <w:rPr>
                <w:szCs w:val="22"/>
              </w:rPr>
            </w:pPr>
            <w:r w:rsidRPr="004C5551">
              <w:rPr>
                <w:szCs w:val="22"/>
              </w:rPr>
              <w:t>99,3</w:t>
            </w:r>
          </w:p>
        </w:tc>
        <w:tc>
          <w:tcPr>
            <w:tcW w:w="486" w:type="pct"/>
            <w:vAlign w:val="bottom"/>
          </w:tcPr>
          <w:p w:rsidR="006775D8" w:rsidRPr="004C5551" w:rsidRDefault="006775D8" w:rsidP="00D36062">
            <w:pPr>
              <w:ind w:right="105"/>
              <w:jc w:val="right"/>
            </w:pPr>
            <w:r w:rsidRPr="004C5551">
              <w:t>918</w:t>
            </w:r>
          </w:p>
        </w:tc>
        <w:tc>
          <w:tcPr>
            <w:tcW w:w="774" w:type="pct"/>
            <w:vAlign w:val="bottom"/>
          </w:tcPr>
          <w:p w:rsidR="006775D8" w:rsidRPr="004C5551" w:rsidRDefault="006775D8" w:rsidP="00D36062">
            <w:pPr>
              <w:ind w:right="105"/>
              <w:jc w:val="right"/>
            </w:pPr>
            <w:r w:rsidRPr="004C5551">
              <w:t>107,7</w:t>
            </w:r>
          </w:p>
        </w:tc>
        <w:tc>
          <w:tcPr>
            <w:tcW w:w="578" w:type="pct"/>
            <w:vAlign w:val="bottom"/>
          </w:tcPr>
          <w:p w:rsidR="006775D8" w:rsidRPr="004C5551" w:rsidRDefault="006775D8" w:rsidP="00D36062">
            <w:pPr>
              <w:ind w:right="105"/>
              <w:jc w:val="right"/>
            </w:pPr>
            <w:r w:rsidRPr="004C5551">
              <w:t>107,8</w:t>
            </w:r>
          </w:p>
        </w:tc>
      </w:tr>
      <w:tr w:rsidR="006775D8" w:rsidRPr="004C5551" w:rsidTr="00D36062">
        <w:trPr>
          <w:jc w:val="center"/>
        </w:trPr>
        <w:tc>
          <w:tcPr>
            <w:tcW w:w="1221" w:type="pct"/>
            <w:vAlign w:val="center"/>
          </w:tcPr>
          <w:p w:rsidR="006775D8" w:rsidRPr="004C5551" w:rsidRDefault="006775D8" w:rsidP="00D36062">
            <w:r w:rsidRPr="004C5551">
              <w:t>250 – 499</w:t>
            </w:r>
          </w:p>
        </w:tc>
        <w:tc>
          <w:tcPr>
            <w:tcW w:w="486" w:type="pct"/>
            <w:vAlign w:val="center"/>
          </w:tcPr>
          <w:p w:rsidR="006775D8" w:rsidRPr="004C5551" w:rsidRDefault="006775D8" w:rsidP="00D36062">
            <w:pPr>
              <w:ind w:right="105"/>
              <w:jc w:val="right"/>
              <w:rPr>
                <w:szCs w:val="22"/>
              </w:rPr>
            </w:pPr>
            <w:r w:rsidRPr="004C5551">
              <w:rPr>
                <w:szCs w:val="22"/>
              </w:rPr>
              <w:t>921</w:t>
            </w:r>
          </w:p>
        </w:tc>
        <w:tc>
          <w:tcPr>
            <w:tcW w:w="775" w:type="pct"/>
            <w:vAlign w:val="center"/>
          </w:tcPr>
          <w:p w:rsidR="006775D8" w:rsidRPr="004C5551" w:rsidRDefault="006775D8" w:rsidP="00D36062">
            <w:pPr>
              <w:ind w:right="105"/>
              <w:jc w:val="right"/>
              <w:rPr>
                <w:szCs w:val="22"/>
              </w:rPr>
            </w:pPr>
            <w:r w:rsidRPr="004C5551">
              <w:rPr>
                <w:szCs w:val="22"/>
              </w:rPr>
              <w:t>100,4</w:t>
            </w:r>
          </w:p>
        </w:tc>
        <w:tc>
          <w:tcPr>
            <w:tcW w:w="680" w:type="pct"/>
            <w:vAlign w:val="center"/>
          </w:tcPr>
          <w:p w:rsidR="006775D8" w:rsidRPr="004C5551" w:rsidRDefault="006775D8" w:rsidP="00D36062">
            <w:pPr>
              <w:ind w:right="105"/>
              <w:jc w:val="right"/>
              <w:rPr>
                <w:szCs w:val="22"/>
              </w:rPr>
            </w:pPr>
            <w:r w:rsidRPr="004C5551">
              <w:rPr>
                <w:szCs w:val="22"/>
              </w:rPr>
              <w:t>99,0</w:t>
            </w:r>
          </w:p>
        </w:tc>
        <w:tc>
          <w:tcPr>
            <w:tcW w:w="486" w:type="pct"/>
            <w:vAlign w:val="bottom"/>
          </w:tcPr>
          <w:p w:rsidR="006775D8" w:rsidRPr="004C5551" w:rsidRDefault="006775D8" w:rsidP="00D36062">
            <w:pPr>
              <w:ind w:right="105"/>
              <w:jc w:val="right"/>
            </w:pPr>
            <w:r w:rsidRPr="004C5551">
              <w:t>982</w:t>
            </w:r>
          </w:p>
        </w:tc>
        <w:tc>
          <w:tcPr>
            <w:tcW w:w="774" w:type="pct"/>
            <w:vAlign w:val="bottom"/>
          </w:tcPr>
          <w:p w:rsidR="006775D8" w:rsidRPr="004C5551" w:rsidRDefault="006775D8" w:rsidP="00D36062">
            <w:pPr>
              <w:ind w:right="105"/>
              <w:jc w:val="right"/>
            </w:pPr>
            <w:r w:rsidRPr="004C5551">
              <w:t>106,6</w:t>
            </w:r>
          </w:p>
        </w:tc>
        <w:tc>
          <w:tcPr>
            <w:tcW w:w="578" w:type="pct"/>
            <w:vAlign w:val="bottom"/>
          </w:tcPr>
          <w:p w:rsidR="006775D8" w:rsidRPr="004C5551" w:rsidRDefault="006775D8" w:rsidP="00D36062">
            <w:pPr>
              <w:ind w:right="105"/>
              <w:jc w:val="right"/>
            </w:pPr>
            <w:r w:rsidRPr="004C5551">
              <w:t>106,7</w:t>
            </w:r>
          </w:p>
        </w:tc>
      </w:tr>
      <w:tr w:rsidR="006775D8" w:rsidRPr="004C5551" w:rsidTr="00D36062">
        <w:trPr>
          <w:jc w:val="center"/>
        </w:trPr>
        <w:tc>
          <w:tcPr>
            <w:tcW w:w="1221" w:type="pct"/>
            <w:vAlign w:val="center"/>
          </w:tcPr>
          <w:p w:rsidR="006775D8" w:rsidRPr="004C5551" w:rsidRDefault="006775D8" w:rsidP="00D36062">
            <w:r w:rsidRPr="004C5551">
              <w:t>500 – 999</w:t>
            </w:r>
          </w:p>
        </w:tc>
        <w:tc>
          <w:tcPr>
            <w:tcW w:w="486" w:type="pct"/>
            <w:vAlign w:val="center"/>
          </w:tcPr>
          <w:p w:rsidR="006775D8" w:rsidRPr="004C5551" w:rsidRDefault="006775D8" w:rsidP="00D36062">
            <w:pPr>
              <w:ind w:right="105"/>
              <w:jc w:val="right"/>
              <w:rPr>
                <w:szCs w:val="22"/>
              </w:rPr>
            </w:pPr>
            <w:r w:rsidRPr="004C5551">
              <w:rPr>
                <w:szCs w:val="22"/>
              </w:rPr>
              <w:t>997</w:t>
            </w:r>
          </w:p>
        </w:tc>
        <w:tc>
          <w:tcPr>
            <w:tcW w:w="775" w:type="pct"/>
            <w:vAlign w:val="center"/>
          </w:tcPr>
          <w:p w:rsidR="006775D8" w:rsidRPr="004C5551" w:rsidRDefault="006775D8" w:rsidP="00D36062">
            <w:pPr>
              <w:ind w:right="105"/>
              <w:jc w:val="right"/>
              <w:rPr>
                <w:szCs w:val="22"/>
              </w:rPr>
            </w:pPr>
            <w:r w:rsidRPr="004C5551">
              <w:rPr>
                <w:szCs w:val="22"/>
              </w:rPr>
              <w:t>108,6</w:t>
            </w:r>
          </w:p>
        </w:tc>
        <w:tc>
          <w:tcPr>
            <w:tcW w:w="680" w:type="pct"/>
            <w:vAlign w:val="center"/>
          </w:tcPr>
          <w:p w:rsidR="006775D8" w:rsidRPr="004C5551" w:rsidRDefault="006775D8" w:rsidP="00D36062">
            <w:pPr>
              <w:ind w:right="105"/>
              <w:jc w:val="right"/>
              <w:rPr>
                <w:szCs w:val="22"/>
              </w:rPr>
            </w:pPr>
            <w:r w:rsidRPr="004C5551">
              <w:rPr>
                <w:szCs w:val="22"/>
              </w:rPr>
              <w:t>107,1</w:t>
            </w:r>
          </w:p>
        </w:tc>
        <w:tc>
          <w:tcPr>
            <w:tcW w:w="486" w:type="pct"/>
            <w:vAlign w:val="bottom"/>
          </w:tcPr>
          <w:p w:rsidR="006775D8" w:rsidRPr="004C5551" w:rsidRDefault="006775D8" w:rsidP="00D36062">
            <w:pPr>
              <w:ind w:right="105"/>
              <w:jc w:val="right"/>
            </w:pPr>
            <w:r w:rsidRPr="004C5551">
              <w:t>1 023</w:t>
            </w:r>
          </w:p>
        </w:tc>
        <w:tc>
          <w:tcPr>
            <w:tcW w:w="774" w:type="pct"/>
            <w:vAlign w:val="bottom"/>
          </w:tcPr>
          <w:p w:rsidR="006775D8" w:rsidRPr="004C5551" w:rsidRDefault="006775D8" w:rsidP="00D36062">
            <w:pPr>
              <w:ind w:right="105"/>
              <w:jc w:val="right"/>
            </w:pPr>
            <w:r w:rsidRPr="004C5551">
              <w:t>102,6</w:t>
            </w:r>
          </w:p>
        </w:tc>
        <w:tc>
          <w:tcPr>
            <w:tcW w:w="578" w:type="pct"/>
            <w:vAlign w:val="bottom"/>
          </w:tcPr>
          <w:p w:rsidR="006775D8" w:rsidRPr="004C5551" w:rsidRDefault="006775D8" w:rsidP="00D36062">
            <w:pPr>
              <w:ind w:right="105"/>
              <w:jc w:val="right"/>
            </w:pPr>
            <w:r w:rsidRPr="004C5551">
              <w:t>102,7</w:t>
            </w:r>
          </w:p>
        </w:tc>
      </w:tr>
      <w:tr w:rsidR="006775D8" w:rsidRPr="004C5551" w:rsidTr="00D36062">
        <w:trPr>
          <w:jc w:val="center"/>
        </w:trPr>
        <w:tc>
          <w:tcPr>
            <w:tcW w:w="1221" w:type="pct"/>
            <w:vAlign w:val="center"/>
          </w:tcPr>
          <w:p w:rsidR="006775D8" w:rsidRPr="004C5551" w:rsidRDefault="006775D8" w:rsidP="00D36062">
            <w:r w:rsidRPr="004C5551">
              <w:t>1 000 a viac</w:t>
            </w:r>
          </w:p>
        </w:tc>
        <w:tc>
          <w:tcPr>
            <w:tcW w:w="486" w:type="pct"/>
            <w:vAlign w:val="center"/>
          </w:tcPr>
          <w:p w:rsidR="006775D8" w:rsidRPr="004C5551" w:rsidRDefault="006775D8" w:rsidP="00D36062">
            <w:pPr>
              <w:ind w:right="105"/>
              <w:jc w:val="right"/>
              <w:rPr>
                <w:szCs w:val="22"/>
              </w:rPr>
            </w:pPr>
            <w:r w:rsidRPr="004C5551">
              <w:rPr>
                <w:szCs w:val="22"/>
              </w:rPr>
              <w:t>1 056</w:t>
            </w:r>
          </w:p>
        </w:tc>
        <w:tc>
          <w:tcPr>
            <w:tcW w:w="775" w:type="pct"/>
            <w:vAlign w:val="center"/>
          </w:tcPr>
          <w:p w:rsidR="006775D8" w:rsidRPr="004C5551" w:rsidRDefault="006775D8" w:rsidP="00D36062">
            <w:pPr>
              <w:ind w:right="105"/>
              <w:jc w:val="right"/>
              <w:rPr>
                <w:szCs w:val="22"/>
              </w:rPr>
            </w:pPr>
            <w:r w:rsidRPr="004C5551">
              <w:rPr>
                <w:szCs w:val="22"/>
              </w:rPr>
              <w:t>101,5</w:t>
            </w:r>
          </w:p>
        </w:tc>
        <w:tc>
          <w:tcPr>
            <w:tcW w:w="680" w:type="pct"/>
            <w:vAlign w:val="center"/>
          </w:tcPr>
          <w:p w:rsidR="006775D8" w:rsidRPr="004C5551" w:rsidRDefault="006775D8" w:rsidP="00D36062">
            <w:pPr>
              <w:ind w:right="105"/>
              <w:jc w:val="right"/>
              <w:rPr>
                <w:szCs w:val="22"/>
              </w:rPr>
            </w:pPr>
            <w:r w:rsidRPr="004C5551">
              <w:rPr>
                <w:szCs w:val="22"/>
              </w:rPr>
              <w:t>100,1</w:t>
            </w:r>
          </w:p>
        </w:tc>
        <w:tc>
          <w:tcPr>
            <w:tcW w:w="486" w:type="pct"/>
            <w:vAlign w:val="bottom"/>
          </w:tcPr>
          <w:p w:rsidR="006775D8" w:rsidRPr="004C5551" w:rsidRDefault="006775D8" w:rsidP="00D36062">
            <w:pPr>
              <w:ind w:right="105"/>
              <w:jc w:val="right"/>
            </w:pPr>
            <w:r w:rsidRPr="004C5551">
              <w:t>1 104</w:t>
            </w:r>
          </w:p>
        </w:tc>
        <w:tc>
          <w:tcPr>
            <w:tcW w:w="774" w:type="pct"/>
            <w:vAlign w:val="bottom"/>
          </w:tcPr>
          <w:p w:rsidR="006775D8" w:rsidRPr="004C5551" w:rsidRDefault="006775D8" w:rsidP="00D36062">
            <w:pPr>
              <w:ind w:right="105"/>
              <w:jc w:val="right"/>
            </w:pPr>
            <w:r w:rsidRPr="004C5551">
              <w:t>104,5</w:t>
            </w:r>
          </w:p>
        </w:tc>
        <w:tc>
          <w:tcPr>
            <w:tcW w:w="578" w:type="pct"/>
            <w:vAlign w:val="bottom"/>
          </w:tcPr>
          <w:p w:rsidR="006775D8" w:rsidRPr="004C5551" w:rsidRDefault="006775D8" w:rsidP="00D36062">
            <w:pPr>
              <w:ind w:right="105"/>
              <w:jc w:val="right"/>
            </w:pPr>
            <w:r w:rsidRPr="004C5551">
              <w:t>104,6</w:t>
            </w:r>
          </w:p>
        </w:tc>
      </w:tr>
      <w:tr w:rsidR="006775D8" w:rsidRPr="004C5551" w:rsidTr="00D36062">
        <w:trPr>
          <w:jc w:val="center"/>
        </w:trPr>
        <w:tc>
          <w:tcPr>
            <w:tcW w:w="1221" w:type="pct"/>
            <w:vAlign w:val="center"/>
          </w:tcPr>
          <w:p w:rsidR="006775D8" w:rsidRPr="004C5551" w:rsidRDefault="006775D8" w:rsidP="00D36062">
            <w:r w:rsidRPr="004C5551">
              <w:t>Živnostníci (odhad)</w:t>
            </w:r>
          </w:p>
        </w:tc>
        <w:tc>
          <w:tcPr>
            <w:tcW w:w="486" w:type="pct"/>
            <w:vAlign w:val="center"/>
          </w:tcPr>
          <w:p w:rsidR="006775D8" w:rsidRPr="004C5551" w:rsidRDefault="006775D8" w:rsidP="00D36062">
            <w:pPr>
              <w:ind w:right="105"/>
              <w:jc w:val="right"/>
              <w:rPr>
                <w:szCs w:val="22"/>
              </w:rPr>
            </w:pPr>
            <w:r w:rsidRPr="004C5551">
              <w:rPr>
                <w:szCs w:val="22"/>
              </w:rPr>
              <w:t>596</w:t>
            </w:r>
          </w:p>
        </w:tc>
        <w:tc>
          <w:tcPr>
            <w:tcW w:w="775" w:type="pct"/>
            <w:vAlign w:val="center"/>
          </w:tcPr>
          <w:p w:rsidR="006775D8" w:rsidRPr="004C5551" w:rsidRDefault="006775D8" w:rsidP="00D36062">
            <w:pPr>
              <w:ind w:right="105"/>
              <w:jc w:val="right"/>
              <w:rPr>
                <w:szCs w:val="22"/>
              </w:rPr>
            </w:pPr>
            <w:r w:rsidRPr="004C5551">
              <w:rPr>
                <w:szCs w:val="22"/>
              </w:rPr>
              <w:t>101,5</w:t>
            </w:r>
          </w:p>
        </w:tc>
        <w:tc>
          <w:tcPr>
            <w:tcW w:w="680" w:type="pct"/>
            <w:vAlign w:val="center"/>
          </w:tcPr>
          <w:p w:rsidR="006775D8" w:rsidRPr="004C5551" w:rsidRDefault="006775D8" w:rsidP="00D36062">
            <w:pPr>
              <w:ind w:right="105"/>
              <w:jc w:val="right"/>
              <w:rPr>
                <w:szCs w:val="22"/>
              </w:rPr>
            </w:pPr>
            <w:r w:rsidRPr="004C5551">
              <w:rPr>
                <w:szCs w:val="22"/>
              </w:rPr>
              <w:t>100,1</w:t>
            </w:r>
          </w:p>
        </w:tc>
        <w:tc>
          <w:tcPr>
            <w:tcW w:w="486" w:type="pct"/>
            <w:vAlign w:val="bottom"/>
          </w:tcPr>
          <w:p w:rsidR="006775D8" w:rsidRPr="004C5551" w:rsidRDefault="006775D8" w:rsidP="00D36062">
            <w:pPr>
              <w:ind w:right="105"/>
              <w:jc w:val="right"/>
            </w:pPr>
            <w:r w:rsidRPr="004C5551">
              <w:t>595</w:t>
            </w:r>
          </w:p>
        </w:tc>
        <w:tc>
          <w:tcPr>
            <w:tcW w:w="774" w:type="pct"/>
            <w:vAlign w:val="bottom"/>
          </w:tcPr>
          <w:p w:rsidR="006775D8" w:rsidRPr="004C5551" w:rsidRDefault="006775D8" w:rsidP="00D36062">
            <w:pPr>
              <w:ind w:right="105"/>
              <w:jc w:val="right"/>
            </w:pPr>
            <w:r w:rsidRPr="004C5551">
              <w:t>99,8</w:t>
            </w:r>
          </w:p>
        </w:tc>
        <w:tc>
          <w:tcPr>
            <w:tcW w:w="578" w:type="pct"/>
            <w:vAlign w:val="bottom"/>
          </w:tcPr>
          <w:p w:rsidR="006775D8" w:rsidRPr="004C5551" w:rsidRDefault="006775D8" w:rsidP="00D36062">
            <w:pPr>
              <w:ind w:right="105"/>
              <w:jc w:val="right"/>
            </w:pPr>
            <w:r w:rsidRPr="004C5551">
              <w:t>99,9</w:t>
            </w:r>
          </w:p>
        </w:tc>
      </w:tr>
      <w:tr w:rsidR="006775D8" w:rsidRPr="004C5551" w:rsidTr="00D36062">
        <w:trPr>
          <w:jc w:val="center"/>
        </w:trPr>
        <w:tc>
          <w:tcPr>
            <w:tcW w:w="1221" w:type="pct"/>
            <w:vAlign w:val="center"/>
          </w:tcPr>
          <w:p w:rsidR="006775D8" w:rsidRPr="004C5551" w:rsidRDefault="006775D8" w:rsidP="00D36062">
            <w:pPr>
              <w:rPr>
                <w:b/>
              </w:rPr>
            </w:pPr>
            <w:r w:rsidRPr="004C5551">
              <w:rPr>
                <w:b/>
              </w:rPr>
              <w:t>Spolu</w:t>
            </w:r>
          </w:p>
        </w:tc>
        <w:tc>
          <w:tcPr>
            <w:tcW w:w="486" w:type="pct"/>
            <w:vAlign w:val="center"/>
          </w:tcPr>
          <w:p w:rsidR="006775D8" w:rsidRPr="004C5551" w:rsidRDefault="006775D8" w:rsidP="00D36062">
            <w:pPr>
              <w:ind w:right="105"/>
              <w:jc w:val="right"/>
              <w:rPr>
                <w:b/>
                <w:szCs w:val="22"/>
              </w:rPr>
            </w:pPr>
            <w:r w:rsidRPr="004C5551">
              <w:rPr>
                <w:b/>
                <w:szCs w:val="22"/>
              </w:rPr>
              <w:t>824</w:t>
            </w:r>
          </w:p>
        </w:tc>
        <w:tc>
          <w:tcPr>
            <w:tcW w:w="775" w:type="pct"/>
            <w:vAlign w:val="center"/>
          </w:tcPr>
          <w:p w:rsidR="006775D8" w:rsidRPr="004C5551" w:rsidRDefault="006775D8" w:rsidP="00D36062">
            <w:pPr>
              <w:ind w:right="105"/>
              <w:jc w:val="right"/>
              <w:rPr>
                <w:b/>
                <w:szCs w:val="22"/>
              </w:rPr>
            </w:pPr>
            <w:r w:rsidRPr="004C5551">
              <w:rPr>
                <w:b/>
                <w:szCs w:val="22"/>
              </w:rPr>
              <w:t>102,4</w:t>
            </w:r>
          </w:p>
        </w:tc>
        <w:tc>
          <w:tcPr>
            <w:tcW w:w="680" w:type="pct"/>
            <w:vAlign w:val="center"/>
          </w:tcPr>
          <w:p w:rsidR="006775D8" w:rsidRPr="004C5551" w:rsidRDefault="006775D8" w:rsidP="00D36062">
            <w:pPr>
              <w:ind w:right="105"/>
              <w:jc w:val="right"/>
              <w:rPr>
                <w:b/>
                <w:szCs w:val="22"/>
              </w:rPr>
            </w:pPr>
            <w:r w:rsidRPr="004C5551">
              <w:rPr>
                <w:b/>
                <w:szCs w:val="22"/>
              </w:rPr>
              <w:t>101,0</w:t>
            </w:r>
          </w:p>
        </w:tc>
        <w:tc>
          <w:tcPr>
            <w:tcW w:w="486" w:type="pct"/>
            <w:vAlign w:val="bottom"/>
          </w:tcPr>
          <w:p w:rsidR="006775D8" w:rsidRPr="004C5551" w:rsidRDefault="006775D8" w:rsidP="00D36062">
            <w:pPr>
              <w:ind w:right="105"/>
              <w:jc w:val="right"/>
              <w:rPr>
                <w:b/>
              </w:rPr>
            </w:pPr>
            <w:r w:rsidRPr="004C5551">
              <w:rPr>
                <w:b/>
              </w:rPr>
              <w:t>858</w:t>
            </w:r>
          </w:p>
        </w:tc>
        <w:tc>
          <w:tcPr>
            <w:tcW w:w="774" w:type="pct"/>
            <w:vAlign w:val="bottom"/>
          </w:tcPr>
          <w:p w:rsidR="006775D8" w:rsidRPr="004C5551" w:rsidRDefault="006775D8" w:rsidP="00D36062">
            <w:pPr>
              <w:ind w:right="105"/>
              <w:jc w:val="right"/>
              <w:rPr>
                <w:b/>
              </w:rPr>
            </w:pPr>
            <w:r w:rsidRPr="004C5551">
              <w:rPr>
                <w:b/>
              </w:rPr>
              <w:t>104,1</w:t>
            </w:r>
          </w:p>
        </w:tc>
        <w:tc>
          <w:tcPr>
            <w:tcW w:w="578" w:type="pct"/>
            <w:vAlign w:val="bottom"/>
          </w:tcPr>
          <w:p w:rsidR="006775D8" w:rsidRPr="004C5551" w:rsidRDefault="006775D8" w:rsidP="00D36062">
            <w:pPr>
              <w:ind w:right="105"/>
              <w:jc w:val="right"/>
              <w:rPr>
                <w:b/>
              </w:rPr>
            </w:pPr>
            <w:r w:rsidRPr="004C5551">
              <w:rPr>
                <w:b/>
              </w:rPr>
              <w:t>104,2</w:t>
            </w:r>
          </w:p>
        </w:tc>
      </w:tr>
    </w:tbl>
    <w:p w:rsidR="006775D8" w:rsidRPr="004C5551" w:rsidRDefault="006775D8" w:rsidP="006A494C">
      <w:pPr>
        <w:pStyle w:val="zdroj"/>
        <w:ind w:left="284" w:firstLine="0"/>
      </w:pPr>
      <w:r w:rsidRPr="004C5551">
        <w:t>Zdroj: ŠÚ SR, Štatistická správa o základných vývojových tendenciách v hospodárstve SR v 4. štvrťroku 2013, Štatistická správa o základných vývojových tendenciách v hospodárstve SR v 4. štvrťroku 2014</w:t>
      </w:r>
    </w:p>
    <w:p w:rsidR="00A966B5" w:rsidRPr="004C5551" w:rsidRDefault="00A966B5" w:rsidP="00ED16E0">
      <w:pPr>
        <w:pStyle w:val="Nadpis41"/>
      </w:pPr>
      <w:r w:rsidRPr="004C5551">
        <w:t>Priemerná mesačná hrubá mzda v podnikateľskej a nepodnikateľskej sfére</w:t>
      </w:r>
    </w:p>
    <w:p w:rsidR="001B4854" w:rsidRPr="004C5551" w:rsidRDefault="001B4854" w:rsidP="00C92B2F">
      <w:pPr>
        <w:ind w:firstLine="431"/>
      </w:pPr>
      <w:r w:rsidRPr="004C5551">
        <w:t xml:space="preserve">Systém štvrťročného a ročného štatistického výkazníctva v podnikoch poskytuje základné údaje o počtoch zamestnancov a celkových mzdách, neposkytuje však údaje v detailnejšom členení (napr. podľa </w:t>
      </w:r>
      <w:r w:rsidR="004947CD" w:rsidRPr="004C5551">
        <w:t xml:space="preserve">tried </w:t>
      </w:r>
      <w:r w:rsidRPr="004C5551">
        <w:t xml:space="preserve">zamestnaní, veku, praxe, vzdelania, pohlavia), ktoré sú potrebné pre monitorovanie ceny práce. Súčasťou mzdovej štatistiky je preto aj Informačný systém o cene práce (ISCP), ktorého gestorom je </w:t>
      </w:r>
      <w:r w:rsidR="00BC1CE8" w:rsidRPr="004C5551">
        <w:t>MPSVR SR</w:t>
      </w:r>
      <w:r w:rsidRPr="004C5551">
        <w:t xml:space="preserve">, a ktorý zahŕňa aj pravidelné </w:t>
      </w:r>
      <w:proofErr w:type="spellStart"/>
      <w:r w:rsidRPr="004C5551">
        <w:t>longitudinálne</w:t>
      </w:r>
      <w:proofErr w:type="spellEnd"/>
      <w:r w:rsidRPr="004C5551">
        <w:t xml:space="preserve"> štvrťročné zisťovanie priemer</w:t>
      </w:r>
      <w:r w:rsidR="00E47B33" w:rsidRPr="004C5551">
        <w:softHyphen/>
      </w:r>
      <w:r w:rsidRPr="004C5551">
        <w:t>ných hodinových a</w:t>
      </w:r>
      <w:r w:rsidR="00FD7AD3" w:rsidRPr="004C5551">
        <w:t> </w:t>
      </w:r>
      <w:r w:rsidRPr="004C5551">
        <w:t>mesačných zárobkov zamestnancov v detailnom členení</w:t>
      </w:r>
      <w:r w:rsidRPr="004C5551">
        <w:rPr>
          <w:rStyle w:val="Odkaznapoznmkupodiarou"/>
        </w:rPr>
        <w:footnoteReference w:id="19"/>
      </w:r>
      <w:r w:rsidR="00BA0FFA" w:rsidRPr="004C5551">
        <w:t>.</w:t>
      </w:r>
      <w:r w:rsidRPr="004C5551">
        <w:t xml:space="preserve"> Kvôli odlišným zdrojom údajov sa priemerné mzdy zistené z ISCP do istej miery odlišujú od priemernej mzdy zistenej ŠÚ SR na základe výkazníctva.</w:t>
      </w:r>
    </w:p>
    <w:p w:rsidR="006775D8" w:rsidRPr="004C5551" w:rsidRDefault="006775D8" w:rsidP="00C92B2F">
      <w:pPr>
        <w:ind w:firstLine="431"/>
      </w:pPr>
      <w:r w:rsidRPr="004C5551">
        <w:t xml:space="preserve">Podľa výsledkov celoslovenského výberového zisťovania z ISCP bola v roku 2014 priemerná hrubá mesačná mzda v hospodárstve SR </w:t>
      </w:r>
      <w:r w:rsidRPr="004C5551">
        <w:rPr>
          <w:b/>
        </w:rPr>
        <w:t xml:space="preserve">955 </w:t>
      </w:r>
      <w:r w:rsidR="00AA0137" w:rsidRPr="004C5551">
        <w:rPr>
          <w:b/>
        </w:rPr>
        <w:t>eur</w:t>
      </w:r>
      <w:r w:rsidRPr="004C5551">
        <w:t>, z toho v podnikateľskej sfére 995 </w:t>
      </w:r>
      <w:r w:rsidR="00AA0137" w:rsidRPr="004C5551">
        <w:t>eur</w:t>
      </w:r>
      <w:r w:rsidRPr="004C5551">
        <w:t xml:space="preserve"> a v</w:t>
      </w:r>
      <w:r w:rsidR="00034756" w:rsidRPr="004C5551">
        <w:t> </w:t>
      </w:r>
      <w:r w:rsidRPr="004C5551">
        <w:t>nepodnikateľskej sfére 827 </w:t>
      </w:r>
      <w:r w:rsidR="00AA0137" w:rsidRPr="004C5551">
        <w:t>eur</w:t>
      </w:r>
      <w:r w:rsidRPr="004C5551">
        <w:t>.</w:t>
      </w:r>
    </w:p>
    <w:p w:rsidR="006775D8" w:rsidRPr="004C5551" w:rsidRDefault="00460DEB" w:rsidP="00C92B2F">
      <w:pPr>
        <w:pStyle w:val="Normlnysozarkami1"/>
        <w:ind w:firstLine="431"/>
      </w:pPr>
      <w:r w:rsidRPr="004C5551">
        <w:t>Najvyššiu priemernú hrubú mesačnú mzdu</w:t>
      </w:r>
      <w:r w:rsidR="007D6FD8" w:rsidRPr="004C5551">
        <w:t xml:space="preserve"> v roku 2014 pri zohľadnení </w:t>
      </w:r>
      <w:r w:rsidR="007D6FD8" w:rsidRPr="004C5551">
        <w:rPr>
          <w:b/>
          <w:i/>
        </w:rPr>
        <w:t>dosiahnutého stupňa vzdelania</w:t>
      </w:r>
      <w:r w:rsidR="007D6FD8" w:rsidRPr="004C5551">
        <w:t xml:space="preserve"> mali zamestnanci s vysokoškolským vzdelaním II. stupňa – 1 392 eur, čo predstavovalo 146 % priemernej hrubej mesačnej mzdy v hospodárstve SR. Mzda zamestnancov s vysokoškolským vzdelaním II. stupňa dosiahla v podnikateľskej sfére hodnotu 1 664 eur a v nepodnikateľskej sfére 1 007 eur. </w:t>
      </w:r>
      <w:r w:rsidRPr="004C5551">
        <w:t>Najnižšiu priemernú hrubú mesačnú mzdu</w:t>
      </w:r>
      <w:r w:rsidR="006775D8" w:rsidRPr="004C5551">
        <w:t xml:space="preserve"> v roku 2014 mali zamestnanci so základným vzdelaním – 614 </w:t>
      </w:r>
      <w:r w:rsidR="00AA0137" w:rsidRPr="004C5551">
        <w:t>eur</w:t>
      </w:r>
      <w:r w:rsidR="006775D8" w:rsidRPr="004C5551">
        <w:t>. Mzda zamestnancov so základným vzdelaním dosiahla v podnikateľskej sfére hodnotu 654 </w:t>
      </w:r>
      <w:r w:rsidR="000860E9" w:rsidRPr="004C5551">
        <w:t>eur</w:t>
      </w:r>
      <w:r w:rsidR="006775D8" w:rsidRPr="004C5551">
        <w:t xml:space="preserve"> a v nepodnikateľskej sfére 464 </w:t>
      </w:r>
      <w:r w:rsidR="000860E9" w:rsidRPr="004C5551">
        <w:t>eur</w:t>
      </w:r>
      <w:r w:rsidR="007D6FD8" w:rsidRPr="004C5551">
        <w:t xml:space="preserve"> (príloha ku kapitole 2, tabuľka 6)</w:t>
      </w:r>
      <w:r w:rsidR="006775D8" w:rsidRPr="004C5551">
        <w:t xml:space="preserve">. </w:t>
      </w:r>
    </w:p>
    <w:p w:rsidR="006775D8" w:rsidRPr="004C5551" w:rsidRDefault="007D6FD8" w:rsidP="00C92B2F">
      <w:pPr>
        <w:pStyle w:val="Normlnysozarkami1"/>
        <w:ind w:firstLine="431"/>
      </w:pPr>
      <w:r w:rsidRPr="004C5551">
        <w:rPr>
          <w:b/>
          <w:i/>
        </w:rPr>
        <w:t>Podľa hlavných tried zamestnaní</w:t>
      </w:r>
      <w:r w:rsidRPr="004C5551">
        <w:t xml:space="preserve"> dosiahli najvyššiu priemernú hrubú mesačnú mzdu zákonodarcovia, vedúci a riadiaci zamestnanci – 2 103 eur (v podnikateľskej sfére 2 281 eur a v nepodnikateľskej sfére 1 476 eur)</w:t>
      </w:r>
      <w:r w:rsidR="00460DEB" w:rsidRPr="004C5551">
        <w:t xml:space="preserve">. </w:t>
      </w:r>
      <w:r w:rsidRPr="004C5551">
        <w:t>N</w:t>
      </w:r>
      <w:r w:rsidR="006775D8" w:rsidRPr="004C5551">
        <w:t>ajnižšiu priemernú hrubú mesačnú mzdu</w:t>
      </w:r>
      <w:r w:rsidRPr="004C5551">
        <w:t xml:space="preserve"> podľa tohto triedenia mali</w:t>
      </w:r>
      <w:r w:rsidR="006775D8" w:rsidRPr="004C5551">
        <w:t xml:space="preserve"> pomocní a nekvalifikovaní zamestnanci – 524 </w:t>
      </w:r>
      <w:r w:rsidR="000860E9" w:rsidRPr="004C5551">
        <w:t>eur</w:t>
      </w:r>
      <w:r w:rsidR="006775D8" w:rsidRPr="004C5551">
        <w:t xml:space="preserve"> (v podnikateľskej sfére 565 </w:t>
      </w:r>
      <w:r w:rsidR="000860E9" w:rsidRPr="004C5551">
        <w:t>eur</w:t>
      </w:r>
      <w:r w:rsidR="006775D8" w:rsidRPr="004C5551">
        <w:t xml:space="preserve"> a v nepodnikateľskej sfére 441 </w:t>
      </w:r>
      <w:r w:rsidR="000860E9" w:rsidRPr="004C5551">
        <w:t>eur</w:t>
      </w:r>
      <w:r w:rsidR="006775D8" w:rsidRPr="004C5551">
        <w:t>)</w:t>
      </w:r>
      <w:r w:rsidRPr="004C5551">
        <w:t xml:space="preserve"> (príloha ku kapitole 2, tabuľka 7)</w:t>
      </w:r>
      <w:r w:rsidR="006775D8" w:rsidRPr="004C5551">
        <w:t xml:space="preserve">. </w:t>
      </w:r>
    </w:p>
    <w:p w:rsidR="006775D8" w:rsidRPr="004C5551" w:rsidRDefault="007D6FD8" w:rsidP="00C92B2F">
      <w:pPr>
        <w:pStyle w:val="Normlnysozarkami1"/>
        <w:ind w:firstLine="431"/>
      </w:pPr>
      <w:r w:rsidRPr="004C5551">
        <w:rPr>
          <w:b/>
          <w:i/>
        </w:rPr>
        <w:t>Z hľadiska veku</w:t>
      </w:r>
      <w:r w:rsidRPr="004C5551">
        <w:t xml:space="preserve"> dosiahli najvyššiu priemernú hrubú mesačnú mzdu zamestnanci vo veku </w:t>
      </w:r>
      <w:r w:rsidRPr="004C5551">
        <w:br/>
        <w:t>od 35 do 39 rokov – 1 059 eur (v podnikateľskej sfére vo veku od 35 do 39 rokov 1 118 eur a v nepodnikateľskej sfére vo veku 60 a viac rokov 893 eur). N</w:t>
      </w:r>
      <w:r w:rsidR="006775D8" w:rsidRPr="004C5551">
        <w:t>ajnižšiu priemernú hrubú mesačnú mzdu mali zamestnanci do 19 rokov – 535 </w:t>
      </w:r>
      <w:r w:rsidR="000860E9" w:rsidRPr="004C5551">
        <w:t>eur</w:t>
      </w:r>
      <w:r w:rsidR="006775D8" w:rsidRPr="004C5551">
        <w:t xml:space="preserve"> (v podnikateľskej sfére 541 </w:t>
      </w:r>
      <w:r w:rsidR="000860E9" w:rsidRPr="004C5551">
        <w:t>eur</w:t>
      </w:r>
      <w:r w:rsidR="006775D8" w:rsidRPr="004C5551">
        <w:t xml:space="preserve"> a v nepodnikateľskej sfére 456 </w:t>
      </w:r>
      <w:r w:rsidR="000860E9" w:rsidRPr="004C5551">
        <w:t>eur</w:t>
      </w:r>
      <w:r w:rsidRPr="004C5551">
        <w:t>) (príloha ku kapitole 2, tabuľka 8).</w:t>
      </w:r>
      <w:r w:rsidR="006775D8" w:rsidRPr="004C5551">
        <w:t xml:space="preserve">. </w:t>
      </w:r>
    </w:p>
    <w:p w:rsidR="006775D8" w:rsidRPr="004C5551" w:rsidRDefault="006775D8" w:rsidP="00C92B2F">
      <w:pPr>
        <w:pStyle w:val="Normlnysozarkami1"/>
        <w:ind w:firstLine="431"/>
      </w:pPr>
      <w:r w:rsidRPr="004C5551">
        <w:rPr>
          <w:b/>
          <w:i/>
        </w:rPr>
        <w:t>Z hľadiska</w:t>
      </w:r>
      <w:r w:rsidRPr="004C5551">
        <w:t xml:space="preserve"> </w:t>
      </w:r>
      <w:r w:rsidRPr="004C5551">
        <w:rPr>
          <w:b/>
          <w:i/>
        </w:rPr>
        <w:t>druhu vlastníctva</w:t>
      </w:r>
      <w:r w:rsidRPr="004C5551">
        <w:rPr>
          <w:i/>
        </w:rPr>
        <w:t xml:space="preserve"> </w:t>
      </w:r>
      <w:r w:rsidR="00460DEB" w:rsidRPr="004C5551">
        <w:t xml:space="preserve">mali </w:t>
      </w:r>
      <w:r w:rsidR="007D6FD8" w:rsidRPr="004C5551">
        <w:t>najvyššiu priemernú hrubú mesačnú mzdu zamestnanci spoločností s medzinárodným vlastníctvom s prevažujúcim verejným sektorom – 2 010 eur (v podnikateľskej sfére 2 010 eur u zamestnancov spoločností s medzinárodným vlastníctvom s prevažujúcim verejným sektorom a v nepodnikateľskej sfére u zamestnancov organizácií so štátnym vlastníctvom 944 eur). N</w:t>
      </w:r>
      <w:r w:rsidRPr="004C5551">
        <w:t xml:space="preserve">ajnižšiu priemernú hrubú mesačnú mzdu </w:t>
      </w:r>
      <w:r w:rsidR="007D6FD8" w:rsidRPr="004C5551">
        <w:t xml:space="preserve">mali </w:t>
      </w:r>
      <w:r w:rsidRPr="004C5551">
        <w:t xml:space="preserve">zamestnanci </w:t>
      </w:r>
      <w:r w:rsidR="007D6FD8" w:rsidRPr="004C5551">
        <w:t xml:space="preserve">spoločností </w:t>
      </w:r>
      <w:r w:rsidRPr="004C5551">
        <w:t>vo</w:t>
      </w:r>
      <w:r w:rsidR="003D5480" w:rsidRPr="004C5551">
        <w:t> </w:t>
      </w:r>
      <w:r w:rsidRPr="004C5551">
        <w:t xml:space="preserve">vlastníctve združení, politických strán a cirkví – 738 </w:t>
      </w:r>
      <w:r w:rsidR="000860E9" w:rsidRPr="004C5551">
        <w:t>eur</w:t>
      </w:r>
      <w:r w:rsidRPr="004C5551">
        <w:t xml:space="preserve"> (v podnikateľskej sfére zamestnanci družstevných organizácií 745 </w:t>
      </w:r>
      <w:r w:rsidR="000860E9" w:rsidRPr="004C5551">
        <w:t>eur</w:t>
      </w:r>
      <w:r w:rsidRPr="004C5551">
        <w:t xml:space="preserve"> a v nepodnikateľskej sfére zamestnanci združení, politických strán a cirkví 700 </w:t>
      </w:r>
      <w:r w:rsidR="000860E9" w:rsidRPr="004C5551">
        <w:t>eur</w:t>
      </w:r>
      <w:r w:rsidRPr="004C5551">
        <w:t xml:space="preserve">). </w:t>
      </w:r>
    </w:p>
    <w:p w:rsidR="006775D8" w:rsidRPr="004C5551" w:rsidRDefault="007D6FD8" w:rsidP="00982008">
      <w:pPr>
        <w:pStyle w:val="Normlnysozarkami1"/>
        <w:ind w:firstLine="431"/>
      </w:pPr>
      <w:r w:rsidRPr="004C5551">
        <w:rPr>
          <w:b/>
          <w:i/>
        </w:rPr>
        <w:t>Z regionálneho hľadiska</w:t>
      </w:r>
      <w:r w:rsidRPr="004C5551">
        <w:t xml:space="preserve"> </w:t>
      </w:r>
      <w:r w:rsidR="00460DEB" w:rsidRPr="004C5551">
        <w:t>najvyššie</w:t>
      </w:r>
      <w:r w:rsidRPr="004C5551">
        <w:t xml:space="preserve"> priemerné mesačné mzdy poberali zamestnanci v Bratislavskom kraji – 1 289 eur (v podnikateľskej sfére 1 369 eur a v nepodnikateľskej sfére 958 eur), </w:t>
      </w:r>
      <w:r w:rsidR="006775D8" w:rsidRPr="004C5551">
        <w:t>najnižšie priemerné mesačné hrubé mzdy poberali zamestnanci v Prešovskom kraji – 758 </w:t>
      </w:r>
      <w:r w:rsidR="000860E9" w:rsidRPr="004C5551">
        <w:t>eur</w:t>
      </w:r>
      <w:r w:rsidR="006775D8" w:rsidRPr="004C5551">
        <w:t xml:space="preserve"> (v podnikateľskej sfére v Prešovskom kraji 750 </w:t>
      </w:r>
      <w:r w:rsidR="000860E9" w:rsidRPr="004C5551">
        <w:t>eur</w:t>
      </w:r>
      <w:r w:rsidR="006775D8" w:rsidRPr="004C5551">
        <w:t xml:space="preserve"> a v nepod</w:t>
      </w:r>
      <w:r w:rsidR="006775D8" w:rsidRPr="004C5551">
        <w:softHyphen/>
        <w:t xml:space="preserve">nikateľskej sfére v Nitrianskom </w:t>
      </w:r>
      <w:r w:rsidR="00982008" w:rsidRPr="004C5551">
        <w:t>a </w:t>
      </w:r>
      <w:r w:rsidR="006775D8" w:rsidRPr="004C5551">
        <w:t>Prešovskom kraji 776 </w:t>
      </w:r>
      <w:r w:rsidR="000860E9" w:rsidRPr="004C5551">
        <w:t>eur</w:t>
      </w:r>
      <w:r w:rsidR="006775D8" w:rsidRPr="004C5551">
        <w:t>)</w:t>
      </w:r>
      <w:r w:rsidR="00982008" w:rsidRPr="004C5551">
        <w:t xml:space="preserve"> </w:t>
      </w:r>
      <w:r w:rsidR="006775D8" w:rsidRPr="004C5551">
        <w:t xml:space="preserve">(príloha ku kapitole 2, tabuľka </w:t>
      </w:r>
      <w:r w:rsidR="00365FE7" w:rsidRPr="004C5551">
        <w:t>9</w:t>
      </w:r>
      <w:r w:rsidR="006775D8" w:rsidRPr="004C5551">
        <w:t xml:space="preserve">). </w:t>
      </w:r>
    </w:p>
    <w:p w:rsidR="006775D8" w:rsidRPr="004C5551" w:rsidRDefault="006775D8" w:rsidP="00C92B2F">
      <w:pPr>
        <w:pStyle w:val="Normlnysozarkami1"/>
        <w:ind w:firstLine="431"/>
      </w:pPr>
      <w:r w:rsidRPr="004C5551">
        <w:t xml:space="preserve">Z analýzy </w:t>
      </w:r>
      <w:r w:rsidRPr="004C5551">
        <w:rPr>
          <w:b/>
        </w:rPr>
        <w:t xml:space="preserve">podielu jednotlivých zložiek celkovej priemernej hrubej mesačnej mzdy </w:t>
      </w:r>
      <w:r w:rsidRPr="004C5551">
        <w:t xml:space="preserve">v roku 2014 (955 </w:t>
      </w:r>
      <w:r w:rsidR="000860E9" w:rsidRPr="004C5551">
        <w:t>eur</w:t>
      </w:r>
      <w:r w:rsidRPr="004C5551">
        <w:t>) je zrejmé, že najvyšší podiel tvorila základná mzda (67</w:t>
      </w:r>
      <w:r w:rsidR="009425AA" w:rsidRPr="004C5551">
        <w:t> %</w:t>
      </w:r>
      <w:r w:rsidRPr="004C5551">
        <w:t>). Ďalšou významnou zložkou priemernej hrubej mesačnej mzdy boli náhrady mzdy, ktoré predstavovali 12</w:t>
      </w:r>
      <w:r w:rsidR="009425AA" w:rsidRPr="004C5551">
        <w:t> %</w:t>
      </w:r>
      <w:r w:rsidRPr="004C5551">
        <w:t xml:space="preserve"> a tretiu najvyššiu zložku tvorili prémie a odmeny (11</w:t>
      </w:r>
      <w:r w:rsidR="009425AA" w:rsidRPr="004C5551">
        <w:t> %</w:t>
      </w:r>
      <w:r w:rsidRPr="004C5551">
        <w:t>) (príloha ku kapitole 2, tabuľka</w:t>
      </w:r>
      <w:r w:rsidR="00365FE7" w:rsidRPr="004C5551">
        <w:t xml:space="preserve"> 10</w:t>
      </w:r>
      <w:r w:rsidRPr="004C5551">
        <w:t>).</w:t>
      </w:r>
    </w:p>
    <w:p w:rsidR="006775D8" w:rsidRPr="004C5551" w:rsidRDefault="006775D8" w:rsidP="00C92B2F">
      <w:pPr>
        <w:pStyle w:val="Normlnysozarkami1"/>
        <w:ind w:firstLine="431"/>
      </w:pPr>
      <w:r w:rsidRPr="004C5551">
        <w:rPr>
          <w:b/>
          <w:i/>
        </w:rPr>
        <w:t>Podľa rodového členenia</w:t>
      </w:r>
      <w:r w:rsidRPr="004C5551">
        <w:t xml:space="preserve"> údajov o</w:t>
      </w:r>
      <w:r w:rsidR="00034756" w:rsidRPr="004C5551">
        <w:t> </w:t>
      </w:r>
      <w:r w:rsidRPr="004C5551">
        <w:t>odmeňovaní</w:t>
      </w:r>
      <w:r w:rsidR="00034756" w:rsidRPr="004C5551">
        <w:t>,</w:t>
      </w:r>
      <w:r w:rsidRPr="004C5551">
        <w:t xml:space="preserve"> priemerná hrubá mesačná mzda v roku 2014 u mužov bola 1 076 </w:t>
      </w:r>
      <w:r w:rsidR="000860E9" w:rsidRPr="004C5551">
        <w:t>eur</w:t>
      </w:r>
      <w:r w:rsidRPr="004C5551">
        <w:t xml:space="preserve"> (v podnikateľskej sfére 1 099 </w:t>
      </w:r>
      <w:r w:rsidR="000860E9" w:rsidRPr="004C5551">
        <w:t>eur</w:t>
      </w:r>
      <w:r w:rsidRPr="004C5551">
        <w:t xml:space="preserve"> a v nepodnikateľskej sfére 911 </w:t>
      </w:r>
      <w:r w:rsidR="000860E9" w:rsidRPr="004C5551">
        <w:t>eur</w:t>
      </w:r>
      <w:r w:rsidRPr="004C5551">
        <w:t>) a u žien 828 </w:t>
      </w:r>
      <w:r w:rsidR="000860E9" w:rsidRPr="004C5551">
        <w:t>eur</w:t>
      </w:r>
      <w:r w:rsidRPr="004C5551">
        <w:t xml:space="preserve"> (v podnikateľskej sfére 846 </w:t>
      </w:r>
      <w:r w:rsidR="000860E9" w:rsidRPr="004C5551">
        <w:t>eur</w:t>
      </w:r>
      <w:r w:rsidRPr="004C5551">
        <w:t xml:space="preserve"> a v nepodnikateľskej sfére 796 </w:t>
      </w:r>
      <w:r w:rsidR="000860E9" w:rsidRPr="004C5551">
        <w:t>eur</w:t>
      </w:r>
      <w:r w:rsidRPr="004C5551">
        <w:t>). Priemerná hrubá mesačná mzda žien teda predstavovala 76,9</w:t>
      </w:r>
      <w:r w:rsidR="009425AA" w:rsidRPr="004C5551">
        <w:t> %</w:t>
      </w:r>
      <w:r w:rsidRPr="004C5551">
        <w:t xml:space="preserve"> priemernej hrubej mesačnej mzdy mužov, kým v rovnakom období minulého roka to bolo 77,6</w:t>
      </w:r>
      <w:r w:rsidR="009425AA" w:rsidRPr="004C5551">
        <w:t> %</w:t>
      </w:r>
      <w:r w:rsidRPr="004C5551">
        <w:t>.</w:t>
      </w:r>
    </w:p>
    <w:p w:rsidR="006775D8" w:rsidRPr="004C5551" w:rsidRDefault="006775D8" w:rsidP="00C92B2F">
      <w:pPr>
        <w:pStyle w:val="Normlnysozarkami1"/>
        <w:ind w:firstLine="431"/>
      </w:pPr>
      <w:r w:rsidRPr="004C5551">
        <w:t>Zásadné rozdiely boli v príjmoch pri porovnaní podnikateľskej a nepodnikateľskej sféry vzhľadom na vzdelanie, a to tak u mužov, ako aj u žien. Pri obidvoch pohlaviach mzda u</w:t>
      </w:r>
      <w:r w:rsidR="00034756" w:rsidRPr="004C5551">
        <w:t> </w:t>
      </w:r>
      <w:r w:rsidRPr="004C5551">
        <w:t>zamest</w:t>
      </w:r>
      <w:r w:rsidR="00E47B33" w:rsidRPr="004C5551">
        <w:softHyphen/>
      </w:r>
      <w:r w:rsidRPr="004C5551">
        <w:t xml:space="preserve">nancov s vyšším vzdelaním rástla rýchlejšie v podnikateľskej sfére, pričom v podnikateľskej sfére boli pri všetkých úrovniach vzdelania mzdy vyššie. </w:t>
      </w:r>
    </w:p>
    <w:p w:rsidR="006775D8" w:rsidRPr="004C5551" w:rsidRDefault="006775D8" w:rsidP="00C92B2F">
      <w:pPr>
        <w:pStyle w:val="Normlnysozarkami1"/>
        <w:ind w:firstLine="431"/>
      </w:pPr>
      <w:r w:rsidRPr="004C5551">
        <w:rPr>
          <w:b/>
          <w:i/>
        </w:rPr>
        <w:t>Podľa stupňa dosiahnutého vzdelania</w:t>
      </w:r>
      <w:r w:rsidRPr="004C5551">
        <w:rPr>
          <w:b/>
        </w:rPr>
        <w:t xml:space="preserve"> </w:t>
      </w:r>
      <w:r w:rsidRPr="004C5551">
        <w:t>v roku 2014 dosahovali najvyššiu priemernú mesačnú mzdu ženy pracujúce na plný pracovný čas s vysokoškolským vzdelaním III. stupňa v podnikateľskej sfére (1 687 </w:t>
      </w:r>
      <w:r w:rsidR="000860E9" w:rsidRPr="004C5551">
        <w:t>eur</w:t>
      </w:r>
      <w:r w:rsidRPr="004C5551">
        <w:t xml:space="preserve">) a v nepodnikateľskej sfére (1 261 </w:t>
      </w:r>
      <w:r w:rsidR="000860E9" w:rsidRPr="004C5551">
        <w:t>eur</w:t>
      </w:r>
      <w:r w:rsidRPr="004C5551">
        <w:t>). Muži s vysokoškolským vzdelaním III</w:t>
      </w:r>
      <w:r w:rsidR="00003E80" w:rsidRPr="004C5551">
        <w:t>. </w:t>
      </w:r>
      <w:r w:rsidRPr="004C5551">
        <w:t>stupňa poberali najvyššiu priemernú mesačnú mzdu v podnikateľskej sfére (2 666 </w:t>
      </w:r>
      <w:r w:rsidR="000860E9" w:rsidRPr="004C5551">
        <w:t>eur</w:t>
      </w:r>
      <w:r w:rsidRPr="004C5551">
        <w:t>) i v nepodnikateľskej sfére (1 424 </w:t>
      </w:r>
      <w:r w:rsidR="000860E9" w:rsidRPr="004C5551">
        <w:t>eur</w:t>
      </w:r>
      <w:r w:rsidRPr="004C5551">
        <w:t>). Najnižšie priemerné mesačné mzdy poberali zamestnanci v podnikateľskej aj nepodnikateľskej sfére so základným vzdelaním. Najväčšie rozdiely podľa vzdelania medzi podnika</w:t>
      </w:r>
      <w:r w:rsidR="00E47B33" w:rsidRPr="004C5551">
        <w:softHyphen/>
      </w:r>
      <w:r w:rsidRPr="004C5551">
        <w:t xml:space="preserve">teľskou a nepodnikateľskou sférou sú v mzdách mužov s vysokoškolskou kvalifikáciou III. stupňa, kde tento rozdiel predstavoval v roku 2014 až 1 242 </w:t>
      </w:r>
      <w:r w:rsidR="000860E9" w:rsidRPr="004C5551">
        <w:t>eur</w:t>
      </w:r>
      <w:r w:rsidRPr="004C5551">
        <w:t xml:space="preserve">. Rozdiel medzi zárobkami žien v tejto kategórii bol 426 </w:t>
      </w:r>
      <w:r w:rsidR="000860E9" w:rsidRPr="004C5551">
        <w:t>eur</w:t>
      </w:r>
      <w:r w:rsidRPr="004C5551">
        <w:t xml:space="preserve">. </w:t>
      </w:r>
    </w:p>
    <w:p w:rsidR="006775D8" w:rsidRPr="004C5551" w:rsidRDefault="006775D8" w:rsidP="00C92B2F">
      <w:pPr>
        <w:pStyle w:val="Normlnysozarkami1"/>
        <w:ind w:firstLine="431"/>
      </w:pPr>
      <w:r w:rsidRPr="004C5551">
        <w:t xml:space="preserve">Z pohľadu </w:t>
      </w:r>
      <w:r w:rsidRPr="004C5551">
        <w:rPr>
          <w:b/>
          <w:i/>
        </w:rPr>
        <w:t>hlavných tried SK ISCO-08</w:t>
      </w:r>
      <w:r w:rsidRPr="004C5551">
        <w:t xml:space="preserve"> muži aj ženy pracujúci na plný pracovný čas zarábali v podnikateľskej aj nepodnikateľskej sfére v priemere najviac v triede 1 </w:t>
      </w:r>
      <w:r w:rsidRPr="004C5551">
        <w:rPr>
          <w:color w:val="000000" w:themeColor="text1"/>
        </w:rPr>
        <w:t>–</w:t>
      </w:r>
      <w:r w:rsidRPr="004C5551">
        <w:t xml:space="preserve"> zákonodarcovia, vedúci a riadiaci zamestnanci. Muži zarábali v priemere najmenej v triede 9 – pomocní a nekvalifikovaní zamestnanci (v podnikateľskej sfére 646 </w:t>
      </w:r>
      <w:r w:rsidR="000860E9" w:rsidRPr="004C5551">
        <w:t>eur</w:t>
      </w:r>
      <w:r w:rsidRPr="004C5551">
        <w:t xml:space="preserve"> a v nepodnikateľskej sfére 531 </w:t>
      </w:r>
      <w:r w:rsidR="000860E9" w:rsidRPr="004C5551">
        <w:t>eur</w:t>
      </w:r>
      <w:r w:rsidRPr="004C5551">
        <w:t xml:space="preserve">). U žien boli v priemere najnižšie mzdy, rovnako ako u mužov, v triede 9 </w:t>
      </w:r>
      <w:r w:rsidRPr="004C5551">
        <w:rPr>
          <w:color w:val="000000" w:themeColor="text1"/>
        </w:rPr>
        <w:t>–</w:t>
      </w:r>
      <w:r w:rsidRPr="004C5551">
        <w:t xml:space="preserve"> pomocní a nekvalifikovaní zamestnanci (v podnikateľskej sfére 528 </w:t>
      </w:r>
      <w:r w:rsidR="000860E9" w:rsidRPr="004C5551">
        <w:t>eur</w:t>
      </w:r>
      <w:r w:rsidRPr="004C5551">
        <w:t xml:space="preserve"> a v nepodnikateľskej sfére 448 </w:t>
      </w:r>
      <w:r w:rsidR="000860E9" w:rsidRPr="004C5551">
        <w:t>eur</w:t>
      </w:r>
      <w:r w:rsidRPr="004C5551">
        <w:t>) (príloha ku kapitole 2, tabuľka </w:t>
      </w:r>
      <w:r w:rsidR="00365FE7" w:rsidRPr="004C5551">
        <w:t>7</w:t>
      </w:r>
      <w:r w:rsidRPr="004C5551">
        <w:t>).</w:t>
      </w:r>
    </w:p>
    <w:p w:rsidR="006775D8" w:rsidRPr="004C5551" w:rsidRDefault="006775D8" w:rsidP="00C92B2F">
      <w:pPr>
        <w:pStyle w:val="Normlnysozarkami1"/>
        <w:ind w:firstLine="431"/>
      </w:pPr>
      <w:r w:rsidRPr="004C5551">
        <w:t>V súlade s vyššie uvedenými výsledkami porovnávania zárobkov zamestnancov v</w:t>
      </w:r>
      <w:r w:rsidR="00034756" w:rsidRPr="004C5551">
        <w:t> </w:t>
      </w:r>
      <w:r w:rsidRPr="004C5551">
        <w:t>podnikateľskej a nepodnikateľskej sfére vychádza dlhodobo priaznivejší výsledok v prospech podnikateľskej sféry. Takmer vo všetkých triedeniach sú platy v podnikateľskej sfére vyššie. Podľa hlavných tried SK</w:t>
      </w:r>
      <w:r w:rsidR="00E47B33" w:rsidRPr="004C5551">
        <w:t> </w:t>
      </w:r>
      <w:r w:rsidRPr="004C5551">
        <w:t xml:space="preserve">ISCO-08 sú dlhodobo výnimkou len muži v triede 5 </w:t>
      </w:r>
      <w:r w:rsidRPr="004C5551">
        <w:rPr>
          <w:color w:val="000000" w:themeColor="text1"/>
        </w:rPr>
        <w:t>–</w:t>
      </w:r>
      <w:r w:rsidRPr="004C5551">
        <w:t xml:space="preserve"> prevádzkoví zamestnanci v službách a obchode, čoho dôvodom je zamestnanie hasič, ktoré sa nachádza v nepodnikateľskej sfére. Najväčšie rozdiely v platoch u mužov aj u žien sú u vedúcich, riadiacich zamestnancov. Muži v podnikateľskej sfére zarábajú o 781 </w:t>
      </w:r>
      <w:r w:rsidR="000860E9" w:rsidRPr="004C5551">
        <w:t>eur</w:t>
      </w:r>
      <w:r w:rsidRPr="004C5551">
        <w:t xml:space="preserve"> viac a ženy o 505 </w:t>
      </w:r>
      <w:r w:rsidR="000860E9" w:rsidRPr="004C5551">
        <w:t>eur</w:t>
      </w:r>
      <w:r w:rsidRPr="004C5551">
        <w:t xml:space="preserve"> viac ako v nepodnikateľskej sfére. </w:t>
      </w:r>
    </w:p>
    <w:p w:rsidR="006775D8" w:rsidRPr="004C5551" w:rsidRDefault="006775D8" w:rsidP="00C92B2F">
      <w:pPr>
        <w:tabs>
          <w:tab w:val="left" w:pos="-709"/>
          <w:tab w:val="left" w:pos="8364"/>
        </w:tabs>
        <w:ind w:right="-1" w:firstLine="431"/>
      </w:pPr>
      <w:r w:rsidRPr="004C5551">
        <w:t>Z celkového počtu zamestnancov (1</w:t>
      </w:r>
      <w:r w:rsidR="000C0393" w:rsidRPr="004C5551">
        <w:t> </w:t>
      </w:r>
      <w:r w:rsidRPr="004C5551">
        <w:t>077</w:t>
      </w:r>
      <w:r w:rsidR="000C0393" w:rsidRPr="004C5551">
        <w:t> </w:t>
      </w:r>
      <w:r w:rsidRPr="004C5551">
        <w:t>053) vo výberovom súbore Informačného systému o cene práce v roku 2014, bez ohľadu na dĺžku pracovného času, poberalo 65,89</w:t>
      </w:r>
      <w:r w:rsidR="009425AA" w:rsidRPr="004C5551">
        <w:t> %</w:t>
      </w:r>
      <w:r w:rsidRPr="004C5551">
        <w:t xml:space="preserve"> zamestnancov nižšiu mzdu ako zistený celorepublikový priemer 955 </w:t>
      </w:r>
      <w:r w:rsidR="000860E9" w:rsidRPr="004C5551">
        <w:t>eur</w:t>
      </w:r>
      <w:r w:rsidRPr="004C5551">
        <w:t>. Z počtu zamestnancov pracujúcich na plný pracovný čas poberalo minimálnu mzdu 1,54</w:t>
      </w:r>
      <w:r w:rsidR="00875D86" w:rsidRPr="004C5551">
        <w:t> </w:t>
      </w:r>
      <w:r w:rsidRPr="004C5551">
        <w:t>% zamestnancov (príloha ku kapitole 2,</w:t>
      </w:r>
      <w:r w:rsidR="00E47B33" w:rsidRPr="004C5551">
        <w:t xml:space="preserve"> </w:t>
      </w:r>
      <w:r w:rsidR="00E47B33" w:rsidRPr="004C5551">
        <w:br/>
      </w:r>
      <w:r w:rsidRPr="004C5551">
        <w:t xml:space="preserve">tabuľky </w:t>
      </w:r>
      <w:r w:rsidR="00365FE7" w:rsidRPr="004C5551">
        <w:t>11</w:t>
      </w:r>
      <w:r w:rsidRPr="004C5551">
        <w:t xml:space="preserve"> až 1</w:t>
      </w:r>
      <w:r w:rsidR="00365FE7" w:rsidRPr="004C5551">
        <w:t>6</w:t>
      </w:r>
      <w:r w:rsidRPr="004C5551">
        <w:t>).</w:t>
      </w:r>
    </w:p>
    <w:p w:rsidR="00A15FB2" w:rsidRPr="004C5551" w:rsidRDefault="00A15FB2">
      <w:pPr>
        <w:jc w:val="left"/>
      </w:pPr>
      <w:r w:rsidRPr="004C5551">
        <w:br w:type="page"/>
      </w:r>
    </w:p>
    <w:p w:rsidR="00A966B5" w:rsidRPr="004C5551" w:rsidRDefault="00A966B5" w:rsidP="00ED16E0">
      <w:pPr>
        <w:pStyle w:val="Nadpis6"/>
      </w:pPr>
      <w:bookmarkStart w:id="101" w:name="_Toc422233410"/>
      <w:r w:rsidRPr="004C5551">
        <w:t>Úplné náklady práce</w:t>
      </w:r>
      <w:bookmarkEnd w:id="101"/>
      <w:r w:rsidRPr="004C5551">
        <w:t xml:space="preserve"> </w:t>
      </w:r>
    </w:p>
    <w:p w:rsidR="007537F0" w:rsidRPr="004C5551" w:rsidRDefault="007537F0" w:rsidP="00C92B2F">
      <w:pPr>
        <w:ind w:firstLine="431"/>
      </w:pPr>
      <w:r w:rsidRPr="004C5551">
        <w:t>Podľa údajov Štatistického úradu SR (</w:t>
      </w:r>
      <w:r w:rsidR="005C5033" w:rsidRPr="004C5551">
        <w:t xml:space="preserve"> údaje </w:t>
      </w:r>
      <w:r w:rsidR="0052058F" w:rsidRPr="004C5551">
        <w:t>sú v čase spracovania správy dostupné len za rok 201</w:t>
      </w:r>
      <w:r w:rsidR="005C5033" w:rsidRPr="004C5551">
        <w:t>3</w:t>
      </w:r>
      <w:r w:rsidRPr="004C5551">
        <w:t xml:space="preserve">) ročné </w:t>
      </w:r>
      <w:r w:rsidRPr="004C5551">
        <w:rPr>
          <w:b/>
          <w:bCs/>
        </w:rPr>
        <w:t>úplné náklady práce</w:t>
      </w:r>
      <w:r w:rsidRPr="004C5551">
        <w:t xml:space="preserve"> medziročne </w:t>
      </w:r>
      <w:r w:rsidRPr="004C5551">
        <w:rPr>
          <w:b/>
        </w:rPr>
        <w:t>vzrástli o 3,2</w:t>
      </w:r>
      <w:r w:rsidR="009425AA" w:rsidRPr="004C5551">
        <w:rPr>
          <w:b/>
        </w:rPr>
        <w:t> %</w:t>
      </w:r>
      <w:r w:rsidRPr="004C5551">
        <w:t xml:space="preserve"> na 15 018 </w:t>
      </w:r>
      <w:r w:rsidR="000860E9" w:rsidRPr="004C5551">
        <w:t>eur</w:t>
      </w:r>
      <w:r w:rsidRPr="004C5551">
        <w:t xml:space="preserve"> na zamestnanca. </w:t>
      </w:r>
    </w:p>
    <w:p w:rsidR="007537F0" w:rsidRPr="004C5551" w:rsidRDefault="007537F0" w:rsidP="00C92B2F">
      <w:pPr>
        <w:pStyle w:val="Normlnysozarkami1"/>
        <w:ind w:firstLine="431"/>
      </w:pPr>
      <w:r w:rsidRPr="004C5551">
        <w:t>Z celkových nákladov práce v roku 2013 tvoril súhrn priamych nákladov 72,59</w:t>
      </w:r>
      <w:r w:rsidR="009425AA" w:rsidRPr="004C5551">
        <w:t> %</w:t>
      </w:r>
      <w:r w:rsidRPr="004C5551">
        <w:t xml:space="preserve"> a nepriamych nákladov 27,51</w:t>
      </w:r>
      <w:r w:rsidR="009425AA" w:rsidRPr="004C5551">
        <w:t> %</w:t>
      </w:r>
      <w:r w:rsidRPr="004C5551">
        <w:t xml:space="preserve">, od ktorých sa odpočítavajú subvencie prijaté zamestnávateľom vo forme dotácií </w:t>
      </w:r>
      <w:r w:rsidR="00E47B33" w:rsidRPr="004C5551">
        <w:br/>
      </w:r>
      <w:r w:rsidRPr="004C5551">
        <w:t>(-0,10</w:t>
      </w:r>
      <w:r w:rsidR="009425AA" w:rsidRPr="004C5551">
        <w:t> %</w:t>
      </w:r>
      <w:r w:rsidRPr="004C5551">
        <w:t xml:space="preserve">). </w:t>
      </w:r>
    </w:p>
    <w:p w:rsidR="007537F0" w:rsidRPr="004C5551" w:rsidRDefault="007537F0" w:rsidP="003D5480">
      <w:pPr>
        <w:pStyle w:val="Nadpis7"/>
      </w:pPr>
      <w:r w:rsidRPr="004C5551">
        <w:t>Tabuľka 2.</w:t>
      </w:r>
      <w:r w:rsidR="0022209F" w:rsidRPr="004C5551">
        <w:t>20</w:t>
      </w:r>
      <w:r w:rsidRPr="004C5551">
        <w:t xml:space="preserve"> Dynamika ročných nákladov práce v SR na zamestnanca (v </w:t>
      </w:r>
      <w:r w:rsidR="000860E9" w:rsidRPr="004C5551">
        <w:t>eurách</w:t>
      </w:r>
      <w:r w:rsidRPr="004C5551">
        <w:t>)</w:t>
      </w:r>
    </w:p>
    <w:tbl>
      <w:tblPr>
        <w:tblW w:w="3987" w:type="pct"/>
        <w:jc w:val="center"/>
        <w:tblBorders>
          <w:top w:val="single" w:sz="8" w:space="0" w:color="A42C1E" w:themeColor="accent2" w:themeShade="BF"/>
          <w:left w:val="single" w:sz="8" w:space="0" w:color="A42C1E" w:themeColor="accent2" w:themeShade="BF"/>
          <w:bottom w:val="single" w:sz="8" w:space="0" w:color="A42C1E" w:themeColor="accent2" w:themeShade="BF"/>
          <w:right w:val="single" w:sz="8" w:space="0" w:color="A42C1E" w:themeColor="accent2" w:themeShade="BF"/>
          <w:insideH w:val="single" w:sz="6" w:space="0" w:color="A42C1E" w:themeColor="accent2" w:themeShade="BF"/>
        </w:tblBorders>
        <w:tblLook w:val="01E0" w:firstRow="1" w:lastRow="1" w:firstColumn="1" w:lastColumn="1" w:noHBand="0" w:noVBand="0"/>
      </w:tblPr>
      <w:tblGrid>
        <w:gridCol w:w="2145"/>
        <w:gridCol w:w="1055"/>
        <w:gridCol w:w="1055"/>
        <w:gridCol w:w="1055"/>
        <w:gridCol w:w="1055"/>
        <w:gridCol w:w="1041"/>
      </w:tblGrid>
      <w:tr w:rsidR="004E2E77" w:rsidRPr="004C5551" w:rsidTr="004E2E77">
        <w:trPr>
          <w:jc w:val="center"/>
        </w:trPr>
        <w:tc>
          <w:tcPr>
            <w:tcW w:w="1449"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rPr>
                <w:b/>
                <w:color w:val="FFFFFF" w:themeColor="background1"/>
              </w:rPr>
            </w:pPr>
            <w:r w:rsidRPr="004C5551">
              <w:rPr>
                <w:b/>
                <w:color w:val="FFFFFF" w:themeColor="background1"/>
              </w:rPr>
              <w:t>Druh nákladov</w:t>
            </w:r>
          </w:p>
        </w:tc>
        <w:tc>
          <w:tcPr>
            <w:tcW w:w="712"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jc w:val="center"/>
              <w:rPr>
                <w:b/>
                <w:color w:val="FFFFFF" w:themeColor="background1"/>
              </w:rPr>
            </w:pPr>
            <w:r w:rsidRPr="004C5551">
              <w:rPr>
                <w:b/>
                <w:color w:val="FFFFFF" w:themeColor="background1"/>
              </w:rPr>
              <w:t>2009</w:t>
            </w:r>
          </w:p>
        </w:tc>
        <w:tc>
          <w:tcPr>
            <w:tcW w:w="712"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jc w:val="center"/>
              <w:rPr>
                <w:b/>
                <w:color w:val="FFFFFF" w:themeColor="background1"/>
              </w:rPr>
            </w:pPr>
            <w:r w:rsidRPr="004C5551">
              <w:rPr>
                <w:b/>
                <w:color w:val="FFFFFF" w:themeColor="background1"/>
              </w:rPr>
              <w:t>2010</w:t>
            </w:r>
          </w:p>
        </w:tc>
        <w:tc>
          <w:tcPr>
            <w:tcW w:w="712"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jc w:val="center"/>
              <w:rPr>
                <w:b/>
                <w:color w:val="FFFFFF" w:themeColor="background1"/>
              </w:rPr>
            </w:pPr>
            <w:r w:rsidRPr="004C5551">
              <w:rPr>
                <w:b/>
                <w:color w:val="FFFFFF" w:themeColor="background1"/>
              </w:rPr>
              <w:t>2011</w:t>
            </w:r>
          </w:p>
        </w:tc>
        <w:tc>
          <w:tcPr>
            <w:tcW w:w="712"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jc w:val="center"/>
              <w:rPr>
                <w:b/>
                <w:color w:val="FFFFFF" w:themeColor="background1"/>
              </w:rPr>
            </w:pPr>
            <w:r w:rsidRPr="004C5551">
              <w:rPr>
                <w:b/>
                <w:color w:val="FFFFFF" w:themeColor="background1"/>
              </w:rPr>
              <w:t>2012</w:t>
            </w:r>
          </w:p>
        </w:tc>
        <w:tc>
          <w:tcPr>
            <w:tcW w:w="703" w:type="pct"/>
            <w:tcBorders>
              <w:top w:val="single" w:sz="8" w:space="0" w:color="A42C1E" w:themeColor="accent2" w:themeShade="BF"/>
              <w:bottom w:val="single" w:sz="6" w:space="0" w:color="A42C1E" w:themeColor="accent2" w:themeShade="BF"/>
            </w:tcBorders>
            <w:shd w:val="clear" w:color="auto" w:fill="BF0000" w:themeFill="accent3" w:themeFillShade="BF"/>
          </w:tcPr>
          <w:p w:rsidR="004E2E77" w:rsidRPr="004C5551" w:rsidRDefault="004E2E77" w:rsidP="00D36062">
            <w:pPr>
              <w:jc w:val="center"/>
              <w:rPr>
                <w:b/>
                <w:color w:val="FFFFFF" w:themeColor="background1"/>
              </w:rPr>
            </w:pPr>
            <w:r w:rsidRPr="004C5551">
              <w:rPr>
                <w:b/>
                <w:color w:val="FFFFFF" w:themeColor="background1"/>
              </w:rPr>
              <w:t>2013</w:t>
            </w:r>
          </w:p>
        </w:tc>
      </w:tr>
      <w:tr w:rsidR="004E2E77" w:rsidRPr="004C5551" w:rsidTr="006D1C7C">
        <w:trPr>
          <w:jc w:val="center"/>
        </w:trPr>
        <w:tc>
          <w:tcPr>
            <w:tcW w:w="1449" w:type="pct"/>
            <w:tcBorders>
              <w:top w:val="single" w:sz="6" w:space="0" w:color="A42C1E" w:themeColor="accent2" w:themeShade="BF"/>
            </w:tcBorders>
          </w:tcPr>
          <w:p w:rsidR="004E2E77" w:rsidRPr="004C5551" w:rsidRDefault="004E2E77" w:rsidP="00D36062">
            <w:r w:rsidRPr="004C5551">
              <w:t>Náklady práce spolu</w:t>
            </w:r>
          </w:p>
          <w:p w:rsidR="004E2E77" w:rsidRPr="004C5551" w:rsidRDefault="004E2E77" w:rsidP="00D36062">
            <w:r w:rsidRPr="004C5551">
              <w:t>z toho náklady:</w:t>
            </w:r>
          </w:p>
        </w:tc>
        <w:tc>
          <w:tcPr>
            <w:tcW w:w="712" w:type="pct"/>
            <w:tcBorders>
              <w:top w:val="single" w:sz="6" w:space="0" w:color="A42C1E" w:themeColor="accent2" w:themeShade="BF"/>
            </w:tcBorders>
            <w:vAlign w:val="bottom"/>
          </w:tcPr>
          <w:p w:rsidR="004E2E77" w:rsidRPr="004C5551" w:rsidRDefault="004E2E77" w:rsidP="006D1C7C">
            <w:pPr>
              <w:jc w:val="right"/>
            </w:pPr>
            <w:r w:rsidRPr="004C5551">
              <w:t>13 104,6</w:t>
            </w:r>
          </w:p>
        </w:tc>
        <w:tc>
          <w:tcPr>
            <w:tcW w:w="712" w:type="pct"/>
            <w:tcBorders>
              <w:top w:val="single" w:sz="6" w:space="0" w:color="A42C1E" w:themeColor="accent2" w:themeShade="BF"/>
            </w:tcBorders>
            <w:vAlign w:val="bottom"/>
          </w:tcPr>
          <w:p w:rsidR="004E2E77" w:rsidRPr="004C5551" w:rsidRDefault="004E2E77" w:rsidP="006D1C7C">
            <w:pPr>
              <w:jc w:val="right"/>
            </w:pPr>
            <w:r w:rsidRPr="004C5551">
              <w:t>13 482</w:t>
            </w:r>
          </w:p>
        </w:tc>
        <w:tc>
          <w:tcPr>
            <w:tcW w:w="712" w:type="pct"/>
            <w:tcBorders>
              <w:top w:val="single" w:sz="6" w:space="0" w:color="A42C1E" w:themeColor="accent2" w:themeShade="BF"/>
            </w:tcBorders>
            <w:vAlign w:val="bottom"/>
          </w:tcPr>
          <w:p w:rsidR="004E2E77" w:rsidRPr="004C5551" w:rsidRDefault="004E2E77" w:rsidP="006D1C7C">
            <w:pPr>
              <w:jc w:val="right"/>
            </w:pPr>
            <w:r w:rsidRPr="004C5551">
              <w:t>14 064</w:t>
            </w:r>
          </w:p>
        </w:tc>
        <w:tc>
          <w:tcPr>
            <w:tcW w:w="712" w:type="pct"/>
            <w:tcBorders>
              <w:top w:val="single" w:sz="6" w:space="0" w:color="A42C1E" w:themeColor="accent2" w:themeShade="BF"/>
            </w:tcBorders>
            <w:vAlign w:val="bottom"/>
          </w:tcPr>
          <w:p w:rsidR="004E2E77" w:rsidRPr="004C5551" w:rsidRDefault="004E2E77" w:rsidP="006D1C7C">
            <w:pPr>
              <w:jc w:val="right"/>
            </w:pPr>
            <w:r w:rsidRPr="004C5551">
              <w:t>14 554</w:t>
            </w:r>
          </w:p>
        </w:tc>
        <w:tc>
          <w:tcPr>
            <w:tcW w:w="703" w:type="pct"/>
            <w:tcBorders>
              <w:top w:val="single" w:sz="6" w:space="0" w:color="A42C1E" w:themeColor="accent2" w:themeShade="BF"/>
            </w:tcBorders>
            <w:vAlign w:val="bottom"/>
          </w:tcPr>
          <w:p w:rsidR="004E2E77" w:rsidRPr="004C5551" w:rsidRDefault="004E2E77" w:rsidP="006D1C7C">
            <w:pPr>
              <w:jc w:val="right"/>
            </w:pPr>
            <w:r w:rsidRPr="004C5551">
              <w:t>15 018</w:t>
            </w:r>
          </w:p>
        </w:tc>
      </w:tr>
      <w:tr w:rsidR="004E2E77" w:rsidRPr="004C5551" w:rsidTr="006D1C7C">
        <w:trPr>
          <w:trHeight w:val="283"/>
          <w:jc w:val="center"/>
        </w:trPr>
        <w:tc>
          <w:tcPr>
            <w:tcW w:w="1449" w:type="pct"/>
          </w:tcPr>
          <w:p w:rsidR="004E2E77" w:rsidRPr="004C5551" w:rsidRDefault="004E2E77" w:rsidP="00D36062">
            <w:r w:rsidRPr="004C5551">
              <w:rPr>
                <w:color w:val="000000" w:themeColor="text1"/>
              </w:rPr>
              <w:t>–</w:t>
            </w:r>
            <w:r w:rsidRPr="004C5551">
              <w:t xml:space="preserve"> priame</w:t>
            </w:r>
          </w:p>
        </w:tc>
        <w:tc>
          <w:tcPr>
            <w:tcW w:w="712" w:type="pct"/>
            <w:vAlign w:val="bottom"/>
          </w:tcPr>
          <w:p w:rsidR="004E2E77" w:rsidRPr="004C5551" w:rsidRDefault="004E2E77" w:rsidP="006D1C7C">
            <w:pPr>
              <w:jc w:val="right"/>
            </w:pPr>
            <w:r w:rsidRPr="004C5551">
              <w:t>9 516,0</w:t>
            </w:r>
          </w:p>
        </w:tc>
        <w:tc>
          <w:tcPr>
            <w:tcW w:w="712" w:type="pct"/>
            <w:vAlign w:val="bottom"/>
          </w:tcPr>
          <w:p w:rsidR="004E2E77" w:rsidRPr="004C5551" w:rsidRDefault="004E2E77" w:rsidP="006D1C7C">
            <w:pPr>
              <w:jc w:val="right"/>
            </w:pPr>
            <w:r w:rsidRPr="004C5551">
              <w:t>9 858</w:t>
            </w:r>
          </w:p>
        </w:tc>
        <w:tc>
          <w:tcPr>
            <w:tcW w:w="712" w:type="pct"/>
            <w:vAlign w:val="bottom"/>
          </w:tcPr>
          <w:p w:rsidR="004E2E77" w:rsidRPr="004C5551" w:rsidRDefault="004E2E77" w:rsidP="006D1C7C">
            <w:pPr>
              <w:jc w:val="right"/>
            </w:pPr>
            <w:r w:rsidRPr="004C5551">
              <w:t>10 242</w:t>
            </w:r>
          </w:p>
        </w:tc>
        <w:tc>
          <w:tcPr>
            <w:tcW w:w="712" w:type="pct"/>
            <w:vAlign w:val="bottom"/>
          </w:tcPr>
          <w:p w:rsidR="004E2E77" w:rsidRPr="004C5551" w:rsidRDefault="004E2E77" w:rsidP="006D1C7C">
            <w:pPr>
              <w:jc w:val="right"/>
            </w:pPr>
            <w:r w:rsidRPr="004C5551">
              <w:t>10 633</w:t>
            </w:r>
          </w:p>
        </w:tc>
        <w:tc>
          <w:tcPr>
            <w:tcW w:w="703" w:type="pct"/>
            <w:vAlign w:val="bottom"/>
          </w:tcPr>
          <w:p w:rsidR="004E2E77" w:rsidRPr="004C5551" w:rsidRDefault="004E2E77" w:rsidP="006D1C7C">
            <w:pPr>
              <w:jc w:val="right"/>
            </w:pPr>
            <w:r w:rsidRPr="004C5551">
              <w:t>10 902</w:t>
            </w:r>
          </w:p>
        </w:tc>
      </w:tr>
      <w:tr w:rsidR="004E2E77" w:rsidRPr="004C5551" w:rsidTr="006D1C7C">
        <w:trPr>
          <w:trHeight w:val="283"/>
          <w:jc w:val="center"/>
        </w:trPr>
        <w:tc>
          <w:tcPr>
            <w:tcW w:w="1449" w:type="pct"/>
          </w:tcPr>
          <w:p w:rsidR="004E2E77" w:rsidRPr="004C5551" w:rsidRDefault="004E2E77" w:rsidP="00D36062">
            <w:r w:rsidRPr="004C5551">
              <w:rPr>
                <w:color w:val="000000" w:themeColor="text1"/>
              </w:rPr>
              <w:t>–</w:t>
            </w:r>
            <w:r w:rsidRPr="004C5551">
              <w:t xml:space="preserve"> nepriame</w:t>
            </w:r>
          </w:p>
        </w:tc>
        <w:tc>
          <w:tcPr>
            <w:tcW w:w="712" w:type="pct"/>
            <w:vAlign w:val="bottom"/>
          </w:tcPr>
          <w:p w:rsidR="004E2E77" w:rsidRPr="004C5551" w:rsidRDefault="004E2E77" w:rsidP="006D1C7C">
            <w:pPr>
              <w:jc w:val="right"/>
            </w:pPr>
            <w:r w:rsidRPr="004C5551">
              <w:t>3 597,7</w:t>
            </w:r>
          </w:p>
        </w:tc>
        <w:tc>
          <w:tcPr>
            <w:tcW w:w="712" w:type="pct"/>
            <w:vAlign w:val="bottom"/>
          </w:tcPr>
          <w:p w:rsidR="004E2E77" w:rsidRPr="004C5551" w:rsidRDefault="004E2E77" w:rsidP="006D1C7C">
            <w:pPr>
              <w:jc w:val="right"/>
            </w:pPr>
            <w:r w:rsidRPr="004C5551">
              <w:t>3 650</w:t>
            </w:r>
          </w:p>
        </w:tc>
        <w:tc>
          <w:tcPr>
            <w:tcW w:w="712" w:type="pct"/>
            <w:vAlign w:val="bottom"/>
          </w:tcPr>
          <w:p w:rsidR="004E2E77" w:rsidRPr="004C5551" w:rsidRDefault="004E2E77" w:rsidP="006D1C7C">
            <w:pPr>
              <w:jc w:val="right"/>
            </w:pPr>
            <w:r w:rsidRPr="004C5551">
              <w:t>3 835</w:t>
            </w:r>
          </w:p>
        </w:tc>
        <w:tc>
          <w:tcPr>
            <w:tcW w:w="712" w:type="pct"/>
            <w:vAlign w:val="bottom"/>
          </w:tcPr>
          <w:p w:rsidR="004E2E77" w:rsidRPr="004C5551" w:rsidRDefault="004E2E77" w:rsidP="006D1C7C">
            <w:pPr>
              <w:jc w:val="right"/>
            </w:pPr>
            <w:r w:rsidRPr="004C5551">
              <w:t>3 936</w:t>
            </w:r>
          </w:p>
        </w:tc>
        <w:tc>
          <w:tcPr>
            <w:tcW w:w="703" w:type="pct"/>
            <w:vAlign w:val="bottom"/>
          </w:tcPr>
          <w:p w:rsidR="004E2E77" w:rsidRPr="004C5551" w:rsidRDefault="004E2E77" w:rsidP="006D1C7C">
            <w:pPr>
              <w:jc w:val="right"/>
            </w:pPr>
            <w:r w:rsidRPr="004C5551">
              <w:t>4 132</w:t>
            </w:r>
          </w:p>
        </w:tc>
      </w:tr>
    </w:tbl>
    <w:p w:rsidR="007537F0" w:rsidRPr="004C5551" w:rsidRDefault="007537F0" w:rsidP="003D5480">
      <w:pPr>
        <w:pStyle w:val="zdroj"/>
      </w:pPr>
      <w:r w:rsidRPr="004C5551">
        <w:t>Zdroj: ŠÚ SR, štatistické zisťovanie o úplných nákladoch práce</w:t>
      </w:r>
    </w:p>
    <w:p w:rsidR="007537F0" w:rsidRPr="004C5551" w:rsidRDefault="007537F0" w:rsidP="00C92B2F">
      <w:pPr>
        <w:ind w:firstLine="431"/>
      </w:pPr>
      <w:r w:rsidRPr="004C5551">
        <w:t xml:space="preserve">V roku 2013 zamestnávateľ vynaložil na svojho zamestnanca v priemere 1 252 </w:t>
      </w:r>
      <w:r w:rsidR="000860E9" w:rsidRPr="004C5551">
        <w:t>eur</w:t>
      </w:r>
      <w:r w:rsidRPr="004C5551">
        <w:t xml:space="preserve"> za mesiac, čo bolo o 39 </w:t>
      </w:r>
      <w:r w:rsidR="000860E9" w:rsidRPr="004C5551">
        <w:t>eur</w:t>
      </w:r>
      <w:r w:rsidRPr="004C5551">
        <w:t xml:space="preserve"> viac v porovnaní s predchádzajúcim rokom. Medziročné tempo rastu priemerných mesačných nákladov práce sa v roku 2013 v porovnaní s rokom 2012 spomalilo o 0,3 p. b.</w:t>
      </w:r>
    </w:p>
    <w:p w:rsidR="007537F0" w:rsidRPr="004C5551" w:rsidRDefault="007537F0" w:rsidP="00C92B2F">
      <w:pPr>
        <w:pStyle w:val="Normlnysozarkami1"/>
        <w:ind w:firstLine="431"/>
      </w:pPr>
      <w:r w:rsidRPr="004C5551">
        <w:rPr>
          <w:b/>
        </w:rPr>
        <w:t>Priame náklady</w:t>
      </w:r>
      <w:r w:rsidRPr="004C5551">
        <w:t xml:space="preserve"> práce medziročne vzrástli o 2,5</w:t>
      </w:r>
      <w:r w:rsidR="009425AA" w:rsidRPr="004C5551">
        <w:t> %</w:t>
      </w:r>
      <w:r w:rsidRPr="004C5551">
        <w:t>. V tejto skupine nákladových položiek v roku 2013 mali najväčšie zastúpenie mzdy, ktoré tvorili 63,53</w:t>
      </w:r>
      <w:r w:rsidR="009425AA" w:rsidRPr="004C5551">
        <w:t> %</w:t>
      </w:r>
      <w:r w:rsidRPr="004C5551">
        <w:t xml:space="preserve"> a náhrady mzdy 8,42</w:t>
      </w:r>
      <w:r w:rsidR="009425AA" w:rsidRPr="004C5551">
        <w:t> %</w:t>
      </w:r>
      <w:r w:rsidRPr="004C5551">
        <w:t>, z čoho 6,69</w:t>
      </w:r>
      <w:r w:rsidR="009425AA" w:rsidRPr="004C5551">
        <w:t> %</w:t>
      </w:r>
      <w:r w:rsidRPr="004C5551">
        <w:t xml:space="preserve"> pripadalo na náhrady za dovolenku. V skupine priamych nákladov práce medziročne vzrástli mzdy o 2,8</w:t>
      </w:r>
      <w:r w:rsidR="009425AA" w:rsidRPr="004C5551">
        <w:t> %</w:t>
      </w:r>
      <w:r w:rsidRPr="004C5551">
        <w:t>, z toho základné mzdy a platy o 4,0</w:t>
      </w:r>
      <w:r w:rsidR="009425AA" w:rsidRPr="004C5551">
        <w:t> %</w:t>
      </w:r>
      <w:r w:rsidRPr="004C5551">
        <w:t>, prémie a odmeny poklesli o 3,6</w:t>
      </w:r>
      <w:r w:rsidR="009425AA" w:rsidRPr="004C5551">
        <w:t> %</w:t>
      </w:r>
      <w:r w:rsidRPr="004C5551">
        <w:t xml:space="preserve">. Zo 795 </w:t>
      </w:r>
      <w:r w:rsidR="000860E9" w:rsidRPr="004C5551">
        <w:t>eur</w:t>
      </w:r>
      <w:r w:rsidRPr="004C5551">
        <w:t xml:space="preserve"> vyplatených na mzdy pripadlo na základnú (tarifnú) mzdu a plat za prácu 624 </w:t>
      </w:r>
      <w:r w:rsidR="000860E9" w:rsidRPr="004C5551">
        <w:t>eur</w:t>
      </w:r>
      <w:r w:rsidRPr="004C5551">
        <w:t xml:space="preserve">, prémie a odmeny 99 </w:t>
      </w:r>
      <w:r w:rsidR="000860E9" w:rsidRPr="004C5551">
        <w:t>eur</w:t>
      </w:r>
      <w:r w:rsidRPr="004C5551">
        <w:t>, príplatky a doplatky, mzdové zvýhodnenia 44 </w:t>
      </w:r>
      <w:r w:rsidR="000860E9" w:rsidRPr="004C5551">
        <w:t>eur</w:t>
      </w:r>
      <w:r w:rsidRPr="004C5551">
        <w:t>. Náhrady mzdy vzrástli o 3,1</w:t>
      </w:r>
      <w:r w:rsidR="009425AA" w:rsidRPr="004C5551">
        <w:t> %</w:t>
      </w:r>
      <w:r w:rsidRPr="004C5551">
        <w:t xml:space="preserve"> na 105 </w:t>
      </w:r>
      <w:r w:rsidR="000860E9" w:rsidRPr="004C5551">
        <w:t>eur</w:t>
      </w:r>
      <w:r w:rsidRPr="004C5551">
        <w:t>, náhrady za pracovnú pohotovosť mimo pracoviska o 3,8</w:t>
      </w:r>
      <w:r w:rsidR="009425AA" w:rsidRPr="004C5551">
        <w:t> %</w:t>
      </w:r>
      <w:r w:rsidRPr="004C5551">
        <w:t xml:space="preserve"> a peňažné plnenia zo zisku po zdanení poklesli o 45,5</w:t>
      </w:r>
      <w:r w:rsidR="009425AA" w:rsidRPr="004C5551">
        <w:t> %</w:t>
      </w:r>
      <w:r w:rsidRPr="004C5551">
        <w:t>.</w:t>
      </w:r>
    </w:p>
    <w:p w:rsidR="007537F0" w:rsidRPr="004C5551" w:rsidRDefault="007537F0" w:rsidP="00C92B2F">
      <w:pPr>
        <w:pStyle w:val="Normlnysozarkami1"/>
        <w:ind w:firstLine="431"/>
      </w:pPr>
      <w:r w:rsidRPr="004C5551">
        <w:t>Medziročný nárast povinných príspevkov na sociálne poistenie o 6,2</w:t>
      </w:r>
      <w:r w:rsidR="009425AA" w:rsidRPr="004C5551">
        <w:t> %</w:t>
      </w:r>
      <w:r w:rsidRPr="004C5551">
        <w:t xml:space="preserve"> na úroveň 308 </w:t>
      </w:r>
      <w:r w:rsidR="000860E9" w:rsidRPr="004C5551">
        <w:t>eur</w:t>
      </w:r>
      <w:r w:rsidRPr="004C5551">
        <w:t xml:space="preserve"> a rast nepovinných príspevkov o 1,2</w:t>
      </w:r>
      <w:r w:rsidR="009425AA" w:rsidRPr="004C5551">
        <w:t> %</w:t>
      </w:r>
      <w:r w:rsidRPr="004C5551">
        <w:t xml:space="preserve"> na 7 </w:t>
      </w:r>
      <w:r w:rsidR="000860E9" w:rsidRPr="004C5551">
        <w:t>eur</w:t>
      </w:r>
      <w:r w:rsidRPr="004C5551">
        <w:t xml:space="preserve"> sa prejavil rastom nepriamych nákladov práce v roku 2013. </w:t>
      </w:r>
      <w:r w:rsidRPr="004C5551">
        <w:rPr>
          <w:b/>
        </w:rPr>
        <w:t>Nepriame náklady</w:t>
      </w:r>
      <w:r w:rsidRPr="004C5551">
        <w:rPr>
          <w:i/>
        </w:rPr>
        <w:t xml:space="preserve"> </w:t>
      </w:r>
      <w:r w:rsidRPr="004C5551">
        <w:t>dosiahli v mesačnom vyjadrení úroveň 344 </w:t>
      </w:r>
      <w:r w:rsidR="000860E9" w:rsidRPr="004C5551">
        <w:t>eur</w:t>
      </w:r>
      <w:r w:rsidRPr="004C5551">
        <w:t>, pričom v porovnaní s</w:t>
      </w:r>
      <w:r w:rsidR="000C0393" w:rsidRPr="004C5551">
        <w:t> </w:t>
      </w:r>
      <w:r w:rsidRPr="004C5551">
        <w:t xml:space="preserve">predchádzajúcim rokom došlo k zrýchleniu ich </w:t>
      </w:r>
      <w:r w:rsidR="00EF2196" w:rsidRPr="004C5551">
        <w:t xml:space="preserve">rastu </w:t>
      </w:r>
      <w:r w:rsidRPr="004C5551">
        <w:t>o 2,4 p. b.</w:t>
      </w:r>
      <w:r w:rsidR="00EF2196" w:rsidRPr="004C5551">
        <w:t xml:space="preserve"> na 5 %.</w:t>
      </w:r>
      <w:r w:rsidRPr="004C5551">
        <w:t xml:space="preserve"> Z ostatných nepriamych nákladových zložiek najvýznamnejšiu položku tvorili sociálne výhody, ktoré poklesli o 5,9</w:t>
      </w:r>
      <w:r w:rsidR="009425AA" w:rsidRPr="004C5551">
        <w:t> %</w:t>
      </w:r>
      <w:r w:rsidRPr="004C5551">
        <w:t xml:space="preserve"> (na</w:t>
      </w:r>
      <w:r w:rsidR="000860E9" w:rsidRPr="004C5551">
        <w:t> </w:t>
      </w:r>
      <w:r w:rsidRPr="004C5551">
        <w:t>13</w:t>
      </w:r>
      <w:r w:rsidR="000860E9" w:rsidRPr="004C5551">
        <w:t> eur</w:t>
      </w:r>
      <w:r w:rsidRPr="004C5551">
        <w:t>), z toho príspevky na stravovanie o 8,5</w:t>
      </w:r>
      <w:r w:rsidR="009425AA" w:rsidRPr="004C5551">
        <w:t> %</w:t>
      </w:r>
      <w:r w:rsidRPr="004C5551">
        <w:t xml:space="preserve"> a ostatné príspevky do sociálneho fondu klesli o 3,9</w:t>
      </w:r>
      <w:r w:rsidR="009425AA" w:rsidRPr="004C5551">
        <w:t> %</w:t>
      </w:r>
      <w:r w:rsidRPr="004C5551">
        <w:t>. Sociálne dávky poskytované zamestnávateľmi poklesli o 6,6</w:t>
      </w:r>
      <w:r w:rsidR="006D0272" w:rsidRPr="004C5551">
        <w:t> </w:t>
      </w:r>
      <w:r w:rsidRPr="004C5551">
        <w:t>% na 11 </w:t>
      </w:r>
      <w:r w:rsidR="000860E9" w:rsidRPr="004C5551">
        <w:t>eur</w:t>
      </w:r>
      <w:r w:rsidRPr="004C5551">
        <w:t>, z</w:t>
      </w:r>
      <w:r w:rsidR="003D5480" w:rsidRPr="004C5551">
        <w:t> </w:t>
      </w:r>
      <w:r w:rsidRPr="004C5551">
        <w:t>toho náklady na</w:t>
      </w:r>
      <w:r w:rsidR="00E47B33" w:rsidRPr="004C5551">
        <w:t> </w:t>
      </w:r>
      <w:r w:rsidRPr="004C5551">
        <w:t>odstupné klesli o 12,3</w:t>
      </w:r>
      <w:r w:rsidR="009425AA" w:rsidRPr="004C5551">
        <w:t> %</w:t>
      </w:r>
      <w:r w:rsidRPr="004C5551">
        <w:t xml:space="preserve"> a náhrady príjmu pri dočasnej pracovnej neschopnosti vzrástli o 6,5</w:t>
      </w:r>
      <w:r w:rsidR="009425AA" w:rsidRPr="004C5551">
        <w:t> %</w:t>
      </w:r>
      <w:r w:rsidRPr="004C5551">
        <w:t>. Náklady na školenie zamestnancov vzrástli o 1,5</w:t>
      </w:r>
      <w:r w:rsidR="009425AA" w:rsidRPr="004C5551">
        <w:t> %</w:t>
      </w:r>
      <w:r w:rsidRPr="004C5551">
        <w:t xml:space="preserve"> na 4 </w:t>
      </w:r>
      <w:r w:rsidR="000860E9" w:rsidRPr="004C5551">
        <w:t>eurá</w:t>
      </w:r>
      <w:r w:rsidRPr="004C5551">
        <w:t>. Ostatné nepriame náklady práce poklesli o 8,6</w:t>
      </w:r>
      <w:r w:rsidR="009425AA" w:rsidRPr="004C5551">
        <w:t> %</w:t>
      </w:r>
      <w:r w:rsidRPr="004C5551">
        <w:t xml:space="preserve"> a z toho náklady na nábor zamestnancov o 8,3</w:t>
      </w:r>
      <w:r w:rsidR="009425AA" w:rsidRPr="004C5551">
        <w:t> %</w:t>
      </w:r>
      <w:r w:rsidRPr="004C5551">
        <w:t>.</w:t>
      </w:r>
    </w:p>
    <w:p w:rsidR="00A15FB2" w:rsidRPr="004C5551" w:rsidRDefault="00A15FB2">
      <w:pPr>
        <w:jc w:val="left"/>
        <w:rPr>
          <w:b/>
        </w:rPr>
      </w:pPr>
      <w:r w:rsidRPr="004C5551">
        <w:br w:type="page"/>
      </w:r>
    </w:p>
    <w:p w:rsidR="007537F0" w:rsidRPr="004C5551" w:rsidRDefault="007537F0" w:rsidP="003D5480">
      <w:pPr>
        <w:pStyle w:val="Nadpis7"/>
      </w:pPr>
      <w:r w:rsidRPr="004C5551">
        <w:t>Tabuľka 2.</w:t>
      </w:r>
      <w:r w:rsidR="0022209F" w:rsidRPr="004C5551">
        <w:t>21</w:t>
      </w:r>
      <w:r w:rsidRPr="004C5551">
        <w:t xml:space="preserve"> Štruktúra mesačných nákladov práce v SR za rok 2013</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4212"/>
        <w:gridCol w:w="821"/>
        <w:gridCol w:w="711"/>
        <w:gridCol w:w="1531"/>
      </w:tblGrid>
      <w:tr w:rsidR="007537F0" w:rsidRPr="004C5551" w:rsidTr="00AA0137">
        <w:trPr>
          <w:trHeight w:val="496"/>
          <w:jc w:val="center"/>
        </w:trPr>
        <w:tc>
          <w:tcPr>
            <w:tcW w:w="0" w:type="auto"/>
            <w:shd w:val="clear" w:color="auto" w:fill="BF0000" w:themeFill="accent3" w:themeFillShade="BF"/>
            <w:vAlign w:val="center"/>
          </w:tcPr>
          <w:p w:rsidR="007537F0" w:rsidRPr="004C5551" w:rsidRDefault="007537F0" w:rsidP="00D36062">
            <w:pPr>
              <w:jc w:val="center"/>
              <w:rPr>
                <w:b/>
                <w:color w:val="FFFFFF" w:themeColor="background1"/>
                <w:szCs w:val="22"/>
              </w:rPr>
            </w:pPr>
            <w:r w:rsidRPr="004C5551">
              <w:rPr>
                <w:b/>
                <w:color w:val="FFFFFF" w:themeColor="background1"/>
                <w:szCs w:val="22"/>
              </w:rPr>
              <w:t>Položky nákladov práce</w:t>
            </w:r>
          </w:p>
        </w:tc>
        <w:tc>
          <w:tcPr>
            <w:tcW w:w="0" w:type="auto"/>
            <w:shd w:val="clear" w:color="auto" w:fill="BF0000" w:themeFill="accent3" w:themeFillShade="BF"/>
            <w:vAlign w:val="center"/>
          </w:tcPr>
          <w:p w:rsidR="007537F0" w:rsidRPr="004C5551" w:rsidRDefault="007537F0" w:rsidP="00D36062">
            <w:pPr>
              <w:jc w:val="center"/>
              <w:rPr>
                <w:b/>
                <w:color w:val="FFFFFF" w:themeColor="background1"/>
                <w:szCs w:val="22"/>
              </w:rPr>
            </w:pPr>
            <w:r w:rsidRPr="004C5551">
              <w:rPr>
                <w:b/>
                <w:color w:val="FFFFFF" w:themeColor="background1"/>
                <w:szCs w:val="22"/>
              </w:rPr>
              <w:t>Podiel</w:t>
            </w:r>
          </w:p>
          <w:p w:rsidR="007537F0" w:rsidRPr="004C5551" w:rsidRDefault="007537F0" w:rsidP="00D36062">
            <w:pPr>
              <w:jc w:val="center"/>
              <w:rPr>
                <w:b/>
                <w:color w:val="FFFFFF" w:themeColor="background1"/>
                <w:szCs w:val="22"/>
              </w:rPr>
            </w:pPr>
            <w:r w:rsidRPr="004C5551">
              <w:rPr>
                <w:b/>
                <w:color w:val="FFFFFF" w:themeColor="background1"/>
                <w:szCs w:val="22"/>
              </w:rPr>
              <w:t>v</w:t>
            </w:r>
            <w:r w:rsidR="009425AA" w:rsidRPr="004C5551">
              <w:rPr>
                <w:b/>
                <w:color w:val="FFFFFF" w:themeColor="background1"/>
                <w:szCs w:val="22"/>
              </w:rPr>
              <w:t> %</w:t>
            </w:r>
          </w:p>
        </w:tc>
        <w:tc>
          <w:tcPr>
            <w:tcW w:w="0" w:type="auto"/>
            <w:shd w:val="clear" w:color="auto" w:fill="BF0000" w:themeFill="accent3" w:themeFillShade="BF"/>
            <w:vAlign w:val="center"/>
          </w:tcPr>
          <w:p w:rsidR="007537F0" w:rsidRPr="004C5551" w:rsidRDefault="000860E9" w:rsidP="00AA0137">
            <w:pPr>
              <w:jc w:val="center"/>
              <w:rPr>
                <w:b/>
                <w:color w:val="FFFFFF" w:themeColor="background1"/>
                <w:szCs w:val="22"/>
              </w:rPr>
            </w:pPr>
            <w:r w:rsidRPr="004C5551">
              <w:rPr>
                <w:b/>
                <w:color w:val="FFFFFF" w:themeColor="background1"/>
                <w:szCs w:val="22"/>
              </w:rPr>
              <w:t>€</w:t>
            </w:r>
          </w:p>
        </w:tc>
        <w:tc>
          <w:tcPr>
            <w:tcW w:w="0" w:type="auto"/>
            <w:shd w:val="clear" w:color="auto" w:fill="BF0000" w:themeFill="accent3" w:themeFillShade="BF"/>
            <w:vAlign w:val="center"/>
          </w:tcPr>
          <w:p w:rsidR="007537F0" w:rsidRPr="004C5551" w:rsidRDefault="007537F0" w:rsidP="00D36062">
            <w:pPr>
              <w:jc w:val="center"/>
              <w:rPr>
                <w:b/>
                <w:color w:val="FFFFFF" w:themeColor="background1"/>
                <w:szCs w:val="22"/>
              </w:rPr>
            </w:pPr>
            <w:r w:rsidRPr="004C5551">
              <w:rPr>
                <w:b/>
                <w:color w:val="FFFFFF" w:themeColor="background1"/>
                <w:szCs w:val="22"/>
              </w:rPr>
              <w:t>Index 2013/12</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 – 16. CELKOVÉ NÁKLADY PRÁCE</w:t>
            </w:r>
          </w:p>
        </w:tc>
        <w:tc>
          <w:tcPr>
            <w:tcW w:w="0" w:type="auto"/>
            <w:vAlign w:val="center"/>
          </w:tcPr>
          <w:p w:rsidR="007537F0" w:rsidRPr="004C5551" w:rsidRDefault="007537F0" w:rsidP="00D36062">
            <w:pPr>
              <w:jc w:val="right"/>
              <w:rPr>
                <w:szCs w:val="22"/>
              </w:rPr>
            </w:pPr>
            <w:r w:rsidRPr="004C5551">
              <w:rPr>
                <w:szCs w:val="22"/>
              </w:rPr>
              <w:t>100,00</w:t>
            </w:r>
          </w:p>
        </w:tc>
        <w:tc>
          <w:tcPr>
            <w:tcW w:w="0" w:type="auto"/>
            <w:vAlign w:val="center"/>
          </w:tcPr>
          <w:p w:rsidR="007537F0" w:rsidRPr="004C5551" w:rsidRDefault="007537F0" w:rsidP="00D36062">
            <w:pPr>
              <w:jc w:val="right"/>
              <w:rPr>
                <w:szCs w:val="22"/>
              </w:rPr>
            </w:pPr>
            <w:r w:rsidRPr="004C5551">
              <w:rPr>
                <w:szCs w:val="22"/>
              </w:rPr>
              <w:t>1 252</w:t>
            </w:r>
          </w:p>
        </w:tc>
        <w:tc>
          <w:tcPr>
            <w:tcW w:w="0" w:type="auto"/>
            <w:vAlign w:val="center"/>
          </w:tcPr>
          <w:p w:rsidR="007537F0" w:rsidRPr="004C5551" w:rsidRDefault="007537F0" w:rsidP="006D1C7C">
            <w:pPr>
              <w:ind w:right="268"/>
              <w:jc w:val="right"/>
              <w:rPr>
                <w:szCs w:val="22"/>
              </w:rPr>
            </w:pPr>
            <w:r w:rsidRPr="004C5551">
              <w:rPr>
                <w:szCs w:val="22"/>
              </w:rPr>
              <w:t>103,2</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 – 7. PRIAME NÁKLADY</w:t>
            </w:r>
          </w:p>
        </w:tc>
        <w:tc>
          <w:tcPr>
            <w:tcW w:w="0" w:type="auto"/>
            <w:vAlign w:val="center"/>
          </w:tcPr>
          <w:p w:rsidR="007537F0" w:rsidRPr="004C5551" w:rsidRDefault="007537F0" w:rsidP="00D36062">
            <w:pPr>
              <w:jc w:val="right"/>
              <w:rPr>
                <w:szCs w:val="22"/>
              </w:rPr>
            </w:pPr>
            <w:r w:rsidRPr="004C5551">
              <w:rPr>
                <w:szCs w:val="22"/>
              </w:rPr>
              <w:t>72,59</w:t>
            </w:r>
          </w:p>
        </w:tc>
        <w:tc>
          <w:tcPr>
            <w:tcW w:w="0" w:type="auto"/>
            <w:vAlign w:val="center"/>
          </w:tcPr>
          <w:p w:rsidR="007537F0" w:rsidRPr="004C5551" w:rsidRDefault="007537F0" w:rsidP="00D36062">
            <w:pPr>
              <w:jc w:val="right"/>
              <w:rPr>
                <w:szCs w:val="22"/>
              </w:rPr>
            </w:pPr>
            <w:r w:rsidRPr="004C5551">
              <w:rPr>
                <w:szCs w:val="22"/>
              </w:rPr>
              <w:t>909</w:t>
            </w:r>
          </w:p>
        </w:tc>
        <w:tc>
          <w:tcPr>
            <w:tcW w:w="0" w:type="auto"/>
            <w:vAlign w:val="center"/>
          </w:tcPr>
          <w:p w:rsidR="007537F0" w:rsidRPr="004C5551" w:rsidRDefault="007537F0" w:rsidP="006D1C7C">
            <w:pPr>
              <w:ind w:right="268"/>
              <w:jc w:val="right"/>
              <w:rPr>
                <w:szCs w:val="22"/>
              </w:rPr>
            </w:pPr>
            <w:r w:rsidRPr="004C5551">
              <w:rPr>
                <w:szCs w:val="22"/>
              </w:rPr>
              <w:t>102,5</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 Mzdy</w:t>
            </w:r>
          </w:p>
        </w:tc>
        <w:tc>
          <w:tcPr>
            <w:tcW w:w="0" w:type="auto"/>
            <w:vAlign w:val="center"/>
          </w:tcPr>
          <w:p w:rsidR="007537F0" w:rsidRPr="004C5551" w:rsidRDefault="007537F0" w:rsidP="00D36062">
            <w:pPr>
              <w:jc w:val="right"/>
              <w:rPr>
                <w:szCs w:val="22"/>
              </w:rPr>
            </w:pPr>
            <w:r w:rsidRPr="004C5551">
              <w:rPr>
                <w:szCs w:val="22"/>
              </w:rPr>
              <w:t>63,53</w:t>
            </w:r>
          </w:p>
        </w:tc>
        <w:tc>
          <w:tcPr>
            <w:tcW w:w="0" w:type="auto"/>
            <w:vAlign w:val="center"/>
          </w:tcPr>
          <w:p w:rsidR="007537F0" w:rsidRPr="004C5551" w:rsidRDefault="007537F0" w:rsidP="00D36062">
            <w:pPr>
              <w:jc w:val="right"/>
              <w:rPr>
                <w:szCs w:val="22"/>
              </w:rPr>
            </w:pPr>
            <w:r w:rsidRPr="004C5551">
              <w:rPr>
                <w:szCs w:val="22"/>
              </w:rPr>
              <w:t>795</w:t>
            </w:r>
          </w:p>
        </w:tc>
        <w:tc>
          <w:tcPr>
            <w:tcW w:w="0" w:type="auto"/>
            <w:vAlign w:val="center"/>
          </w:tcPr>
          <w:p w:rsidR="007537F0" w:rsidRPr="004C5551" w:rsidRDefault="007537F0" w:rsidP="006D1C7C">
            <w:pPr>
              <w:ind w:right="268"/>
              <w:jc w:val="right"/>
              <w:rPr>
                <w:szCs w:val="22"/>
              </w:rPr>
            </w:pPr>
            <w:r w:rsidRPr="004C5551">
              <w:rPr>
                <w:szCs w:val="22"/>
              </w:rPr>
              <w:t>102,8</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2. Náhrady mzdy</w:t>
            </w:r>
          </w:p>
        </w:tc>
        <w:tc>
          <w:tcPr>
            <w:tcW w:w="0" w:type="auto"/>
            <w:vAlign w:val="center"/>
          </w:tcPr>
          <w:p w:rsidR="007537F0" w:rsidRPr="004C5551" w:rsidRDefault="007537F0" w:rsidP="00D36062">
            <w:pPr>
              <w:jc w:val="right"/>
              <w:rPr>
                <w:szCs w:val="22"/>
              </w:rPr>
            </w:pPr>
            <w:r w:rsidRPr="004C5551">
              <w:rPr>
                <w:szCs w:val="22"/>
              </w:rPr>
              <w:t>8,42</w:t>
            </w:r>
          </w:p>
        </w:tc>
        <w:tc>
          <w:tcPr>
            <w:tcW w:w="0" w:type="auto"/>
            <w:vAlign w:val="center"/>
          </w:tcPr>
          <w:p w:rsidR="007537F0" w:rsidRPr="004C5551" w:rsidRDefault="007537F0" w:rsidP="00D36062">
            <w:pPr>
              <w:jc w:val="right"/>
              <w:rPr>
                <w:szCs w:val="22"/>
              </w:rPr>
            </w:pPr>
            <w:r w:rsidRPr="004C5551">
              <w:rPr>
                <w:szCs w:val="22"/>
              </w:rPr>
              <w:t>105</w:t>
            </w:r>
          </w:p>
        </w:tc>
        <w:tc>
          <w:tcPr>
            <w:tcW w:w="0" w:type="auto"/>
            <w:vAlign w:val="center"/>
          </w:tcPr>
          <w:p w:rsidR="007537F0" w:rsidRPr="004C5551" w:rsidRDefault="007537F0" w:rsidP="006D1C7C">
            <w:pPr>
              <w:ind w:right="268"/>
              <w:jc w:val="right"/>
              <w:rPr>
                <w:szCs w:val="22"/>
              </w:rPr>
            </w:pPr>
            <w:r w:rsidRPr="004C5551">
              <w:rPr>
                <w:szCs w:val="22"/>
              </w:rPr>
              <w:t>103,1</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3. Platby do programu sporenia</w:t>
            </w:r>
          </w:p>
        </w:tc>
        <w:tc>
          <w:tcPr>
            <w:tcW w:w="0" w:type="auto"/>
            <w:vAlign w:val="center"/>
          </w:tcPr>
          <w:p w:rsidR="007537F0" w:rsidRPr="004C5551" w:rsidRDefault="007537F0" w:rsidP="00D36062">
            <w:pPr>
              <w:jc w:val="right"/>
              <w:rPr>
                <w:szCs w:val="22"/>
              </w:rPr>
            </w:pPr>
            <w:r w:rsidRPr="004C5551">
              <w:rPr>
                <w:szCs w:val="22"/>
              </w:rPr>
              <w:t>0,01</w:t>
            </w:r>
          </w:p>
        </w:tc>
        <w:tc>
          <w:tcPr>
            <w:tcW w:w="0" w:type="auto"/>
            <w:vAlign w:val="center"/>
          </w:tcPr>
          <w:p w:rsidR="007537F0" w:rsidRPr="004C5551" w:rsidRDefault="007537F0" w:rsidP="00D36062">
            <w:pPr>
              <w:jc w:val="right"/>
              <w:rPr>
                <w:szCs w:val="22"/>
              </w:rPr>
            </w:pPr>
            <w:r w:rsidRPr="004C5551">
              <w:rPr>
                <w:szCs w:val="22"/>
              </w:rPr>
              <w:t>0</w:t>
            </w:r>
          </w:p>
        </w:tc>
        <w:tc>
          <w:tcPr>
            <w:tcW w:w="0" w:type="auto"/>
            <w:vAlign w:val="center"/>
          </w:tcPr>
          <w:p w:rsidR="007537F0" w:rsidRPr="004C5551" w:rsidRDefault="007537F0" w:rsidP="006D1C7C">
            <w:pPr>
              <w:ind w:right="268"/>
              <w:jc w:val="right"/>
              <w:rPr>
                <w:szCs w:val="22"/>
              </w:rPr>
            </w:pPr>
            <w:r w:rsidRPr="004C5551">
              <w:rPr>
                <w:szCs w:val="22"/>
              </w:rPr>
              <w:t>96,9</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4. Náhrady za pracovnú pohotovosť</w:t>
            </w:r>
          </w:p>
        </w:tc>
        <w:tc>
          <w:tcPr>
            <w:tcW w:w="0" w:type="auto"/>
            <w:vAlign w:val="center"/>
          </w:tcPr>
          <w:p w:rsidR="007537F0" w:rsidRPr="004C5551" w:rsidRDefault="007537F0" w:rsidP="00D36062">
            <w:pPr>
              <w:jc w:val="right"/>
              <w:rPr>
                <w:szCs w:val="22"/>
              </w:rPr>
            </w:pPr>
            <w:r w:rsidRPr="004C5551">
              <w:rPr>
                <w:szCs w:val="22"/>
              </w:rPr>
              <w:t>0,18</w:t>
            </w:r>
          </w:p>
        </w:tc>
        <w:tc>
          <w:tcPr>
            <w:tcW w:w="0" w:type="auto"/>
            <w:vAlign w:val="center"/>
          </w:tcPr>
          <w:p w:rsidR="007537F0" w:rsidRPr="004C5551" w:rsidRDefault="007537F0" w:rsidP="00D36062">
            <w:pPr>
              <w:jc w:val="right"/>
              <w:rPr>
                <w:szCs w:val="22"/>
              </w:rPr>
            </w:pPr>
            <w:r w:rsidRPr="004C5551">
              <w:rPr>
                <w:szCs w:val="22"/>
              </w:rPr>
              <w:t>2</w:t>
            </w:r>
          </w:p>
        </w:tc>
        <w:tc>
          <w:tcPr>
            <w:tcW w:w="0" w:type="auto"/>
            <w:vAlign w:val="center"/>
          </w:tcPr>
          <w:p w:rsidR="007537F0" w:rsidRPr="004C5551" w:rsidRDefault="007537F0" w:rsidP="006D1C7C">
            <w:pPr>
              <w:ind w:right="268"/>
              <w:jc w:val="right"/>
              <w:rPr>
                <w:szCs w:val="22"/>
              </w:rPr>
            </w:pPr>
            <w:r w:rsidRPr="004C5551">
              <w:rPr>
                <w:szCs w:val="22"/>
              </w:rPr>
              <w:t>103,8</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5. Peňažné plnenia zo zisku po zdanení</w:t>
            </w:r>
          </w:p>
        </w:tc>
        <w:tc>
          <w:tcPr>
            <w:tcW w:w="0" w:type="auto"/>
            <w:vAlign w:val="center"/>
          </w:tcPr>
          <w:p w:rsidR="007537F0" w:rsidRPr="004C5551" w:rsidRDefault="007537F0" w:rsidP="00D36062">
            <w:pPr>
              <w:jc w:val="right"/>
              <w:rPr>
                <w:szCs w:val="22"/>
              </w:rPr>
            </w:pPr>
            <w:r w:rsidRPr="004C5551">
              <w:rPr>
                <w:szCs w:val="22"/>
              </w:rPr>
              <w:t>0,23</w:t>
            </w:r>
          </w:p>
        </w:tc>
        <w:tc>
          <w:tcPr>
            <w:tcW w:w="0" w:type="auto"/>
            <w:vAlign w:val="center"/>
          </w:tcPr>
          <w:p w:rsidR="007537F0" w:rsidRPr="004C5551" w:rsidRDefault="007537F0" w:rsidP="00D36062">
            <w:pPr>
              <w:jc w:val="right"/>
              <w:rPr>
                <w:szCs w:val="22"/>
              </w:rPr>
            </w:pPr>
            <w:r w:rsidRPr="004C5551">
              <w:rPr>
                <w:szCs w:val="22"/>
              </w:rPr>
              <w:t>3</w:t>
            </w:r>
          </w:p>
        </w:tc>
        <w:tc>
          <w:tcPr>
            <w:tcW w:w="0" w:type="auto"/>
            <w:vAlign w:val="center"/>
          </w:tcPr>
          <w:p w:rsidR="007537F0" w:rsidRPr="004C5551" w:rsidRDefault="007537F0" w:rsidP="006D1C7C">
            <w:pPr>
              <w:ind w:right="268"/>
              <w:jc w:val="right"/>
              <w:rPr>
                <w:szCs w:val="22"/>
              </w:rPr>
            </w:pPr>
            <w:r w:rsidRPr="004C5551">
              <w:rPr>
                <w:szCs w:val="22"/>
              </w:rPr>
              <w:t>54,5</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6. Ostatné priame náklady zamestnancom</w:t>
            </w:r>
          </w:p>
        </w:tc>
        <w:tc>
          <w:tcPr>
            <w:tcW w:w="0" w:type="auto"/>
            <w:vAlign w:val="center"/>
          </w:tcPr>
          <w:p w:rsidR="007537F0" w:rsidRPr="004C5551" w:rsidRDefault="007537F0" w:rsidP="00D36062">
            <w:pPr>
              <w:jc w:val="right"/>
              <w:rPr>
                <w:szCs w:val="22"/>
              </w:rPr>
            </w:pPr>
            <w:r w:rsidRPr="004C5551">
              <w:rPr>
                <w:szCs w:val="22"/>
              </w:rPr>
              <w:t>0,22</w:t>
            </w:r>
          </w:p>
        </w:tc>
        <w:tc>
          <w:tcPr>
            <w:tcW w:w="0" w:type="auto"/>
            <w:vAlign w:val="center"/>
          </w:tcPr>
          <w:p w:rsidR="007537F0" w:rsidRPr="004C5551" w:rsidRDefault="007537F0" w:rsidP="00D36062">
            <w:pPr>
              <w:jc w:val="right"/>
              <w:rPr>
                <w:szCs w:val="22"/>
              </w:rPr>
            </w:pPr>
            <w:r w:rsidRPr="004C5551">
              <w:rPr>
                <w:szCs w:val="22"/>
              </w:rPr>
              <w:t>3</w:t>
            </w:r>
          </w:p>
        </w:tc>
        <w:tc>
          <w:tcPr>
            <w:tcW w:w="0" w:type="auto"/>
            <w:vAlign w:val="center"/>
          </w:tcPr>
          <w:p w:rsidR="007537F0" w:rsidRPr="004C5551" w:rsidRDefault="007537F0" w:rsidP="006D1C7C">
            <w:pPr>
              <w:ind w:right="268"/>
              <w:jc w:val="right"/>
              <w:rPr>
                <w:szCs w:val="22"/>
              </w:rPr>
            </w:pPr>
            <w:r w:rsidRPr="004C5551">
              <w:rPr>
                <w:szCs w:val="22"/>
              </w:rPr>
              <w:t>96,3</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7. Odmeny učňom</w:t>
            </w:r>
          </w:p>
        </w:tc>
        <w:tc>
          <w:tcPr>
            <w:tcW w:w="0" w:type="auto"/>
            <w:vAlign w:val="center"/>
          </w:tcPr>
          <w:p w:rsidR="007537F0" w:rsidRPr="004C5551" w:rsidRDefault="007537F0" w:rsidP="00D36062">
            <w:pPr>
              <w:jc w:val="right"/>
              <w:rPr>
                <w:szCs w:val="22"/>
              </w:rPr>
            </w:pPr>
            <w:r w:rsidRPr="004C5551">
              <w:rPr>
                <w:szCs w:val="22"/>
              </w:rPr>
              <w:t>0,00</w:t>
            </w:r>
          </w:p>
        </w:tc>
        <w:tc>
          <w:tcPr>
            <w:tcW w:w="0" w:type="auto"/>
            <w:vAlign w:val="center"/>
          </w:tcPr>
          <w:p w:rsidR="007537F0" w:rsidRPr="004C5551" w:rsidRDefault="007537F0" w:rsidP="00D36062">
            <w:pPr>
              <w:jc w:val="right"/>
              <w:rPr>
                <w:szCs w:val="22"/>
              </w:rPr>
            </w:pPr>
            <w:r w:rsidRPr="004C5551">
              <w:rPr>
                <w:szCs w:val="22"/>
              </w:rPr>
              <w:t>0</w:t>
            </w:r>
          </w:p>
        </w:tc>
        <w:tc>
          <w:tcPr>
            <w:tcW w:w="0" w:type="auto"/>
            <w:vAlign w:val="center"/>
          </w:tcPr>
          <w:p w:rsidR="007537F0" w:rsidRPr="004C5551" w:rsidRDefault="007537F0" w:rsidP="006D1C7C">
            <w:pPr>
              <w:ind w:right="268"/>
              <w:jc w:val="right"/>
              <w:rPr>
                <w:szCs w:val="22"/>
              </w:rPr>
            </w:pPr>
            <w:r w:rsidRPr="004C5551">
              <w:rPr>
                <w:szCs w:val="22"/>
              </w:rPr>
              <w:t>192,0</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 xml:space="preserve">8. </w:t>
            </w:r>
            <w:r w:rsidRPr="004C5551">
              <w:rPr>
                <w:color w:val="000000" w:themeColor="text1"/>
                <w:szCs w:val="22"/>
              </w:rPr>
              <w:t>–</w:t>
            </w:r>
            <w:r w:rsidRPr="004C5551">
              <w:rPr>
                <w:szCs w:val="22"/>
              </w:rPr>
              <w:t xml:space="preserve"> 15. NEPRIAME NÁKLADY</w:t>
            </w:r>
          </w:p>
        </w:tc>
        <w:tc>
          <w:tcPr>
            <w:tcW w:w="0" w:type="auto"/>
            <w:vAlign w:val="center"/>
          </w:tcPr>
          <w:p w:rsidR="007537F0" w:rsidRPr="004C5551" w:rsidRDefault="007537F0" w:rsidP="00D36062">
            <w:pPr>
              <w:jc w:val="right"/>
              <w:rPr>
                <w:szCs w:val="22"/>
              </w:rPr>
            </w:pPr>
            <w:r w:rsidRPr="004C5551">
              <w:rPr>
                <w:szCs w:val="22"/>
              </w:rPr>
              <w:t>27,51</w:t>
            </w:r>
          </w:p>
        </w:tc>
        <w:tc>
          <w:tcPr>
            <w:tcW w:w="0" w:type="auto"/>
            <w:vAlign w:val="center"/>
          </w:tcPr>
          <w:p w:rsidR="007537F0" w:rsidRPr="004C5551" w:rsidRDefault="007537F0" w:rsidP="00D36062">
            <w:pPr>
              <w:jc w:val="right"/>
              <w:rPr>
                <w:szCs w:val="22"/>
              </w:rPr>
            </w:pPr>
            <w:r w:rsidRPr="004C5551">
              <w:rPr>
                <w:szCs w:val="22"/>
              </w:rPr>
              <w:t>344</w:t>
            </w:r>
          </w:p>
        </w:tc>
        <w:tc>
          <w:tcPr>
            <w:tcW w:w="0" w:type="auto"/>
            <w:vAlign w:val="center"/>
          </w:tcPr>
          <w:p w:rsidR="007537F0" w:rsidRPr="004C5551" w:rsidRDefault="007537F0" w:rsidP="006D1C7C">
            <w:pPr>
              <w:ind w:right="268"/>
              <w:jc w:val="right"/>
              <w:rPr>
                <w:szCs w:val="22"/>
              </w:rPr>
            </w:pPr>
            <w:r w:rsidRPr="004C5551">
              <w:rPr>
                <w:szCs w:val="22"/>
              </w:rPr>
              <w:t>105,0</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8. Povinné príspevky na sociálne poistenie</w:t>
            </w:r>
          </w:p>
        </w:tc>
        <w:tc>
          <w:tcPr>
            <w:tcW w:w="0" w:type="auto"/>
            <w:vAlign w:val="center"/>
          </w:tcPr>
          <w:p w:rsidR="007537F0" w:rsidRPr="004C5551" w:rsidRDefault="007537F0" w:rsidP="00D36062">
            <w:pPr>
              <w:jc w:val="right"/>
              <w:rPr>
                <w:szCs w:val="22"/>
              </w:rPr>
            </w:pPr>
            <w:r w:rsidRPr="004C5551">
              <w:rPr>
                <w:szCs w:val="22"/>
              </w:rPr>
              <w:t>24,61</w:t>
            </w:r>
          </w:p>
        </w:tc>
        <w:tc>
          <w:tcPr>
            <w:tcW w:w="0" w:type="auto"/>
            <w:vAlign w:val="center"/>
          </w:tcPr>
          <w:p w:rsidR="007537F0" w:rsidRPr="004C5551" w:rsidRDefault="007537F0" w:rsidP="00D36062">
            <w:pPr>
              <w:jc w:val="right"/>
              <w:rPr>
                <w:szCs w:val="22"/>
              </w:rPr>
            </w:pPr>
            <w:r w:rsidRPr="004C5551">
              <w:rPr>
                <w:szCs w:val="22"/>
              </w:rPr>
              <w:t>308</w:t>
            </w:r>
          </w:p>
        </w:tc>
        <w:tc>
          <w:tcPr>
            <w:tcW w:w="0" w:type="auto"/>
            <w:vAlign w:val="center"/>
          </w:tcPr>
          <w:p w:rsidR="007537F0" w:rsidRPr="004C5551" w:rsidRDefault="007537F0" w:rsidP="006D1C7C">
            <w:pPr>
              <w:ind w:right="268"/>
              <w:jc w:val="right"/>
              <w:rPr>
                <w:szCs w:val="22"/>
              </w:rPr>
            </w:pPr>
            <w:r w:rsidRPr="004C5551">
              <w:rPr>
                <w:szCs w:val="22"/>
              </w:rPr>
              <w:t>106,2</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9. Nepovinné príspevky na sociálne poistenie</w:t>
            </w:r>
          </w:p>
        </w:tc>
        <w:tc>
          <w:tcPr>
            <w:tcW w:w="0" w:type="auto"/>
            <w:vAlign w:val="center"/>
          </w:tcPr>
          <w:p w:rsidR="007537F0" w:rsidRPr="004C5551" w:rsidRDefault="007537F0" w:rsidP="00D36062">
            <w:pPr>
              <w:jc w:val="right"/>
              <w:rPr>
                <w:szCs w:val="22"/>
              </w:rPr>
            </w:pPr>
            <w:r w:rsidRPr="004C5551">
              <w:rPr>
                <w:szCs w:val="22"/>
              </w:rPr>
              <w:t>0,56</w:t>
            </w:r>
          </w:p>
        </w:tc>
        <w:tc>
          <w:tcPr>
            <w:tcW w:w="0" w:type="auto"/>
            <w:vAlign w:val="center"/>
          </w:tcPr>
          <w:p w:rsidR="007537F0" w:rsidRPr="004C5551" w:rsidRDefault="007537F0" w:rsidP="00D36062">
            <w:pPr>
              <w:jc w:val="right"/>
              <w:rPr>
                <w:szCs w:val="22"/>
              </w:rPr>
            </w:pPr>
            <w:r w:rsidRPr="004C5551">
              <w:rPr>
                <w:szCs w:val="22"/>
              </w:rPr>
              <w:t>7</w:t>
            </w:r>
          </w:p>
        </w:tc>
        <w:tc>
          <w:tcPr>
            <w:tcW w:w="0" w:type="auto"/>
            <w:vAlign w:val="center"/>
          </w:tcPr>
          <w:p w:rsidR="007537F0" w:rsidRPr="004C5551" w:rsidRDefault="007537F0" w:rsidP="006D1C7C">
            <w:pPr>
              <w:ind w:right="268"/>
              <w:jc w:val="right"/>
              <w:rPr>
                <w:szCs w:val="22"/>
              </w:rPr>
            </w:pPr>
            <w:r w:rsidRPr="004C5551">
              <w:rPr>
                <w:szCs w:val="22"/>
              </w:rPr>
              <w:t>101,2</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10. Sociálne dávky</w:t>
            </w:r>
          </w:p>
        </w:tc>
        <w:tc>
          <w:tcPr>
            <w:tcW w:w="0" w:type="auto"/>
            <w:vAlign w:val="center"/>
          </w:tcPr>
          <w:p w:rsidR="007537F0" w:rsidRPr="004C5551" w:rsidRDefault="007537F0" w:rsidP="00D36062">
            <w:pPr>
              <w:jc w:val="right"/>
              <w:rPr>
                <w:szCs w:val="22"/>
              </w:rPr>
            </w:pPr>
            <w:r w:rsidRPr="004C5551">
              <w:rPr>
                <w:szCs w:val="22"/>
              </w:rPr>
              <w:t>0,85</w:t>
            </w:r>
          </w:p>
        </w:tc>
        <w:tc>
          <w:tcPr>
            <w:tcW w:w="0" w:type="auto"/>
            <w:vAlign w:val="center"/>
          </w:tcPr>
          <w:p w:rsidR="007537F0" w:rsidRPr="004C5551" w:rsidRDefault="007537F0" w:rsidP="00D36062">
            <w:pPr>
              <w:jc w:val="right"/>
              <w:rPr>
                <w:szCs w:val="22"/>
              </w:rPr>
            </w:pPr>
            <w:r w:rsidRPr="004C5551">
              <w:rPr>
                <w:szCs w:val="22"/>
              </w:rPr>
              <w:t>11</w:t>
            </w:r>
          </w:p>
        </w:tc>
        <w:tc>
          <w:tcPr>
            <w:tcW w:w="0" w:type="auto"/>
            <w:vAlign w:val="center"/>
          </w:tcPr>
          <w:p w:rsidR="007537F0" w:rsidRPr="004C5551" w:rsidRDefault="007537F0" w:rsidP="006D1C7C">
            <w:pPr>
              <w:ind w:right="268"/>
              <w:jc w:val="right"/>
              <w:rPr>
                <w:szCs w:val="22"/>
              </w:rPr>
            </w:pPr>
            <w:r w:rsidRPr="004C5551">
              <w:rPr>
                <w:szCs w:val="22"/>
              </w:rPr>
              <w:t>93,4</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11. Príspevky na sociálne poistenie učňov</w:t>
            </w:r>
          </w:p>
        </w:tc>
        <w:tc>
          <w:tcPr>
            <w:tcW w:w="0" w:type="auto"/>
            <w:vAlign w:val="center"/>
          </w:tcPr>
          <w:p w:rsidR="007537F0" w:rsidRPr="004C5551" w:rsidRDefault="007537F0" w:rsidP="00D36062">
            <w:pPr>
              <w:jc w:val="right"/>
              <w:rPr>
                <w:szCs w:val="22"/>
              </w:rPr>
            </w:pPr>
            <w:r w:rsidRPr="004C5551">
              <w:rPr>
                <w:szCs w:val="22"/>
              </w:rPr>
              <w:t>0,00</w:t>
            </w:r>
          </w:p>
        </w:tc>
        <w:tc>
          <w:tcPr>
            <w:tcW w:w="0" w:type="auto"/>
            <w:vAlign w:val="center"/>
          </w:tcPr>
          <w:p w:rsidR="007537F0" w:rsidRPr="004C5551" w:rsidRDefault="007537F0" w:rsidP="00D36062">
            <w:pPr>
              <w:jc w:val="right"/>
              <w:rPr>
                <w:szCs w:val="22"/>
              </w:rPr>
            </w:pPr>
            <w:r w:rsidRPr="004C5551">
              <w:rPr>
                <w:szCs w:val="22"/>
              </w:rPr>
              <w:t>0</w:t>
            </w:r>
          </w:p>
        </w:tc>
        <w:tc>
          <w:tcPr>
            <w:tcW w:w="0" w:type="auto"/>
            <w:vAlign w:val="center"/>
          </w:tcPr>
          <w:p w:rsidR="007537F0" w:rsidRPr="004C5551" w:rsidRDefault="007537F0" w:rsidP="006D1C7C">
            <w:pPr>
              <w:ind w:right="268"/>
              <w:jc w:val="right"/>
              <w:rPr>
                <w:szCs w:val="22"/>
              </w:rPr>
            </w:pPr>
            <w:r w:rsidRPr="004C5551">
              <w:rPr>
                <w:szCs w:val="22"/>
              </w:rPr>
              <w:t>116,1</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12. Sociálne výhody</w:t>
            </w:r>
          </w:p>
        </w:tc>
        <w:tc>
          <w:tcPr>
            <w:tcW w:w="0" w:type="auto"/>
            <w:vAlign w:val="center"/>
          </w:tcPr>
          <w:p w:rsidR="007537F0" w:rsidRPr="004C5551" w:rsidRDefault="007537F0" w:rsidP="00D36062">
            <w:pPr>
              <w:jc w:val="right"/>
              <w:rPr>
                <w:szCs w:val="22"/>
              </w:rPr>
            </w:pPr>
            <w:r w:rsidRPr="004C5551">
              <w:rPr>
                <w:szCs w:val="22"/>
              </w:rPr>
              <w:t>1,01</w:t>
            </w:r>
          </w:p>
        </w:tc>
        <w:tc>
          <w:tcPr>
            <w:tcW w:w="0" w:type="auto"/>
            <w:vAlign w:val="center"/>
          </w:tcPr>
          <w:p w:rsidR="007537F0" w:rsidRPr="004C5551" w:rsidRDefault="007537F0" w:rsidP="00D36062">
            <w:pPr>
              <w:jc w:val="right"/>
              <w:rPr>
                <w:szCs w:val="22"/>
              </w:rPr>
            </w:pPr>
            <w:r w:rsidRPr="004C5551">
              <w:rPr>
                <w:szCs w:val="22"/>
              </w:rPr>
              <w:t>13</w:t>
            </w:r>
          </w:p>
        </w:tc>
        <w:tc>
          <w:tcPr>
            <w:tcW w:w="0" w:type="auto"/>
            <w:vAlign w:val="center"/>
          </w:tcPr>
          <w:p w:rsidR="007537F0" w:rsidRPr="004C5551" w:rsidRDefault="007537F0" w:rsidP="006D1C7C">
            <w:pPr>
              <w:ind w:right="268"/>
              <w:jc w:val="right"/>
              <w:rPr>
                <w:szCs w:val="22"/>
              </w:rPr>
            </w:pPr>
            <w:r w:rsidRPr="004C5551">
              <w:rPr>
                <w:szCs w:val="22"/>
              </w:rPr>
              <w:t>94,1</w:t>
            </w:r>
          </w:p>
        </w:tc>
      </w:tr>
      <w:tr w:rsidR="007537F0" w:rsidRPr="004C5551" w:rsidTr="003D5480">
        <w:trPr>
          <w:trHeight w:val="286"/>
          <w:jc w:val="center"/>
        </w:trPr>
        <w:tc>
          <w:tcPr>
            <w:tcW w:w="0" w:type="auto"/>
            <w:vAlign w:val="center"/>
          </w:tcPr>
          <w:p w:rsidR="007537F0" w:rsidRPr="004C5551" w:rsidRDefault="007537F0" w:rsidP="00D36062">
            <w:pPr>
              <w:rPr>
                <w:szCs w:val="22"/>
              </w:rPr>
            </w:pPr>
            <w:r w:rsidRPr="004C5551">
              <w:rPr>
                <w:szCs w:val="22"/>
              </w:rPr>
              <w:t>13. Náklady na školenie zamestnancov</w:t>
            </w:r>
          </w:p>
        </w:tc>
        <w:tc>
          <w:tcPr>
            <w:tcW w:w="0" w:type="auto"/>
            <w:vAlign w:val="center"/>
          </w:tcPr>
          <w:p w:rsidR="007537F0" w:rsidRPr="004C5551" w:rsidRDefault="007537F0" w:rsidP="00D36062">
            <w:pPr>
              <w:jc w:val="right"/>
              <w:rPr>
                <w:szCs w:val="22"/>
              </w:rPr>
            </w:pPr>
            <w:r w:rsidRPr="004C5551">
              <w:rPr>
                <w:szCs w:val="22"/>
              </w:rPr>
              <w:t>0,34</w:t>
            </w:r>
          </w:p>
        </w:tc>
        <w:tc>
          <w:tcPr>
            <w:tcW w:w="0" w:type="auto"/>
            <w:vAlign w:val="center"/>
          </w:tcPr>
          <w:p w:rsidR="007537F0" w:rsidRPr="004C5551" w:rsidRDefault="007537F0" w:rsidP="00D36062">
            <w:pPr>
              <w:jc w:val="right"/>
              <w:rPr>
                <w:szCs w:val="22"/>
              </w:rPr>
            </w:pPr>
            <w:r w:rsidRPr="004C5551">
              <w:rPr>
                <w:szCs w:val="22"/>
              </w:rPr>
              <w:t>4</w:t>
            </w:r>
          </w:p>
        </w:tc>
        <w:tc>
          <w:tcPr>
            <w:tcW w:w="0" w:type="auto"/>
            <w:vAlign w:val="center"/>
          </w:tcPr>
          <w:p w:rsidR="007537F0" w:rsidRPr="004C5551" w:rsidRDefault="007537F0" w:rsidP="006D1C7C">
            <w:pPr>
              <w:ind w:right="268"/>
              <w:jc w:val="right"/>
              <w:rPr>
                <w:szCs w:val="22"/>
              </w:rPr>
            </w:pPr>
            <w:r w:rsidRPr="004C5551">
              <w:rPr>
                <w:szCs w:val="22"/>
              </w:rPr>
              <w:t>101,5</w:t>
            </w:r>
          </w:p>
        </w:tc>
      </w:tr>
      <w:tr w:rsidR="007537F0" w:rsidRPr="004C5551" w:rsidTr="003D5480">
        <w:trPr>
          <w:trHeight w:val="264"/>
          <w:jc w:val="center"/>
        </w:trPr>
        <w:tc>
          <w:tcPr>
            <w:tcW w:w="0" w:type="auto"/>
            <w:vAlign w:val="center"/>
          </w:tcPr>
          <w:p w:rsidR="007537F0" w:rsidRPr="004C5551" w:rsidRDefault="007537F0" w:rsidP="00D36062">
            <w:pPr>
              <w:rPr>
                <w:szCs w:val="22"/>
              </w:rPr>
            </w:pPr>
            <w:r w:rsidRPr="004C5551">
              <w:rPr>
                <w:szCs w:val="22"/>
              </w:rPr>
              <w:t>14. Poplatky a sankcie súvisiace so mzdami</w:t>
            </w:r>
          </w:p>
        </w:tc>
        <w:tc>
          <w:tcPr>
            <w:tcW w:w="0" w:type="auto"/>
            <w:vAlign w:val="center"/>
          </w:tcPr>
          <w:p w:rsidR="007537F0" w:rsidRPr="004C5551" w:rsidRDefault="007537F0" w:rsidP="00D36062">
            <w:pPr>
              <w:jc w:val="right"/>
              <w:rPr>
                <w:szCs w:val="22"/>
              </w:rPr>
            </w:pPr>
            <w:r w:rsidRPr="004C5551">
              <w:rPr>
                <w:szCs w:val="22"/>
              </w:rPr>
              <w:t>0,01</w:t>
            </w:r>
          </w:p>
        </w:tc>
        <w:tc>
          <w:tcPr>
            <w:tcW w:w="0" w:type="auto"/>
            <w:vAlign w:val="center"/>
          </w:tcPr>
          <w:p w:rsidR="007537F0" w:rsidRPr="004C5551" w:rsidRDefault="007537F0" w:rsidP="00D36062">
            <w:pPr>
              <w:jc w:val="right"/>
              <w:rPr>
                <w:szCs w:val="22"/>
              </w:rPr>
            </w:pPr>
            <w:r w:rsidRPr="004C5551">
              <w:rPr>
                <w:szCs w:val="22"/>
              </w:rPr>
              <w:t>0</w:t>
            </w:r>
          </w:p>
        </w:tc>
        <w:tc>
          <w:tcPr>
            <w:tcW w:w="0" w:type="auto"/>
            <w:vAlign w:val="center"/>
          </w:tcPr>
          <w:p w:rsidR="007537F0" w:rsidRPr="004C5551" w:rsidRDefault="007537F0" w:rsidP="006D1C7C">
            <w:pPr>
              <w:ind w:right="268"/>
              <w:jc w:val="right"/>
              <w:rPr>
                <w:szCs w:val="22"/>
              </w:rPr>
            </w:pPr>
            <w:r w:rsidRPr="004C5551">
              <w:rPr>
                <w:szCs w:val="22"/>
              </w:rPr>
              <w:t>79,6</w:t>
            </w:r>
          </w:p>
        </w:tc>
      </w:tr>
      <w:tr w:rsidR="007537F0" w:rsidRPr="004C5551" w:rsidTr="003D5480">
        <w:trPr>
          <w:trHeight w:val="264"/>
          <w:jc w:val="center"/>
        </w:trPr>
        <w:tc>
          <w:tcPr>
            <w:tcW w:w="0" w:type="auto"/>
            <w:vAlign w:val="center"/>
          </w:tcPr>
          <w:p w:rsidR="007537F0" w:rsidRPr="004C5551" w:rsidRDefault="007537F0" w:rsidP="00D36062">
            <w:pPr>
              <w:rPr>
                <w:szCs w:val="22"/>
              </w:rPr>
            </w:pPr>
            <w:r w:rsidRPr="004C5551">
              <w:rPr>
                <w:szCs w:val="22"/>
              </w:rPr>
              <w:t>15. Ostatné nepriame náklady práce</w:t>
            </w:r>
          </w:p>
        </w:tc>
        <w:tc>
          <w:tcPr>
            <w:tcW w:w="0" w:type="auto"/>
            <w:vAlign w:val="center"/>
          </w:tcPr>
          <w:p w:rsidR="007537F0" w:rsidRPr="004C5551" w:rsidRDefault="007537F0" w:rsidP="00D36062">
            <w:pPr>
              <w:jc w:val="right"/>
              <w:rPr>
                <w:szCs w:val="22"/>
              </w:rPr>
            </w:pPr>
            <w:r w:rsidRPr="004C5551">
              <w:rPr>
                <w:szCs w:val="22"/>
              </w:rPr>
              <w:t>0,14</w:t>
            </w:r>
          </w:p>
        </w:tc>
        <w:tc>
          <w:tcPr>
            <w:tcW w:w="0" w:type="auto"/>
            <w:vAlign w:val="center"/>
          </w:tcPr>
          <w:p w:rsidR="007537F0" w:rsidRPr="004C5551" w:rsidRDefault="007537F0" w:rsidP="00D36062">
            <w:pPr>
              <w:jc w:val="right"/>
              <w:rPr>
                <w:szCs w:val="22"/>
              </w:rPr>
            </w:pPr>
            <w:r w:rsidRPr="004C5551">
              <w:rPr>
                <w:szCs w:val="22"/>
              </w:rPr>
              <w:t>2</w:t>
            </w:r>
          </w:p>
        </w:tc>
        <w:tc>
          <w:tcPr>
            <w:tcW w:w="0" w:type="auto"/>
            <w:vAlign w:val="center"/>
          </w:tcPr>
          <w:p w:rsidR="007537F0" w:rsidRPr="004C5551" w:rsidRDefault="007537F0" w:rsidP="006D1C7C">
            <w:pPr>
              <w:ind w:right="268"/>
              <w:jc w:val="right"/>
              <w:rPr>
                <w:szCs w:val="22"/>
              </w:rPr>
            </w:pPr>
            <w:r w:rsidRPr="004C5551">
              <w:rPr>
                <w:szCs w:val="22"/>
              </w:rPr>
              <w:t>91,4</w:t>
            </w:r>
          </w:p>
        </w:tc>
      </w:tr>
      <w:tr w:rsidR="007537F0" w:rsidRPr="004C5551" w:rsidTr="003D5480">
        <w:trPr>
          <w:trHeight w:val="264"/>
          <w:jc w:val="center"/>
        </w:trPr>
        <w:tc>
          <w:tcPr>
            <w:tcW w:w="0" w:type="auto"/>
            <w:vAlign w:val="center"/>
          </w:tcPr>
          <w:p w:rsidR="007537F0" w:rsidRPr="004C5551" w:rsidRDefault="007537F0" w:rsidP="00D36062">
            <w:pPr>
              <w:rPr>
                <w:szCs w:val="22"/>
              </w:rPr>
            </w:pPr>
            <w:r w:rsidRPr="004C5551">
              <w:rPr>
                <w:szCs w:val="22"/>
              </w:rPr>
              <w:t>16. SUBVENCIE</w:t>
            </w:r>
          </w:p>
        </w:tc>
        <w:tc>
          <w:tcPr>
            <w:tcW w:w="0" w:type="auto"/>
            <w:vAlign w:val="center"/>
          </w:tcPr>
          <w:p w:rsidR="007537F0" w:rsidRPr="004C5551" w:rsidRDefault="007537F0" w:rsidP="00D36062">
            <w:pPr>
              <w:jc w:val="right"/>
              <w:rPr>
                <w:szCs w:val="22"/>
              </w:rPr>
            </w:pPr>
            <w:r w:rsidRPr="004C5551">
              <w:rPr>
                <w:szCs w:val="22"/>
              </w:rPr>
              <w:t>-0,10</w:t>
            </w:r>
          </w:p>
        </w:tc>
        <w:tc>
          <w:tcPr>
            <w:tcW w:w="0" w:type="auto"/>
            <w:vAlign w:val="center"/>
          </w:tcPr>
          <w:p w:rsidR="007537F0" w:rsidRPr="004C5551" w:rsidRDefault="007537F0" w:rsidP="00D36062">
            <w:pPr>
              <w:jc w:val="right"/>
              <w:rPr>
                <w:szCs w:val="22"/>
              </w:rPr>
            </w:pPr>
            <w:r w:rsidRPr="004C5551">
              <w:rPr>
                <w:szCs w:val="22"/>
              </w:rPr>
              <w:t>-1</w:t>
            </w:r>
          </w:p>
        </w:tc>
        <w:tc>
          <w:tcPr>
            <w:tcW w:w="0" w:type="auto"/>
            <w:vAlign w:val="center"/>
          </w:tcPr>
          <w:p w:rsidR="007537F0" w:rsidRPr="004C5551" w:rsidRDefault="007537F0" w:rsidP="006D1C7C">
            <w:pPr>
              <w:ind w:right="268"/>
              <w:jc w:val="right"/>
              <w:rPr>
                <w:szCs w:val="22"/>
              </w:rPr>
            </w:pPr>
            <w:r w:rsidRPr="004C5551">
              <w:rPr>
                <w:szCs w:val="22"/>
              </w:rPr>
              <w:t>103,8</w:t>
            </w:r>
          </w:p>
        </w:tc>
      </w:tr>
    </w:tbl>
    <w:p w:rsidR="007537F0" w:rsidRPr="004C5551" w:rsidRDefault="007537F0" w:rsidP="003D5480">
      <w:pPr>
        <w:pStyle w:val="zdroj"/>
      </w:pPr>
      <w:r w:rsidRPr="004C5551">
        <w:t>Zdroj: ŠÚ SR, štatistické zisťovanie o úplných nákladoch práce</w:t>
      </w:r>
    </w:p>
    <w:p w:rsidR="007537F0" w:rsidRPr="004C5551" w:rsidRDefault="007537F0" w:rsidP="00C92B2F">
      <w:pPr>
        <w:ind w:firstLine="431"/>
      </w:pPr>
      <w:r w:rsidRPr="004C5551">
        <w:t xml:space="preserve">Najvyšší medziročný rast nákladov práce bol v nasledujúcich </w:t>
      </w:r>
      <w:r w:rsidR="00460DEB" w:rsidRPr="004C5551">
        <w:rPr>
          <w:b/>
        </w:rPr>
        <w:t>ekonomických činnostiach</w:t>
      </w:r>
      <w:r w:rsidRPr="004C5551">
        <w:t>: vzdelávanie (o 7,4</w:t>
      </w:r>
      <w:r w:rsidR="009425AA" w:rsidRPr="004C5551">
        <w:t> %</w:t>
      </w:r>
      <w:r w:rsidRPr="004C5551">
        <w:t>), administratívne a podporné služby (o 6,7</w:t>
      </w:r>
      <w:r w:rsidR="009425AA" w:rsidRPr="004C5551">
        <w:t> %</w:t>
      </w:r>
      <w:r w:rsidRPr="004C5551">
        <w:t>), odborné, vedecké a technické činnos</w:t>
      </w:r>
      <w:r w:rsidR="00B74D64" w:rsidRPr="004C5551">
        <w:t>ti (o 4,9</w:t>
      </w:r>
      <w:r w:rsidR="009425AA" w:rsidRPr="004C5551">
        <w:t> %</w:t>
      </w:r>
      <w:r w:rsidR="00B74D64" w:rsidRPr="004C5551">
        <w:t>), ťažba a dobývanie,</w:t>
      </w:r>
      <w:r w:rsidRPr="004C5551">
        <w:t xml:space="preserve"> zd</w:t>
      </w:r>
      <w:r w:rsidR="00B74D64" w:rsidRPr="004C5551">
        <w:t>ravotníctvo a sociálna pomoc,</w:t>
      </w:r>
      <w:r w:rsidRPr="004C5551">
        <w:t xml:space="preserve"> poľnohospodárstvo, lesníctvo a rybolov (zhodne o 4,6</w:t>
      </w:r>
      <w:r w:rsidR="009425AA" w:rsidRPr="004C5551">
        <w:t> %</w:t>
      </w:r>
      <w:r w:rsidRPr="004C5551">
        <w:t>)</w:t>
      </w:r>
      <w:r w:rsidR="00B74D64" w:rsidRPr="004C5551">
        <w:t>,</w:t>
      </w:r>
      <w:r w:rsidRPr="004C5551">
        <w:t xml:space="preserve"> dodávky elektriny, plynu, pary a studeného vzduchu (o 4,4</w:t>
      </w:r>
      <w:r w:rsidR="009425AA" w:rsidRPr="004C5551">
        <w:t> %</w:t>
      </w:r>
      <w:r w:rsidRPr="004C5551">
        <w:t>). V</w:t>
      </w:r>
      <w:r w:rsidR="00E47B33" w:rsidRPr="004C5551">
        <w:t> </w:t>
      </w:r>
      <w:r w:rsidRPr="004C5551">
        <w:t>porovnaní s predchádzajúcim rokom pokles nákladov práce nastal v dvoch ekonomických činnostiach: finančné a poisťovacie činnosti (o 3,2</w:t>
      </w:r>
      <w:r w:rsidR="009425AA" w:rsidRPr="004C5551">
        <w:t> %</w:t>
      </w:r>
      <w:r w:rsidRPr="004C5551">
        <w:t>) a činnosti v oblasti nehnuteľností (o 4,9</w:t>
      </w:r>
      <w:r w:rsidR="009425AA" w:rsidRPr="004C5551">
        <w:t> %</w:t>
      </w:r>
      <w:r w:rsidRPr="004C5551">
        <w:t>). Z</w:t>
      </w:r>
      <w:r w:rsidR="00E47B33" w:rsidRPr="004C5551">
        <w:t> </w:t>
      </w:r>
      <w:r w:rsidRPr="004C5551">
        <w:t>hľadiska dynamiky vývoja mesačných nákladov práce sa v porovnaní s predchádzajúcim rokom ich vývoj zrýchlil v administ</w:t>
      </w:r>
      <w:r w:rsidR="00B74D64" w:rsidRPr="004C5551">
        <w:t>ratívnych a podporných službách,</w:t>
      </w:r>
      <w:r w:rsidRPr="004C5551">
        <w:t xml:space="preserve"> vo verejnej správe a</w:t>
      </w:r>
      <w:r w:rsidR="00B74D64" w:rsidRPr="004C5551">
        <w:t> </w:t>
      </w:r>
      <w:r w:rsidRPr="004C5551">
        <w:t>obrane</w:t>
      </w:r>
      <w:r w:rsidR="00B74D64" w:rsidRPr="004C5551">
        <w:t>, povinnom sociálnom zabezpečení, v ostatných činnostiach, vo vzdelávaní, v ťažbe a dobývaní,</w:t>
      </w:r>
      <w:r w:rsidRPr="004C5551">
        <w:t xml:space="preserve"> v odborných, vedeckých a technických činnostiach</w:t>
      </w:r>
      <w:r w:rsidR="00B74D64" w:rsidRPr="004C5551">
        <w:t>,</w:t>
      </w:r>
      <w:r w:rsidRPr="004C5551">
        <w:t xml:space="preserve"> v činnosti dodávka vody, čistenie odpadových vôd, odpady a</w:t>
      </w:r>
      <w:r w:rsidR="00E47B33" w:rsidRPr="004C5551">
        <w:t> </w:t>
      </w:r>
      <w:r w:rsidRPr="004C5551">
        <w:t>služby odstraňovania odpadov</w:t>
      </w:r>
      <w:r w:rsidR="00B74D64" w:rsidRPr="004C5551">
        <w:t>,</w:t>
      </w:r>
      <w:r w:rsidRPr="004C5551">
        <w:t xml:space="preserve"> vo veľkoobchode </w:t>
      </w:r>
      <w:r w:rsidR="00B74D64" w:rsidRPr="004C5551">
        <w:t>a maloobchode,</w:t>
      </w:r>
      <w:r w:rsidRPr="004C5551">
        <w:t xml:space="preserve"> oprave motorových vozidiel, v</w:t>
      </w:r>
      <w:r w:rsidR="00E47B33" w:rsidRPr="004C5551">
        <w:t> </w:t>
      </w:r>
      <w:r w:rsidRPr="004C5551">
        <w:t>doprave a skladovaní a v stavebníctve. V ostatných ekonomických činnostiach nastalo spomalenie vývoja mesačných nákladov práce, pričom najväčšie spomalenie nastalo v</w:t>
      </w:r>
      <w:r w:rsidR="003D5480" w:rsidRPr="004C5551">
        <w:t> </w:t>
      </w:r>
      <w:r w:rsidRPr="004C5551">
        <w:t>činnostiach oblasti nehnuteľností</w:t>
      </w:r>
      <w:r w:rsidR="00073D95" w:rsidRPr="004C5551">
        <w:t xml:space="preserve"> </w:t>
      </w:r>
      <w:r w:rsidRPr="004C5551">
        <w:t>(o 11 p. b.) a vo finančných a poisťovacích službách ( o 10,7 p. b.)</w:t>
      </w:r>
    </w:p>
    <w:p w:rsidR="007537F0" w:rsidRPr="004C5551" w:rsidRDefault="00EF2196" w:rsidP="00C92B2F">
      <w:pPr>
        <w:autoSpaceDE w:val="0"/>
        <w:autoSpaceDN w:val="0"/>
        <w:adjustRightInd w:val="0"/>
        <w:ind w:firstLine="431"/>
      </w:pPr>
      <w:r w:rsidRPr="004C5551">
        <w:t>Necelá</w:t>
      </w:r>
      <w:r w:rsidR="007537F0" w:rsidRPr="004C5551">
        <w:t xml:space="preserve"> tretina ekonomických činností vynakladala nadpriemerné výdavky na pracovnú silu. Rovnako ako v predchádzajúcom roku dominovala ekonomická činnosť informácie a komunikácie s</w:t>
      </w:r>
      <w:r w:rsidR="00003E80" w:rsidRPr="004C5551">
        <w:t> 2 </w:t>
      </w:r>
      <w:r w:rsidR="007537F0" w:rsidRPr="004C5551">
        <w:t xml:space="preserve">293 </w:t>
      </w:r>
      <w:r w:rsidR="000860E9" w:rsidRPr="004C5551">
        <w:t>eur</w:t>
      </w:r>
      <w:r w:rsidR="007537F0" w:rsidRPr="004C5551">
        <w:t>, čo prevýšilo priemernú úroveň v SR o 83,2</w:t>
      </w:r>
      <w:r w:rsidR="009425AA" w:rsidRPr="004C5551">
        <w:t> %</w:t>
      </w:r>
      <w:r w:rsidR="007537F0" w:rsidRPr="004C5551">
        <w:t xml:space="preserve">. Ďalej nasledovala ekonomická činnosť finančné a poisťovacie činnosti (2 225 </w:t>
      </w:r>
      <w:r w:rsidR="000860E9" w:rsidRPr="004C5551">
        <w:t>eur</w:t>
      </w:r>
      <w:r w:rsidR="007537F0" w:rsidRPr="004C5551">
        <w:t>), dodávka elektriny, plynu, pary a studeného vzduchu (</w:t>
      </w:r>
      <w:r w:rsidR="00003E80" w:rsidRPr="004C5551">
        <w:t>2 </w:t>
      </w:r>
      <w:r w:rsidR="007537F0" w:rsidRPr="004C5551">
        <w:t xml:space="preserve">199 </w:t>
      </w:r>
      <w:r w:rsidR="000860E9" w:rsidRPr="004C5551">
        <w:t>eur</w:t>
      </w:r>
      <w:r w:rsidR="007537F0" w:rsidRPr="004C5551">
        <w:t xml:space="preserve">), odborné, vedecké a technické činnosti (1 631 </w:t>
      </w:r>
      <w:r w:rsidR="000860E9" w:rsidRPr="004C5551">
        <w:t>eur</w:t>
      </w:r>
      <w:r w:rsidR="007537F0" w:rsidRPr="004C5551">
        <w:t xml:space="preserve">), ťažba a dobývanie (1 414 </w:t>
      </w:r>
      <w:r w:rsidR="000860E9" w:rsidRPr="004C5551">
        <w:t>eur</w:t>
      </w:r>
      <w:r w:rsidR="007537F0" w:rsidRPr="004C5551">
        <w:t>) a</w:t>
      </w:r>
      <w:r w:rsidR="00003E80" w:rsidRPr="004C5551">
        <w:t> </w:t>
      </w:r>
      <w:r w:rsidR="007537F0" w:rsidRPr="004C5551">
        <w:t xml:space="preserve">priemyselná výroba (1 283 </w:t>
      </w:r>
      <w:r w:rsidR="000860E9" w:rsidRPr="004C5551">
        <w:t>eur</w:t>
      </w:r>
      <w:r w:rsidR="007537F0" w:rsidRPr="004C5551">
        <w:t>). Ostatné ekonomické činnosti dosahovali aj naďalej podpriemerné hodnoty. Tradične najnižšie finančné prostriedky na vlastného zamestnanca boli vynaložené v</w:t>
      </w:r>
      <w:r w:rsidR="00C00601" w:rsidRPr="004C5551">
        <w:t> </w:t>
      </w:r>
      <w:r w:rsidR="007537F0" w:rsidRPr="004C5551">
        <w:t xml:space="preserve">ubytovacích a stravovacích službách (747 </w:t>
      </w:r>
      <w:r w:rsidR="000860E9" w:rsidRPr="004C5551">
        <w:t>eur</w:t>
      </w:r>
      <w:r w:rsidR="007537F0" w:rsidRPr="004C5551">
        <w:t xml:space="preserve">), v ostatných činnostiach (923 </w:t>
      </w:r>
      <w:r w:rsidR="000860E9" w:rsidRPr="004C5551">
        <w:t>eur</w:t>
      </w:r>
      <w:r w:rsidR="007537F0" w:rsidRPr="004C5551">
        <w:t>), administratívnych a</w:t>
      </w:r>
      <w:r w:rsidR="00C00601" w:rsidRPr="004C5551">
        <w:t> </w:t>
      </w:r>
      <w:r w:rsidR="007537F0" w:rsidRPr="004C5551">
        <w:t>pod</w:t>
      </w:r>
      <w:r w:rsidR="00C00601" w:rsidRPr="004C5551">
        <w:softHyphen/>
      </w:r>
      <w:r w:rsidR="007537F0" w:rsidRPr="004C5551">
        <w:t xml:space="preserve">porných službách (926 </w:t>
      </w:r>
      <w:r w:rsidR="000860E9" w:rsidRPr="004C5551">
        <w:t>eur</w:t>
      </w:r>
      <w:r w:rsidR="007537F0" w:rsidRPr="004C5551">
        <w:t xml:space="preserve">), v umení, zábave a rekreácii (971 </w:t>
      </w:r>
      <w:r w:rsidR="000860E9" w:rsidRPr="004C5551">
        <w:t>eur</w:t>
      </w:r>
      <w:r w:rsidR="007537F0" w:rsidRPr="004C5551">
        <w:t>) a</w:t>
      </w:r>
      <w:r w:rsidR="003D5480" w:rsidRPr="004C5551">
        <w:t> </w:t>
      </w:r>
      <w:r w:rsidR="007537F0" w:rsidRPr="004C5551">
        <w:t>v</w:t>
      </w:r>
      <w:r w:rsidR="003D5480" w:rsidRPr="004C5551">
        <w:t> </w:t>
      </w:r>
      <w:r w:rsidR="007537F0" w:rsidRPr="004C5551">
        <w:t>poľnohospodárstve, lesníctve a</w:t>
      </w:r>
      <w:r w:rsidR="00C00601" w:rsidRPr="004C5551">
        <w:t> </w:t>
      </w:r>
      <w:r w:rsidR="007537F0" w:rsidRPr="004C5551">
        <w:t xml:space="preserve">rybolove (1 046 </w:t>
      </w:r>
      <w:r w:rsidR="000860E9" w:rsidRPr="004C5551">
        <w:t>eur</w:t>
      </w:r>
      <w:r w:rsidR="007537F0" w:rsidRPr="004C5551">
        <w:t>). Špecifickou ekonomickou činnosťou je priemyselná výroba (1</w:t>
      </w:r>
      <w:r w:rsidR="000860E9" w:rsidRPr="004C5551">
        <w:t> </w:t>
      </w:r>
      <w:r w:rsidR="007537F0" w:rsidRPr="004C5551">
        <w:t>283</w:t>
      </w:r>
      <w:r w:rsidR="000860E9" w:rsidRPr="004C5551">
        <w:t> eur</w:t>
      </w:r>
      <w:r w:rsidR="007537F0" w:rsidRPr="004C5551">
        <w:t>), ktorá je charakteristická vysokým stupňom vnútornej diferenciácie nákladov práce vyplývajúcej z odlišnej finančnej situácie jednotlivých ekonomických činností. Výroba koksu a</w:t>
      </w:r>
      <w:r w:rsidR="00D22736" w:rsidRPr="004C5551">
        <w:t> </w:t>
      </w:r>
      <w:r w:rsidR="007537F0" w:rsidRPr="004C5551">
        <w:t xml:space="preserve">rafinovaných ropných produktov, kde výdavky na prácu (2 989 </w:t>
      </w:r>
      <w:r w:rsidR="000860E9" w:rsidRPr="004C5551">
        <w:t>eur</w:t>
      </w:r>
      <w:r w:rsidR="007537F0" w:rsidRPr="004C5551">
        <w:t>) prevyšovali celoslovenský priemer takmer 2,4-násobne, boli v kontraste s výrobou odevov a so spracovávaním dreva a výroby výrobkov z dreva (okrem nábytku), ktoré, naopak, dosahovali iba 56,3 resp. 65</w:t>
      </w:r>
      <w:r w:rsidR="009425AA" w:rsidRPr="004C5551">
        <w:t> %</w:t>
      </w:r>
      <w:r w:rsidR="007537F0" w:rsidRPr="004C5551">
        <w:t xml:space="preserve"> celoslovenského priemeru. Veľké rozpätie hodnôt bolo aj v ekonomickej činnosti doprava a</w:t>
      </w:r>
      <w:r w:rsidR="003D5480" w:rsidRPr="004C5551">
        <w:t> </w:t>
      </w:r>
      <w:r w:rsidR="007537F0" w:rsidRPr="004C5551">
        <w:t xml:space="preserve">skladovanie, kde výdavky na zamestnanca v leteckej doprave (2 685 </w:t>
      </w:r>
      <w:r w:rsidR="000860E9" w:rsidRPr="004C5551">
        <w:t>eur</w:t>
      </w:r>
      <w:r w:rsidR="007537F0" w:rsidRPr="004C5551">
        <w:t>) boli 2,4-násobné v</w:t>
      </w:r>
      <w:r w:rsidR="003D5480" w:rsidRPr="004C5551">
        <w:t> </w:t>
      </w:r>
      <w:r w:rsidR="007537F0" w:rsidRPr="004C5551">
        <w:t>porovnaní s priemerom za túto ekonomickú činnosť (1</w:t>
      </w:r>
      <w:r w:rsidR="00C00601" w:rsidRPr="004C5551">
        <w:t> </w:t>
      </w:r>
      <w:r w:rsidR="007537F0" w:rsidRPr="004C5551">
        <w:t>133</w:t>
      </w:r>
      <w:r w:rsidR="00C00601" w:rsidRPr="004C5551">
        <w:t> </w:t>
      </w:r>
      <w:r w:rsidR="000860E9" w:rsidRPr="004C5551">
        <w:t>eur</w:t>
      </w:r>
      <w:r w:rsidR="007537F0" w:rsidRPr="004C5551">
        <w:rPr>
          <w:rFonts w:ascii="Arial" w:eastAsiaTheme="minorHAnsi" w:hAnsi="Arial" w:cs="Arial"/>
          <w:szCs w:val="22"/>
          <w:lang w:eastAsia="en-US"/>
        </w:rPr>
        <w:t>)</w:t>
      </w:r>
      <w:r w:rsidR="007537F0" w:rsidRPr="004C5551">
        <w:t xml:space="preserve"> (príloha ku kapitole 2, tabuľka 1</w:t>
      </w:r>
      <w:r w:rsidR="00F35070" w:rsidRPr="004C5551">
        <w:t>7</w:t>
      </w:r>
      <w:r w:rsidR="007537F0" w:rsidRPr="004C5551">
        <w:t>).</w:t>
      </w:r>
    </w:p>
    <w:p w:rsidR="007537F0" w:rsidRPr="004C5551" w:rsidRDefault="007537F0" w:rsidP="00C92B2F">
      <w:pPr>
        <w:autoSpaceDE w:val="0"/>
        <w:autoSpaceDN w:val="0"/>
        <w:adjustRightInd w:val="0"/>
        <w:ind w:firstLine="431"/>
      </w:pPr>
      <w:r w:rsidRPr="004C5551">
        <w:t xml:space="preserve">Z hľadiska </w:t>
      </w:r>
      <w:r w:rsidRPr="004C5551">
        <w:rPr>
          <w:b/>
        </w:rPr>
        <w:t>veľkostí organizácií</w:t>
      </w:r>
      <w:r w:rsidRPr="004C5551">
        <w:t xml:space="preserve"> vynaložili najviac prostriedkov na zamestnanca subjekty s</w:t>
      </w:r>
      <w:r w:rsidR="00C00601" w:rsidRPr="004C5551">
        <w:t> </w:t>
      </w:r>
      <w:r w:rsidRPr="004C5551">
        <w:t>1</w:t>
      </w:r>
      <w:r w:rsidR="00C00601" w:rsidRPr="004C5551">
        <w:t> </w:t>
      </w:r>
      <w:r w:rsidRPr="004C5551">
        <w:t>000 a</w:t>
      </w:r>
      <w:r w:rsidR="00C00601" w:rsidRPr="004C5551">
        <w:t> </w:t>
      </w:r>
      <w:r w:rsidRPr="004C5551">
        <w:t>viac zamestnancami (1</w:t>
      </w:r>
      <w:r w:rsidR="00C00601" w:rsidRPr="004C5551">
        <w:t> </w:t>
      </w:r>
      <w:r w:rsidRPr="004C5551">
        <w:t xml:space="preserve">517 </w:t>
      </w:r>
      <w:r w:rsidR="000860E9" w:rsidRPr="004C5551">
        <w:t>eur</w:t>
      </w:r>
      <w:r w:rsidRPr="004C5551">
        <w:t xml:space="preserve">). Nadpriemernú úroveň dosiahli aj organizácie </w:t>
      </w:r>
      <w:r w:rsidR="00C00601" w:rsidRPr="004C5551">
        <w:br/>
      </w:r>
      <w:r w:rsidRPr="004C5551">
        <w:t xml:space="preserve">s 500 – 999 zamestnancami (1 364 </w:t>
      </w:r>
      <w:r w:rsidR="000860E9" w:rsidRPr="004C5551">
        <w:t>eur</w:t>
      </w:r>
      <w:r w:rsidRPr="004C5551">
        <w:t xml:space="preserve">), s 250 – 499 zamestnancami (1 277 </w:t>
      </w:r>
      <w:r w:rsidR="000860E9" w:rsidRPr="004C5551">
        <w:t>eur</w:t>
      </w:r>
      <w:r w:rsidRPr="004C5551">
        <w:t>)</w:t>
      </w:r>
      <w:r w:rsidR="00073D95" w:rsidRPr="004C5551">
        <w:t xml:space="preserve"> </w:t>
      </w:r>
      <w:r w:rsidRPr="004C5551">
        <w:t xml:space="preserve">a organizácie </w:t>
      </w:r>
      <w:r w:rsidR="00C00601" w:rsidRPr="004C5551">
        <w:br/>
      </w:r>
      <w:r w:rsidR="00003E80" w:rsidRPr="004C5551">
        <w:t>so </w:t>
      </w:r>
      <w:r w:rsidRPr="004C5551">
        <w:t xml:space="preserve">100 – 249 zamestnancami (1 281 </w:t>
      </w:r>
      <w:r w:rsidR="000860E9" w:rsidRPr="004C5551">
        <w:t>eur</w:t>
      </w:r>
      <w:r w:rsidRPr="004C5551">
        <w:t xml:space="preserve">). Najnižšie výdavky na prácu boli v malých podnikoch </w:t>
      </w:r>
      <w:r w:rsidR="00003E80" w:rsidRPr="004C5551">
        <w:t>od 1 </w:t>
      </w:r>
      <w:r w:rsidR="00C00601" w:rsidRPr="004C5551">
        <w:t>do</w:t>
      </w:r>
      <w:r w:rsidRPr="004C5551">
        <w:t xml:space="preserve"> 9 zamestnancov (1 007 </w:t>
      </w:r>
      <w:r w:rsidR="000860E9" w:rsidRPr="004C5551">
        <w:t>eur</w:t>
      </w:r>
      <w:r w:rsidRPr="004C5551">
        <w:t xml:space="preserve">) a v organizáciách, ktoré zamestnávajú 10 – 19 osôb (1 128 </w:t>
      </w:r>
      <w:r w:rsidR="000860E9" w:rsidRPr="004C5551">
        <w:t>eur</w:t>
      </w:r>
      <w:r w:rsidRPr="004C5551">
        <w:t>).</w:t>
      </w:r>
    </w:p>
    <w:p w:rsidR="007537F0" w:rsidRPr="004C5551" w:rsidRDefault="007537F0" w:rsidP="00C92B2F">
      <w:pPr>
        <w:autoSpaceDE w:val="0"/>
        <w:autoSpaceDN w:val="0"/>
        <w:adjustRightInd w:val="0"/>
        <w:ind w:firstLine="431"/>
      </w:pPr>
      <w:r w:rsidRPr="004C5551">
        <w:rPr>
          <w:b/>
        </w:rPr>
        <w:t>Regionálna diferenciácia</w:t>
      </w:r>
      <w:r w:rsidRPr="004C5551">
        <w:t xml:space="preserve"> v nákladoch práce medziročne vzrástla o 1,6</w:t>
      </w:r>
      <w:r w:rsidR="009425AA" w:rsidRPr="004C5551">
        <w:t> %</w:t>
      </w:r>
      <w:r w:rsidRPr="004C5551">
        <w:t xml:space="preserve">. Mesačné náklady práce sa v jednotlivých regiónoch pohybovali v intervale od 982 </w:t>
      </w:r>
      <w:r w:rsidR="000860E9" w:rsidRPr="004C5551">
        <w:t>eur</w:t>
      </w:r>
      <w:r w:rsidRPr="004C5551">
        <w:t xml:space="preserve"> (v Prešovskom kraji) do</w:t>
      </w:r>
      <w:r w:rsidR="003D5480" w:rsidRPr="004C5551">
        <w:t> </w:t>
      </w:r>
      <w:r w:rsidRPr="004C5551">
        <w:t>1</w:t>
      </w:r>
      <w:r w:rsidR="003D5480" w:rsidRPr="004C5551">
        <w:t> </w:t>
      </w:r>
      <w:r w:rsidRPr="004C5551">
        <w:t>642</w:t>
      </w:r>
      <w:r w:rsidR="003D5480" w:rsidRPr="004C5551">
        <w:t> </w:t>
      </w:r>
      <w:r w:rsidR="000860E9" w:rsidRPr="004C5551">
        <w:t>eur</w:t>
      </w:r>
      <w:r w:rsidRPr="004C5551">
        <w:t xml:space="preserve"> (Bratislavskom kraji), pričom nadpriemernú úroveň dosiahol len Bratislavský kraj. V</w:t>
      </w:r>
      <w:r w:rsidR="003D5480" w:rsidRPr="004C5551">
        <w:t> </w:t>
      </w:r>
      <w:r w:rsidRPr="004C5551">
        <w:t>porovnaní s rokom 2012 vzrástli mesačné náklady práce takmer vo všetkých regiónoch. Výnimkou bol len Trnavský kraj, ktorý ako jediný nedosiahol úroveň predchádzajúceho roku a mesačné náklady práce v tomto kraji medziročne poklesli o 0,3</w:t>
      </w:r>
      <w:r w:rsidR="009425AA" w:rsidRPr="004C5551">
        <w:t> %</w:t>
      </w:r>
      <w:r w:rsidRPr="004C5551">
        <w:t>. Z pohľadu dynamiky nákladov práce sa oproti predchádzajúcemu roku ich rast zrýchlil v Žilinskom, Banskobystrickom, Prešovskom a Košickom kraji. V ostatných krajoch nastalo spomalenie rastu mesačných nákladov práce.</w:t>
      </w:r>
    </w:p>
    <w:p w:rsidR="007537F0" w:rsidRPr="004C5551" w:rsidRDefault="007537F0" w:rsidP="007537F0">
      <w:pPr>
        <w:pStyle w:val="Nadpis7"/>
      </w:pPr>
      <w:r w:rsidRPr="004C5551">
        <w:t>Tabuľka 2.</w:t>
      </w:r>
      <w:r w:rsidR="0022209F" w:rsidRPr="004C5551">
        <w:t>22</w:t>
      </w:r>
      <w:r w:rsidRPr="004C5551">
        <w:t xml:space="preserve"> Mesačné náklady práce na zamestnanca v roku 2013 podľa krajov (v </w:t>
      </w:r>
      <w:r w:rsidR="000860E9" w:rsidRPr="004C5551">
        <w:t>eurách</w:t>
      </w:r>
      <w:r w:rsidRPr="004C5551">
        <w:t>)</w:t>
      </w:r>
    </w:p>
    <w:tbl>
      <w:tblPr>
        <w:tblW w:w="8956" w:type="dxa"/>
        <w:jc w:val="center"/>
        <w:tblInd w:w="367" w:type="dxa"/>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CellMar>
          <w:left w:w="70" w:type="dxa"/>
          <w:right w:w="70" w:type="dxa"/>
        </w:tblCellMar>
        <w:tblLook w:val="0000" w:firstRow="0" w:lastRow="0" w:firstColumn="0" w:lastColumn="0" w:noHBand="0" w:noVBand="0"/>
      </w:tblPr>
      <w:tblGrid>
        <w:gridCol w:w="3060"/>
        <w:gridCol w:w="737"/>
        <w:gridCol w:w="737"/>
        <w:gridCol w:w="737"/>
        <w:gridCol w:w="737"/>
        <w:gridCol w:w="737"/>
        <w:gridCol w:w="737"/>
        <w:gridCol w:w="737"/>
        <w:gridCol w:w="737"/>
      </w:tblGrid>
      <w:tr w:rsidR="007537F0" w:rsidRPr="004C5551" w:rsidTr="003D5480">
        <w:trPr>
          <w:trHeight w:val="285"/>
          <w:jc w:val="center"/>
        </w:trPr>
        <w:tc>
          <w:tcPr>
            <w:tcW w:w="3060" w:type="dxa"/>
            <w:shd w:val="clear" w:color="auto" w:fill="BF0000" w:themeFill="accent3" w:themeFillShade="BF"/>
            <w:noWrap/>
            <w:vAlign w:val="center"/>
          </w:tcPr>
          <w:p w:rsidR="007537F0" w:rsidRPr="004C5551" w:rsidRDefault="007537F0" w:rsidP="00D36062">
            <w:pPr>
              <w:pStyle w:val="Normlnysozarkami11"/>
              <w:jc w:val="center"/>
              <w:rPr>
                <w:b/>
                <w:color w:val="FFFFFF" w:themeColor="background1"/>
              </w:rPr>
            </w:pPr>
            <w:r w:rsidRPr="004C5551">
              <w:rPr>
                <w:b/>
                <w:color w:val="FFFFFF" w:themeColor="background1"/>
              </w:rPr>
              <w:t>Položky nákladov práce</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BA</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TT</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TN</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NR</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ZA</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BB</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PO</w:t>
            </w:r>
          </w:p>
        </w:tc>
        <w:tc>
          <w:tcPr>
            <w:tcW w:w="737" w:type="dxa"/>
            <w:shd w:val="clear" w:color="auto" w:fill="BF0000" w:themeFill="accent3" w:themeFillShade="BF"/>
            <w:vAlign w:val="center"/>
          </w:tcPr>
          <w:p w:rsidR="007537F0" w:rsidRPr="004C5551" w:rsidRDefault="007537F0" w:rsidP="00D36062">
            <w:pPr>
              <w:pStyle w:val="Normlnysozarkami11"/>
              <w:ind w:firstLine="0"/>
              <w:jc w:val="center"/>
              <w:rPr>
                <w:b/>
                <w:color w:val="FFFFFF" w:themeColor="background1"/>
              </w:rPr>
            </w:pPr>
            <w:r w:rsidRPr="004C5551">
              <w:rPr>
                <w:b/>
                <w:color w:val="FFFFFF" w:themeColor="background1"/>
              </w:rPr>
              <w:t>KE</w:t>
            </w:r>
          </w:p>
        </w:tc>
      </w:tr>
      <w:tr w:rsidR="007537F0" w:rsidRPr="004C5551" w:rsidTr="003D5480">
        <w:trPr>
          <w:trHeight w:val="285"/>
          <w:jc w:val="center"/>
        </w:trPr>
        <w:tc>
          <w:tcPr>
            <w:tcW w:w="3060" w:type="dxa"/>
            <w:noWrap/>
            <w:vAlign w:val="center"/>
          </w:tcPr>
          <w:p w:rsidR="007537F0" w:rsidRPr="004C5551" w:rsidRDefault="007537F0" w:rsidP="00D36062">
            <w:pPr>
              <w:spacing w:before="20" w:after="20"/>
              <w:rPr>
                <w:b/>
                <w:sz w:val="20"/>
                <w:szCs w:val="20"/>
              </w:rPr>
            </w:pPr>
            <w:r w:rsidRPr="004C5551">
              <w:rPr>
                <w:b/>
                <w:sz w:val="20"/>
                <w:szCs w:val="20"/>
              </w:rPr>
              <w:t>1. – 16. CELKOVÉ NÁKLADY PRÁCE</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1 642</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1 127</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1 104</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1 045</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1 149</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1 065</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982</w:t>
            </w:r>
          </w:p>
        </w:tc>
        <w:tc>
          <w:tcPr>
            <w:tcW w:w="737" w:type="dxa"/>
            <w:noWrap/>
            <w:vAlign w:val="center"/>
          </w:tcPr>
          <w:p w:rsidR="007537F0" w:rsidRPr="004C5551" w:rsidRDefault="007537F0" w:rsidP="00D36062">
            <w:pPr>
              <w:spacing w:before="20" w:after="20"/>
              <w:jc w:val="right"/>
              <w:rPr>
                <w:b/>
                <w:sz w:val="20"/>
                <w:szCs w:val="20"/>
              </w:rPr>
            </w:pPr>
            <w:r w:rsidRPr="004C5551">
              <w:rPr>
                <w:b/>
                <w:sz w:val="20"/>
                <w:szCs w:val="20"/>
              </w:rPr>
              <w:t>1 192</w:t>
            </w:r>
          </w:p>
        </w:tc>
      </w:tr>
      <w:tr w:rsidR="007537F0" w:rsidRPr="004C5551" w:rsidTr="003D5480">
        <w:trPr>
          <w:trHeight w:val="285"/>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 – 7. PRIAME NÁKLADY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1 192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819</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801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760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832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773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714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864</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 Mzdy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1 044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718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699</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666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727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680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622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756</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2. Náhrady mzdy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136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94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96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89</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97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85</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102</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3. Platby do programu sporenia</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4. Náhrady za pracovnú pohotovosť</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5. Peňažné plnenia zo zisku po zdanení</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6. Ostatné priame náklady zamestnancom</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7. Odmeny učňom</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r>
      <w:tr w:rsidR="007537F0" w:rsidRPr="004C5551" w:rsidTr="003D5480">
        <w:trPr>
          <w:trHeight w:val="285"/>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8.</w:t>
            </w:r>
            <w:r w:rsidRPr="004C5551">
              <w:rPr>
                <w:color w:val="000000" w:themeColor="text1"/>
              </w:rPr>
              <w:t xml:space="preserve"> – </w:t>
            </w:r>
            <w:r w:rsidRPr="004C5551">
              <w:rPr>
                <w:sz w:val="20"/>
                <w:szCs w:val="20"/>
              </w:rPr>
              <w:t>15. NEPRIAME NÁKLADY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453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308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303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285</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318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294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268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328</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8. Povinné príspevky na sociálne poistenie</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396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278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276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260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286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268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244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296</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9. Nepovinné príspevky na sociálne poistenie</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5</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4</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5</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10. Sociálne dávky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9</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6</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7</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11. Príspevky na sociálne poistenie učňov</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12. Sociálne výhody</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17</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9</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13</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13. Náklady na školenie zamestnancov</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8</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14. Poplatky a sankcie súvisiace so mzdami</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r>
      <w:tr w:rsidR="007537F0" w:rsidRPr="004C5551" w:rsidTr="003D5480">
        <w:trPr>
          <w:trHeight w:val="300"/>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15. Ostatné nepriame náklady práce</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r>
      <w:tr w:rsidR="007537F0" w:rsidRPr="004C5551" w:rsidTr="003D5480">
        <w:trPr>
          <w:trHeight w:val="285"/>
          <w:jc w:val="center"/>
        </w:trPr>
        <w:tc>
          <w:tcPr>
            <w:tcW w:w="3060" w:type="dxa"/>
            <w:noWrap/>
            <w:vAlign w:val="center"/>
          </w:tcPr>
          <w:p w:rsidR="007537F0" w:rsidRPr="004C5551" w:rsidRDefault="007537F0" w:rsidP="00D36062">
            <w:pPr>
              <w:spacing w:before="20" w:after="20"/>
              <w:jc w:val="left"/>
              <w:rPr>
                <w:sz w:val="20"/>
                <w:szCs w:val="20"/>
              </w:rPr>
            </w:pPr>
            <w:r w:rsidRPr="004C5551">
              <w:rPr>
                <w:sz w:val="20"/>
                <w:szCs w:val="20"/>
              </w:rPr>
              <w:t>16. SUBVENCIE</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-3</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-2</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-0</w:t>
            </w:r>
          </w:p>
        </w:tc>
        <w:tc>
          <w:tcPr>
            <w:tcW w:w="737" w:type="dxa"/>
            <w:noWrap/>
            <w:vAlign w:val="center"/>
          </w:tcPr>
          <w:p w:rsidR="007537F0" w:rsidRPr="004C5551" w:rsidRDefault="007537F0" w:rsidP="00D36062">
            <w:pPr>
              <w:spacing w:before="20" w:after="20"/>
              <w:jc w:val="right"/>
              <w:rPr>
                <w:sz w:val="20"/>
                <w:szCs w:val="20"/>
              </w:rPr>
            </w:pPr>
            <w:r w:rsidRPr="004C5551">
              <w:rPr>
                <w:sz w:val="20"/>
                <w:szCs w:val="20"/>
              </w:rPr>
              <w:t>-1</w:t>
            </w:r>
          </w:p>
        </w:tc>
      </w:tr>
    </w:tbl>
    <w:p w:rsidR="007537F0" w:rsidRPr="004C5551" w:rsidRDefault="007537F0" w:rsidP="007537F0">
      <w:pPr>
        <w:pStyle w:val="zdroj"/>
        <w:spacing w:after="0"/>
        <w:ind w:firstLine="570"/>
      </w:pPr>
      <w:r w:rsidRPr="004C5551">
        <w:t>Zdroj: ŠÚ SR, štatistické zisťovanie o úplných nákladoch práce</w:t>
      </w:r>
    </w:p>
    <w:p w:rsidR="007537F0" w:rsidRPr="004C5551" w:rsidRDefault="007537F0" w:rsidP="007537F0">
      <w:pPr>
        <w:pStyle w:val="zdroj"/>
        <w:spacing w:before="0"/>
        <w:ind w:firstLine="570"/>
      </w:pPr>
      <w:r w:rsidRPr="004C5551">
        <w:t>Vysvetlivka:(-) – údaj sa nevyskytuje</w:t>
      </w:r>
    </w:p>
    <w:p w:rsidR="003D5480" w:rsidRPr="004C5551" w:rsidRDefault="003D5480" w:rsidP="007537F0">
      <w:pPr>
        <w:pStyle w:val="zdroj"/>
        <w:spacing w:before="0"/>
        <w:ind w:firstLine="570"/>
      </w:pPr>
    </w:p>
    <w:p w:rsidR="00A966B5" w:rsidRPr="004C5551" w:rsidRDefault="00A966B5" w:rsidP="00ED16E0">
      <w:pPr>
        <w:pStyle w:val="Nadpis6"/>
      </w:pPr>
      <w:bookmarkStart w:id="102" w:name="_Toc422233411"/>
      <w:r w:rsidRPr="004C5551">
        <w:t>Kolektívne vyjednávanie</w:t>
      </w:r>
      <w:bookmarkEnd w:id="102"/>
    </w:p>
    <w:p w:rsidR="007537F0" w:rsidRPr="004C5551" w:rsidRDefault="007537F0" w:rsidP="00C00601">
      <w:pPr>
        <w:pStyle w:val="Normlnysozarkami12"/>
        <w:spacing w:after="120"/>
        <w:ind w:firstLine="0"/>
        <w:rPr>
          <w:b/>
          <w:bCs/>
          <w:szCs w:val="23"/>
        </w:rPr>
      </w:pPr>
      <w:r w:rsidRPr="004C5551">
        <w:rPr>
          <w:b/>
          <w:bCs/>
          <w:szCs w:val="23"/>
        </w:rPr>
        <w:t>Ukladanie kolektívnych zmlúv vyššieho stupňa na MPSVR SR,</w:t>
      </w:r>
      <w:r w:rsidR="00C00601" w:rsidRPr="004C5551">
        <w:rPr>
          <w:b/>
          <w:bCs/>
          <w:szCs w:val="23"/>
        </w:rPr>
        <w:t xml:space="preserve"> </w:t>
      </w:r>
      <w:r w:rsidRPr="004C5551">
        <w:rPr>
          <w:b/>
          <w:bCs/>
          <w:szCs w:val="23"/>
        </w:rPr>
        <w:t>ich extenzia a kolektívne spory</w:t>
      </w:r>
    </w:p>
    <w:p w:rsidR="007537F0" w:rsidRPr="004C5551" w:rsidRDefault="007537F0" w:rsidP="00C92B2F">
      <w:pPr>
        <w:ind w:firstLine="431"/>
        <w:rPr>
          <w:szCs w:val="22"/>
          <w:lang w:eastAsia="cs-CZ"/>
        </w:rPr>
      </w:pPr>
      <w:r w:rsidRPr="004C5551">
        <w:rPr>
          <w:szCs w:val="22"/>
          <w:lang w:eastAsia="cs-CZ"/>
        </w:rPr>
        <w:t>Podľa zákona č. 2/1991 Zb. o kolektívnom vyjednávaní v znení neskorších predpisov (ďalej len „zákon o kolektívnom vyjednávaní“), v roku 2014 došlo k zmenám v rozširovaní záväznosti kolektívnej zmluvy vyššieho stupňa (ďalej len „KZVS“)</w:t>
      </w:r>
      <w:r w:rsidR="00073D95" w:rsidRPr="004C5551">
        <w:rPr>
          <w:szCs w:val="22"/>
          <w:lang w:eastAsia="cs-CZ"/>
        </w:rPr>
        <w:t xml:space="preserve"> </w:t>
      </w:r>
      <w:r w:rsidRPr="004C5551">
        <w:rPr>
          <w:szCs w:val="22"/>
          <w:lang w:eastAsia="cs-CZ"/>
        </w:rPr>
        <w:t>na ďalších zamestnávateľov. Od 1.</w:t>
      </w:r>
      <w:r w:rsidR="00C00601" w:rsidRPr="004C5551">
        <w:rPr>
          <w:szCs w:val="22"/>
          <w:lang w:eastAsia="cs-CZ"/>
        </w:rPr>
        <w:t> </w:t>
      </w:r>
      <w:r w:rsidRPr="004C5551">
        <w:rPr>
          <w:szCs w:val="22"/>
          <w:lang w:eastAsia="cs-CZ"/>
        </w:rPr>
        <w:t>1.</w:t>
      </w:r>
      <w:r w:rsidR="00C00601" w:rsidRPr="004C5551">
        <w:rPr>
          <w:szCs w:val="22"/>
          <w:lang w:eastAsia="cs-CZ"/>
        </w:rPr>
        <w:t> </w:t>
      </w:r>
      <w:r w:rsidRPr="004C5551">
        <w:rPr>
          <w:szCs w:val="22"/>
          <w:lang w:eastAsia="cs-CZ"/>
        </w:rPr>
        <w:t>2014 nadobudol účinnosť</w:t>
      </w:r>
      <w:r w:rsidR="00073D95" w:rsidRPr="004C5551">
        <w:rPr>
          <w:szCs w:val="22"/>
          <w:lang w:eastAsia="cs-CZ"/>
        </w:rPr>
        <w:t xml:space="preserve"> </w:t>
      </w:r>
      <w:r w:rsidRPr="004C5551">
        <w:rPr>
          <w:szCs w:val="22"/>
          <w:lang w:eastAsia="cs-CZ"/>
        </w:rPr>
        <w:t>zákon č. 416/2013 Z. z., ktorým sa mení a dopĺňa zákon č.</w:t>
      </w:r>
      <w:r w:rsidR="00C00601" w:rsidRPr="004C5551">
        <w:rPr>
          <w:szCs w:val="22"/>
          <w:lang w:eastAsia="cs-CZ"/>
        </w:rPr>
        <w:t> </w:t>
      </w:r>
      <w:r w:rsidRPr="004C5551">
        <w:rPr>
          <w:szCs w:val="22"/>
          <w:lang w:eastAsia="cs-CZ"/>
        </w:rPr>
        <w:t xml:space="preserve">2/1991 Zb. </w:t>
      </w:r>
      <w:r w:rsidR="00003E80" w:rsidRPr="004C5551">
        <w:rPr>
          <w:szCs w:val="22"/>
          <w:lang w:eastAsia="cs-CZ"/>
        </w:rPr>
        <w:t>o </w:t>
      </w:r>
      <w:r w:rsidRPr="004C5551">
        <w:rPr>
          <w:szCs w:val="22"/>
          <w:lang w:eastAsia="cs-CZ"/>
        </w:rPr>
        <w:t xml:space="preserve">kolektívnom vyjednávaní v znení neskorších predpisov. Podľa platného znenia zákona </w:t>
      </w:r>
      <w:r w:rsidR="00003E80" w:rsidRPr="004C5551">
        <w:rPr>
          <w:szCs w:val="22"/>
          <w:lang w:eastAsia="cs-CZ"/>
        </w:rPr>
        <w:t>o </w:t>
      </w:r>
      <w:r w:rsidRPr="004C5551">
        <w:rPr>
          <w:szCs w:val="22"/>
          <w:lang w:eastAsia="cs-CZ"/>
        </w:rPr>
        <w:t>kolektívnom vyjednávaní došlo v roku 2014 k rozšíreniu záväznosti piatich KZVS. V súvislosti s rozširovaním záväznosti KZVS možno konštatovať, že ministerstvu v roku 2014 bolo doručených</w:t>
      </w:r>
      <w:r w:rsidR="00073D95" w:rsidRPr="004C5551">
        <w:rPr>
          <w:szCs w:val="22"/>
          <w:lang w:eastAsia="cs-CZ"/>
        </w:rPr>
        <w:t xml:space="preserve"> </w:t>
      </w:r>
      <w:r w:rsidRPr="004C5551">
        <w:rPr>
          <w:szCs w:val="22"/>
          <w:lang w:eastAsia="cs-CZ"/>
        </w:rPr>
        <w:t>päť písomných návrhov zmluvných strán KZVS so žiadosťou o extenziu. Z celkového počtu piatich návrhov na rozšírenie KZVS boli dva spoločné návrhy zmluvných strán a v troch prípadoch požiadali o rozšírenie KZVS odborové zväzy.</w:t>
      </w:r>
    </w:p>
    <w:p w:rsidR="007537F0" w:rsidRPr="004C5551" w:rsidRDefault="007537F0" w:rsidP="007537F0">
      <w:pPr>
        <w:ind w:firstLine="720"/>
        <w:rPr>
          <w:szCs w:val="22"/>
          <w:lang w:eastAsia="cs-CZ"/>
        </w:rPr>
      </w:pPr>
    </w:p>
    <w:p w:rsidR="00460DEB" w:rsidRPr="004C5551" w:rsidRDefault="007537F0" w:rsidP="00460DEB">
      <w:pPr>
        <w:jc w:val="left"/>
        <w:rPr>
          <w:szCs w:val="22"/>
          <w:lang w:eastAsia="cs-CZ"/>
        </w:rPr>
      </w:pPr>
      <w:r w:rsidRPr="004C5551">
        <w:rPr>
          <w:szCs w:val="22"/>
          <w:lang w:eastAsia="cs-CZ"/>
        </w:rPr>
        <w:t>V roku 2014 boli rozšírené tieto KZVS:</w:t>
      </w:r>
    </w:p>
    <w:p w:rsidR="007537F0" w:rsidRPr="004C5551" w:rsidRDefault="007537F0" w:rsidP="007537F0">
      <w:pPr>
        <w:rPr>
          <w:szCs w:val="22"/>
          <w:lang w:eastAsia="cs-CZ"/>
        </w:rPr>
      </w:pPr>
    </w:p>
    <w:p w:rsidR="007537F0" w:rsidRPr="004C5551" w:rsidRDefault="007537F0" w:rsidP="009C55E3">
      <w:pPr>
        <w:pStyle w:val="Odsekzoznamu"/>
        <w:numPr>
          <w:ilvl w:val="0"/>
          <w:numId w:val="40"/>
        </w:numPr>
        <w:rPr>
          <w:szCs w:val="22"/>
          <w:lang w:eastAsia="cs-CZ"/>
        </w:rPr>
      </w:pPr>
      <w:r w:rsidRPr="004C5551">
        <w:rPr>
          <w:szCs w:val="22"/>
          <w:lang w:eastAsia="cs-CZ"/>
        </w:rPr>
        <w:t xml:space="preserve">Záväznosť Kolektívnej zmluvy vyššieho stupňa na roky 2014 </w:t>
      </w:r>
      <w:r w:rsidR="00106028" w:rsidRPr="004C5551">
        <w:rPr>
          <w:szCs w:val="22"/>
          <w:lang w:eastAsia="cs-CZ"/>
        </w:rPr>
        <w:t>–</w:t>
      </w:r>
      <w:r w:rsidRPr="004C5551">
        <w:rPr>
          <w:szCs w:val="22"/>
          <w:lang w:eastAsia="cs-CZ"/>
        </w:rPr>
        <w:t xml:space="preserve"> 2015 uzavretej medzi Zväzom autobusovej dopravy</w:t>
      </w:r>
      <w:r w:rsidR="00073D95" w:rsidRPr="004C5551">
        <w:rPr>
          <w:szCs w:val="22"/>
          <w:lang w:eastAsia="cs-CZ"/>
        </w:rPr>
        <w:t xml:space="preserve"> </w:t>
      </w:r>
      <w:r w:rsidRPr="004C5551">
        <w:rPr>
          <w:szCs w:val="22"/>
          <w:lang w:eastAsia="cs-CZ"/>
        </w:rPr>
        <w:t>zastupujúcim</w:t>
      </w:r>
      <w:r w:rsidR="00073D95" w:rsidRPr="004C5551">
        <w:rPr>
          <w:szCs w:val="22"/>
          <w:lang w:eastAsia="cs-CZ"/>
        </w:rPr>
        <w:t xml:space="preserve"> </w:t>
      </w:r>
      <w:r w:rsidRPr="004C5551">
        <w:rPr>
          <w:szCs w:val="22"/>
          <w:lang w:eastAsia="cs-CZ"/>
        </w:rPr>
        <w:t>zamestnávateľské organizácie v hromadnej verejnej cestnej doprave a Odborovým zväzom KOVO zastupujúcim</w:t>
      </w:r>
      <w:r w:rsidR="00073D95" w:rsidRPr="004C5551">
        <w:rPr>
          <w:szCs w:val="22"/>
          <w:lang w:eastAsia="cs-CZ"/>
        </w:rPr>
        <w:t xml:space="preserve"> </w:t>
      </w:r>
      <w:r w:rsidRPr="004C5551">
        <w:rPr>
          <w:szCs w:val="22"/>
          <w:lang w:eastAsia="cs-CZ"/>
        </w:rPr>
        <w:t>zamestnancov vo verejnej cestnej doprave sa rozšírila na zamestnávateľov v časti odvetvia, ktorých kód hlavnej činnosti podľa štatistickej klasifikácie ekonomických činností na úrovni skupiny je 49.3 – ostatná osobná pozemná doprava. Výnos bol zverejnený v Zbierke zákonov č. 211/2014 a účinnosť nadobudol 1. augusta 2014.</w:t>
      </w:r>
    </w:p>
    <w:p w:rsidR="007537F0" w:rsidRPr="004C5551" w:rsidRDefault="007537F0" w:rsidP="009C55E3">
      <w:pPr>
        <w:pStyle w:val="Odsekzoznamu"/>
        <w:numPr>
          <w:ilvl w:val="0"/>
          <w:numId w:val="40"/>
        </w:numPr>
        <w:rPr>
          <w:szCs w:val="22"/>
          <w:lang w:eastAsia="cs-CZ"/>
        </w:rPr>
      </w:pPr>
      <w:r w:rsidRPr="004C5551">
        <w:rPr>
          <w:szCs w:val="22"/>
          <w:lang w:eastAsia="cs-CZ"/>
        </w:rPr>
        <w:t xml:space="preserve">Záväznosť Kolektívnej zmluvy vyššieho stupňa na roky 2013 </w:t>
      </w:r>
      <w:r w:rsidR="00073D95" w:rsidRPr="004C5551">
        <w:rPr>
          <w:szCs w:val="22"/>
          <w:lang w:eastAsia="cs-CZ"/>
        </w:rPr>
        <w:t>–</w:t>
      </w:r>
      <w:r w:rsidRPr="004C5551">
        <w:rPr>
          <w:szCs w:val="22"/>
          <w:lang w:eastAsia="cs-CZ"/>
        </w:rPr>
        <w:t xml:space="preserve"> 2014</w:t>
      </w:r>
      <w:r w:rsidR="00073D95" w:rsidRPr="004C5551">
        <w:rPr>
          <w:szCs w:val="22"/>
          <w:lang w:eastAsia="cs-CZ"/>
        </w:rPr>
        <w:t xml:space="preserve"> </w:t>
      </w:r>
      <w:r w:rsidRPr="004C5551">
        <w:rPr>
          <w:szCs w:val="22"/>
          <w:lang w:eastAsia="cs-CZ"/>
        </w:rPr>
        <w:t>uzavretej medzi Odborovým zväzom KOVO</w:t>
      </w:r>
      <w:r w:rsidR="00073D95" w:rsidRPr="004C5551">
        <w:rPr>
          <w:szCs w:val="22"/>
          <w:lang w:eastAsia="cs-CZ"/>
        </w:rPr>
        <w:t xml:space="preserve"> </w:t>
      </w:r>
      <w:r w:rsidRPr="004C5551">
        <w:rPr>
          <w:szCs w:val="22"/>
          <w:lang w:eastAsia="cs-CZ"/>
        </w:rPr>
        <w:t>a Zväzom strojárskeho priemyslu Slovenskej republiky</w:t>
      </w:r>
      <w:r w:rsidR="00073D95" w:rsidRPr="004C5551">
        <w:rPr>
          <w:szCs w:val="22"/>
          <w:lang w:eastAsia="cs-CZ"/>
        </w:rPr>
        <w:t xml:space="preserve"> </w:t>
      </w:r>
      <w:r w:rsidRPr="004C5551">
        <w:rPr>
          <w:szCs w:val="22"/>
          <w:lang w:eastAsia="cs-CZ"/>
        </w:rPr>
        <w:t>v znení Dodatku č. 1</w:t>
      </w:r>
      <w:r w:rsidR="00073D95" w:rsidRPr="004C5551">
        <w:rPr>
          <w:szCs w:val="22"/>
          <w:lang w:eastAsia="cs-CZ"/>
        </w:rPr>
        <w:t xml:space="preserve"> </w:t>
      </w:r>
      <w:r w:rsidRPr="004C5551">
        <w:rPr>
          <w:szCs w:val="22"/>
          <w:lang w:eastAsia="cs-CZ"/>
        </w:rPr>
        <w:t>sa rozšírila na zamestnávateľov</w:t>
      </w:r>
      <w:r w:rsidR="00073D95" w:rsidRPr="004C5551">
        <w:rPr>
          <w:szCs w:val="22"/>
          <w:lang w:eastAsia="cs-CZ"/>
        </w:rPr>
        <w:t xml:space="preserve"> </w:t>
      </w:r>
      <w:r w:rsidRPr="004C5551">
        <w:rPr>
          <w:szCs w:val="22"/>
          <w:lang w:eastAsia="cs-CZ"/>
        </w:rPr>
        <w:t xml:space="preserve">v časti odvetvia, ktorých kód hlavnej činnosti podľa štatistickej klasifikácie ekonomických činností na úrovni skupiny je </w:t>
      </w:r>
      <w:r w:rsidR="00106028" w:rsidRPr="004C5551">
        <w:rPr>
          <w:szCs w:val="22"/>
          <w:lang w:eastAsia="cs-CZ"/>
        </w:rPr>
        <w:t>–</w:t>
      </w:r>
      <w:r w:rsidRPr="004C5551">
        <w:rPr>
          <w:szCs w:val="22"/>
          <w:lang w:eastAsia="cs-CZ"/>
        </w:rPr>
        <w:t xml:space="preserve"> 25.4 výroba zbraní a munície, </w:t>
      </w:r>
      <w:r w:rsidR="00003E80" w:rsidRPr="004C5551">
        <w:rPr>
          <w:szCs w:val="22"/>
          <w:lang w:eastAsia="cs-CZ"/>
        </w:rPr>
        <w:br/>
      </w:r>
      <w:r w:rsidRPr="004C5551">
        <w:rPr>
          <w:szCs w:val="22"/>
          <w:lang w:eastAsia="cs-CZ"/>
        </w:rPr>
        <w:t>28.3 – výroba strojov pre poľnohospodárstvo a lesníctvo</w:t>
      </w:r>
      <w:r w:rsidR="00FF0E0A" w:rsidRPr="004C5551">
        <w:rPr>
          <w:szCs w:val="22"/>
          <w:lang w:eastAsia="cs-CZ"/>
        </w:rPr>
        <w:t xml:space="preserve"> </w:t>
      </w:r>
      <w:r w:rsidRPr="004C5551">
        <w:rPr>
          <w:szCs w:val="22"/>
          <w:lang w:eastAsia="cs-CZ"/>
        </w:rPr>
        <w:t>a 29.1 – výroba motorových vozidiel. Výnos bol zverejnený v Zbierke zákonov č. 221/2014 a účinnosť nadobudol 1. septembra 2014.</w:t>
      </w:r>
    </w:p>
    <w:p w:rsidR="007537F0" w:rsidRPr="004C5551" w:rsidRDefault="007537F0" w:rsidP="009C55E3">
      <w:pPr>
        <w:pStyle w:val="Odsekzoznamu"/>
        <w:numPr>
          <w:ilvl w:val="0"/>
          <w:numId w:val="40"/>
        </w:numPr>
        <w:rPr>
          <w:szCs w:val="22"/>
          <w:lang w:eastAsia="cs-CZ"/>
        </w:rPr>
      </w:pPr>
      <w:r w:rsidRPr="004C5551">
        <w:rPr>
          <w:szCs w:val="22"/>
          <w:lang w:eastAsia="cs-CZ"/>
        </w:rPr>
        <w:t>Záväznosť Kolektívnej zmluvy vyššieho stupňa uzavretej medzi Odborovým zväzom KOVO, Nezávislými kresťanskými odbormi Slovenska a</w:t>
      </w:r>
      <w:r w:rsidR="00073D95" w:rsidRPr="004C5551">
        <w:rPr>
          <w:szCs w:val="22"/>
          <w:lang w:eastAsia="cs-CZ"/>
        </w:rPr>
        <w:t> </w:t>
      </w:r>
      <w:r w:rsidRPr="004C5551">
        <w:rPr>
          <w:szCs w:val="22"/>
          <w:lang w:eastAsia="cs-CZ"/>
        </w:rPr>
        <w:t>Zväzom</w:t>
      </w:r>
      <w:r w:rsidR="00073D95" w:rsidRPr="004C5551">
        <w:rPr>
          <w:szCs w:val="22"/>
          <w:lang w:eastAsia="cs-CZ"/>
        </w:rPr>
        <w:t xml:space="preserve"> </w:t>
      </w:r>
      <w:r w:rsidRPr="004C5551">
        <w:rPr>
          <w:szCs w:val="22"/>
          <w:lang w:eastAsia="cs-CZ"/>
        </w:rPr>
        <w:t>hutníctva, ťažobného priemyslu a geológie Slovenskej republiky</w:t>
      </w:r>
      <w:r w:rsidR="00073D95" w:rsidRPr="004C5551">
        <w:rPr>
          <w:szCs w:val="22"/>
          <w:lang w:eastAsia="cs-CZ"/>
        </w:rPr>
        <w:t xml:space="preserve"> </w:t>
      </w:r>
      <w:r w:rsidRPr="004C5551">
        <w:rPr>
          <w:szCs w:val="22"/>
          <w:lang w:eastAsia="cs-CZ"/>
        </w:rPr>
        <w:t xml:space="preserve">sa rozšírila na zamestnávateľov v časti odvetvia, ktorých kód hlavnej činnosti podľa štatistickej klasifikácie ekonomických činností na úrovni skupiny je </w:t>
      </w:r>
      <w:r w:rsidR="00003E80" w:rsidRPr="004C5551">
        <w:rPr>
          <w:szCs w:val="22"/>
          <w:lang w:eastAsia="cs-CZ"/>
        </w:rPr>
        <w:br/>
      </w:r>
      <w:r w:rsidRPr="004C5551">
        <w:rPr>
          <w:szCs w:val="22"/>
          <w:lang w:eastAsia="cs-CZ"/>
        </w:rPr>
        <w:t xml:space="preserve">24.1 – výroba surového železa a ocele a ferozliatin, 24.4 </w:t>
      </w:r>
      <w:r w:rsidR="00106028" w:rsidRPr="004C5551">
        <w:rPr>
          <w:szCs w:val="22"/>
          <w:lang w:eastAsia="cs-CZ"/>
        </w:rPr>
        <w:t>–</w:t>
      </w:r>
      <w:r w:rsidRPr="004C5551">
        <w:rPr>
          <w:szCs w:val="22"/>
          <w:lang w:eastAsia="cs-CZ"/>
        </w:rPr>
        <w:t xml:space="preserve"> výroba drahých a ostatných neželezných kovov, 71.2 technické testovanie a analýzy a 82.9 – pomocné obchodné činnosti inde nezaradené. Výnos bol zverejnený v Zbierke zákonov č. 210/2014 a účinnosť nadobudol 1. septembra 2014.</w:t>
      </w:r>
    </w:p>
    <w:p w:rsidR="007537F0" w:rsidRPr="004C5551" w:rsidRDefault="007537F0" w:rsidP="009C55E3">
      <w:pPr>
        <w:pStyle w:val="Odsekzoznamu"/>
        <w:numPr>
          <w:ilvl w:val="0"/>
          <w:numId w:val="40"/>
        </w:numPr>
        <w:rPr>
          <w:szCs w:val="22"/>
          <w:lang w:eastAsia="cs-CZ"/>
        </w:rPr>
      </w:pPr>
      <w:r w:rsidRPr="004C5551">
        <w:rPr>
          <w:szCs w:val="22"/>
          <w:lang w:eastAsia="cs-CZ"/>
        </w:rPr>
        <w:t xml:space="preserve">Záväznosť Kolektívnej zmluvy vyššieho stupňa na roky 2012 </w:t>
      </w:r>
      <w:r w:rsidR="00106028" w:rsidRPr="004C5551">
        <w:rPr>
          <w:szCs w:val="22"/>
          <w:lang w:eastAsia="cs-CZ"/>
        </w:rPr>
        <w:t>–</w:t>
      </w:r>
      <w:r w:rsidRPr="004C5551">
        <w:rPr>
          <w:szCs w:val="22"/>
          <w:lang w:eastAsia="cs-CZ"/>
        </w:rPr>
        <w:t xml:space="preserve"> 2015 uzavretej medzi Integrovaným odborovým zväzom a Zväzom stavebných podnikateľov Slovenska v znení dodatku č. 1 a dodatku č. 2</w:t>
      </w:r>
      <w:r w:rsidR="00073D95" w:rsidRPr="004C5551">
        <w:rPr>
          <w:szCs w:val="22"/>
          <w:lang w:eastAsia="cs-CZ"/>
        </w:rPr>
        <w:t xml:space="preserve"> </w:t>
      </w:r>
      <w:r w:rsidRPr="004C5551">
        <w:rPr>
          <w:szCs w:val="22"/>
          <w:lang w:eastAsia="cs-CZ"/>
        </w:rPr>
        <w:t xml:space="preserve">sa rozšírila na zamestnávateľov v časti odvetvia, ktorých kód hlavnej činnosti podľa štatistickej klasifikácie ekonomických činností na úrovni skupiny je 23.6 – výroba výrobkov z betónu, sadry a cementu a na zamestnávateľov v odvetví, ktorých kód hlavnej činnosti podľa štatistickej klasifikácie ekonomických činností označenej na úrovni divízie je 41 </w:t>
      </w:r>
      <w:r w:rsidR="00106028" w:rsidRPr="004C5551">
        <w:rPr>
          <w:szCs w:val="22"/>
          <w:lang w:eastAsia="cs-CZ"/>
        </w:rPr>
        <w:t>–</w:t>
      </w:r>
      <w:r w:rsidRPr="004C5551">
        <w:rPr>
          <w:szCs w:val="22"/>
          <w:lang w:eastAsia="cs-CZ"/>
        </w:rPr>
        <w:t xml:space="preserve"> výstavba budov, 42 </w:t>
      </w:r>
      <w:r w:rsidR="00106028" w:rsidRPr="004C5551">
        <w:rPr>
          <w:szCs w:val="22"/>
          <w:lang w:eastAsia="cs-CZ"/>
        </w:rPr>
        <w:t>–</w:t>
      </w:r>
      <w:r w:rsidRPr="004C5551">
        <w:rPr>
          <w:szCs w:val="22"/>
          <w:lang w:eastAsia="cs-CZ"/>
        </w:rPr>
        <w:t xml:space="preserve"> inžinierske stavby a 43 </w:t>
      </w:r>
      <w:r w:rsidR="00106028" w:rsidRPr="004C5551">
        <w:rPr>
          <w:szCs w:val="22"/>
          <w:lang w:eastAsia="cs-CZ"/>
        </w:rPr>
        <w:t>–</w:t>
      </w:r>
      <w:r w:rsidRPr="004C5551">
        <w:rPr>
          <w:szCs w:val="22"/>
          <w:lang w:eastAsia="cs-CZ"/>
        </w:rPr>
        <w:t xml:space="preserve"> špecializované stavebné práce. Výnos bol zverejnený v Zbierke zákonov č. 244/2014 a účinnosť nadobudol 1. októbra 2014.</w:t>
      </w:r>
    </w:p>
    <w:p w:rsidR="007537F0" w:rsidRPr="004C5551" w:rsidRDefault="007537F0" w:rsidP="009C55E3">
      <w:pPr>
        <w:pStyle w:val="Odsekzoznamu"/>
        <w:numPr>
          <w:ilvl w:val="0"/>
          <w:numId w:val="40"/>
        </w:numPr>
        <w:rPr>
          <w:szCs w:val="22"/>
          <w:lang w:eastAsia="cs-CZ"/>
        </w:rPr>
      </w:pPr>
      <w:r w:rsidRPr="004C5551">
        <w:rPr>
          <w:szCs w:val="22"/>
          <w:lang w:eastAsia="cs-CZ"/>
        </w:rPr>
        <w:t xml:space="preserve">Záväznosť Kolektívnej zmluvy vyššieho stupňa na roky 2014 </w:t>
      </w:r>
      <w:r w:rsidR="00073D95" w:rsidRPr="004C5551">
        <w:rPr>
          <w:szCs w:val="22"/>
          <w:lang w:eastAsia="cs-CZ"/>
        </w:rPr>
        <w:t>–</w:t>
      </w:r>
      <w:r w:rsidRPr="004C5551">
        <w:rPr>
          <w:szCs w:val="22"/>
          <w:lang w:eastAsia="cs-CZ"/>
        </w:rPr>
        <w:t xml:space="preserve"> 2015</w:t>
      </w:r>
      <w:r w:rsidR="00073D95" w:rsidRPr="004C5551">
        <w:rPr>
          <w:szCs w:val="22"/>
          <w:lang w:eastAsia="cs-CZ"/>
        </w:rPr>
        <w:t xml:space="preserve"> </w:t>
      </w:r>
      <w:r w:rsidRPr="004C5551">
        <w:rPr>
          <w:szCs w:val="22"/>
          <w:lang w:eastAsia="cs-CZ"/>
        </w:rPr>
        <w:t>uzavretej medzi Odborovým zväzom KOVO a Zväzom elektrotechnického priemyslu SR sa rozšírila na zamestnávateľov v</w:t>
      </w:r>
      <w:r w:rsidR="00D22736" w:rsidRPr="004C5551">
        <w:rPr>
          <w:szCs w:val="22"/>
          <w:lang w:eastAsia="cs-CZ"/>
        </w:rPr>
        <w:t> </w:t>
      </w:r>
      <w:r w:rsidRPr="004C5551">
        <w:rPr>
          <w:szCs w:val="22"/>
          <w:lang w:eastAsia="cs-CZ"/>
        </w:rPr>
        <w:t xml:space="preserve">časti odvetvia, ktorých kód hlavnej činnosti podľa štatistickej klasifikácie ekonomických činností na úrovni skupiny je 25.7 – výroba nožiarskych výrobkov, náradia a železiarskeho tovaru, </w:t>
      </w:r>
      <w:r w:rsidR="00003E80" w:rsidRPr="004C5551">
        <w:rPr>
          <w:szCs w:val="22"/>
          <w:lang w:eastAsia="cs-CZ"/>
        </w:rPr>
        <w:br/>
      </w:r>
      <w:r w:rsidRPr="004C5551">
        <w:rPr>
          <w:szCs w:val="22"/>
          <w:lang w:eastAsia="cs-CZ"/>
        </w:rPr>
        <w:t xml:space="preserve">27.4. – výroba elektrických svietidiel a 27.9 </w:t>
      </w:r>
      <w:r w:rsidR="00106028" w:rsidRPr="004C5551">
        <w:rPr>
          <w:szCs w:val="22"/>
          <w:lang w:eastAsia="cs-CZ"/>
        </w:rPr>
        <w:t>–</w:t>
      </w:r>
      <w:r w:rsidR="00073D95" w:rsidRPr="004C5551">
        <w:rPr>
          <w:szCs w:val="22"/>
          <w:lang w:eastAsia="cs-CZ"/>
        </w:rPr>
        <w:t xml:space="preserve"> </w:t>
      </w:r>
      <w:r w:rsidRPr="004C5551">
        <w:rPr>
          <w:szCs w:val="22"/>
          <w:lang w:eastAsia="cs-CZ"/>
        </w:rPr>
        <w:t>výroba ostatných elektrických zariadení. Výnos bol zverejnený v Zbierke zákonov č. 245/2014 a účinnosť nadobudol 1. októbra 2014.</w:t>
      </w:r>
      <w:r w:rsidR="00073D95" w:rsidRPr="004C5551">
        <w:rPr>
          <w:szCs w:val="22"/>
          <w:lang w:eastAsia="cs-CZ"/>
        </w:rPr>
        <w:t xml:space="preserve"> </w:t>
      </w:r>
    </w:p>
    <w:p w:rsidR="007537F0" w:rsidRPr="004C5551" w:rsidRDefault="007537F0" w:rsidP="00C92B2F">
      <w:pPr>
        <w:ind w:firstLine="431"/>
        <w:rPr>
          <w:szCs w:val="22"/>
          <w:lang w:eastAsia="cs-CZ"/>
        </w:rPr>
      </w:pPr>
      <w:r w:rsidRPr="004C5551">
        <w:rPr>
          <w:szCs w:val="22"/>
          <w:lang w:eastAsia="cs-CZ"/>
        </w:rPr>
        <w:t>V roku 2014 bolo na</w:t>
      </w:r>
      <w:r w:rsidRPr="004C5551">
        <w:rPr>
          <w:b/>
          <w:szCs w:val="22"/>
          <w:lang w:eastAsia="cs-CZ"/>
        </w:rPr>
        <w:t xml:space="preserve"> MPSVR SR uložených 20 KZVS a 8 dodatkov ku KZVS. </w:t>
      </w:r>
      <w:r w:rsidRPr="004C5551">
        <w:rPr>
          <w:szCs w:val="22"/>
          <w:lang w:eastAsia="cs-CZ"/>
        </w:rPr>
        <w:t>Z tohto počtu bolo 16 KZVS uzatvorených v podnikateľskom sektore a štyri KZVS boli uzatvorené vo verejnom sektore. Z 8 dodatkov bolo v podnikateľskom sektore uzatvorených 6 a 2 dodatky boli uzatvorené vo</w:t>
      </w:r>
      <w:r w:rsidR="003D5480" w:rsidRPr="004C5551">
        <w:rPr>
          <w:szCs w:val="22"/>
          <w:lang w:eastAsia="cs-CZ"/>
        </w:rPr>
        <w:t> </w:t>
      </w:r>
      <w:r w:rsidRPr="004C5551">
        <w:rPr>
          <w:szCs w:val="22"/>
          <w:lang w:eastAsia="cs-CZ"/>
        </w:rPr>
        <w:t>verejnom sektore.</w:t>
      </w:r>
    </w:p>
    <w:p w:rsidR="007537F0" w:rsidRPr="004C5551" w:rsidRDefault="007537F0" w:rsidP="00C92B2F">
      <w:pPr>
        <w:ind w:firstLine="431"/>
        <w:rPr>
          <w:szCs w:val="22"/>
          <w:lang w:eastAsia="cs-CZ"/>
        </w:rPr>
      </w:pPr>
      <w:r w:rsidRPr="004C5551">
        <w:rPr>
          <w:szCs w:val="22"/>
          <w:lang w:eastAsia="cs-CZ"/>
        </w:rPr>
        <w:t>V porovnaní s predchádzajúcim rokom došlo k zvýšeniu počtu</w:t>
      </w:r>
      <w:r w:rsidR="003D5480" w:rsidRPr="004C5551">
        <w:rPr>
          <w:szCs w:val="22"/>
          <w:lang w:eastAsia="cs-CZ"/>
        </w:rPr>
        <w:t xml:space="preserve"> uzatvorených KZVS o 6 KZVS, a </w:t>
      </w:r>
      <w:r w:rsidRPr="004C5551">
        <w:rPr>
          <w:szCs w:val="22"/>
          <w:lang w:eastAsia="cs-CZ"/>
        </w:rPr>
        <w:t xml:space="preserve">k zvýšeniu uzatvorených dodatkov ku KZVS o 2 dodatky ku KZVS. Táto situácia je čiastočne ovplyvnená najmä tým, že zmluvné strany v posledných rokoch uzatvárajú KZVS na kratšie obdobie. V roku 2012 boli niektoré KZVS uzatvorené na 3 </w:t>
      </w:r>
      <w:r w:rsidR="00106028" w:rsidRPr="004C5551">
        <w:rPr>
          <w:szCs w:val="22"/>
          <w:lang w:eastAsia="cs-CZ"/>
        </w:rPr>
        <w:t>–</w:t>
      </w:r>
      <w:r w:rsidRPr="004C5551">
        <w:rPr>
          <w:szCs w:val="22"/>
          <w:lang w:eastAsia="cs-CZ"/>
        </w:rPr>
        <w:t xml:space="preserve"> 4 roky, prípadne platnosť niektorých KZVS bola predĺžená dodatkom ku KZVS a z dôvodov ich dlhšej platnosti nebolo potrebné v roku 2013 uzatvárať v niektorých odvetviach KZVS. Z dôvodu, že platnosť KZVS uzatváraných na dlhšie obdobie skončila a nové KZVS zmluvné strany uzatvárajú na jeden rok vzniká väčší počet uzatvorených KZVS v príslušnom roku. </w:t>
      </w:r>
    </w:p>
    <w:p w:rsidR="007537F0" w:rsidRPr="004C5551" w:rsidRDefault="007537F0" w:rsidP="00C92B2F">
      <w:pPr>
        <w:ind w:firstLine="431"/>
        <w:rPr>
          <w:szCs w:val="22"/>
          <w:lang w:eastAsia="cs-CZ"/>
        </w:rPr>
      </w:pPr>
      <w:r w:rsidRPr="004C5551">
        <w:rPr>
          <w:b/>
          <w:szCs w:val="22"/>
          <w:lang w:eastAsia="cs-CZ"/>
        </w:rPr>
        <w:t>MPSVR SR evidovalo v roku 2014 celkovo 11 sporov</w:t>
      </w:r>
      <w:r w:rsidRPr="004C5551">
        <w:rPr>
          <w:szCs w:val="22"/>
          <w:lang w:eastAsia="cs-CZ"/>
        </w:rPr>
        <w:t xml:space="preserve"> o uzavretie kolektívnych zmlúv alebo dodatkov ku kolektívnym zmluvám, čo je v porovnaní s predchádzajúcim rokom o dva spory menej. Jeden spor bol riešený v konaní pred rozhodcom a 10 sporov bolo riešených v konaní pred sprostred</w:t>
      </w:r>
      <w:r w:rsidR="00F33706" w:rsidRPr="004C5551">
        <w:softHyphen/>
      </w:r>
      <w:r w:rsidRPr="004C5551">
        <w:rPr>
          <w:szCs w:val="22"/>
          <w:lang w:eastAsia="cs-CZ"/>
        </w:rPr>
        <w:t>kovateľom. Z celkového počtu 11 sporov bolo 6 sporov vyriešených pred sprostredkovateľom úspešne a kolektívna zmluva bola uzatvorená, 4 spory riešené pred sprostredkovateľom boli neúspešné. Jeden spor bol riešený pred rozhodcom z dôvodu, že išlo o pracovisko, kde je zakázané štrajkovať. V troch sporoch MPSVR SR neurčovalo sprostredkovateľa, ale sprostredkovateľ bol dohodnutý spoločne zmluvnými stranami. V konaní pred rozhodcom bol riešený v roku 2014 jeden spor; doručením rozhodnutia rozhodcu zmluvným stranám bola podľa § 13 ods. 6 zákona o kolektívnom vyjednávaní kolektívna zmluva uzatvorená.</w:t>
      </w:r>
    </w:p>
    <w:p w:rsidR="007537F0" w:rsidRPr="004C5551" w:rsidRDefault="007537F0" w:rsidP="00C92B2F">
      <w:pPr>
        <w:ind w:firstLine="431"/>
        <w:rPr>
          <w:szCs w:val="22"/>
          <w:lang w:eastAsia="cs-CZ"/>
        </w:rPr>
      </w:pPr>
      <w:r w:rsidRPr="004C5551">
        <w:rPr>
          <w:szCs w:val="22"/>
          <w:lang w:eastAsia="cs-CZ"/>
        </w:rPr>
        <w:t xml:space="preserve">MPSVR SR neevidovalo v roku 2014 </w:t>
      </w:r>
      <w:r w:rsidRPr="004C5551">
        <w:rPr>
          <w:b/>
          <w:szCs w:val="22"/>
          <w:lang w:eastAsia="cs-CZ"/>
        </w:rPr>
        <w:t>žiadny spor o plnenie záväzkov z kolektívnej zmluvy</w:t>
      </w:r>
      <w:r w:rsidRPr="004C5551">
        <w:rPr>
          <w:szCs w:val="22"/>
          <w:lang w:eastAsia="cs-CZ"/>
        </w:rPr>
        <w:t xml:space="preserve">. </w:t>
      </w:r>
    </w:p>
    <w:p w:rsidR="007537F0" w:rsidRPr="004C5551" w:rsidRDefault="007537F0" w:rsidP="00C92B2F">
      <w:pPr>
        <w:ind w:firstLine="431"/>
        <w:rPr>
          <w:szCs w:val="22"/>
          <w:lang w:eastAsia="cs-CZ"/>
        </w:rPr>
      </w:pPr>
      <w:r w:rsidRPr="004C5551">
        <w:rPr>
          <w:szCs w:val="22"/>
          <w:lang w:eastAsia="cs-CZ"/>
        </w:rPr>
        <w:t xml:space="preserve">Všetky uvedené spory sa týkali uzavretia kolektívnej zmluvy v podnikateľskom sektore, </w:t>
      </w:r>
      <w:r w:rsidRPr="004C5551">
        <w:rPr>
          <w:b/>
          <w:szCs w:val="22"/>
          <w:lang w:eastAsia="cs-CZ"/>
        </w:rPr>
        <w:t>vo</w:t>
      </w:r>
      <w:r w:rsidR="003D5480" w:rsidRPr="004C5551">
        <w:rPr>
          <w:b/>
          <w:szCs w:val="22"/>
          <w:lang w:eastAsia="cs-CZ"/>
        </w:rPr>
        <w:t> </w:t>
      </w:r>
      <w:r w:rsidRPr="004C5551">
        <w:rPr>
          <w:b/>
          <w:szCs w:val="22"/>
          <w:lang w:eastAsia="cs-CZ"/>
        </w:rPr>
        <w:t>verejnom sektore nevznikol spor o uzatvorenie kolektívnej zmluvy</w:t>
      </w:r>
      <w:r w:rsidRPr="004C5551">
        <w:rPr>
          <w:szCs w:val="22"/>
          <w:lang w:eastAsia="cs-CZ"/>
        </w:rPr>
        <w:t>.</w:t>
      </w:r>
    </w:p>
    <w:p w:rsidR="006A5C29" w:rsidRPr="004C5551" w:rsidRDefault="006A5C29" w:rsidP="00C92B2F">
      <w:pPr>
        <w:ind w:firstLine="431"/>
        <w:rPr>
          <w:szCs w:val="22"/>
          <w:lang w:eastAsia="cs-CZ"/>
        </w:rPr>
      </w:pPr>
    </w:p>
    <w:p w:rsidR="00A966B5" w:rsidRPr="004C5551" w:rsidRDefault="00A966B5" w:rsidP="00ED16E0">
      <w:pPr>
        <w:pStyle w:val="Nadpis6"/>
      </w:pPr>
      <w:bookmarkStart w:id="103" w:name="_Toc422233412"/>
      <w:r w:rsidRPr="004C5551">
        <w:t>Bezpečnosť a ochrana zdravia pri práci</w:t>
      </w:r>
      <w:bookmarkEnd w:id="103"/>
    </w:p>
    <w:p w:rsidR="007537F0" w:rsidRPr="004C5551" w:rsidRDefault="007537F0" w:rsidP="00C92B2F">
      <w:pPr>
        <w:ind w:firstLine="431"/>
        <w:rPr>
          <w:szCs w:val="22"/>
          <w:lang w:eastAsia="cs-CZ"/>
        </w:rPr>
      </w:pPr>
      <w:r w:rsidRPr="004C5551">
        <w:rPr>
          <w:szCs w:val="22"/>
          <w:lang w:eastAsia="cs-CZ"/>
        </w:rPr>
        <w:t>V</w:t>
      </w:r>
      <w:r w:rsidR="00073D95" w:rsidRPr="004C5551">
        <w:rPr>
          <w:szCs w:val="22"/>
          <w:lang w:eastAsia="cs-CZ"/>
        </w:rPr>
        <w:t> </w:t>
      </w:r>
      <w:r w:rsidRPr="004C5551">
        <w:rPr>
          <w:szCs w:val="22"/>
          <w:lang w:eastAsia="cs-CZ"/>
        </w:rPr>
        <w:t>priebehu</w:t>
      </w:r>
      <w:r w:rsidR="00073D95" w:rsidRPr="004C5551">
        <w:rPr>
          <w:szCs w:val="22"/>
          <w:lang w:eastAsia="cs-CZ"/>
        </w:rPr>
        <w:t xml:space="preserve"> </w:t>
      </w:r>
      <w:r w:rsidRPr="004C5551">
        <w:rPr>
          <w:szCs w:val="22"/>
          <w:lang w:eastAsia="cs-CZ"/>
        </w:rPr>
        <w:t>roka 2014 sa uskutočnili legislatívne úpravy vyplývajúce z aplikačnej praxe v týchto právnych predpisoch:</w:t>
      </w:r>
    </w:p>
    <w:p w:rsidR="007537F0" w:rsidRPr="004C5551" w:rsidRDefault="007537F0" w:rsidP="009C55E3">
      <w:pPr>
        <w:pStyle w:val="Odsekzoznamu"/>
        <w:numPr>
          <w:ilvl w:val="0"/>
          <w:numId w:val="41"/>
        </w:numPr>
        <w:contextualSpacing/>
        <w:rPr>
          <w:szCs w:val="22"/>
        </w:rPr>
      </w:pPr>
      <w:r w:rsidRPr="004C5551">
        <w:rPr>
          <w:szCs w:val="22"/>
        </w:rPr>
        <w:t>zákon č.</w:t>
      </w:r>
      <w:r w:rsidR="00F33706" w:rsidRPr="004C5551">
        <w:rPr>
          <w:szCs w:val="22"/>
        </w:rPr>
        <w:t> </w:t>
      </w:r>
      <w:r w:rsidRPr="004C5551">
        <w:rPr>
          <w:szCs w:val="22"/>
        </w:rPr>
        <w:t>204/2014 Z. z., ktorým sa mení a dopĺňa zákon č.</w:t>
      </w:r>
      <w:r w:rsidR="00F33706" w:rsidRPr="004C5551">
        <w:rPr>
          <w:szCs w:val="22"/>
        </w:rPr>
        <w:t> </w:t>
      </w:r>
      <w:r w:rsidRPr="004C5551">
        <w:rPr>
          <w:szCs w:val="22"/>
        </w:rPr>
        <w:t>355/2007 Z. z. o ochrane, podpore a rozvoji verejného zdravia a o zmene a doplnení niektorých zákonov v znení neskorších pred</w:t>
      </w:r>
      <w:r w:rsidR="00F33706" w:rsidRPr="004C5551">
        <w:softHyphen/>
      </w:r>
      <w:r w:rsidRPr="004C5551">
        <w:rPr>
          <w:szCs w:val="22"/>
        </w:rPr>
        <w:t>pisov a o zmene a doplnení niektorých zákonov</w:t>
      </w:r>
      <w:r w:rsidR="009C38F3" w:rsidRPr="004C5551">
        <w:rPr>
          <w:szCs w:val="22"/>
        </w:rPr>
        <w:t>,</w:t>
      </w:r>
      <w:r w:rsidR="00F33706" w:rsidRPr="004C5551">
        <w:rPr>
          <w:szCs w:val="22"/>
        </w:rPr>
        <w:t xml:space="preserve"> účinný od </w:t>
      </w:r>
      <w:r w:rsidRPr="004C5551">
        <w:rPr>
          <w:szCs w:val="22"/>
        </w:rPr>
        <w:t>1. augusta 2014. V súvislosti s úpravou problematiky pracovnej z</w:t>
      </w:r>
      <w:r w:rsidR="009C38F3" w:rsidRPr="004C5551">
        <w:rPr>
          <w:szCs w:val="22"/>
        </w:rPr>
        <w:t>dravotnej služby v tomto zákone</w:t>
      </w:r>
      <w:r w:rsidRPr="004C5551">
        <w:rPr>
          <w:szCs w:val="22"/>
        </w:rPr>
        <w:t xml:space="preserve"> bol novelizovaný aj zákon č.</w:t>
      </w:r>
      <w:r w:rsidR="00F33706" w:rsidRPr="004C5551">
        <w:rPr>
          <w:szCs w:val="22"/>
        </w:rPr>
        <w:t> </w:t>
      </w:r>
      <w:r w:rsidRPr="004C5551">
        <w:rPr>
          <w:szCs w:val="22"/>
        </w:rPr>
        <w:t>124/2006 Z. z. o bezpečnosti a ochrane zdravia pri práci a o zmene a doplnení niektorých zákonov v znení neskorších predpisov,</w:t>
      </w:r>
    </w:p>
    <w:p w:rsidR="007537F0" w:rsidRPr="004C5551" w:rsidRDefault="007537F0" w:rsidP="009C55E3">
      <w:pPr>
        <w:pStyle w:val="Odsekzoznamu"/>
        <w:numPr>
          <w:ilvl w:val="0"/>
          <w:numId w:val="41"/>
        </w:numPr>
        <w:contextualSpacing/>
        <w:rPr>
          <w:szCs w:val="22"/>
        </w:rPr>
      </w:pPr>
      <w:r w:rsidRPr="004C5551">
        <w:rPr>
          <w:szCs w:val="22"/>
        </w:rPr>
        <w:t xml:space="preserve">vyhláška </w:t>
      </w:r>
      <w:r w:rsidR="009C38F3" w:rsidRPr="004C5551">
        <w:rPr>
          <w:szCs w:val="22"/>
        </w:rPr>
        <w:t>MPSVR</w:t>
      </w:r>
      <w:r w:rsidR="00F33706" w:rsidRPr="004C5551">
        <w:rPr>
          <w:szCs w:val="22"/>
        </w:rPr>
        <w:t> </w:t>
      </w:r>
      <w:r w:rsidR="009C38F3" w:rsidRPr="004C5551">
        <w:rPr>
          <w:szCs w:val="22"/>
        </w:rPr>
        <w:t xml:space="preserve">SR </w:t>
      </w:r>
      <w:r w:rsidRPr="004C5551">
        <w:rPr>
          <w:szCs w:val="22"/>
        </w:rPr>
        <w:t>č.</w:t>
      </w:r>
      <w:r w:rsidR="00F33706" w:rsidRPr="004C5551">
        <w:rPr>
          <w:szCs w:val="22"/>
        </w:rPr>
        <w:t> </w:t>
      </w:r>
      <w:r w:rsidRPr="004C5551">
        <w:rPr>
          <w:szCs w:val="22"/>
        </w:rPr>
        <w:t>46/2014 Z.</w:t>
      </w:r>
      <w:r w:rsidR="00F33706" w:rsidRPr="004C5551">
        <w:rPr>
          <w:szCs w:val="22"/>
        </w:rPr>
        <w:t> </w:t>
      </w:r>
      <w:r w:rsidRPr="004C5551">
        <w:rPr>
          <w:szCs w:val="22"/>
        </w:rPr>
        <w:t xml:space="preserve">z., ktorou sa mení a dopĺňa vyhláška </w:t>
      </w:r>
      <w:r w:rsidR="009C38F3" w:rsidRPr="004C5551">
        <w:rPr>
          <w:szCs w:val="22"/>
        </w:rPr>
        <w:t>MPSVR</w:t>
      </w:r>
      <w:r w:rsidR="00F33706" w:rsidRPr="004C5551">
        <w:rPr>
          <w:szCs w:val="22"/>
        </w:rPr>
        <w:t> </w:t>
      </w:r>
      <w:r w:rsidR="009C38F3" w:rsidRPr="004C5551">
        <w:rPr>
          <w:szCs w:val="22"/>
        </w:rPr>
        <w:t>SR</w:t>
      </w:r>
      <w:r w:rsidRPr="004C5551">
        <w:rPr>
          <w:szCs w:val="22"/>
        </w:rPr>
        <w:t xml:space="preserve"> </w:t>
      </w:r>
      <w:r w:rsidR="00F33706" w:rsidRPr="004C5551">
        <w:rPr>
          <w:szCs w:val="22"/>
        </w:rPr>
        <w:br/>
      </w:r>
      <w:r w:rsidRPr="004C5551">
        <w:rPr>
          <w:szCs w:val="22"/>
        </w:rPr>
        <w:t>č. 147/2013 Z. z., ktorou sa ustanovujú podrobnosti na zaistenie bezpečnosti a ochrany zdravia pri stavebných prácach a prácach s nimi súvisiacich a podrobnosti o odbornej spôsobilosti na výkon niektorých</w:t>
      </w:r>
      <w:r w:rsidR="00F33706" w:rsidRPr="004C5551">
        <w:rPr>
          <w:szCs w:val="22"/>
        </w:rPr>
        <w:t xml:space="preserve"> pracovných činností účinná od </w:t>
      </w:r>
      <w:r w:rsidRPr="004C5551">
        <w:rPr>
          <w:szCs w:val="22"/>
        </w:rPr>
        <w:t xml:space="preserve">1. marca 2014, </w:t>
      </w:r>
    </w:p>
    <w:p w:rsidR="007537F0" w:rsidRPr="004C5551" w:rsidRDefault="007537F0" w:rsidP="009C55E3">
      <w:pPr>
        <w:pStyle w:val="Odsekzoznamu"/>
        <w:numPr>
          <w:ilvl w:val="0"/>
          <w:numId w:val="41"/>
        </w:numPr>
        <w:contextualSpacing/>
        <w:rPr>
          <w:szCs w:val="22"/>
        </w:rPr>
      </w:pPr>
      <w:r w:rsidRPr="004C5551">
        <w:rPr>
          <w:szCs w:val="22"/>
        </w:rPr>
        <w:t>vyhláška MPSVR</w:t>
      </w:r>
      <w:r w:rsidR="00F33706" w:rsidRPr="004C5551">
        <w:rPr>
          <w:szCs w:val="22"/>
        </w:rPr>
        <w:t> </w:t>
      </w:r>
      <w:r w:rsidRPr="004C5551">
        <w:rPr>
          <w:szCs w:val="22"/>
        </w:rPr>
        <w:t>SR č.</w:t>
      </w:r>
      <w:r w:rsidR="00F33706" w:rsidRPr="004C5551">
        <w:rPr>
          <w:szCs w:val="22"/>
        </w:rPr>
        <w:t> </w:t>
      </w:r>
      <w:r w:rsidRPr="004C5551">
        <w:rPr>
          <w:szCs w:val="22"/>
        </w:rPr>
        <w:t>234/2014 Z.</w:t>
      </w:r>
      <w:r w:rsidR="00F33706" w:rsidRPr="004C5551">
        <w:rPr>
          <w:szCs w:val="22"/>
        </w:rPr>
        <w:t> </w:t>
      </w:r>
      <w:r w:rsidRPr="004C5551">
        <w:rPr>
          <w:szCs w:val="22"/>
        </w:rPr>
        <w:t>z., ktorou sa mení a dopĺňa vyhláška MPSVR</w:t>
      </w:r>
      <w:r w:rsidR="00F33706" w:rsidRPr="004C5551">
        <w:rPr>
          <w:szCs w:val="22"/>
        </w:rPr>
        <w:t> </w:t>
      </w:r>
      <w:r w:rsidRPr="004C5551">
        <w:rPr>
          <w:szCs w:val="22"/>
        </w:rPr>
        <w:t>SR č.</w:t>
      </w:r>
      <w:r w:rsidR="003D5480" w:rsidRPr="004C5551">
        <w:rPr>
          <w:szCs w:val="22"/>
        </w:rPr>
        <w:t> </w:t>
      </w:r>
      <w:r w:rsidRPr="004C5551">
        <w:rPr>
          <w:szCs w:val="22"/>
        </w:rPr>
        <w:t>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w:t>
      </w:r>
      <w:r w:rsidR="00235BF5" w:rsidRPr="004C5551">
        <w:rPr>
          <w:szCs w:val="22"/>
        </w:rPr>
        <w:t>,</w:t>
      </w:r>
      <w:r w:rsidR="00F33706" w:rsidRPr="004C5551">
        <w:rPr>
          <w:szCs w:val="22"/>
        </w:rPr>
        <w:t xml:space="preserve"> účinná od </w:t>
      </w:r>
      <w:r w:rsidRPr="004C5551">
        <w:rPr>
          <w:szCs w:val="22"/>
        </w:rPr>
        <w:t>1. septembra 2014.</w:t>
      </w:r>
    </w:p>
    <w:p w:rsidR="007537F0" w:rsidRPr="004C5551" w:rsidRDefault="007537F0" w:rsidP="007537F0">
      <w:pPr>
        <w:rPr>
          <w:b/>
          <w:color w:val="FF0000"/>
          <w:szCs w:val="22"/>
        </w:rPr>
      </w:pPr>
    </w:p>
    <w:p w:rsidR="007537F0" w:rsidRPr="004C5551" w:rsidRDefault="007537F0" w:rsidP="007537F0">
      <w:pPr>
        <w:rPr>
          <w:b/>
          <w:szCs w:val="22"/>
        </w:rPr>
      </w:pPr>
      <w:r w:rsidRPr="004C5551">
        <w:rPr>
          <w:b/>
          <w:szCs w:val="22"/>
        </w:rPr>
        <w:t>Pracovné úrazy</w:t>
      </w:r>
    </w:p>
    <w:p w:rsidR="007537F0" w:rsidRPr="004C5551" w:rsidRDefault="007537F0" w:rsidP="007537F0">
      <w:pPr>
        <w:ind w:firstLine="567"/>
        <w:rPr>
          <w:szCs w:val="22"/>
          <w:lang w:eastAsia="en-GB"/>
        </w:rPr>
      </w:pPr>
    </w:p>
    <w:p w:rsidR="007537F0" w:rsidRPr="004C5551" w:rsidRDefault="007537F0" w:rsidP="00C92B2F">
      <w:pPr>
        <w:ind w:firstLine="431"/>
        <w:rPr>
          <w:szCs w:val="22"/>
          <w:lang w:eastAsia="cs-CZ"/>
        </w:rPr>
      </w:pPr>
      <w:r w:rsidRPr="004C5551">
        <w:rPr>
          <w:szCs w:val="22"/>
          <w:lang w:eastAsia="cs-CZ"/>
        </w:rPr>
        <w:t>V roku 2014 došlo v organizáciách patriacich do pôsobnosti dozoru inšpektorátov práce riadených Národným inšpektorátom práce k 39 závažným pracovným úrazom s následkom smrti (ďalej len „SPÚ“), čo oproti roku 2013 bolo menej o 14. Bo</w:t>
      </w:r>
      <w:r w:rsidR="003D5480" w:rsidRPr="004C5551">
        <w:rPr>
          <w:szCs w:val="22"/>
          <w:lang w:eastAsia="cs-CZ"/>
        </w:rPr>
        <w:t xml:space="preserve">lo zaevidovaných 146 závažných </w:t>
      </w:r>
      <w:r w:rsidRPr="004C5551">
        <w:rPr>
          <w:szCs w:val="22"/>
          <w:lang w:eastAsia="cs-CZ"/>
        </w:rPr>
        <w:t xml:space="preserve">pracovných úrazov s ťažkou ujmou na zdraví (ďalej len „ŤUZ“), čím oproti roku 2013 klesol ich počet o 9. V hodnotenom roku 2014 bolo evidovaných 8 195 registrovaných pracovných úrazov (ďalej len „RPÚ“), čo oproti roku 2013 bolo menej o 141. </w:t>
      </w:r>
    </w:p>
    <w:p w:rsidR="007537F0" w:rsidRPr="004C5551" w:rsidRDefault="007537F0" w:rsidP="00C92B2F">
      <w:pPr>
        <w:ind w:firstLine="431"/>
        <w:rPr>
          <w:szCs w:val="22"/>
          <w:lang w:eastAsia="cs-CZ"/>
        </w:rPr>
      </w:pPr>
      <w:r w:rsidRPr="004C5551">
        <w:rPr>
          <w:szCs w:val="22"/>
          <w:lang w:eastAsia="cs-CZ"/>
        </w:rPr>
        <w:t>Z členenia závažných pracovných úrazov (SPÚ a ŤUZ) vyplýva, že najvyšší podiel týchto úrazov (SK NACE) sa koncentroval v priemyselnej výrobe</w:t>
      </w:r>
      <w:r w:rsidR="00235BF5" w:rsidRPr="004C5551">
        <w:rPr>
          <w:szCs w:val="22"/>
          <w:lang w:eastAsia="cs-CZ"/>
        </w:rPr>
        <w:t xml:space="preserve"> </w:t>
      </w:r>
      <w:r w:rsidRPr="004C5551">
        <w:rPr>
          <w:szCs w:val="22"/>
          <w:lang w:eastAsia="cs-CZ"/>
        </w:rPr>
        <w:t>28,65</w:t>
      </w:r>
      <w:r w:rsidR="009425AA" w:rsidRPr="004C5551">
        <w:rPr>
          <w:szCs w:val="22"/>
          <w:lang w:eastAsia="cs-CZ"/>
        </w:rPr>
        <w:t> %</w:t>
      </w:r>
      <w:r w:rsidRPr="004C5551">
        <w:rPr>
          <w:szCs w:val="22"/>
          <w:lang w:eastAsia="cs-CZ"/>
        </w:rPr>
        <w:t xml:space="preserve"> (7</w:t>
      </w:r>
      <w:r w:rsidR="00F33706" w:rsidRPr="004C5551">
        <w:rPr>
          <w:szCs w:val="22"/>
          <w:lang w:eastAsia="cs-CZ"/>
        </w:rPr>
        <w:t> </w:t>
      </w:r>
      <w:r w:rsidRPr="004C5551">
        <w:rPr>
          <w:szCs w:val="22"/>
          <w:lang w:eastAsia="cs-CZ"/>
        </w:rPr>
        <w:t>SPÚ, 46</w:t>
      </w:r>
      <w:r w:rsidR="00F33706" w:rsidRPr="004C5551">
        <w:rPr>
          <w:szCs w:val="22"/>
          <w:lang w:eastAsia="cs-CZ"/>
        </w:rPr>
        <w:t> </w:t>
      </w:r>
      <w:r w:rsidRPr="004C5551">
        <w:rPr>
          <w:szCs w:val="22"/>
          <w:lang w:eastAsia="cs-CZ"/>
        </w:rPr>
        <w:t>ŤUZ), v staveb</w:t>
      </w:r>
      <w:r w:rsidR="00F33706" w:rsidRPr="004C5551">
        <w:rPr>
          <w:szCs w:val="22"/>
          <w:lang w:eastAsia="cs-CZ"/>
        </w:rPr>
        <w:softHyphen/>
      </w:r>
      <w:r w:rsidRPr="004C5551">
        <w:rPr>
          <w:szCs w:val="22"/>
          <w:lang w:eastAsia="cs-CZ"/>
        </w:rPr>
        <w:t>níctve 16,22</w:t>
      </w:r>
      <w:r w:rsidR="009425AA" w:rsidRPr="004C5551">
        <w:rPr>
          <w:szCs w:val="22"/>
          <w:lang w:eastAsia="cs-CZ"/>
        </w:rPr>
        <w:t> %</w:t>
      </w:r>
      <w:r w:rsidRPr="004C5551">
        <w:rPr>
          <w:szCs w:val="22"/>
          <w:lang w:eastAsia="cs-CZ"/>
        </w:rPr>
        <w:t xml:space="preserve"> (7 SPÚ, 23</w:t>
      </w:r>
      <w:r w:rsidR="00F33706" w:rsidRPr="004C5551">
        <w:rPr>
          <w:szCs w:val="22"/>
          <w:lang w:eastAsia="cs-CZ"/>
        </w:rPr>
        <w:t> </w:t>
      </w:r>
      <w:r w:rsidRPr="004C5551">
        <w:rPr>
          <w:szCs w:val="22"/>
          <w:lang w:eastAsia="cs-CZ"/>
        </w:rPr>
        <w:t>ŤUZ), v doprave a skladovaní 13,51</w:t>
      </w:r>
      <w:r w:rsidR="009425AA" w:rsidRPr="004C5551">
        <w:rPr>
          <w:szCs w:val="22"/>
          <w:lang w:eastAsia="cs-CZ"/>
        </w:rPr>
        <w:t> %</w:t>
      </w:r>
      <w:r w:rsidRPr="004C5551">
        <w:rPr>
          <w:szCs w:val="22"/>
          <w:lang w:eastAsia="cs-CZ"/>
        </w:rPr>
        <w:t xml:space="preserve"> (9 SPÚ, 16 ŤUZ) a vo veľko</w:t>
      </w:r>
      <w:r w:rsidR="00F33706" w:rsidRPr="004C5551">
        <w:rPr>
          <w:szCs w:val="22"/>
          <w:lang w:eastAsia="cs-CZ"/>
        </w:rPr>
        <w:softHyphen/>
      </w:r>
      <w:r w:rsidRPr="004C5551">
        <w:rPr>
          <w:szCs w:val="22"/>
          <w:lang w:eastAsia="cs-CZ"/>
        </w:rPr>
        <w:t>obchode a maloobchode 10,27</w:t>
      </w:r>
      <w:r w:rsidR="009425AA" w:rsidRPr="004C5551">
        <w:rPr>
          <w:szCs w:val="22"/>
          <w:lang w:eastAsia="cs-CZ"/>
        </w:rPr>
        <w:t> %</w:t>
      </w:r>
      <w:r w:rsidRPr="004C5551">
        <w:rPr>
          <w:szCs w:val="22"/>
          <w:lang w:eastAsia="cs-CZ"/>
        </w:rPr>
        <w:t xml:space="preserve"> (4 SPÚ, 15 ŤUZ).</w:t>
      </w:r>
    </w:p>
    <w:p w:rsidR="007537F0" w:rsidRPr="004C5551" w:rsidRDefault="007537F0" w:rsidP="00C92B2F">
      <w:pPr>
        <w:ind w:firstLine="431"/>
        <w:rPr>
          <w:szCs w:val="22"/>
          <w:lang w:eastAsia="cs-CZ"/>
        </w:rPr>
      </w:pPr>
      <w:r w:rsidRPr="004C5551">
        <w:rPr>
          <w:szCs w:val="22"/>
          <w:lang w:eastAsia="cs-CZ"/>
        </w:rPr>
        <w:t>Väčšina SPÚ sa kumulovala do štyroch hlavných zdrojových skupín, ktorými boli dopravné prostriedky (18 prípadov – 46,15</w:t>
      </w:r>
      <w:r w:rsidR="009425AA" w:rsidRPr="004C5551">
        <w:rPr>
          <w:szCs w:val="22"/>
          <w:lang w:eastAsia="cs-CZ"/>
        </w:rPr>
        <w:t> %</w:t>
      </w:r>
      <w:r w:rsidRPr="004C5551">
        <w:rPr>
          <w:szCs w:val="22"/>
          <w:lang w:eastAsia="cs-CZ"/>
        </w:rPr>
        <w:t>), pracovné, prípadne cestné dopravné priestory ako zdroje pádov osôb (6 prípadov – 15,38</w:t>
      </w:r>
      <w:r w:rsidR="009425AA" w:rsidRPr="004C5551">
        <w:rPr>
          <w:szCs w:val="22"/>
          <w:lang w:eastAsia="cs-CZ"/>
        </w:rPr>
        <w:t> %</w:t>
      </w:r>
      <w:r w:rsidRPr="004C5551">
        <w:rPr>
          <w:szCs w:val="22"/>
          <w:lang w:eastAsia="cs-CZ"/>
        </w:rPr>
        <w:t>), stroje – hnacie, pomocné, obrábacie a pracovné (5 prípadov – 12,82</w:t>
      </w:r>
      <w:r w:rsidR="009425AA" w:rsidRPr="004C5551">
        <w:rPr>
          <w:szCs w:val="22"/>
          <w:lang w:eastAsia="cs-CZ"/>
        </w:rPr>
        <w:t> %</w:t>
      </w:r>
      <w:r w:rsidRPr="004C5551">
        <w:rPr>
          <w:szCs w:val="22"/>
          <w:lang w:eastAsia="cs-CZ"/>
        </w:rPr>
        <w:t>) a materiál, bremená, predmety (5 prípadov – 12,82</w:t>
      </w:r>
      <w:r w:rsidR="009425AA" w:rsidRPr="004C5551">
        <w:rPr>
          <w:szCs w:val="22"/>
          <w:lang w:eastAsia="cs-CZ"/>
        </w:rPr>
        <w:t> %</w:t>
      </w:r>
      <w:r w:rsidRPr="004C5551">
        <w:rPr>
          <w:szCs w:val="22"/>
          <w:lang w:eastAsia="cs-CZ"/>
        </w:rPr>
        <w:t>). Najčastejšími zdrojmi ŤUZ boli pracovné, prípadne cestné dopravné priestory ako zdroje pádov osôb (39 prípadov – 26,71</w:t>
      </w:r>
      <w:r w:rsidR="009425AA" w:rsidRPr="004C5551">
        <w:rPr>
          <w:szCs w:val="22"/>
          <w:lang w:eastAsia="cs-CZ"/>
        </w:rPr>
        <w:t> %</w:t>
      </w:r>
      <w:r w:rsidRPr="004C5551">
        <w:rPr>
          <w:szCs w:val="22"/>
          <w:lang w:eastAsia="cs-CZ"/>
        </w:rPr>
        <w:t>), dopravné prostriedky (36 prípadov – 24,66</w:t>
      </w:r>
      <w:r w:rsidR="009425AA" w:rsidRPr="004C5551">
        <w:rPr>
          <w:szCs w:val="22"/>
          <w:lang w:eastAsia="cs-CZ"/>
        </w:rPr>
        <w:t> %</w:t>
      </w:r>
      <w:r w:rsidRPr="004C5551">
        <w:rPr>
          <w:szCs w:val="22"/>
          <w:lang w:eastAsia="cs-CZ"/>
        </w:rPr>
        <w:t>), stroje – hnacie, pomocné, obrábacie a pracovné (24 prípadov – 16,44</w:t>
      </w:r>
      <w:r w:rsidR="009425AA" w:rsidRPr="004C5551">
        <w:rPr>
          <w:szCs w:val="22"/>
          <w:lang w:eastAsia="cs-CZ"/>
        </w:rPr>
        <w:t> %</w:t>
      </w:r>
      <w:r w:rsidRPr="004C5551">
        <w:rPr>
          <w:szCs w:val="22"/>
          <w:lang w:eastAsia="cs-CZ"/>
        </w:rPr>
        <w:t>) a materiál, bremená, predmety (20 prípadov – 13,70</w:t>
      </w:r>
      <w:r w:rsidR="009425AA" w:rsidRPr="004C5551">
        <w:rPr>
          <w:szCs w:val="22"/>
          <w:lang w:eastAsia="cs-CZ"/>
        </w:rPr>
        <w:t> %</w:t>
      </w:r>
      <w:r w:rsidRPr="004C5551">
        <w:rPr>
          <w:szCs w:val="22"/>
          <w:lang w:eastAsia="cs-CZ"/>
        </w:rPr>
        <w:t>). Zo štatistiky zdrojov RPÚ za rok 2014 vyplýva, že najviac úrazov spôsobila manipulácia s materiálom, bremenami, predmetmi, pôsobenie ostrých hrán alebo ich pád (2 515 prípadov – 30,69</w:t>
      </w:r>
      <w:r w:rsidR="009425AA" w:rsidRPr="004C5551">
        <w:rPr>
          <w:szCs w:val="22"/>
          <w:lang w:eastAsia="cs-CZ"/>
        </w:rPr>
        <w:t> %</w:t>
      </w:r>
      <w:r w:rsidRPr="004C5551">
        <w:rPr>
          <w:szCs w:val="22"/>
          <w:lang w:eastAsia="cs-CZ"/>
        </w:rPr>
        <w:t xml:space="preserve"> z celkového počtu RPÚ) a pády osôb na rovine (vnútropodnikové pracoviská, komunikačné priestory, cesty verejného charakteru), či pády osôb zo schodov a rebríkov (2 198 prípadov – 26,82</w:t>
      </w:r>
      <w:r w:rsidR="009425AA" w:rsidRPr="004C5551">
        <w:rPr>
          <w:szCs w:val="22"/>
          <w:lang w:eastAsia="cs-CZ"/>
        </w:rPr>
        <w:t> %</w:t>
      </w:r>
      <w:r w:rsidRPr="004C5551">
        <w:rPr>
          <w:szCs w:val="22"/>
          <w:lang w:eastAsia="cs-CZ"/>
        </w:rPr>
        <w:t xml:space="preserve">). </w:t>
      </w:r>
    </w:p>
    <w:p w:rsidR="007537F0" w:rsidRPr="004C5551" w:rsidRDefault="007537F0" w:rsidP="00C92B2F">
      <w:pPr>
        <w:ind w:firstLine="431"/>
        <w:rPr>
          <w:szCs w:val="22"/>
          <w:lang w:eastAsia="cs-CZ"/>
        </w:rPr>
      </w:pPr>
      <w:r w:rsidRPr="004C5551">
        <w:rPr>
          <w:szCs w:val="22"/>
          <w:lang w:eastAsia="cs-CZ"/>
        </w:rPr>
        <w:t>Najčastejšími príčinami SPÚ bolo (okrem nezistených príčin najmä pri dopravných nehodách, kde inšpektori práce zisťujú len režim vedenia vozidla) predovšetkým používanie nebezpečných postupov alebo spôsobov práce vrátane konania bez oprávnenia (9 prípadov – 23,08</w:t>
      </w:r>
      <w:r w:rsidR="009425AA" w:rsidRPr="004C5551">
        <w:rPr>
          <w:szCs w:val="22"/>
          <w:lang w:eastAsia="cs-CZ"/>
        </w:rPr>
        <w:t> %</w:t>
      </w:r>
      <w:r w:rsidRPr="004C5551">
        <w:rPr>
          <w:szCs w:val="22"/>
          <w:lang w:eastAsia="cs-CZ"/>
        </w:rPr>
        <w:t>). Pri ŤUZ boli hlavnými príčinami nedostatky osobných predpokladov na výkon práce v čase úrazu (rôzne indispozície, nepozornosť a pod.) a bežné riziko práce (45 prípadov – 30,82</w:t>
      </w:r>
      <w:r w:rsidR="009425AA" w:rsidRPr="004C5551">
        <w:rPr>
          <w:szCs w:val="22"/>
          <w:lang w:eastAsia="cs-CZ"/>
        </w:rPr>
        <w:t> %</w:t>
      </w:r>
      <w:r w:rsidRPr="004C5551">
        <w:rPr>
          <w:szCs w:val="22"/>
          <w:lang w:eastAsia="cs-CZ"/>
        </w:rPr>
        <w:t>). Najčastejšími príčinami RPÚ boli</w:t>
      </w:r>
      <w:r w:rsidR="00183AB0" w:rsidRPr="004C5551">
        <w:rPr>
          <w:szCs w:val="22"/>
          <w:lang w:eastAsia="cs-CZ"/>
        </w:rPr>
        <w:t xml:space="preserve"> tiež</w:t>
      </w:r>
      <w:r w:rsidRPr="004C5551">
        <w:rPr>
          <w:szCs w:val="22"/>
          <w:lang w:eastAsia="cs-CZ"/>
        </w:rPr>
        <w:t xml:space="preserve"> predovšetkým nedostatky osobných predpokladov na výkon práce v čase úrazu (rôzne indispozície, nepozornosť a pod.) a bežné riziko práce (6 412 prípadov – 78,24</w:t>
      </w:r>
      <w:r w:rsidR="009425AA" w:rsidRPr="004C5551">
        <w:rPr>
          <w:szCs w:val="22"/>
          <w:lang w:eastAsia="cs-CZ"/>
        </w:rPr>
        <w:t> %</w:t>
      </w:r>
      <w:r w:rsidRPr="004C5551">
        <w:rPr>
          <w:szCs w:val="22"/>
          <w:lang w:eastAsia="cs-CZ"/>
        </w:rPr>
        <w:t>), ďalej nebezpečné konanie samotných poškodených zamestnancov – používanie nebezpečných postupov alebo spôsobov práce vrátane konania bez oprávnenia (397 prípadov – 4,84</w:t>
      </w:r>
      <w:r w:rsidR="009425AA" w:rsidRPr="004C5551">
        <w:rPr>
          <w:szCs w:val="22"/>
          <w:lang w:eastAsia="cs-CZ"/>
        </w:rPr>
        <w:t> %</w:t>
      </w:r>
      <w:r w:rsidRPr="004C5551">
        <w:rPr>
          <w:szCs w:val="22"/>
          <w:lang w:eastAsia="cs-CZ"/>
        </w:rPr>
        <w:t xml:space="preserve">). </w:t>
      </w:r>
    </w:p>
    <w:p w:rsidR="007537F0" w:rsidRPr="004C5551" w:rsidRDefault="007537F0" w:rsidP="007537F0">
      <w:pPr>
        <w:rPr>
          <w:color w:val="FF0000"/>
          <w:szCs w:val="22"/>
        </w:rPr>
      </w:pPr>
    </w:p>
    <w:p w:rsidR="007537F0" w:rsidRPr="004C5551" w:rsidRDefault="007537F0" w:rsidP="007537F0">
      <w:pPr>
        <w:widowControl w:val="0"/>
        <w:rPr>
          <w:b/>
          <w:szCs w:val="22"/>
        </w:rPr>
      </w:pPr>
      <w:r w:rsidRPr="004C5551">
        <w:rPr>
          <w:b/>
          <w:szCs w:val="22"/>
        </w:rPr>
        <w:t xml:space="preserve">Rizikové práce </w:t>
      </w:r>
    </w:p>
    <w:p w:rsidR="007537F0" w:rsidRPr="004C5551" w:rsidRDefault="007537F0" w:rsidP="007537F0">
      <w:pPr>
        <w:widowControl w:val="0"/>
        <w:rPr>
          <w:b/>
          <w:bCs/>
          <w:szCs w:val="22"/>
        </w:rPr>
      </w:pPr>
    </w:p>
    <w:p w:rsidR="007537F0" w:rsidRPr="004C5551" w:rsidRDefault="007537F0" w:rsidP="00C92B2F">
      <w:pPr>
        <w:ind w:firstLine="431"/>
        <w:rPr>
          <w:szCs w:val="22"/>
          <w:lang w:eastAsia="cs-CZ"/>
        </w:rPr>
      </w:pPr>
      <w:r w:rsidRPr="004C5551">
        <w:rPr>
          <w:szCs w:val="22"/>
          <w:lang w:eastAsia="cs-CZ"/>
        </w:rPr>
        <w:t>V roku 2014 rizikové práce v Slovenskej republike vykonávalo 99 114 zamestnancov (z toho 21</w:t>
      </w:r>
      <w:r w:rsidR="003D5480" w:rsidRPr="004C5551">
        <w:rPr>
          <w:szCs w:val="22"/>
          <w:lang w:eastAsia="cs-CZ"/>
        </w:rPr>
        <w:t> </w:t>
      </w:r>
      <w:r w:rsidRPr="004C5551">
        <w:rPr>
          <w:szCs w:val="22"/>
          <w:lang w:eastAsia="cs-CZ"/>
        </w:rPr>
        <w:t>356 žien), čo oproti roku 2013 predstavuje nárast o 52 zamestnancov. Negatívnym trendom bolo zvýšenie počtu zamestnancov zaradených do štvrtej kategórie prác (celkový nárast o</w:t>
      </w:r>
      <w:r w:rsidR="00F33706" w:rsidRPr="004C5551">
        <w:rPr>
          <w:szCs w:val="22"/>
          <w:lang w:eastAsia="cs-CZ"/>
        </w:rPr>
        <w:t> </w:t>
      </w:r>
      <w:r w:rsidRPr="004C5551">
        <w:rPr>
          <w:szCs w:val="22"/>
          <w:lang w:eastAsia="cs-CZ"/>
        </w:rPr>
        <w:t>1</w:t>
      </w:r>
      <w:r w:rsidR="00F33706" w:rsidRPr="004C5551">
        <w:rPr>
          <w:szCs w:val="22"/>
          <w:lang w:eastAsia="cs-CZ"/>
        </w:rPr>
        <w:t> </w:t>
      </w:r>
      <w:r w:rsidRPr="004C5551">
        <w:rPr>
          <w:szCs w:val="22"/>
          <w:lang w:eastAsia="cs-CZ"/>
        </w:rPr>
        <w:t>231 zamest</w:t>
      </w:r>
      <w:r w:rsidR="00D22736" w:rsidRPr="004C5551">
        <w:rPr>
          <w:szCs w:val="22"/>
          <w:lang w:eastAsia="cs-CZ"/>
        </w:rPr>
        <w:softHyphen/>
      </w:r>
      <w:r w:rsidRPr="004C5551">
        <w:rPr>
          <w:szCs w:val="22"/>
          <w:lang w:eastAsia="cs-CZ"/>
        </w:rPr>
        <w:t>nancov), pričom počet žien zaradených do štvrtej kategórie prác stúpol o 164 oproti roku 2013.</w:t>
      </w:r>
    </w:p>
    <w:p w:rsidR="007537F0" w:rsidRPr="004C5551" w:rsidRDefault="007537F0" w:rsidP="00C92B2F">
      <w:pPr>
        <w:ind w:firstLine="431"/>
        <w:rPr>
          <w:szCs w:val="22"/>
          <w:lang w:eastAsia="cs-CZ"/>
        </w:rPr>
      </w:pPr>
      <w:r w:rsidRPr="004C5551">
        <w:rPr>
          <w:szCs w:val="22"/>
          <w:lang w:eastAsia="cs-CZ"/>
        </w:rPr>
        <w:t>Ako najčastejšie sa vyskytujúcim škodlivým faktorom pracovného prostredia bol hluk, ktorému bolo vystavených 74 816 zamestnancov, tzn. 75,5</w:t>
      </w:r>
      <w:r w:rsidR="009425AA" w:rsidRPr="004C5551">
        <w:rPr>
          <w:szCs w:val="22"/>
          <w:lang w:eastAsia="cs-CZ"/>
        </w:rPr>
        <w:t> %</w:t>
      </w:r>
      <w:r w:rsidRPr="004C5551">
        <w:rPr>
          <w:szCs w:val="22"/>
          <w:lang w:eastAsia="cs-CZ"/>
        </w:rPr>
        <w:t xml:space="preserve"> zo všetkých zamestnancov vykonávajúcich rizikové práce, čo </w:t>
      </w:r>
      <w:r w:rsidR="00CF32DC" w:rsidRPr="004C5551">
        <w:rPr>
          <w:szCs w:val="22"/>
          <w:lang w:eastAsia="cs-CZ"/>
        </w:rPr>
        <w:t xml:space="preserve">bol </w:t>
      </w:r>
      <w:r w:rsidRPr="004C5551">
        <w:rPr>
          <w:szCs w:val="22"/>
          <w:lang w:eastAsia="cs-CZ"/>
        </w:rPr>
        <w:t>oproti roku 2013 nárast o 71. Ďalším faktorom podľa počtu exponovaných zamestnancov boli chemické látky, ktorým bolo exponovaných 26</w:t>
      </w:r>
      <w:r w:rsidR="00F33706" w:rsidRPr="004C5551">
        <w:rPr>
          <w:szCs w:val="22"/>
          <w:lang w:eastAsia="cs-CZ"/>
        </w:rPr>
        <w:t> </w:t>
      </w:r>
      <w:r w:rsidRPr="004C5551">
        <w:rPr>
          <w:szCs w:val="22"/>
          <w:lang w:eastAsia="cs-CZ"/>
        </w:rPr>
        <w:t>522 zamestnancov (26,7</w:t>
      </w:r>
      <w:r w:rsidR="009425AA" w:rsidRPr="004C5551">
        <w:rPr>
          <w:szCs w:val="22"/>
          <w:lang w:eastAsia="cs-CZ"/>
        </w:rPr>
        <w:t> %</w:t>
      </w:r>
      <w:r w:rsidRPr="004C5551">
        <w:rPr>
          <w:szCs w:val="22"/>
          <w:lang w:eastAsia="cs-CZ"/>
        </w:rPr>
        <w:t>), fyzická záťaž (5 858 zamestnancov</w:t>
      </w:r>
      <w:r w:rsidR="00073D95" w:rsidRPr="004C5551">
        <w:rPr>
          <w:szCs w:val="22"/>
          <w:lang w:eastAsia="cs-CZ"/>
        </w:rPr>
        <w:t xml:space="preserve"> </w:t>
      </w:r>
      <w:r w:rsidR="00D22736" w:rsidRPr="004C5551">
        <w:rPr>
          <w:szCs w:val="22"/>
          <w:lang w:eastAsia="cs-CZ"/>
        </w:rPr>
        <w:t>–</w:t>
      </w:r>
      <w:r w:rsidRPr="004C5551">
        <w:rPr>
          <w:szCs w:val="22"/>
          <w:lang w:eastAsia="cs-CZ"/>
        </w:rPr>
        <w:t xml:space="preserve"> 5,9</w:t>
      </w:r>
      <w:r w:rsidR="009425AA" w:rsidRPr="004C5551">
        <w:rPr>
          <w:szCs w:val="22"/>
          <w:lang w:eastAsia="cs-CZ"/>
        </w:rPr>
        <w:t> %</w:t>
      </w:r>
      <w:r w:rsidRPr="004C5551">
        <w:rPr>
          <w:szCs w:val="22"/>
          <w:lang w:eastAsia="cs-CZ"/>
        </w:rPr>
        <w:t xml:space="preserve">), ionizujúce žiarenie (5 635 zamestnancov </w:t>
      </w:r>
      <w:r w:rsidR="00D22736" w:rsidRPr="004C5551">
        <w:rPr>
          <w:szCs w:val="22"/>
          <w:lang w:eastAsia="cs-CZ"/>
        </w:rPr>
        <w:t>–</w:t>
      </w:r>
      <w:r w:rsidRPr="004C5551">
        <w:rPr>
          <w:szCs w:val="22"/>
          <w:lang w:eastAsia="cs-CZ"/>
        </w:rPr>
        <w:t xml:space="preserve"> 5,6</w:t>
      </w:r>
      <w:r w:rsidR="009425AA" w:rsidRPr="004C5551">
        <w:rPr>
          <w:szCs w:val="22"/>
          <w:lang w:eastAsia="cs-CZ"/>
        </w:rPr>
        <w:t> %</w:t>
      </w:r>
      <w:r w:rsidRPr="004C5551">
        <w:rPr>
          <w:szCs w:val="22"/>
          <w:lang w:eastAsia="cs-CZ"/>
        </w:rPr>
        <w:t xml:space="preserve">), vibrácie (5 609 zamestnancov </w:t>
      </w:r>
      <w:r w:rsidR="00D22736" w:rsidRPr="004C5551">
        <w:rPr>
          <w:szCs w:val="22"/>
          <w:lang w:eastAsia="cs-CZ"/>
        </w:rPr>
        <w:t>–</w:t>
      </w:r>
      <w:r w:rsidRPr="004C5551">
        <w:rPr>
          <w:szCs w:val="22"/>
          <w:lang w:eastAsia="cs-CZ"/>
        </w:rPr>
        <w:t xml:space="preserve"> 5,6</w:t>
      </w:r>
      <w:r w:rsidR="009425AA" w:rsidRPr="004C5551">
        <w:rPr>
          <w:szCs w:val="22"/>
          <w:lang w:eastAsia="cs-CZ"/>
        </w:rPr>
        <w:t> %</w:t>
      </w:r>
      <w:r w:rsidRPr="004C5551">
        <w:rPr>
          <w:szCs w:val="22"/>
          <w:lang w:eastAsia="cs-CZ"/>
        </w:rPr>
        <w:t xml:space="preserve">), biologické faktory (5 334 zamestnancov </w:t>
      </w:r>
      <w:r w:rsidR="00D22736" w:rsidRPr="004C5551">
        <w:rPr>
          <w:szCs w:val="22"/>
          <w:lang w:eastAsia="cs-CZ"/>
        </w:rPr>
        <w:t>–</w:t>
      </w:r>
      <w:r w:rsidRPr="004C5551">
        <w:rPr>
          <w:szCs w:val="22"/>
          <w:lang w:eastAsia="cs-CZ"/>
        </w:rPr>
        <w:t xml:space="preserve"> 5,4</w:t>
      </w:r>
      <w:r w:rsidR="009425AA" w:rsidRPr="004C5551">
        <w:rPr>
          <w:szCs w:val="22"/>
          <w:lang w:eastAsia="cs-CZ"/>
        </w:rPr>
        <w:t> %</w:t>
      </w:r>
      <w:r w:rsidRPr="004C5551">
        <w:rPr>
          <w:szCs w:val="22"/>
          <w:lang w:eastAsia="cs-CZ"/>
        </w:rPr>
        <w:t xml:space="preserve">), záťaž teplom a chladom (3 715 zamestnancov </w:t>
      </w:r>
      <w:r w:rsidR="00D22736" w:rsidRPr="004C5551">
        <w:rPr>
          <w:szCs w:val="22"/>
          <w:lang w:eastAsia="cs-CZ"/>
        </w:rPr>
        <w:t>–</w:t>
      </w:r>
      <w:r w:rsidRPr="004C5551">
        <w:rPr>
          <w:szCs w:val="22"/>
          <w:lang w:eastAsia="cs-CZ"/>
        </w:rPr>
        <w:t xml:space="preserve"> 3,7</w:t>
      </w:r>
      <w:r w:rsidR="009425AA" w:rsidRPr="004C5551">
        <w:rPr>
          <w:szCs w:val="22"/>
          <w:lang w:eastAsia="cs-CZ"/>
        </w:rPr>
        <w:t> %</w:t>
      </w:r>
      <w:r w:rsidRPr="004C5551">
        <w:rPr>
          <w:szCs w:val="22"/>
          <w:lang w:eastAsia="cs-CZ"/>
        </w:rPr>
        <w:t xml:space="preserve">) a psychická pracovná záťaž (3 474 zamestnancov </w:t>
      </w:r>
      <w:r w:rsidR="00D22736" w:rsidRPr="004C5551">
        <w:rPr>
          <w:szCs w:val="22"/>
          <w:lang w:eastAsia="cs-CZ"/>
        </w:rPr>
        <w:t>–</w:t>
      </w:r>
      <w:r w:rsidRPr="004C5551">
        <w:rPr>
          <w:szCs w:val="22"/>
          <w:lang w:eastAsia="cs-CZ"/>
        </w:rPr>
        <w:t xml:space="preserve"> 3,5</w:t>
      </w:r>
      <w:r w:rsidR="009425AA" w:rsidRPr="004C5551">
        <w:rPr>
          <w:szCs w:val="22"/>
          <w:lang w:eastAsia="cs-CZ"/>
        </w:rPr>
        <w:t> %</w:t>
      </w:r>
      <w:r w:rsidRPr="004C5551">
        <w:rPr>
          <w:szCs w:val="22"/>
          <w:lang w:eastAsia="cs-CZ"/>
        </w:rPr>
        <w:t>).</w:t>
      </w:r>
    </w:p>
    <w:p w:rsidR="007537F0" w:rsidRPr="004C5551" w:rsidRDefault="007537F0" w:rsidP="00C92B2F">
      <w:pPr>
        <w:ind w:firstLine="431"/>
        <w:rPr>
          <w:szCs w:val="22"/>
          <w:lang w:eastAsia="cs-CZ"/>
        </w:rPr>
      </w:pPr>
      <w:r w:rsidRPr="004C5551">
        <w:rPr>
          <w:szCs w:val="22"/>
          <w:lang w:eastAsia="cs-CZ"/>
        </w:rPr>
        <w:t>Najviac zamestnancov vykonávalo rizikovú prácu v priemyselnej výrobe (68 309 zamest</w:t>
      </w:r>
      <w:r w:rsidR="00003E80" w:rsidRPr="004C5551">
        <w:rPr>
          <w:szCs w:val="22"/>
          <w:lang w:eastAsia="cs-CZ"/>
        </w:rPr>
        <w:softHyphen/>
      </w:r>
      <w:r w:rsidRPr="004C5551">
        <w:rPr>
          <w:szCs w:val="22"/>
          <w:lang w:eastAsia="cs-CZ"/>
        </w:rPr>
        <w:t>nancov) a v rezorte zdravotníctva a sociálnej pomoci (8 557 zamestnancov). Najviac žien (6 709 žien) vykonávalo rizikové práce v zdravotníctve a sociálnej pomoci.</w:t>
      </w:r>
    </w:p>
    <w:p w:rsidR="007537F0" w:rsidRPr="004C5551" w:rsidRDefault="007537F0" w:rsidP="007537F0">
      <w:pPr>
        <w:shd w:val="clear" w:color="auto" w:fill="FFFFFF"/>
        <w:autoSpaceDE w:val="0"/>
        <w:autoSpaceDN w:val="0"/>
        <w:adjustRightInd w:val="0"/>
        <w:rPr>
          <w:b/>
          <w:bCs/>
          <w:szCs w:val="22"/>
          <w:u w:val="single"/>
        </w:rPr>
      </w:pPr>
    </w:p>
    <w:p w:rsidR="007537F0" w:rsidRPr="004C5551" w:rsidRDefault="007537F0" w:rsidP="007537F0">
      <w:pPr>
        <w:shd w:val="clear" w:color="auto" w:fill="FFFFFF"/>
        <w:autoSpaceDE w:val="0"/>
        <w:autoSpaceDN w:val="0"/>
        <w:adjustRightInd w:val="0"/>
        <w:rPr>
          <w:b/>
          <w:bCs/>
          <w:szCs w:val="22"/>
        </w:rPr>
      </w:pPr>
      <w:r w:rsidRPr="004C5551">
        <w:rPr>
          <w:b/>
          <w:bCs/>
          <w:szCs w:val="22"/>
        </w:rPr>
        <w:t>Choroby z povolania</w:t>
      </w:r>
    </w:p>
    <w:p w:rsidR="007537F0" w:rsidRPr="004C5551" w:rsidRDefault="007537F0" w:rsidP="007537F0">
      <w:pPr>
        <w:shd w:val="clear" w:color="auto" w:fill="FFFFFF"/>
        <w:autoSpaceDE w:val="0"/>
        <w:autoSpaceDN w:val="0"/>
        <w:adjustRightInd w:val="0"/>
        <w:rPr>
          <w:b/>
          <w:bCs/>
          <w:szCs w:val="22"/>
        </w:rPr>
      </w:pPr>
    </w:p>
    <w:p w:rsidR="007537F0" w:rsidRPr="004C5551" w:rsidRDefault="007537F0" w:rsidP="00C92B2F">
      <w:pPr>
        <w:ind w:firstLine="431"/>
        <w:rPr>
          <w:szCs w:val="22"/>
          <w:lang w:eastAsia="cs-CZ"/>
        </w:rPr>
      </w:pPr>
      <w:r w:rsidRPr="004C5551">
        <w:rPr>
          <w:szCs w:val="22"/>
          <w:lang w:eastAsia="cs-CZ"/>
        </w:rPr>
        <w:t>V roku 2014 bolo v Slovenskej republike hlásených 373 novozistených chorôb z povolania, z nich 129 u žien (34,6</w:t>
      </w:r>
      <w:r w:rsidR="009425AA" w:rsidRPr="004C5551">
        <w:rPr>
          <w:szCs w:val="22"/>
          <w:lang w:eastAsia="cs-CZ"/>
        </w:rPr>
        <w:t> %</w:t>
      </w:r>
      <w:r w:rsidRPr="004C5551">
        <w:rPr>
          <w:szCs w:val="22"/>
          <w:lang w:eastAsia="cs-CZ"/>
        </w:rPr>
        <w:t xml:space="preserve"> hlásených chorôb z povolania).</w:t>
      </w:r>
    </w:p>
    <w:p w:rsidR="007537F0" w:rsidRPr="004C5551" w:rsidRDefault="007537F0" w:rsidP="00C92B2F">
      <w:pPr>
        <w:ind w:firstLine="431"/>
        <w:rPr>
          <w:szCs w:val="22"/>
          <w:lang w:eastAsia="cs-CZ"/>
        </w:rPr>
      </w:pPr>
      <w:r w:rsidRPr="004C5551">
        <w:rPr>
          <w:szCs w:val="22"/>
          <w:lang w:eastAsia="cs-CZ"/>
        </w:rPr>
        <w:t>V porovnaní s počtom 301 hlásených chorôb z povolania v roku 2013 došlo v roku 2014</w:t>
      </w:r>
      <w:r w:rsidR="00E346A0" w:rsidRPr="004C5551">
        <w:rPr>
          <w:szCs w:val="22"/>
          <w:lang w:eastAsia="cs-CZ"/>
        </w:rPr>
        <w:t xml:space="preserve"> </w:t>
      </w:r>
      <w:r w:rsidRPr="004C5551">
        <w:rPr>
          <w:szCs w:val="22"/>
          <w:lang w:eastAsia="cs-CZ"/>
        </w:rPr>
        <w:t>k</w:t>
      </w:r>
      <w:r w:rsidR="00003E80" w:rsidRPr="004C5551">
        <w:rPr>
          <w:szCs w:val="22"/>
          <w:lang w:eastAsia="cs-CZ"/>
        </w:rPr>
        <w:t> </w:t>
      </w:r>
      <w:r w:rsidRPr="004C5551">
        <w:rPr>
          <w:szCs w:val="22"/>
          <w:lang w:eastAsia="cs-CZ"/>
        </w:rPr>
        <w:t>vzostupu počtu chorôb z povolania o 72 (o 19,3</w:t>
      </w:r>
      <w:r w:rsidR="009425AA" w:rsidRPr="004C5551">
        <w:rPr>
          <w:szCs w:val="22"/>
          <w:lang w:eastAsia="cs-CZ"/>
        </w:rPr>
        <w:t> %</w:t>
      </w:r>
      <w:r w:rsidRPr="004C5551">
        <w:rPr>
          <w:szCs w:val="22"/>
          <w:lang w:eastAsia="cs-CZ"/>
        </w:rPr>
        <w:t xml:space="preserve">). </w:t>
      </w:r>
    </w:p>
    <w:p w:rsidR="007537F0" w:rsidRPr="004C5551" w:rsidRDefault="007537F0" w:rsidP="00C92B2F">
      <w:pPr>
        <w:ind w:firstLine="431"/>
        <w:rPr>
          <w:szCs w:val="22"/>
          <w:lang w:eastAsia="cs-CZ"/>
        </w:rPr>
      </w:pPr>
      <w:r w:rsidRPr="004C5551">
        <w:rPr>
          <w:szCs w:val="22"/>
          <w:lang w:eastAsia="cs-CZ"/>
        </w:rPr>
        <w:t>K najčastejšie hláseným chorobám z povolania patrilo ochorenie horných končatín z dlhodobého nadmerného a jednostranného zaťaženia u 180 zamestnancov (48,3</w:t>
      </w:r>
      <w:r w:rsidR="009425AA" w:rsidRPr="004C5551">
        <w:rPr>
          <w:szCs w:val="22"/>
          <w:lang w:eastAsia="cs-CZ"/>
        </w:rPr>
        <w:t> %</w:t>
      </w:r>
      <w:r w:rsidRPr="004C5551">
        <w:rPr>
          <w:szCs w:val="22"/>
          <w:lang w:eastAsia="cs-CZ"/>
        </w:rPr>
        <w:t xml:space="preserve"> zo všetkých hlásených chorôb z povolania v SR), ochorenie horných končatín z vibrácií u 56 zamestnancov (15</w:t>
      </w:r>
      <w:r w:rsidR="009425AA" w:rsidRPr="004C5551">
        <w:rPr>
          <w:szCs w:val="22"/>
          <w:lang w:eastAsia="cs-CZ"/>
        </w:rPr>
        <w:t> %</w:t>
      </w:r>
      <w:r w:rsidRPr="004C5551">
        <w:rPr>
          <w:szCs w:val="22"/>
          <w:lang w:eastAsia="cs-CZ"/>
        </w:rPr>
        <w:t>), porucha sluchu z</w:t>
      </w:r>
      <w:r w:rsidR="00D22736" w:rsidRPr="004C5551">
        <w:rPr>
          <w:szCs w:val="22"/>
          <w:lang w:eastAsia="cs-CZ"/>
        </w:rPr>
        <w:t> </w:t>
      </w:r>
      <w:r w:rsidRPr="004C5551">
        <w:rPr>
          <w:szCs w:val="22"/>
          <w:lang w:eastAsia="cs-CZ"/>
        </w:rPr>
        <w:t>hluku u 40 zamestnancov (10,7</w:t>
      </w:r>
      <w:r w:rsidR="009425AA" w:rsidRPr="004C5551">
        <w:rPr>
          <w:szCs w:val="22"/>
          <w:lang w:eastAsia="cs-CZ"/>
        </w:rPr>
        <w:t> %</w:t>
      </w:r>
      <w:r w:rsidRPr="004C5551">
        <w:rPr>
          <w:szCs w:val="22"/>
          <w:lang w:eastAsia="cs-CZ"/>
        </w:rPr>
        <w:t>) a prenosné a parazitárne ochorenia u</w:t>
      </w:r>
      <w:r w:rsidR="00003E80" w:rsidRPr="004C5551">
        <w:rPr>
          <w:szCs w:val="22"/>
          <w:lang w:eastAsia="cs-CZ"/>
        </w:rPr>
        <w:t> 35 </w:t>
      </w:r>
      <w:r w:rsidRPr="004C5551">
        <w:rPr>
          <w:szCs w:val="22"/>
          <w:lang w:eastAsia="cs-CZ"/>
        </w:rPr>
        <w:t>zamestnancov (9,4</w:t>
      </w:r>
      <w:r w:rsidR="009425AA" w:rsidRPr="004C5551">
        <w:rPr>
          <w:szCs w:val="22"/>
          <w:lang w:eastAsia="cs-CZ"/>
        </w:rPr>
        <w:t> %</w:t>
      </w:r>
      <w:r w:rsidRPr="004C5551">
        <w:rPr>
          <w:szCs w:val="22"/>
          <w:lang w:eastAsia="cs-CZ"/>
        </w:rPr>
        <w:t xml:space="preserve">). </w:t>
      </w:r>
    </w:p>
    <w:p w:rsidR="005B3458" w:rsidRDefault="007537F0" w:rsidP="00C92B2F">
      <w:pPr>
        <w:ind w:firstLine="431"/>
        <w:rPr>
          <w:szCs w:val="22"/>
          <w:lang w:eastAsia="cs-CZ"/>
        </w:rPr>
      </w:pPr>
      <w:r w:rsidRPr="004C5551">
        <w:rPr>
          <w:szCs w:val="22"/>
          <w:lang w:eastAsia="cs-CZ"/>
        </w:rPr>
        <w:t>Najvyšší výskyt chorôb z povolania bol v odvetví priemyselnej výroby, a to 201 hlásení chorôb z povolania (53,9</w:t>
      </w:r>
      <w:r w:rsidR="009425AA" w:rsidRPr="004C5551">
        <w:rPr>
          <w:szCs w:val="22"/>
          <w:lang w:eastAsia="cs-CZ"/>
        </w:rPr>
        <w:t> %</w:t>
      </w:r>
      <w:r w:rsidRPr="004C5551">
        <w:rPr>
          <w:szCs w:val="22"/>
          <w:lang w:eastAsia="cs-CZ"/>
        </w:rPr>
        <w:t xml:space="preserve"> zo všetkých priznaných chorôb z povolania), v odvetví ťažby a dobývania </w:t>
      </w:r>
      <w:r w:rsidR="00003E80" w:rsidRPr="004C5551">
        <w:rPr>
          <w:szCs w:val="22"/>
          <w:lang w:eastAsia="cs-CZ"/>
        </w:rPr>
        <w:t>58 </w:t>
      </w:r>
      <w:r w:rsidRPr="004C5551">
        <w:rPr>
          <w:szCs w:val="22"/>
          <w:lang w:eastAsia="cs-CZ"/>
        </w:rPr>
        <w:t>hlásení chorôb z povolania (15,5</w:t>
      </w:r>
      <w:r w:rsidR="009425AA" w:rsidRPr="004C5551">
        <w:rPr>
          <w:szCs w:val="22"/>
          <w:lang w:eastAsia="cs-CZ"/>
        </w:rPr>
        <w:t> %</w:t>
      </w:r>
      <w:r w:rsidRPr="004C5551">
        <w:rPr>
          <w:szCs w:val="22"/>
          <w:lang w:eastAsia="cs-CZ"/>
        </w:rPr>
        <w:t>), v odvetví poľnohospodárstva, lesníctva a rybolovu 36 hlásení chorôb z povolania (9,6</w:t>
      </w:r>
      <w:r w:rsidR="009425AA" w:rsidRPr="004C5551">
        <w:rPr>
          <w:szCs w:val="22"/>
          <w:lang w:eastAsia="cs-CZ"/>
        </w:rPr>
        <w:t> %</w:t>
      </w:r>
      <w:r w:rsidRPr="004C5551">
        <w:rPr>
          <w:szCs w:val="22"/>
          <w:lang w:eastAsia="cs-CZ"/>
        </w:rPr>
        <w:t>), v odvetví zdravotníctva a sociálnej pomoci 23 hlásení chorôb z povolania (6,2</w:t>
      </w:r>
      <w:r w:rsidR="009425AA" w:rsidRPr="004C5551">
        <w:rPr>
          <w:szCs w:val="22"/>
          <w:lang w:eastAsia="cs-CZ"/>
        </w:rPr>
        <w:t> %</w:t>
      </w:r>
      <w:r w:rsidRPr="004C5551">
        <w:rPr>
          <w:szCs w:val="22"/>
          <w:lang w:eastAsia="cs-CZ"/>
        </w:rPr>
        <w:t>) a v odvetví stavebníctva 20 hlásení chorôb z povolania (5,4</w:t>
      </w:r>
      <w:r w:rsidR="009425AA" w:rsidRPr="004C5551">
        <w:rPr>
          <w:szCs w:val="22"/>
          <w:lang w:eastAsia="cs-CZ"/>
        </w:rPr>
        <w:t> %</w:t>
      </w:r>
      <w:r w:rsidRPr="004C5551">
        <w:rPr>
          <w:szCs w:val="22"/>
          <w:lang w:eastAsia="cs-CZ"/>
        </w:rPr>
        <w:t>).</w:t>
      </w:r>
    </w:p>
    <w:p w:rsidR="005B3458" w:rsidRDefault="005B3458" w:rsidP="006D1C7C">
      <w:pPr>
        <w:jc w:val="left"/>
        <w:rPr>
          <w:szCs w:val="22"/>
          <w:lang w:eastAsia="cs-CZ"/>
        </w:rPr>
        <w:sectPr w:rsidR="005B3458" w:rsidSect="004F3C97">
          <w:headerReference w:type="even" r:id="rId40"/>
          <w:headerReference w:type="default" r:id="rId41"/>
          <w:type w:val="oddPage"/>
          <w:pgSz w:w="11906" w:h="16838"/>
          <w:pgMar w:top="1417" w:right="1417" w:bottom="1417" w:left="1417" w:header="709" w:footer="709" w:gutter="0"/>
          <w:cols w:space="708"/>
          <w:docGrid w:linePitch="360"/>
        </w:sectPr>
      </w:pPr>
    </w:p>
    <w:p w:rsidR="005B3458" w:rsidRDefault="005B3458" w:rsidP="002A027D">
      <w:pPr>
        <w:pStyle w:val="Normlnysozarkami"/>
        <w:sectPr w:rsidR="005B3458" w:rsidSect="004F3C97">
          <w:headerReference w:type="even" r:id="rId42"/>
          <w:headerReference w:type="default" r:id="rId43"/>
          <w:footerReference w:type="even" r:id="rId44"/>
          <w:pgSz w:w="11906" w:h="16838"/>
          <w:pgMar w:top="1417" w:right="1417" w:bottom="1417" w:left="1417" w:header="708" w:footer="708" w:gutter="0"/>
          <w:cols w:space="708"/>
          <w:docGrid w:linePitch="360"/>
        </w:sectPr>
      </w:pPr>
      <w:bookmarkStart w:id="104" w:name="_Toc356916006"/>
      <w:bookmarkStart w:id="105" w:name="_Toc356482695"/>
      <w:bookmarkStart w:id="106" w:name="_Toc356482816"/>
      <w:bookmarkEnd w:id="76"/>
      <w:bookmarkEnd w:id="88"/>
      <w:bookmarkEnd w:id="89"/>
      <w:bookmarkEnd w:id="90"/>
    </w:p>
    <w:p w:rsidR="00283A6C" w:rsidRPr="004C5551" w:rsidRDefault="00283A6C" w:rsidP="00B922C6">
      <w:pPr>
        <w:pStyle w:val="Nadpis1"/>
      </w:pPr>
      <w:bookmarkStart w:id="107" w:name="_Toc422233413"/>
      <w:r w:rsidRPr="004C5551">
        <w:t>SOCIÁLNA OCHRANA</w:t>
      </w:r>
      <w:bookmarkEnd w:id="104"/>
      <w:bookmarkEnd w:id="107"/>
    </w:p>
    <w:p w:rsidR="00283A6C" w:rsidRPr="004C5551" w:rsidRDefault="00283A6C" w:rsidP="00283A6C">
      <w:pPr>
        <w:rPr>
          <w:color w:val="000000" w:themeColor="text1"/>
        </w:rPr>
      </w:pPr>
      <w:r w:rsidRPr="004C5551">
        <w:rPr>
          <w:color w:val="000000" w:themeColor="text1"/>
        </w:rPr>
        <w:t xml:space="preserve">Sociálnu ochranu na Slovensku zabezpečuje systém sociálneho zabezpečenia, ktorý pozostáva </w:t>
      </w:r>
      <w:r w:rsidR="00003E80" w:rsidRPr="004C5551">
        <w:rPr>
          <w:color w:val="000000" w:themeColor="text1"/>
        </w:rPr>
        <w:t>zo </w:t>
      </w:r>
      <w:r w:rsidRPr="004C5551">
        <w:rPr>
          <w:color w:val="000000" w:themeColor="text1"/>
        </w:rPr>
        <w:t>sociálneho poistenia, štátnej sociálnej podpory a sociálnej pomoci.</w:t>
      </w:r>
    </w:p>
    <w:p w:rsidR="00283A6C" w:rsidRPr="004C5551" w:rsidRDefault="00283A6C" w:rsidP="00B922C6">
      <w:pPr>
        <w:pStyle w:val="nadpis2"/>
      </w:pPr>
      <w:bookmarkStart w:id="108" w:name="_Toc325440930"/>
      <w:bookmarkStart w:id="109" w:name="_Toc356482672"/>
      <w:bookmarkStart w:id="110" w:name="_Toc356482814"/>
      <w:bookmarkStart w:id="111" w:name="_Toc356916007"/>
      <w:bookmarkStart w:id="112" w:name="_Toc422233414"/>
      <w:r w:rsidRPr="004C5551">
        <w:t>Sociálne poistenie</w:t>
      </w:r>
      <w:bookmarkEnd w:id="108"/>
      <w:bookmarkEnd w:id="109"/>
      <w:bookmarkEnd w:id="110"/>
      <w:bookmarkEnd w:id="111"/>
      <w:bookmarkEnd w:id="112"/>
    </w:p>
    <w:p w:rsidR="00283A6C" w:rsidRPr="004C5551" w:rsidRDefault="00283A6C" w:rsidP="00C92B2F">
      <w:pPr>
        <w:ind w:firstLine="431"/>
        <w:rPr>
          <w:szCs w:val="22"/>
          <w:lang w:eastAsia="cs-CZ"/>
        </w:rPr>
      </w:pPr>
      <w:r w:rsidRPr="004C5551">
        <w:rPr>
          <w:szCs w:val="22"/>
          <w:lang w:eastAsia="cs-CZ"/>
        </w:rPr>
        <w:t>Sociálne poistenie zabezpečuje ochranu ekonomicky aktívneho obyvateľstva v prípade straty alebo zníženia príjmu zo zárobkovej činnosti v dôsledku dočasnej pracovnej neschopnosti, potreby ošetrovania alebo opatrovania,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povinných príspevkov na starobné dôchodkové sporenie, v prípade straty príjmu z činnosti zamestnanca v</w:t>
      </w:r>
      <w:r w:rsidR="001076CA" w:rsidRPr="004C5551">
        <w:rPr>
          <w:szCs w:val="22"/>
          <w:lang w:eastAsia="cs-CZ"/>
        </w:rPr>
        <w:t> </w:t>
      </w:r>
      <w:r w:rsidRPr="004C5551">
        <w:rPr>
          <w:szCs w:val="22"/>
          <w:lang w:eastAsia="cs-CZ"/>
        </w:rPr>
        <w:t>dôsledku straty zamestnania a</w:t>
      </w:r>
      <w:r w:rsidR="001076CA" w:rsidRPr="004C5551">
        <w:rPr>
          <w:szCs w:val="22"/>
          <w:lang w:eastAsia="cs-CZ"/>
        </w:rPr>
        <w:t> </w:t>
      </w:r>
      <w:r w:rsidRPr="004C5551">
        <w:rPr>
          <w:szCs w:val="22"/>
          <w:lang w:eastAsia="cs-CZ"/>
        </w:rPr>
        <w:t>na</w:t>
      </w:r>
      <w:r w:rsidR="001076CA" w:rsidRPr="004C5551">
        <w:rPr>
          <w:szCs w:val="22"/>
          <w:lang w:eastAsia="cs-CZ"/>
        </w:rPr>
        <w:t> </w:t>
      </w:r>
      <w:r w:rsidRPr="004C5551">
        <w:rPr>
          <w:szCs w:val="22"/>
          <w:lang w:eastAsia="cs-CZ"/>
        </w:rPr>
        <w:t>zabezpečenie príjmu v</w:t>
      </w:r>
      <w:r w:rsidR="003D5480" w:rsidRPr="004C5551">
        <w:rPr>
          <w:szCs w:val="22"/>
          <w:lang w:eastAsia="cs-CZ"/>
        </w:rPr>
        <w:t> </w:t>
      </w:r>
      <w:r w:rsidRPr="004C5551">
        <w:rPr>
          <w:szCs w:val="22"/>
          <w:lang w:eastAsia="cs-CZ"/>
        </w:rPr>
        <w:t xml:space="preserve">nezamestnanosti. </w:t>
      </w:r>
    </w:p>
    <w:p w:rsidR="00283A6C" w:rsidRPr="004C5551" w:rsidRDefault="00283A6C" w:rsidP="00C92B2F">
      <w:pPr>
        <w:ind w:firstLine="431"/>
        <w:rPr>
          <w:szCs w:val="22"/>
          <w:lang w:eastAsia="cs-CZ"/>
        </w:rPr>
      </w:pPr>
      <w:r w:rsidRPr="004C5551">
        <w:rPr>
          <w:szCs w:val="22"/>
          <w:lang w:eastAsia="cs-CZ"/>
        </w:rPr>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p>
    <w:p w:rsidR="00283A6C" w:rsidRPr="004C5551" w:rsidRDefault="00283A6C" w:rsidP="00C92B2F">
      <w:pPr>
        <w:ind w:firstLine="431"/>
        <w:rPr>
          <w:szCs w:val="22"/>
          <w:lang w:eastAsia="cs-CZ"/>
        </w:rPr>
      </w:pPr>
      <w:r w:rsidRPr="004C5551">
        <w:rPr>
          <w:szCs w:val="22"/>
          <w:lang w:eastAsia="cs-CZ"/>
        </w:rPr>
        <w:t>Rok 2014 priniesol viaceré opatrenia, ktorých cieľom bolo napr. zníženie administratívnej záťaže dobrovoľne poistených osôb, zlepšenie postavenia fyzických osôb v období starostlivosti o</w:t>
      </w:r>
      <w:r w:rsidR="003D5480" w:rsidRPr="004C5551">
        <w:rPr>
          <w:szCs w:val="22"/>
          <w:lang w:eastAsia="cs-CZ"/>
        </w:rPr>
        <w:t> </w:t>
      </w:r>
      <w:r w:rsidRPr="004C5551">
        <w:rPr>
          <w:szCs w:val="22"/>
          <w:lang w:eastAsia="cs-CZ"/>
        </w:rPr>
        <w:t>dieťa a</w:t>
      </w:r>
      <w:r w:rsidR="00D22736" w:rsidRPr="004C5551">
        <w:rPr>
          <w:szCs w:val="22"/>
          <w:lang w:eastAsia="cs-CZ"/>
        </w:rPr>
        <w:t> </w:t>
      </w:r>
      <w:r w:rsidRPr="004C5551">
        <w:rPr>
          <w:szCs w:val="22"/>
          <w:lang w:eastAsia="cs-CZ"/>
        </w:rPr>
        <w:t>v</w:t>
      </w:r>
      <w:r w:rsidR="00D22736" w:rsidRPr="004C5551">
        <w:rPr>
          <w:szCs w:val="22"/>
          <w:lang w:eastAsia="cs-CZ"/>
        </w:rPr>
        <w:t> </w:t>
      </w:r>
      <w:r w:rsidRPr="004C5551">
        <w:rPr>
          <w:szCs w:val="22"/>
          <w:lang w:eastAsia="cs-CZ"/>
        </w:rPr>
        <w:t xml:space="preserve">neposlednom rade zvýšenie životnej </w:t>
      </w:r>
      <w:r w:rsidRPr="004C5551">
        <w:rPr>
          <w:lang w:eastAsia="cs-CZ"/>
        </w:rPr>
        <w:t>úrovne nízkopríjmových poberateľov dôchodkov.</w:t>
      </w:r>
    </w:p>
    <w:p w:rsidR="00283A6C" w:rsidRPr="004C5551" w:rsidRDefault="00283A6C" w:rsidP="00C92B2F">
      <w:pPr>
        <w:rPr>
          <w:szCs w:val="22"/>
          <w:lang w:eastAsia="cs-CZ"/>
        </w:rPr>
      </w:pPr>
      <w:r w:rsidRPr="004C5551">
        <w:rPr>
          <w:szCs w:val="22"/>
          <w:lang w:eastAsia="cs-CZ"/>
        </w:rPr>
        <w:t xml:space="preserve">V sledovanom období v oblasti sociálneho poistenia nadobudli účinnosť nasledovné opatrenia: </w:t>
      </w:r>
    </w:p>
    <w:p w:rsidR="00283A6C" w:rsidRPr="004C5551" w:rsidRDefault="00283A6C" w:rsidP="009C55E3">
      <w:pPr>
        <w:pStyle w:val="Odsekzoznamu"/>
        <w:numPr>
          <w:ilvl w:val="0"/>
          <w:numId w:val="23"/>
        </w:numPr>
      </w:pPr>
      <w:r w:rsidRPr="004C5551">
        <w:rPr>
          <w:szCs w:val="22"/>
        </w:rPr>
        <w:t>Opatrenie MPSVR SR č. 469/2013 Z. z.</w:t>
      </w:r>
      <w:r w:rsidRPr="004C5551">
        <w:t>, ktorým sa ustanovuje výška dôchodkovej hodnoty na</w:t>
      </w:r>
      <w:r w:rsidR="003D5480" w:rsidRPr="004C5551">
        <w:t> </w:t>
      </w:r>
      <w:r w:rsidRPr="004C5551">
        <w:t xml:space="preserve">rok 2014. Dôchodková hodnota sa v roku 2014 zvýšila na 10,2524 </w:t>
      </w:r>
      <w:r w:rsidR="002926E5" w:rsidRPr="004C5551">
        <w:t>eura</w:t>
      </w:r>
      <w:r w:rsidRPr="004C5551">
        <w:t xml:space="preserve"> z 10,0098 </w:t>
      </w:r>
      <w:r w:rsidR="002926E5" w:rsidRPr="004C5551">
        <w:t>eura</w:t>
      </w:r>
      <w:r w:rsidRPr="004C5551">
        <w:t xml:space="preserve"> v</w:t>
      </w:r>
      <w:r w:rsidR="003D5480" w:rsidRPr="004C5551">
        <w:t> </w:t>
      </w:r>
      <w:r w:rsidRPr="004C5551">
        <w:t xml:space="preserve">roku 2013. Výška aktuálnej dôchodkovej hodnoty sa používa pri určení sumy dôchodku v danom roku. </w:t>
      </w:r>
    </w:p>
    <w:p w:rsidR="00283A6C" w:rsidRPr="004C5551" w:rsidRDefault="00283A6C" w:rsidP="009C55E3">
      <w:pPr>
        <w:pStyle w:val="Odsekzoznamu"/>
        <w:numPr>
          <w:ilvl w:val="0"/>
          <w:numId w:val="23"/>
        </w:numPr>
      </w:pPr>
      <w:r w:rsidRPr="004C5551">
        <w:t>Opatrenie MPSVR SR č. 329/2013 Z. z., ktorým sa ustanovuje pevná suma zvýšenia dôchodkovej dávky a percento zvýšenia úrazovej renty v roku 2014.</w:t>
      </w:r>
    </w:p>
    <w:p w:rsidR="00283A6C" w:rsidRPr="004C5551" w:rsidRDefault="00283A6C" w:rsidP="008C5040">
      <w:pPr>
        <w:pStyle w:val="l21"/>
        <w:ind w:left="360"/>
        <w:rPr>
          <w:sz w:val="22"/>
          <w:szCs w:val="22"/>
        </w:rPr>
      </w:pPr>
      <w:r w:rsidRPr="004C5551">
        <w:rPr>
          <w:sz w:val="22"/>
          <w:szCs w:val="22"/>
        </w:rPr>
        <w:t>Dôchodkové dávky sa v roku 2014 zvýšili nasledovne:</w:t>
      </w:r>
    </w:p>
    <w:p w:rsidR="00283A6C" w:rsidRPr="004C5551" w:rsidRDefault="00283A6C" w:rsidP="009C55E3">
      <w:pPr>
        <w:pStyle w:val="l21"/>
        <w:numPr>
          <w:ilvl w:val="0"/>
          <w:numId w:val="42"/>
        </w:numPr>
        <w:ind w:left="993" w:hanging="273"/>
        <w:rPr>
          <w:sz w:val="22"/>
          <w:szCs w:val="22"/>
        </w:rPr>
      </w:pPr>
      <w:bookmarkStart w:id="113" w:name="p1-a"/>
      <w:bookmarkEnd w:id="113"/>
      <w:r w:rsidRPr="004C5551">
        <w:rPr>
          <w:sz w:val="22"/>
          <w:szCs w:val="22"/>
        </w:rPr>
        <w:t>starobný dôchodok o 8,80 eura,</w:t>
      </w:r>
    </w:p>
    <w:p w:rsidR="00283A6C" w:rsidRPr="004C5551" w:rsidRDefault="00283A6C" w:rsidP="009C55E3">
      <w:pPr>
        <w:pStyle w:val="l21"/>
        <w:numPr>
          <w:ilvl w:val="0"/>
          <w:numId w:val="42"/>
        </w:numPr>
        <w:ind w:left="993" w:hanging="273"/>
        <w:rPr>
          <w:sz w:val="22"/>
          <w:szCs w:val="22"/>
        </w:rPr>
      </w:pPr>
      <w:bookmarkStart w:id="114" w:name="p1-b"/>
      <w:bookmarkEnd w:id="114"/>
      <w:r w:rsidRPr="004C5551">
        <w:rPr>
          <w:sz w:val="22"/>
          <w:szCs w:val="22"/>
        </w:rPr>
        <w:t>starobný dôchodok vyplácaný v sume jednej polovice o 2,70 eura,</w:t>
      </w:r>
    </w:p>
    <w:p w:rsidR="00283A6C" w:rsidRPr="004C5551" w:rsidRDefault="00283A6C" w:rsidP="009C55E3">
      <w:pPr>
        <w:pStyle w:val="l21"/>
        <w:numPr>
          <w:ilvl w:val="0"/>
          <w:numId w:val="42"/>
        </w:numPr>
        <w:ind w:left="993" w:hanging="273"/>
        <w:rPr>
          <w:sz w:val="22"/>
          <w:szCs w:val="22"/>
        </w:rPr>
      </w:pPr>
      <w:bookmarkStart w:id="115" w:name="p1-c"/>
      <w:bookmarkEnd w:id="115"/>
      <w:r w:rsidRPr="004C5551">
        <w:rPr>
          <w:sz w:val="22"/>
          <w:szCs w:val="22"/>
        </w:rPr>
        <w:t>predčasný starobný dôchodok o 8,90 eura,</w:t>
      </w:r>
    </w:p>
    <w:p w:rsidR="00283A6C" w:rsidRPr="004C5551" w:rsidRDefault="00283A6C" w:rsidP="009C55E3">
      <w:pPr>
        <w:pStyle w:val="l21"/>
        <w:numPr>
          <w:ilvl w:val="0"/>
          <w:numId w:val="42"/>
        </w:numPr>
        <w:ind w:left="993" w:hanging="273"/>
        <w:rPr>
          <w:sz w:val="22"/>
          <w:szCs w:val="22"/>
        </w:rPr>
      </w:pPr>
      <w:bookmarkStart w:id="116" w:name="p1-d"/>
      <w:bookmarkEnd w:id="116"/>
      <w:r w:rsidRPr="004C5551">
        <w:rPr>
          <w:sz w:val="22"/>
          <w:szCs w:val="22"/>
        </w:rPr>
        <w:t>predčasný starobný dôchodok vyplácaný v sume jednej polovice o 3,30 eura,</w:t>
      </w:r>
    </w:p>
    <w:p w:rsidR="00283A6C" w:rsidRPr="004C5551" w:rsidRDefault="00283A6C" w:rsidP="009C55E3">
      <w:pPr>
        <w:pStyle w:val="l21"/>
        <w:numPr>
          <w:ilvl w:val="0"/>
          <w:numId w:val="42"/>
        </w:numPr>
        <w:ind w:left="993" w:hanging="273"/>
        <w:rPr>
          <w:sz w:val="22"/>
          <w:szCs w:val="22"/>
        </w:rPr>
      </w:pPr>
      <w:bookmarkStart w:id="117" w:name="p1-e"/>
      <w:bookmarkEnd w:id="117"/>
      <w:r w:rsidRPr="004C5551">
        <w:rPr>
          <w:sz w:val="22"/>
          <w:szCs w:val="22"/>
        </w:rPr>
        <w:t>invalidný dôchodok priznaný z dôvodu poklesu schopnosti vykonávať zárobkovú činnosť o</w:t>
      </w:r>
      <w:r w:rsidR="008C5040" w:rsidRPr="004C5551">
        <w:rPr>
          <w:sz w:val="22"/>
          <w:szCs w:val="22"/>
        </w:rPr>
        <w:t> </w:t>
      </w:r>
      <w:r w:rsidRPr="004C5551">
        <w:rPr>
          <w:sz w:val="22"/>
          <w:szCs w:val="22"/>
        </w:rPr>
        <w:t>viac ako 70</w:t>
      </w:r>
      <w:r w:rsidR="009425AA" w:rsidRPr="004C5551">
        <w:rPr>
          <w:sz w:val="22"/>
          <w:szCs w:val="22"/>
        </w:rPr>
        <w:t> %</w:t>
      </w:r>
      <w:r w:rsidRPr="004C5551">
        <w:rPr>
          <w:sz w:val="22"/>
          <w:szCs w:val="22"/>
        </w:rPr>
        <w:t>, invalidný dôchodok podľa § 266 zákona o sociálnom poistení a sociálny dôchodok o</w:t>
      </w:r>
      <w:r w:rsidR="003D5480" w:rsidRPr="004C5551">
        <w:rPr>
          <w:sz w:val="22"/>
          <w:szCs w:val="22"/>
        </w:rPr>
        <w:t> </w:t>
      </w:r>
      <w:r w:rsidRPr="004C5551">
        <w:rPr>
          <w:sz w:val="22"/>
          <w:szCs w:val="22"/>
        </w:rPr>
        <w:t>7,80</w:t>
      </w:r>
      <w:r w:rsidR="003D5480" w:rsidRPr="004C5551">
        <w:rPr>
          <w:sz w:val="22"/>
          <w:szCs w:val="22"/>
        </w:rPr>
        <w:t> </w:t>
      </w:r>
      <w:r w:rsidRPr="004C5551">
        <w:rPr>
          <w:sz w:val="22"/>
          <w:szCs w:val="22"/>
        </w:rPr>
        <w:t>eura,</w:t>
      </w:r>
    </w:p>
    <w:p w:rsidR="00283A6C" w:rsidRPr="004C5551" w:rsidRDefault="00283A6C" w:rsidP="009C55E3">
      <w:pPr>
        <w:pStyle w:val="l21"/>
        <w:numPr>
          <w:ilvl w:val="0"/>
          <w:numId w:val="42"/>
        </w:numPr>
        <w:ind w:left="993" w:hanging="273"/>
        <w:rPr>
          <w:sz w:val="22"/>
          <w:szCs w:val="22"/>
        </w:rPr>
      </w:pPr>
      <w:bookmarkStart w:id="118" w:name="p1-f"/>
      <w:bookmarkEnd w:id="118"/>
      <w:r w:rsidRPr="004C5551">
        <w:rPr>
          <w:sz w:val="22"/>
          <w:szCs w:val="22"/>
        </w:rPr>
        <w:t>invalidný dôchodok priznaný z dôvodu poklesu schopnosti vykonávať zárobkovú činnosť o</w:t>
      </w:r>
      <w:r w:rsidR="008C5040" w:rsidRPr="004C5551">
        <w:rPr>
          <w:sz w:val="22"/>
          <w:szCs w:val="22"/>
        </w:rPr>
        <w:t> </w:t>
      </w:r>
      <w:r w:rsidRPr="004C5551">
        <w:rPr>
          <w:sz w:val="22"/>
          <w:szCs w:val="22"/>
        </w:rPr>
        <w:t>viac ako 70</w:t>
      </w:r>
      <w:r w:rsidR="009425AA" w:rsidRPr="004C5551">
        <w:rPr>
          <w:sz w:val="22"/>
          <w:szCs w:val="22"/>
        </w:rPr>
        <w:t> %</w:t>
      </w:r>
      <w:r w:rsidRPr="004C5551">
        <w:rPr>
          <w:sz w:val="22"/>
          <w:szCs w:val="22"/>
        </w:rPr>
        <w:t xml:space="preserve">, invalidný dôchodok podľa </w:t>
      </w:r>
      <w:hyperlink r:id="rId45" w:anchor="f6113179" w:history="1">
        <w:r w:rsidRPr="004C5551">
          <w:rPr>
            <w:sz w:val="22"/>
            <w:szCs w:val="22"/>
          </w:rPr>
          <w:t xml:space="preserve">§ 266 zákona </w:t>
        </w:r>
      </w:hyperlink>
      <w:r w:rsidRPr="004C5551">
        <w:rPr>
          <w:sz w:val="22"/>
          <w:szCs w:val="22"/>
        </w:rPr>
        <w:t>o sociálnom poistení a sociálny dôchodok vyplácaný v</w:t>
      </w:r>
      <w:r w:rsidR="003D5480" w:rsidRPr="004C5551">
        <w:rPr>
          <w:sz w:val="22"/>
          <w:szCs w:val="22"/>
        </w:rPr>
        <w:t> </w:t>
      </w:r>
      <w:r w:rsidRPr="004C5551">
        <w:rPr>
          <w:sz w:val="22"/>
          <w:szCs w:val="22"/>
        </w:rPr>
        <w:t>sume jednej polovice o 2,80 eura,</w:t>
      </w:r>
    </w:p>
    <w:p w:rsidR="00283A6C" w:rsidRPr="004C5551" w:rsidRDefault="00283A6C" w:rsidP="009C55E3">
      <w:pPr>
        <w:pStyle w:val="l21"/>
        <w:numPr>
          <w:ilvl w:val="0"/>
          <w:numId w:val="42"/>
        </w:numPr>
        <w:ind w:left="993" w:hanging="273"/>
        <w:rPr>
          <w:sz w:val="22"/>
          <w:szCs w:val="22"/>
        </w:rPr>
      </w:pPr>
      <w:bookmarkStart w:id="119" w:name="p1-g"/>
      <w:bookmarkEnd w:id="119"/>
      <w:r w:rsidRPr="004C5551">
        <w:rPr>
          <w:sz w:val="22"/>
          <w:szCs w:val="22"/>
        </w:rPr>
        <w:t>invalidný dôchodok priznaný z dôvodu poklesu schopnosti vykonávať zárobkovú činnosť najviac o</w:t>
      </w:r>
      <w:r w:rsidR="003D5480" w:rsidRPr="004C5551">
        <w:rPr>
          <w:sz w:val="22"/>
          <w:szCs w:val="22"/>
        </w:rPr>
        <w:t> </w:t>
      </w:r>
      <w:r w:rsidRPr="004C5551">
        <w:rPr>
          <w:sz w:val="22"/>
          <w:szCs w:val="22"/>
        </w:rPr>
        <w:t>70</w:t>
      </w:r>
      <w:r w:rsidR="009425AA" w:rsidRPr="004C5551">
        <w:rPr>
          <w:sz w:val="22"/>
          <w:szCs w:val="22"/>
        </w:rPr>
        <w:t> %</w:t>
      </w:r>
      <w:r w:rsidRPr="004C5551">
        <w:rPr>
          <w:sz w:val="22"/>
          <w:szCs w:val="22"/>
        </w:rPr>
        <w:t xml:space="preserve"> o 4,50 eura,</w:t>
      </w:r>
    </w:p>
    <w:p w:rsidR="00283A6C" w:rsidRPr="004C5551" w:rsidRDefault="00283A6C" w:rsidP="009C55E3">
      <w:pPr>
        <w:pStyle w:val="l21"/>
        <w:numPr>
          <w:ilvl w:val="0"/>
          <w:numId w:val="42"/>
        </w:numPr>
        <w:ind w:left="993" w:hanging="273"/>
        <w:rPr>
          <w:sz w:val="22"/>
          <w:szCs w:val="22"/>
        </w:rPr>
      </w:pPr>
      <w:bookmarkStart w:id="120" w:name="p1-h"/>
      <w:bookmarkEnd w:id="120"/>
      <w:r w:rsidRPr="004C5551">
        <w:rPr>
          <w:sz w:val="22"/>
          <w:szCs w:val="22"/>
        </w:rPr>
        <w:t>invalidný dôchodok priznaný z dôvodu poklesu schopnosti vykonávať zárobkovú činnosť najviac o</w:t>
      </w:r>
      <w:r w:rsidR="003D5480" w:rsidRPr="004C5551">
        <w:rPr>
          <w:sz w:val="22"/>
          <w:szCs w:val="22"/>
        </w:rPr>
        <w:t> </w:t>
      </w:r>
      <w:r w:rsidRPr="004C5551">
        <w:rPr>
          <w:sz w:val="22"/>
          <w:szCs w:val="22"/>
        </w:rPr>
        <w:t>70</w:t>
      </w:r>
      <w:r w:rsidR="009425AA" w:rsidRPr="004C5551">
        <w:rPr>
          <w:sz w:val="22"/>
          <w:szCs w:val="22"/>
        </w:rPr>
        <w:t> %</w:t>
      </w:r>
      <w:r w:rsidRPr="004C5551">
        <w:rPr>
          <w:sz w:val="22"/>
          <w:szCs w:val="22"/>
        </w:rPr>
        <w:t xml:space="preserve"> vyplácaný v sume jednej polovice o 1,80 eura,</w:t>
      </w:r>
    </w:p>
    <w:p w:rsidR="00283A6C" w:rsidRPr="004C5551" w:rsidRDefault="00283A6C" w:rsidP="009C55E3">
      <w:pPr>
        <w:pStyle w:val="l21"/>
        <w:numPr>
          <w:ilvl w:val="0"/>
          <w:numId w:val="42"/>
        </w:numPr>
        <w:ind w:left="993" w:hanging="273"/>
        <w:rPr>
          <w:sz w:val="22"/>
          <w:szCs w:val="22"/>
        </w:rPr>
      </w:pPr>
      <w:bookmarkStart w:id="121" w:name="p1-i"/>
      <w:bookmarkEnd w:id="121"/>
      <w:r w:rsidRPr="004C5551">
        <w:rPr>
          <w:sz w:val="22"/>
          <w:szCs w:val="22"/>
        </w:rPr>
        <w:t>vdovský dôchodok a vdovecký dôchodok o 5,70 eura,</w:t>
      </w:r>
    </w:p>
    <w:p w:rsidR="00283A6C" w:rsidRPr="004C5551" w:rsidRDefault="00283A6C" w:rsidP="009C55E3">
      <w:pPr>
        <w:pStyle w:val="l21"/>
        <w:numPr>
          <w:ilvl w:val="0"/>
          <w:numId w:val="42"/>
        </w:numPr>
        <w:ind w:left="993" w:hanging="273"/>
        <w:rPr>
          <w:sz w:val="22"/>
          <w:szCs w:val="22"/>
        </w:rPr>
      </w:pPr>
      <w:bookmarkStart w:id="122" w:name="p1-j"/>
      <w:bookmarkEnd w:id="122"/>
      <w:r w:rsidRPr="004C5551">
        <w:rPr>
          <w:sz w:val="22"/>
          <w:szCs w:val="22"/>
        </w:rPr>
        <w:t>vdovský dôchodok a vdovecký dôchodok vyplácaný v sume jednej polovice o 2,50 eura,</w:t>
      </w:r>
    </w:p>
    <w:p w:rsidR="00283A6C" w:rsidRPr="004C5551" w:rsidRDefault="00283A6C" w:rsidP="009C55E3">
      <w:pPr>
        <w:pStyle w:val="l21"/>
        <w:numPr>
          <w:ilvl w:val="0"/>
          <w:numId w:val="42"/>
        </w:numPr>
        <w:ind w:left="993" w:hanging="273"/>
        <w:rPr>
          <w:sz w:val="22"/>
          <w:szCs w:val="22"/>
        </w:rPr>
      </w:pPr>
      <w:bookmarkStart w:id="123" w:name="p1-k"/>
      <w:bookmarkEnd w:id="123"/>
      <w:r w:rsidRPr="004C5551">
        <w:rPr>
          <w:sz w:val="22"/>
          <w:szCs w:val="22"/>
        </w:rPr>
        <w:t>sirotský dôchodok o 3,00 eura,</w:t>
      </w:r>
    </w:p>
    <w:p w:rsidR="00283A6C" w:rsidRPr="004C5551" w:rsidRDefault="00283A6C" w:rsidP="009C55E3">
      <w:pPr>
        <w:pStyle w:val="l21"/>
        <w:numPr>
          <w:ilvl w:val="0"/>
          <w:numId w:val="42"/>
        </w:numPr>
        <w:ind w:left="993" w:hanging="273"/>
        <w:rPr>
          <w:sz w:val="22"/>
          <w:szCs w:val="22"/>
        </w:rPr>
      </w:pPr>
      <w:bookmarkStart w:id="124" w:name="p1-l"/>
      <w:bookmarkEnd w:id="124"/>
      <w:r w:rsidRPr="004C5551">
        <w:rPr>
          <w:sz w:val="22"/>
          <w:szCs w:val="22"/>
        </w:rPr>
        <w:t>sirotský dôchodok vyplácaný v sume jednej polovice o 1,50 eura.</w:t>
      </w:r>
    </w:p>
    <w:p w:rsidR="00283A6C" w:rsidRPr="004C5551" w:rsidRDefault="00283A6C" w:rsidP="008C5040">
      <w:pPr>
        <w:pStyle w:val="l21"/>
        <w:ind w:left="360"/>
        <w:rPr>
          <w:sz w:val="22"/>
          <w:szCs w:val="22"/>
        </w:rPr>
      </w:pPr>
      <w:bookmarkStart w:id="125" w:name="p2"/>
      <w:bookmarkStart w:id="126" w:name="p2-1"/>
      <w:bookmarkEnd w:id="125"/>
      <w:bookmarkEnd w:id="126"/>
      <w:r w:rsidRPr="004C5551">
        <w:rPr>
          <w:sz w:val="22"/>
          <w:szCs w:val="22"/>
        </w:rPr>
        <w:t>Úrazová renta sa v roku 2014 zvýšila o 2,30</w:t>
      </w:r>
      <w:r w:rsidR="009425AA" w:rsidRPr="004C5551">
        <w:rPr>
          <w:sz w:val="22"/>
          <w:szCs w:val="22"/>
        </w:rPr>
        <w:t> %</w:t>
      </w:r>
      <w:r w:rsidRPr="004C5551">
        <w:rPr>
          <w:sz w:val="22"/>
          <w:szCs w:val="22"/>
        </w:rPr>
        <w:t>.</w:t>
      </w:r>
    </w:p>
    <w:p w:rsidR="0024571B" w:rsidRPr="004C5551" w:rsidRDefault="0024571B" w:rsidP="009C55E3">
      <w:pPr>
        <w:pStyle w:val="Odsekzoznamu"/>
        <w:numPr>
          <w:ilvl w:val="0"/>
          <w:numId w:val="23"/>
        </w:numPr>
        <w:rPr>
          <w:sz w:val="24"/>
        </w:rPr>
      </w:pPr>
      <w:r w:rsidRPr="004C5551">
        <w:rPr>
          <w:szCs w:val="22"/>
        </w:rPr>
        <w:t>Opatrenie MPSVR SR č. 109/2014 Z. z., ktorým sa ustanovuje suma všeobecného vymeriavacieho základu na kalendárny rok 2013. Suma všeobecného vymeriavacieho základu za kalendárny rok 2013 bola 9 888 eur</w:t>
      </w:r>
    </w:p>
    <w:p w:rsidR="00283A6C" w:rsidRPr="004C5551" w:rsidRDefault="00283A6C" w:rsidP="009C55E3">
      <w:pPr>
        <w:pStyle w:val="Odsekzoznamu"/>
        <w:numPr>
          <w:ilvl w:val="0"/>
          <w:numId w:val="23"/>
        </w:numPr>
        <w:rPr>
          <w:sz w:val="24"/>
        </w:rPr>
      </w:pPr>
      <w:r w:rsidRPr="004C5551">
        <w:rPr>
          <w:szCs w:val="22"/>
        </w:rPr>
        <w:t>Opatrenie MPSVR SR č. 328/2013 Z. z. zo 17. októbra 2013, ktorým sa ustanovuje maximálna suma mesačného príjmu a maximálna suma priemerného mesačného príjmu z</w:t>
      </w:r>
      <w:r w:rsidR="003D5480" w:rsidRPr="004C5551">
        <w:rPr>
          <w:szCs w:val="22"/>
        </w:rPr>
        <w:t> </w:t>
      </w:r>
      <w:r w:rsidRPr="004C5551">
        <w:rPr>
          <w:szCs w:val="22"/>
        </w:rPr>
        <w:t>určenej dohody o</w:t>
      </w:r>
      <w:r w:rsidR="008C5040" w:rsidRPr="004C5551">
        <w:rPr>
          <w:szCs w:val="22"/>
        </w:rPr>
        <w:t> </w:t>
      </w:r>
      <w:r w:rsidRPr="004C5551">
        <w:rPr>
          <w:szCs w:val="22"/>
        </w:rPr>
        <w:t xml:space="preserve">brigádnickej práci študentov na rok 2014. Od 1. januára 2014 boli ustanovené nasledovné hranice na odvodovú úľavu pre študentov- </w:t>
      </w:r>
      <w:proofErr w:type="spellStart"/>
      <w:r w:rsidRPr="004C5551">
        <w:rPr>
          <w:szCs w:val="22"/>
        </w:rPr>
        <w:t>dohodárov</w:t>
      </w:r>
      <w:proofErr w:type="spellEnd"/>
      <w:r w:rsidRPr="004C5551">
        <w:rPr>
          <w:szCs w:val="22"/>
        </w:rPr>
        <w:t>:</w:t>
      </w:r>
      <w:r w:rsidRPr="004C5551">
        <w:rPr>
          <w:sz w:val="24"/>
        </w:rPr>
        <w:t xml:space="preserve"> </w:t>
      </w:r>
    </w:p>
    <w:p w:rsidR="00283A6C" w:rsidRPr="004C5551" w:rsidRDefault="00283A6C" w:rsidP="009C55E3">
      <w:pPr>
        <w:pStyle w:val="Pta"/>
        <w:numPr>
          <w:ilvl w:val="0"/>
          <w:numId w:val="43"/>
        </w:numPr>
        <w:tabs>
          <w:tab w:val="clear" w:pos="4536"/>
          <w:tab w:val="clear" w:pos="9072"/>
          <w:tab w:val="left" w:pos="-2694"/>
        </w:tabs>
        <w:ind w:left="993" w:hanging="284"/>
        <w:rPr>
          <w:szCs w:val="22"/>
          <w:lang w:eastAsia="sk-SK"/>
        </w:rPr>
      </w:pPr>
      <w:r w:rsidRPr="004C5551">
        <w:rPr>
          <w:szCs w:val="22"/>
          <w:lang w:eastAsia="sk-SK"/>
        </w:rPr>
        <w:t xml:space="preserve">68 </w:t>
      </w:r>
      <w:r w:rsidR="000860E9" w:rsidRPr="004C5551">
        <w:rPr>
          <w:szCs w:val="22"/>
          <w:lang w:eastAsia="sk-SK"/>
        </w:rPr>
        <w:t>eur</w:t>
      </w:r>
      <w:r w:rsidRPr="004C5551">
        <w:rPr>
          <w:szCs w:val="22"/>
          <w:lang w:eastAsia="sk-SK"/>
        </w:rPr>
        <w:t xml:space="preserve"> mesačne pre študentov do 18 rokov veku;</w:t>
      </w:r>
    </w:p>
    <w:p w:rsidR="00283A6C" w:rsidRPr="004C5551" w:rsidRDefault="00283A6C" w:rsidP="009C55E3">
      <w:pPr>
        <w:pStyle w:val="Pta"/>
        <w:numPr>
          <w:ilvl w:val="0"/>
          <w:numId w:val="43"/>
        </w:numPr>
        <w:tabs>
          <w:tab w:val="clear" w:pos="4536"/>
          <w:tab w:val="clear" w:pos="9072"/>
          <w:tab w:val="left" w:pos="-2694"/>
        </w:tabs>
        <w:ind w:left="993" w:hanging="284"/>
        <w:rPr>
          <w:szCs w:val="22"/>
          <w:lang w:eastAsia="sk-SK"/>
        </w:rPr>
      </w:pPr>
      <w:r w:rsidRPr="004C5551">
        <w:rPr>
          <w:szCs w:val="22"/>
          <w:lang w:eastAsia="sk-SK"/>
        </w:rPr>
        <w:t xml:space="preserve">159 </w:t>
      </w:r>
      <w:r w:rsidR="000860E9" w:rsidRPr="004C5551">
        <w:rPr>
          <w:szCs w:val="22"/>
          <w:lang w:eastAsia="sk-SK"/>
        </w:rPr>
        <w:t>eur</w:t>
      </w:r>
      <w:r w:rsidRPr="004C5551">
        <w:rPr>
          <w:szCs w:val="22"/>
          <w:lang w:eastAsia="sk-SK"/>
        </w:rPr>
        <w:t xml:space="preserve"> mesačne pre študentov nad 18 rokov veku, do 26 rokov veku.</w:t>
      </w:r>
    </w:p>
    <w:p w:rsidR="00283A6C" w:rsidRPr="004C5551" w:rsidRDefault="00283A6C" w:rsidP="009C55E3">
      <w:pPr>
        <w:pStyle w:val="Odsekzoznamu"/>
        <w:numPr>
          <w:ilvl w:val="0"/>
          <w:numId w:val="23"/>
        </w:numPr>
        <w:rPr>
          <w:sz w:val="24"/>
        </w:rPr>
      </w:pPr>
      <w:r w:rsidRPr="004C5551">
        <w:rPr>
          <w:szCs w:val="22"/>
        </w:rPr>
        <w:t>V roku 2014 bol opätovne vyplatený vianočný príspevok niektorým poberateľom dôchodku na</w:t>
      </w:r>
      <w:r w:rsidR="008C5040" w:rsidRPr="004C5551">
        <w:rPr>
          <w:szCs w:val="22"/>
        </w:rPr>
        <w:t> </w:t>
      </w:r>
      <w:r w:rsidRPr="004C5551">
        <w:rPr>
          <w:szCs w:val="22"/>
        </w:rPr>
        <w:t>základe zákona č. 240/2014 Z. z., ktorým sa mení a dopĺňa zákon č.</w:t>
      </w:r>
      <w:r w:rsidR="008C5040" w:rsidRPr="004C5551">
        <w:rPr>
          <w:szCs w:val="22"/>
        </w:rPr>
        <w:t> </w:t>
      </w:r>
      <w:r w:rsidRPr="004C5551">
        <w:rPr>
          <w:szCs w:val="22"/>
        </w:rPr>
        <w:t>592/2006 Z.</w:t>
      </w:r>
      <w:r w:rsidR="008C5040" w:rsidRPr="004C5551">
        <w:rPr>
          <w:szCs w:val="22"/>
        </w:rPr>
        <w:t> </w:t>
      </w:r>
      <w:r w:rsidRPr="004C5551">
        <w:rPr>
          <w:szCs w:val="22"/>
        </w:rPr>
        <w:t>z. o</w:t>
      </w:r>
      <w:r w:rsidR="003D5480" w:rsidRPr="004C5551">
        <w:rPr>
          <w:szCs w:val="22"/>
        </w:rPr>
        <w:t> </w:t>
      </w:r>
      <w:r w:rsidRPr="004C5551">
        <w:rPr>
          <w:szCs w:val="22"/>
        </w:rPr>
        <w:t>poskytovaní vianočného príspevku niektorým poberateľom dôchodku a o doplnení niektorých zákonov v znení neskorších predpisov a ktorým sa mení a dopĺňa zákon č.</w:t>
      </w:r>
      <w:r w:rsidR="003D5480" w:rsidRPr="004C5551">
        <w:rPr>
          <w:szCs w:val="22"/>
        </w:rPr>
        <w:t> </w:t>
      </w:r>
      <w:r w:rsidRPr="004C5551">
        <w:rPr>
          <w:szCs w:val="22"/>
        </w:rPr>
        <w:t>461/2003 Z. z. o</w:t>
      </w:r>
      <w:r w:rsidR="008C5040" w:rsidRPr="004C5551">
        <w:rPr>
          <w:szCs w:val="22"/>
        </w:rPr>
        <w:t> </w:t>
      </w:r>
      <w:r w:rsidRPr="004C5551">
        <w:rPr>
          <w:szCs w:val="22"/>
        </w:rPr>
        <w:t>sociálnom poistení v znení neskorších predpisov. V roku 2014 v porovnaní s rokom 2013 došlo k nasledovným zmenám v poskytovaní vianočného príspevku:</w:t>
      </w:r>
    </w:p>
    <w:p w:rsidR="00283A6C" w:rsidRPr="004C5551" w:rsidRDefault="00283A6C" w:rsidP="009C55E3">
      <w:pPr>
        <w:pStyle w:val="Pta"/>
        <w:numPr>
          <w:ilvl w:val="1"/>
          <w:numId w:val="44"/>
        </w:numPr>
        <w:tabs>
          <w:tab w:val="clear" w:pos="4536"/>
          <w:tab w:val="clear" w:pos="9072"/>
          <w:tab w:val="left" w:pos="-2694"/>
        </w:tabs>
        <w:ind w:left="993" w:hanging="284"/>
        <w:rPr>
          <w:szCs w:val="22"/>
          <w:lang w:eastAsia="sk-SK"/>
        </w:rPr>
      </w:pPr>
      <w:r w:rsidRPr="004C5551">
        <w:rPr>
          <w:bCs/>
          <w:szCs w:val="22"/>
        </w:rPr>
        <w:t xml:space="preserve">zvýšila sa maximálna suma vianočného príspevku na 87,26 eura, t. j. zvýšenie oproti </w:t>
      </w:r>
      <w:r w:rsidRPr="004C5551">
        <w:rPr>
          <w:szCs w:val="22"/>
          <w:lang w:eastAsia="sk-SK"/>
        </w:rPr>
        <w:t xml:space="preserve">2013 o 12,26 </w:t>
      </w:r>
      <w:r w:rsidR="002926E5" w:rsidRPr="004C5551">
        <w:rPr>
          <w:szCs w:val="22"/>
          <w:lang w:eastAsia="sk-SK"/>
        </w:rPr>
        <w:t>eura</w:t>
      </w:r>
      <w:r w:rsidRPr="004C5551">
        <w:rPr>
          <w:szCs w:val="22"/>
          <w:lang w:eastAsia="sk-SK"/>
        </w:rPr>
        <w:t>;</w:t>
      </w:r>
    </w:p>
    <w:p w:rsidR="00283A6C" w:rsidRPr="004C5551" w:rsidRDefault="00283A6C" w:rsidP="009C55E3">
      <w:pPr>
        <w:pStyle w:val="Pta"/>
        <w:numPr>
          <w:ilvl w:val="1"/>
          <w:numId w:val="44"/>
        </w:numPr>
        <w:tabs>
          <w:tab w:val="clear" w:pos="4536"/>
          <w:tab w:val="clear" w:pos="9072"/>
          <w:tab w:val="left" w:pos="-2694"/>
        </w:tabs>
        <w:ind w:left="993" w:hanging="284"/>
        <w:rPr>
          <w:bCs/>
          <w:szCs w:val="22"/>
        </w:rPr>
      </w:pPr>
      <w:r w:rsidRPr="004C5551">
        <w:rPr>
          <w:bCs/>
          <w:szCs w:val="22"/>
        </w:rPr>
        <w:t>zmenil sa koeficient 0,1 vo vzorci na výpočet vianočného príspevku na 0,18 t. j. schválená zmena je solidárnejšia k nízkopríjmovým dôchodcom;</w:t>
      </w:r>
    </w:p>
    <w:p w:rsidR="00283A6C" w:rsidRPr="004C5551" w:rsidRDefault="00283A6C" w:rsidP="009C55E3">
      <w:pPr>
        <w:pStyle w:val="Pta"/>
        <w:numPr>
          <w:ilvl w:val="1"/>
          <w:numId w:val="44"/>
        </w:numPr>
        <w:tabs>
          <w:tab w:val="clear" w:pos="4536"/>
          <w:tab w:val="clear" w:pos="9072"/>
          <w:tab w:val="left" w:pos="-2694"/>
        </w:tabs>
        <w:ind w:left="993" w:hanging="284"/>
        <w:rPr>
          <w:bCs/>
          <w:szCs w:val="22"/>
        </w:rPr>
      </w:pPr>
      <w:r w:rsidRPr="004C5551">
        <w:rPr>
          <w:bCs/>
          <w:szCs w:val="22"/>
        </w:rPr>
        <w:t>začalo sa prihliadať na dôchodky:</w:t>
      </w:r>
    </w:p>
    <w:p w:rsidR="00283A6C" w:rsidRPr="004C5551" w:rsidRDefault="00283A6C" w:rsidP="009C55E3">
      <w:pPr>
        <w:pStyle w:val="Odsekzoznamu"/>
        <w:numPr>
          <w:ilvl w:val="3"/>
          <w:numId w:val="44"/>
        </w:numPr>
        <w:ind w:left="1418" w:hanging="218"/>
        <w:contextualSpacing/>
        <w:rPr>
          <w:bCs/>
          <w:szCs w:val="22"/>
          <w:lang w:eastAsia="cs-CZ"/>
        </w:rPr>
      </w:pPr>
      <w:r w:rsidRPr="004C5551">
        <w:rPr>
          <w:bCs/>
          <w:szCs w:val="22"/>
          <w:lang w:eastAsia="cs-CZ"/>
        </w:rPr>
        <w:t xml:space="preserve">poberané z osobitného systému sociálneho zabezpečenia policajtov a vojakov, </w:t>
      </w:r>
    </w:p>
    <w:p w:rsidR="00283A6C" w:rsidRPr="004C5551" w:rsidRDefault="00283A6C" w:rsidP="009C55E3">
      <w:pPr>
        <w:pStyle w:val="Odsekzoznamu"/>
        <w:numPr>
          <w:ilvl w:val="3"/>
          <w:numId w:val="44"/>
        </w:numPr>
        <w:ind w:left="1418" w:hanging="218"/>
        <w:contextualSpacing/>
        <w:rPr>
          <w:bCs/>
          <w:szCs w:val="22"/>
          <w:lang w:eastAsia="cs-CZ"/>
        </w:rPr>
      </w:pPr>
      <w:r w:rsidRPr="004C5551">
        <w:rPr>
          <w:bCs/>
          <w:szCs w:val="22"/>
          <w:lang w:eastAsia="cs-CZ"/>
        </w:rPr>
        <w:t>poberané z cudziny;</w:t>
      </w:r>
    </w:p>
    <w:p w:rsidR="00283A6C" w:rsidRPr="004C5551" w:rsidRDefault="00283A6C" w:rsidP="009C55E3">
      <w:pPr>
        <w:pStyle w:val="Odsekzoznamu"/>
        <w:numPr>
          <w:ilvl w:val="3"/>
          <w:numId w:val="44"/>
        </w:numPr>
        <w:ind w:left="1418" w:hanging="218"/>
        <w:contextualSpacing/>
        <w:rPr>
          <w:bCs/>
          <w:szCs w:val="22"/>
          <w:lang w:eastAsia="cs-CZ"/>
        </w:rPr>
      </w:pPr>
      <w:r w:rsidRPr="004C5551">
        <w:rPr>
          <w:bCs/>
          <w:szCs w:val="22"/>
          <w:lang w:eastAsia="cs-CZ"/>
        </w:rPr>
        <w:t>vyplácané zo systému starobného dôchodkového sporenia;</w:t>
      </w:r>
    </w:p>
    <w:p w:rsidR="00283A6C" w:rsidRPr="004C5551" w:rsidRDefault="00283A6C" w:rsidP="009C55E3">
      <w:pPr>
        <w:pStyle w:val="Pta"/>
        <w:numPr>
          <w:ilvl w:val="1"/>
          <w:numId w:val="44"/>
        </w:numPr>
        <w:tabs>
          <w:tab w:val="clear" w:pos="4536"/>
          <w:tab w:val="clear" w:pos="9072"/>
          <w:tab w:val="left" w:pos="-2694"/>
        </w:tabs>
        <w:ind w:left="993" w:hanging="284"/>
        <w:rPr>
          <w:bCs/>
          <w:szCs w:val="22"/>
        </w:rPr>
      </w:pPr>
      <w:r w:rsidRPr="004C5551">
        <w:rPr>
          <w:bCs/>
          <w:szCs w:val="22"/>
        </w:rPr>
        <w:t xml:space="preserve">jednorazovo sa zvýšila suma vianočného príspevku o 12,74 </w:t>
      </w:r>
      <w:r w:rsidR="002926E5" w:rsidRPr="004C5551">
        <w:rPr>
          <w:bCs/>
          <w:szCs w:val="22"/>
        </w:rPr>
        <w:t>eura</w:t>
      </w:r>
      <w:r w:rsidRPr="004C5551">
        <w:rPr>
          <w:bCs/>
          <w:szCs w:val="22"/>
        </w:rPr>
        <w:t xml:space="preserve"> pre poberateľov vianočného príspevku s dôchodkom, resp. úhrnom súm dôchodkov do výšky 396,18</w:t>
      </w:r>
      <w:r w:rsidR="00782BB3" w:rsidRPr="004C5551">
        <w:rPr>
          <w:bCs/>
          <w:szCs w:val="22"/>
        </w:rPr>
        <w:t> </w:t>
      </w:r>
      <w:r w:rsidR="002926E5" w:rsidRPr="004C5551">
        <w:rPr>
          <w:szCs w:val="22"/>
        </w:rPr>
        <w:t>eura</w:t>
      </w:r>
      <w:r w:rsidRPr="004C5551">
        <w:rPr>
          <w:bCs/>
          <w:szCs w:val="22"/>
        </w:rPr>
        <w:t xml:space="preserve"> (vrátane) </w:t>
      </w:r>
      <w:r w:rsidR="00106028" w:rsidRPr="004C5551">
        <w:rPr>
          <w:bCs/>
          <w:szCs w:val="22"/>
        </w:rPr>
        <w:t>–</w:t>
      </w:r>
      <w:r w:rsidRPr="004C5551">
        <w:rPr>
          <w:bCs/>
          <w:szCs w:val="22"/>
        </w:rPr>
        <w:t xml:space="preserve"> t. j. 2 násobku sumy životného minima pre jednu plnoletú fyzickú osobu.</w:t>
      </w:r>
    </w:p>
    <w:p w:rsidR="00283A6C" w:rsidRPr="004C5551" w:rsidRDefault="00283A6C" w:rsidP="008C5040">
      <w:pPr>
        <w:ind w:left="357"/>
        <w:rPr>
          <w:szCs w:val="22"/>
        </w:rPr>
      </w:pPr>
      <w:r w:rsidRPr="004C5551">
        <w:rPr>
          <w:szCs w:val="22"/>
        </w:rPr>
        <w:t xml:space="preserve">Nárok na vianočný príspevok v roku 2014 vznikol dôchodcom, ktorí mali dôchodok nižší, resp. rovnajúci sa sume 494,40 </w:t>
      </w:r>
      <w:r w:rsidR="002926E5" w:rsidRPr="004C5551">
        <w:rPr>
          <w:szCs w:val="22"/>
        </w:rPr>
        <w:t>eura</w:t>
      </w:r>
      <w:r w:rsidRPr="004C5551">
        <w:rPr>
          <w:szCs w:val="22"/>
        </w:rPr>
        <w:t xml:space="preserve">. </w:t>
      </w:r>
    </w:p>
    <w:p w:rsidR="00283A6C" w:rsidRPr="004C5551" w:rsidRDefault="00283A6C" w:rsidP="008C5040">
      <w:pPr>
        <w:ind w:firstLine="357"/>
      </w:pPr>
      <w:r w:rsidRPr="004C5551">
        <w:t xml:space="preserve">Vianočný príspevok sa počítal v roku 2014 podľa vzorca: </w:t>
      </w:r>
    </w:p>
    <w:p w:rsidR="00283A6C" w:rsidRPr="004C5551" w:rsidRDefault="00283A6C" w:rsidP="00283A6C"/>
    <w:p w:rsidR="00283A6C" w:rsidRPr="004C5551" w:rsidRDefault="00283A6C" w:rsidP="00283A6C">
      <w:pPr>
        <w:jc w:val="center"/>
        <w:rPr>
          <w:i/>
        </w:rPr>
      </w:pPr>
      <w:r w:rsidRPr="004C5551">
        <w:rPr>
          <w:i/>
        </w:rPr>
        <w:t>87,26 - 0,18 × (výška dôchodku - 198,09</w:t>
      </w:r>
      <w:bookmarkStart w:id="127" w:name="_Ref415033817"/>
      <w:r w:rsidRPr="004C5551">
        <w:rPr>
          <w:rStyle w:val="Odkaznapoznmkupodiarou"/>
          <w:b/>
          <w:i/>
          <w:caps/>
        </w:rPr>
        <w:footnoteReference w:id="20"/>
      </w:r>
      <w:bookmarkEnd w:id="127"/>
      <w:r w:rsidRPr="004C5551">
        <w:rPr>
          <w:i/>
        </w:rPr>
        <w:t>)</w:t>
      </w:r>
    </w:p>
    <w:p w:rsidR="00283A6C" w:rsidRPr="004C5551" w:rsidRDefault="00283A6C" w:rsidP="00C92B2F">
      <w:pPr>
        <w:ind w:firstLine="567"/>
        <w:rPr>
          <w:bCs/>
          <w:szCs w:val="22"/>
        </w:rPr>
      </w:pPr>
    </w:p>
    <w:p w:rsidR="00283A6C" w:rsidRPr="004C5551" w:rsidRDefault="00283A6C" w:rsidP="00C92B2F">
      <w:pPr>
        <w:ind w:firstLine="431"/>
        <w:rPr>
          <w:bCs/>
          <w:szCs w:val="22"/>
        </w:rPr>
      </w:pPr>
      <w:r w:rsidRPr="004C5551">
        <w:rPr>
          <w:bCs/>
          <w:szCs w:val="22"/>
        </w:rPr>
        <w:t>Zákon o sociálnom poistení prešiel v roku 2014 niekoľkými zmenami. V roku 2014 nadobudli účinnosť niektoré body zákona č.</w:t>
      </w:r>
      <w:r w:rsidR="008C5040" w:rsidRPr="004C5551">
        <w:rPr>
          <w:bCs/>
          <w:szCs w:val="22"/>
        </w:rPr>
        <w:t> </w:t>
      </w:r>
      <w:r w:rsidRPr="004C5551">
        <w:rPr>
          <w:bCs/>
          <w:szCs w:val="22"/>
        </w:rPr>
        <w:t>338/2013 Z. z.,</w:t>
      </w:r>
      <w:r w:rsidR="00436117" w:rsidRPr="004C5551">
        <w:rPr>
          <w:bCs/>
          <w:szCs w:val="22"/>
        </w:rPr>
        <w:t xml:space="preserve"> </w:t>
      </w:r>
      <w:r w:rsidRPr="004C5551">
        <w:rPr>
          <w:bCs/>
          <w:szCs w:val="22"/>
        </w:rPr>
        <w:t xml:space="preserve">niektoré body zákona </w:t>
      </w:r>
      <w:r w:rsidR="008C5040" w:rsidRPr="004C5551">
        <w:rPr>
          <w:bCs/>
          <w:szCs w:val="22"/>
        </w:rPr>
        <w:t xml:space="preserve">č. </w:t>
      </w:r>
      <w:r w:rsidRPr="004C5551">
        <w:rPr>
          <w:bCs/>
          <w:szCs w:val="22"/>
        </w:rPr>
        <w:t xml:space="preserve">183/2014 Z. z., zákon </w:t>
      </w:r>
      <w:r w:rsidR="008C5040" w:rsidRPr="004C5551">
        <w:rPr>
          <w:bCs/>
          <w:szCs w:val="22"/>
        </w:rPr>
        <w:t>č. </w:t>
      </w:r>
      <w:r w:rsidRPr="004C5551">
        <w:rPr>
          <w:bCs/>
          <w:szCs w:val="22"/>
        </w:rPr>
        <w:t xml:space="preserve">204/2014 Z. z. a zákon </w:t>
      </w:r>
      <w:r w:rsidR="008C5040" w:rsidRPr="004C5551">
        <w:rPr>
          <w:bCs/>
          <w:szCs w:val="22"/>
        </w:rPr>
        <w:t>č. </w:t>
      </w:r>
      <w:r w:rsidRPr="004C5551">
        <w:rPr>
          <w:bCs/>
          <w:szCs w:val="22"/>
        </w:rPr>
        <w:t xml:space="preserve">240/2014 Z. z. </w:t>
      </w:r>
    </w:p>
    <w:p w:rsidR="00283A6C" w:rsidRPr="004C5551" w:rsidRDefault="00283A6C" w:rsidP="00C92B2F">
      <w:pPr>
        <w:ind w:firstLine="431"/>
        <w:rPr>
          <w:szCs w:val="22"/>
        </w:rPr>
      </w:pPr>
      <w:r w:rsidRPr="004C5551">
        <w:rPr>
          <w:bCs/>
          <w:szCs w:val="22"/>
        </w:rPr>
        <w:t xml:space="preserve">Medzi významné zmeny, ktoré nadobudli účinnosť </w:t>
      </w:r>
      <w:r w:rsidRPr="004C5551">
        <w:rPr>
          <w:b/>
          <w:bCs/>
          <w:szCs w:val="22"/>
        </w:rPr>
        <w:t>v roku 2014</w:t>
      </w:r>
      <w:r w:rsidRPr="004C5551">
        <w:rPr>
          <w:bCs/>
          <w:szCs w:val="22"/>
        </w:rPr>
        <w:t xml:space="preserve"> v súvislosti so samostatne zárobkovo činnými osobami (ďalej len ,,SZČO“) patrí zmena v určovaní statusu SZČO. </w:t>
      </w:r>
      <w:r w:rsidRPr="004C5551">
        <w:rPr>
          <w:szCs w:val="22"/>
        </w:rPr>
        <w:t>Status SZČO na účely sociálneho poistenia sa už neviaže na registráciu u správcu dane, ale na zárobkovú činnosť, z</w:t>
      </w:r>
      <w:r w:rsidR="00782BB3" w:rsidRPr="004C5551">
        <w:rPr>
          <w:szCs w:val="22"/>
        </w:rPr>
        <w:t> </w:t>
      </w:r>
      <w:r w:rsidRPr="004C5551">
        <w:rPr>
          <w:szCs w:val="22"/>
        </w:rPr>
        <w:t xml:space="preserve">ktorej fyzická osoba dosahuje príjmy, ktoré sú zdaňované ako príjmy z podnikania alebo z výkonu inej samostatnej zárobkovej činnosti. Uvedené znamená korektnejšie a tiež spravodlivejšie posudzovanie statusu SZČO vo vzťahu k registrovaným SZČO v prípadoch, kedy je sporné, či sa má fyzická osoba registrovať u správcu dane. </w:t>
      </w:r>
    </w:p>
    <w:p w:rsidR="00283A6C" w:rsidRPr="004C5551" w:rsidRDefault="00283A6C" w:rsidP="00C92B2F">
      <w:pPr>
        <w:ind w:firstLine="431"/>
        <w:rPr>
          <w:b/>
          <w:bCs/>
          <w:szCs w:val="22"/>
        </w:rPr>
      </w:pPr>
      <w:r w:rsidRPr="004C5551">
        <w:rPr>
          <w:szCs w:val="22"/>
        </w:rPr>
        <w:t xml:space="preserve">Ďalšia zmena súvisí so zmenou v spôsobe určovania </w:t>
      </w:r>
      <w:r w:rsidRPr="004C5551">
        <w:rPr>
          <w:bCs/>
          <w:szCs w:val="22"/>
        </w:rPr>
        <w:t>vymeriavacieho základu SZČO.</w:t>
      </w:r>
      <w:r w:rsidRPr="004C5551">
        <w:rPr>
          <w:szCs w:val="22"/>
        </w:rPr>
        <w:t xml:space="preserve"> Na účely určenia vymeriavacieho základu SZČO sa príjem z podnikania alebo z výkonu inej samostatnej zárobkovej činnosti rozpočíta na celý kalendárny rok. Základ dane sa na rozdiel od predošlej právnej úpravy už nedelí počtom mesiacov, v ktorých SZČO reálne vykonávala zárobkovú činnosť, ale</w:t>
      </w:r>
      <w:r w:rsidRPr="004C5551">
        <w:rPr>
          <w:b/>
          <w:szCs w:val="22"/>
        </w:rPr>
        <w:t xml:space="preserve"> </w:t>
      </w:r>
      <w:r w:rsidRPr="004C5551">
        <w:rPr>
          <w:rStyle w:val="Siln"/>
          <w:b w:val="0"/>
          <w:szCs w:val="22"/>
        </w:rPr>
        <w:t>vždy sa delí 12-timi. To má ten význam, že pokiaľ SZČO vykonáva zárobkovú činnosť iba časť roka, bude jej môcť byť určené nižšie poistné ako v minulosti.</w:t>
      </w:r>
    </w:p>
    <w:p w:rsidR="00283A6C" w:rsidRPr="004C5551" w:rsidRDefault="00283A6C" w:rsidP="00C92B2F">
      <w:pPr>
        <w:ind w:firstLine="431"/>
        <w:rPr>
          <w:szCs w:val="22"/>
        </w:rPr>
      </w:pPr>
      <w:r w:rsidRPr="004C5551">
        <w:rPr>
          <w:szCs w:val="22"/>
        </w:rPr>
        <w:t>V súvislosti s lepším postavením fyzických osôb v období starostlivosti o dieťa bola v roku 2014 prijatá právna úprava, ktorej účelom bolo, aby príjem fyzickej osoby v období materskej dovolenky alebo rodičovskej dovolenky nezhoršil jej neskoršie nároky na dávku v nezamestnanosti.</w:t>
      </w:r>
    </w:p>
    <w:p w:rsidR="00AE2699" w:rsidRPr="004C5551" w:rsidRDefault="00AE2699" w:rsidP="00283A6C">
      <w:pPr>
        <w:spacing w:after="240"/>
        <w:rPr>
          <w:b/>
          <w:i/>
          <w:szCs w:val="22"/>
        </w:rPr>
      </w:pPr>
    </w:p>
    <w:p w:rsidR="008B18CB" w:rsidRDefault="008B18CB">
      <w:pPr>
        <w:jc w:val="left"/>
        <w:rPr>
          <w:b/>
          <w:i/>
          <w:szCs w:val="22"/>
        </w:rPr>
      </w:pPr>
      <w:r>
        <w:rPr>
          <w:b/>
          <w:i/>
          <w:szCs w:val="22"/>
        </w:rPr>
        <w:br w:type="page"/>
      </w:r>
    </w:p>
    <w:p w:rsidR="00283A6C" w:rsidRPr="004C5551" w:rsidRDefault="00283A6C" w:rsidP="00283A6C">
      <w:pPr>
        <w:spacing w:after="240"/>
        <w:rPr>
          <w:b/>
          <w:i/>
          <w:szCs w:val="22"/>
        </w:rPr>
      </w:pPr>
      <w:r w:rsidRPr="004C5551">
        <w:rPr>
          <w:b/>
          <w:i/>
          <w:szCs w:val="22"/>
        </w:rPr>
        <w:t>Medzi ďalšie zmeny, ktoré nadobudli účinnosť v roku 2014 patria:</w:t>
      </w:r>
    </w:p>
    <w:p w:rsidR="00283A6C" w:rsidRPr="004C5551" w:rsidRDefault="00283A6C" w:rsidP="009C55E3">
      <w:pPr>
        <w:pStyle w:val="Odsekzoznamu"/>
        <w:numPr>
          <w:ilvl w:val="0"/>
          <w:numId w:val="23"/>
        </w:numPr>
        <w:ind w:left="284" w:hanging="284"/>
        <w:rPr>
          <w:b/>
          <w:i/>
          <w:szCs w:val="22"/>
        </w:rPr>
      </w:pPr>
      <w:r w:rsidRPr="004C5551">
        <w:rPr>
          <w:szCs w:val="22"/>
        </w:rPr>
        <w:t xml:space="preserve">poberanie nemocenských dávok v súbehu s príjmom dosahovaným v období nároku </w:t>
      </w:r>
      <w:r w:rsidR="00C70604" w:rsidRPr="004C5551">
        <w:rPr>
          <w:szCs w:val="22"/>
        </w:rPr>
        <w:t>na </w:t>
      </w:r>
      <w:r w:rsidRPr="004C5551">
        <w:rPr>
          <w:szCs w:val="22"/>
        </w:rPr>
        <w:t>výplatu dávky, ak nejde o príjem za prácu vykonávanú v období trvania nároku na výplatu nemocenskej dávky t.j. vyplatenie akéhokoľvek iného príjmu, ako za vykonanú prácu, už nárok na nemocenskú dávku neovplyvní;</w:t>
      </w:r>
    </w:p>
    <w:p w:rsidR="00283A6C" w:rsidRPr="004C5551" w:rsidRDefault="00283A6C" w:rsidP="009C55E3">
      <w:pPr>
        <w:pStyle w:val="Odsekzoznamu"/>
        <w:numPr>
          <w:ilvl w:val="0"/>
          <w:numId w:val="23"/>
        </w:numPr>
        <w:ind w:left="284" w:hanging="284"/>
        <w:rPr>
          <w:szCs w:val="22"/>
        </w:rPr>
      </w:pPr>
      <w:r w:rsidRPr="004C5551">
        <w:rPr>
          <w:szCs w:val="22"/>
        </w:rPr>
        <w:t>zamedzilo sa súbehu povinného nemocenského poistenia s dobrovoľným nemocenským poistením a taktiež sa zamedzilo súbehu povinného poistenia v nezamestnanosti s</w:t>
      </w:r>
      <w:r w:rsidR="00782BB3" w:rsidRPr="004C5551">
        <w:rPr>
          <w:szCs w:val="22"/>
        </w:rPr>
        <w:t> </w:t>
      </w:r>
      <w:r w:rsidRPr="004C5551">
        <w:rPr>
          <w:szCs w:val="22"/>
        </w:rPr>
        <w:t>dobrovoľným poistením v</w:t>
      </w:r>
      <w:r w:rsidR="00D22736" w:rsidRPr="004C5551">
        <w:rPr>
          <w:szCs w:val="22"/>
        </w:rPr>
        <w:t> </w:t>
      </w:r>
      <w:r w:rsidRPr="004C5551">
        <w:rPr>
          <w:szCs w:val="22"/>
        </w:rPr>
        <w:t xml:space="preserve">nezamestnanosti. Táto právna úprava vychádza z poznatkov doterajšej aplikačnej praxe Sociálnej poisťovne, ktorá poukazovala na účelové zvyšovanie vymeriavacieho základu na určenie súm nemocenských dávok, napríklad pri plánovaných medicínskych zákrokoch vyžadujúcich si dočasnú pracovnú neschopnosť </w:t>
      </w:r>
      <w:r w:rsidR="00C70604" w:rsidRPr="004C5551">
        <w:rPr>
          <w:szCs w:val="22"/>
        </w:rPr>
        <w:t>a </w:t>
      </w:r>
      <w:r w:rsidRPr="004C5551">
        <w:rPr>
          <w:szCs w:val="22"/>
        </w:rPr>
        <w:t>dávky v</w:t>
      </w:r>
      <w:r w:rsidR="00782BB3" w:rsidRPr="004C5551">
        <w:rPr>
          <w:szCs w:val="22"/>
        </w:rPr>
        <w:t> </w:t>
      </w:r>
      <w:r w:rsidRPr="004C5551">
        <w:rPr>
          <w:szCs w:val="22"/>
        </w:rPr>
        <w:t>nezamestnanosti v prípadoch, ak zamestnanec má vedomosť o</w:t>
      </w:r>
      <w:r w:rsidR="00D22736" w:rsidRPr="004C5551">
        <w:rPr>
          <w:szCs w:val="22"/>
        </w:rPr>
        <w:t> </w:t>
      </w:r>
      <w:r w:rsidRPr="004C5551">
        <w:rPr>
          <w:szCs w:val="22"/>
        </w:rPr>
        <w:t>prípadnom ukončení pracovnoprávneho vzťahu;</w:t>
      </w:r>
    </w:p>
    <w:p w:rsidR="00283A6C" w:rsidRPr="004C5551" w:rsidRDefault="00283A6C" w:rsidP="009C55E3">
      <w:pPr>
        <w:pStyle w:val="Odsekzoznamu"/>
        <w:numPr>
          <w:ilvl w:val="0"/>
          <w:numId w:val="23"/>
        </w:numPr>
        <w:ind w:left="284" w:hanging="284"/>
        <w:rPr>
          <w:szCs w:val="22"/>
        </w:rPr>
      </w:pPr>
      <w:r w:rsidRPr="004C5551">
        <w:rPr>
          <w:szCs w:val="22"/>
        </w:rPr>
        <w:t>automatický zánik dobrovoľného poistenia, ak dobrovoľne poistená osoba nezaplatila poistné na</w:t>
      </w:r>
      <w:r w:rsidR="00D22736" w:rsidRPr="004C5551">
        <w:rPr>
          <w:szCs w:val="22"/>
        </w:rPr>
        <w:t> </w:t>
      </w:r>
      <w:r w:rsidRPr="004C5551">
        <w:rPr>
          <w:szCs w:val="22"/>
        </w:rPr>
        <w:t>dobrovoľné poistenie dva za sebou idúce kalendárne mesiace. Uvedená zmena zabraňuje u</w:t>
      </w:r>
      <w:r w:rsidR="00782BB3" w:rsidRPr="004C5551">
        <w:rPr>
          <w:szCs w:val="22"/>
        </w:rPr>
        <w:t> </w:t>
      </w:r>
      <w:r w:rsidRPr="004C5551">
        <w:rPr>
          <w:szCs w:val="22"/>
        </w:rPr>
        <w:t>dobrovoľne poistených osôb vzniku nedoplatkov a ich následnému vymáhaniu zo strany Sociálnej poisťovne, čo má pozitívny vplyv na takúto skupinu poistencov;</w:t>
      </w:r>
    </w:p>
    <w:p w:rsidR="00283A6C" w:rsidRPr="004C5551" w:rsidRDefault="00283A6C" w:rsidP="009C55E3">
      <w:pPr>
        <w:pStyle w:val="Odsekzoznamu"/>
        <w:numPr>
          <w:ilvl w:val="0"/>
          <w:numId w:val="23"/>
        </w:numPr>
        <w:ind w:left="284" w:hanging="284"/>
        <w:rPr>
          <w:rStyle w:val="Textzstupnhosymbolu"/>
          <w:color w:val="auto"/>
          <w:szCs w:val="22"/>
        </w:rPr>
      </w:pPr>
      <w:r w:rsidRPr="004C5551">
        <w:rPr>
          <w:szCs w:val="22"/>
        </w:rPr>
        <w:t>zvýšila sa diskontná úroková sadzba pri povolení splátok dlžných súm poistného na</w:t>
      </w:r>
      <w:r w:rsidR="00782BB3" w:rsidRPr="004C5551">
        <w:rPr>
          <w:szCs w:val="22"/>
        </w:rPr>
        <w:t> </w:t>
      </w:r>
      <w:r w:rsidRPr="004C5551">
        <w:rPr>
          <w:szCs w:val="22"/>
        </w:rPr>
        <w:t>trojnásobok ročnej základnej úrokovej sadzby Európskej centrálnej banky platnej ku dňu povolenia splátok dlžných súm (najmenej 10</w:t>
      </w:r>
      <w:r w:rsidR="009425AA" w:rsidRPr="004C5551">
        <w:rPr>
          <w:szCs w:val="22"/>
        </w:rPr>
        <w:t> %</w:t>
      </w:r>
      <w:r w:rsidRPr="004C5551">
        <w:rPr>
          <w:szCs w:val="22"/>
        </w:rPr>
        <w:t>);</w:t>
      </w:r>
    </w:p>
    <w:p w:rsidR="00283A6C" w:rsidRPr="004C5551" w:rsidRDefault="00283A6C" w:rsidP="009C55E3">
      <w:pPr>
        <w:pStyle w:val="Odsekzoznamu"/>
        <w:numPr>
          <w:ilvl w:val="0"/>
          <w:numId w:val="23"/>
        </w:numPr>
        <w:ind w:left="284" w:hanging="284"/>
        <w:rPr>
          <w:szCs w:val="22"/>
        </w:rPr>
      </w:pPr>
      <w:r w:rsidRPr="004C5551">
        <w:rPr>
          <w:szCs w:val="22"/>
        </w:rPr>
        <w:t>ustanovilo sa, že preddavok na dávku garančného poistenia sa poskytuje v sume životného minima (predtým bola pevná suma, ktorá mala zodpovedať výške životného minima, avšak s každo</w:t>
      </w:r>
      <w:r w:rsidR="00436117" w:rsidRPr="004C5551">
        <w:rPr>
          <w:szCs w:val="22"/>
        </w:rPr>
        <w:t>u zmenou výšky životného minima</w:t>
      </w:r>
      <w:r w:rsidRPr="004C5551">
        <w:rPr>
          <w:szCs w:val="22"/>
        </w:rPr>
        <w:t xml:space="preserve"> bolo potrebné meniť zákon);</w:t>
      </w:r>
    </w:p>
    <w:p w:rsidR="00283A6C" w:rsidRPr="004C5551" w:rsidRDefault="00283A6C" w:rsidP="009C55E3">
      <w:pPr>
        <w:pStyle w:val="Odsekzoznamu"/>
        <w:numPr>
          <w:ilvl w:val="0"/>
          <w:numId w:val="23"/>
        </w:numPr>
        <w:ind w:left="284" w:hanging="284"/>
        <w:rPr>
          <w:rStyle w:val="Textzstupnhosymbolu"/>
          <w:szCs w:val="22"/>
        </w:rPr>
      </w:pPr>
      <w:r w:rsidRPr="004C5551">
        <w:rPr>
          <w:szCs w:val="22"/>
        </w:rPr>
        <w:t>ustanovilo sa, že nezaplatenie poistného na poistenie v nezamestnanosti v sume nižšej ako 5</w:t>
      </w:r>
      <w:r w:rsidR="00782BB3" w:rsidRPr="004C5551">
        <w:rPr>
          <w:szCs w:val="22"/>
        </w:rPr>
        <w:t> </w:t>
      </w:r>
      <w:r w:rsidRPr="004C5551">
        <w:rPr>
          <w:szCs w:val="22"/>
        </w:rPr>
        <w:t>eur nemá vplyv na vznik nároku na dávku v nezamestnanosti dobrovoľne poistenej osoby;</w:t>
      </w:r>
    </w:p>
    <w:p w:rsidR="00283A6C" w:rsidRPr="004C5551" w:rsidRDefault="00283A6C" w:rsidP="009C55E3">
      <w:pPr>
        <w:pStyle w:val="Odsekzoznamu"/>
        <w:numPr>
          <w:ilvl w:val="0"/>
          <w:numId w:val="23"/>
        </w:numPr>
        <w:ind w:left="284" w:hanging="284"/>
        <w:rPr>
          <w:rStyle w:val="Textzstupnhosymbolu"/>
          <w:szCs w:val="22"/>
        </w:rPr>
      </w:pPr>
      <w:r w:rsidRPr="004C5551">
        <w:rPr>
          <w:szCs w:val="22"/>
        </w:rPr>
        <w:t>skrátilo sa obdobie, za ktoré sa skúma zaplatenie poistného na nemocenské poistenie na účely nemocenských dávok pre samostatne zárobkovo činné osoby a dobrovoľne poistené osoby z</w:t>
      </w:r>
      <w:r w:rsidR="00782BB3" w:rsidRPr="004C5551">
        <w:rPr>
          <w:szCs w:val="22"/>
        </w:rPr>
        <w:t> </w:t>
      </w:r>
      <w:r w:rsidRPr="004C5551">
        <w:rPr>
          <w:szCs w:val="22"/>
        </w:rPr>
        <w:t>desiatich na päť rokov;</w:t>
      </w:r>
    </w:p>
    <w:p w:rsidR="00283A6C" w:rsidRPr="004C5551" w:rsidRDefault="00283A6C" w:rsidP="009C55E3">
      <w:pPr>
        <w:pStyle w:val="Odsekzoznamu"/>
        <w:numPr>
          <w:ilvl w:val="0"/>
          <w:numId w:val="23"/>
        </w:numPr>
        <w:ind w:left="284" w:hanging="284"/>
        <w:rPr>
          <w:rStyle w:val="Textzstupnhosymbolu"/>
          <w:szCs w:val="22"/>
        </w:rPr>
      </w:pPr>
      <w:r w:rsidRPr="004C5551">
        <w:rPr>
          <w:szCs w:val="22"/>
        </w:rPr>
        <w:t>umožnilo sa povolenie splátok dlžných súm aj na pohľadávkach na dávkach.</w:t>
      </w:r>
    </w:p>
    <w:p w:rsidR="00913863" w:rsidRPr="004C5551" w:rsidRDefault="00913863" w:rsidP="00913863"/>
    <w:p w:rsidR="00283A6C" w:rsidRPr="004C5551" w:rsidRDefault="00283A6C" w:rsidP="00B922C6">
      <w:pPr>
        <w:pStyle w:val="Nadpis6"/>
      </w:pPr>
      <w:bookmarkStart w:id="128" w:name="_Toc325440931"/>
      <w:bookmarkStart w:id="129" w:name="_Toc356482673"/>
      <w:bookmarkStart w:id="130" w:name="_Toc356916008"/>
      <w:bookmarkStart w:id="131" w:name="_Toc422233415"/>
      <w:r w:rsidRPr="004C5551">
        <w:t>Nemocenské poistenie</w:t>
      </w:r>
      <w:bookmarkEnd w:id="128"/>
      <w:bookmarkEnd w:id="129"/>
      <w:bookmarkEnd w:id="130"/>
      <w:bookmarkEnd w:id="131"/>
    </w:p>
    <w:p w:rsidR="00283A6C" w:rsidRPr="004C5551" w:rsidRDefault="00283A6C" w:rsidP="00C92B2F">
      <w:pPr>
        <w:ind w:firstLine="431"/>
        <w:rPr>
          <w:bCs/>
          <w:szCs w:val="22"/>
        </w:rPr>
      </w:pPr>
      <w:r w:rsidRPr="004C5551">
        <w:rPr>
          <w:bCs/>
          <w:szCs w:val="22"/>
        </w:rPr>
        <w:t xml:space="preserve">Nemocenské poistenie slúži na preklenutie sociálnych udalostí, ako napríklad dočasná pracovná neschopnosť, tehotenstvo či materstvo. Zo systému nemocenského poistenia sa vyplácajú dávky, ktoré sa členia na nemocenské (zamestnancovi poskytované spravidla až od 11. dňa trvania dočasnej pracovnej neschopnosti), ošetrovné, materské a vyrovnávaciu dávku. </w:t>
      </w:r>
    </w:p>
    <w:p w:rsidR="00283A6C" w:rsidRPr="004C5551" w:rsidRDefault="00283A6C" w:rsidP="00C92B2F">
      <w:pPr>
        <w:pStyle w:val="Normlnysozarkami12"/>
        <w:ind w:firstLine="431"/>
        <w:rPr>
          <w:bCs/>
          <w:szCs w:val="22"/>
        </w:rPr>
      </w:pPr>
      <w:r w:rsidRPr="004C5551">
        <w:rPr>
          <w:bCs/>
          <w:szCs w:val="22"/>
        </w:rPr>
        <w:t>Podľa zákona č.</w:t>
      </w:r>
      <w:r w:rsidR="00AE2699" w:rsidRPr="004C5551">
        <w:rPr>
          <w:bCs/>
          <w:szCs w:val="22"/>
        </w:rPr>
        <w:t> </w:t>
      </w:r>
      <w:r w:rsidRPr="004C5551">
        <w:rPr>
          <w:bCs/>
          <w:szCs w:val="22"/>
        </w:rPr>
        <w:t>462/2003 Z. z. o náhrade príjmu pri dočasnej pracovnej neschopnosti zamestnanca a o zmene a doplnení niektorých zákonov v znení neskorších predpisov za prvých 10 dní trvania dočasnej pracovnej neschopnosti zamestnanca vypláca zamestnávateľ náhradu príjmu pri</w:t>
      </w:r>
      <w:r w:rsidR="00D22736" w:rsidRPr="004C5551">
        <w:rPr>
          <w:bCs/>
          <w:szCs w:val="22"/>
        </w:rPr>
        <w:t> </w:t>
      </w:r>
      <w:r w:rsidRPr="004C5551">
        <w:rPr>
          <w:bCs/>
          <w:szCs w:val="22"/>
        </w:rPr>
        <w:t>dočasnej pracovnej neschopnosti zamestnanca a Sociálna poisťovňa poskytuje zamestnancovi nemocenské až od 11. dňa jeho dočasnej pracovnej neschopnosti.</w:t>
      </w:r>
    </w:p>
    <w:p w:rsidR="00283A6C" w:rsidRPr="004C5551" w:rsidRDefault="00283A6C" w:rsidP="00C92B2F">
      <w:pPr>
        <w:pStyle w:val="Normlnysozarkami12"/>
        <w:ind w:firstLine="431"/>
      </w:pPr>
      <w:r w:rsidRPr="004C5551">
        <w:t>Výdavky na nemocenské dávky</w:t>
      </w:r>
      <w:r w:rsidRPr="004C5551">
        <w:rPr>
          <w:vertAlign w:val="superscript"/>
        </w:rPr>
        <w:footnoteReference w:id="21"/>
      </w:r>
      <w:r w:rsidRPr="004C5551">
        <w:rPr>
          <w:sz w:val="16"/>
          <w:szCs w:val="16"/>
        </w:rPr>
        <w:t xml:space="preserve"> </w:t>
      </w:r>
      <w:r w:rsidRPr="004C5551">
        <w:t xml:space="preserve">v roku 2014, hradené z rozpočtu Sociálnej poisťovne, boli v čiastke 380,81 mil. </w:t>
      </w:r>
      <w:r w:rsidR="000860E9" w:rsidRPr="004C5551">
        <w:t>eur</w:t>
      </w:r>
      <w:r w:rsidRPr="004C5551">
        <w:t>. V porovnaní s rokom 2013 boli nižšie o 18,62 mil. </w:t>
      </w:r>
      <w:r w:rsidR="000860E9" w:rsidRPr="004C5551">
        <w:t>eur</w:t>
      </w:r>
      <w:r w:rsidRPr="004C5551">
        <w:t xml:space="preserve"> (index rastu 0,95). Pokles výdavkov nastal z dôvodu nižšieho počtu prípadov. </w:t>
      </w:r>
    </w:p>
    <w:p w:rsidR="00283A6C" w:rsidRPr="004C5551" w:rsidRDefault="00283A6C" w:rsidP="00283A6C">
      <w:r w:rsidRPr="004C5551">
        <w:t>V roku 2014 boli priemerné mesačné počty prípadov zúčtovaných nemocenských dávok nasledovné:</w:t>
      </w:r>
    </w:p>
    <w:p w:rsidR="00283A6C" w:rsidRPr="004C5551" w:rsidRDefault="00283A6C" w:rsidP="009C55E3">
      <w:pPr>
        <w:pStyle w:val="bullet1"/>
        <w:numPr>
          <w:ilvl w:val="0"/>
          <w:numId w:val="45"/>
        </w:numPr>
        <w:ind w:left="567" w:hanging="207"/>
        <w:rPr>
          <w:rFonts w:eastAsia="Calibri"/>
          <w:lang w:eastAsia="en-US"/>
        </w:rPr>
      </w:pPr>
      <w:r w:rsidRPr="004C5551">
        <w:rPr>
          <w:rFonts w:eastAsia="Calibri"/>
          <w:lang w:eastAsia="en-US"/>
        </w:rPr>
        <w:t>nemocenské 98 379 prípadov,</w:t>
      </w:r>
    </w:p>
    <w:p w:rsidR="00283A6C" w:rsidRPr="004C5551" w:rsidRDefault="00283A6C" w:rsidP="009C55E3">
      <w:pPr>
        <w:pStyle w:val="bullet1"/>
        <w:numPr>
          <w:ilvl w:val="0"/>
          <w:numId w:val="45"/>
        </w:numPr>
        <w:ind w:left="567" w:hanging="207"/>
        <w:rPr>
          <w:rFonts w:eastAsia="Calibri"/>
          <w:lang w:eastAsia="en-US"/>
        </w:rPr>
      </w:pPr>
      <w:r w:rsidRPr="004C5551">
        <w:rPr>
          <w:rFonts w:eastAsia="Calibri"/>
          <w:lang w:eastAsia="en-US"/>
        </w:rPr>
        <w:t>ošetrovné 9 372 prípadov,</w:t>
      </w:r>
    </w:p>
    <w:p w:rsidR="00283A6C" w:rsidRPr="004C5551" w:rsidRDefault="00283A6C" w:rsidP="009C55E3">
      <w:pPr>
        <w:pStyle w:val="bullet1"/>
        <w:numPr>
          <w:ilvl w:val="0"/>
          <w:numId w:val="45"/>
        </w:numPr>
        <w:ind w:left="567" w:hanging="207"/>
        <w:rPr>
          <w:rFonts w:eastAsia="Calibri"/>
          <w:lang w:eastAsia="en-US"/>
        </w:rPr>
      </w:pPr>
      <w:r w:rsidRPr="004C5551">
        <w:rPr>
          <w:rFonts w:eastAsia="Calibri"/>
          <w:lang w:eastAsia="en-US"/>
        </w:rPr>
        <w:t>vyrovnávacia dávka 99 prípadov,</w:t>
      </w:r>
    </w:p>
    <w:p w:rsidR="00283A6C" w:rsidRPr="004C5551" w:rsidRDefault="00283A6C" w:rsidP="009C55E3">
      <w:pPr>
        <w:pStyle w:val="bullet1"/>
        <w:numPr>
          <w:ilvl w:val="0"/>
          <w:numId w:val="45"/>
        </w:numPr>
        <w:ind w:left="567" w:hanging="207"/>
        <w:rPr>
          <w:rFonts w:eastAsia="Calibri"/>
          <w:lang w:eastAsia="en-US"/>
        </w:rPr>
      </w:pPr>
      <w:r w:rsidRPr="004C5551">
        <w:rPr>
          <w:rFonts w:eastAsia="Calibri"/>
          <w:lang w:eastAsia="en-US"/>
        </w:rPr>
        <w:t>materské 23 132 prípadov.</w:t>
      </w:r>
    </w:p>
    <w:p w:rsidR="00E27466" w:rsidRPr="004C5551" w:rsidRDefault="00E27466" w:rsidP="00283A6C">
      <w:pPr>
        <w:ind w:firstLine="567"/>
        <w:rPr>
          <w:rFonts w:eastAsia="Calibri"/>
          <w:lang w:eastAsia="en-US"/>
        </w:rPr>
      </w:pPr>
    </w:p>
    <w:p w:rsidR="00283A6C" w:rsidRPr="004C5551" w:rsidRDefault="00283A6C" w:rsidP="00C92B2F">
      <w:pPr>
        <w:ind w:firstLine="431"/>
        <w:rPr>
          <w:rFonts w:eastAsia="Calibri"/>
          <w:lang w:eastAsia="en-US"/>
        </w:rPr>
      </w:pPr>
      <w:r w:rsidRPr="004C5551">
        <w:rPr>
          <w:rFonts w:eastAsia="Calibri"/>
          <w:lang w:eastAsia="en-US"/>
        </w:rPr>
        <w:t>Priemerný mesačný počet prípadov bol oproti roku 2013 nižší o</w:t>
      </w:r>
      <w:r w:rsidR="00AE2699" w:rsidRPr="004C5551">
        <w:rPr>
          <w:rFonts w:eastAsia="Calibri"/>
          <w:lang w:eastAsia="en-US"/>
        </w:rPr>
        <w:t> </w:t>
      </w:r>
      <w:r w:rsidRPr="004C5551">
        <w:rPr>
          <w:rFonts w:eastAsia="Calibri"/>
          <w:lang w:eastAsia="en-US"/>
        </w:rPr>
        <w:t>6</w:t>
      </w:r>
      <w:r w:rsidR="00AE2699" w:rsidRPr="004C5551">
        <w:rPr>
          <w:rFonts w:eastAsia="Calibri"/>
          <w:lang w:eastAsia="en-US"/>
        </w:rPr>
        <w:t> </w:t>
      </w:r>
      <w:r w:rsidRPr="004C5551">
        <w:rPr>
          <w:rFonts w:eastAsia="Calibri"/>
          <w:lang w:eastAsia="en-US"/>
        </w:rPr>
        <w:t>755 (najvyšší pokles priemerného počtu prípadov bol zaznamenaný na nemocenskom</w:t>
      </w:r>
      <w:r w:rsidR="00AE2699" w:rsidRPr="004C5551">
        <w:rPr>
          <w:rFonts w:eastAsia="Calibri"/>
          <w:lang w:eastAsia="en-US"/>
        </w:rPr>
        <w:t>,</w:t>
      </w:r>
      <w:r w:rsidRPr="004C5551">
        <w:rPr>
          <w:rFonts w:eastAsia="Calibri"/>
          <w:lang w:eastAsia="en-US"/>
        </w:rPr>
        <w:t xml:space="preserve"> o</w:t>
      </w:r>
      <w:r w:rsidR="00AE2699" w:rsidRPr="004C5551">
        <w:rPr>
          <w:rFonts w:eastAsia="Calibri"/>
          <w:lang w:eastAsia="en-US"/>
        </w:rPr>
        <w:t> </w:t>
      </w:r>
      <w:r w:rsidRPr="004C5551">
        <w:rPr>
          <w:rFonts w:eastAsia="Calibri"/>
          <w:lang w:eastAsia="en-US"/>
        </w:rPr>
        <w:t>5</w:t>
      </w:r>
      <w:r w:rsidR="00AE2699" w:rsidRPr="004C5551">
        <w:rPr>
          <w:rFonts w:eastAsia="Calibri"/>
          <w:lang w:eastAsia="en-US"/>
        </w:rPr>
        <w:t> </w:t>
      </w:r>
      <w:r w:rsidRPr="004C5551">
        <w:rPr>
          <w:rFonts w:eastAsia="Calibri"/>
          <w:lang w:eastAsia="en-US"/>
        </w:rPr>
        <w:t xml:space="preserve">350 prípadov). Tento pokles bol spôsobený nižším priemerným percentom dočasnej pracovnej neschopnosti a kratšou dobou trvania práceneschopnosti. Priemerné percento dočasnej pracovnej neschopnosti (ďalej len „DPN“) </w:t>
      </w:r>
      <w:r w:rsidR="00C70604" w:rsidRPr="004C5551">
        <w:rPr>
          <w:rFonts w:eastAsia="Calibri"/>
          <w:lang w:eastAsia="en-US"/>
        </w:rPr>
        <w:t>pre </w:t>
      </w:r>
      <w:r w:rsidRPr="004C5551">
        <w:rPr>
          <w:rFonts w:eastAsia="Calibri"/>
          <w:lang w:eastAsia="en-US"/>
        </w:rPr>
        <w:t xml:space="preserve">chorobu a úraz v roku 2013 </w:t>
      </w:r>
      <w:r w:rsidR="00AE2699" w:rsidRPr="004C5551">
        <w:rPr>
          <w:rFonts w:eastAsia="Calibri"/>
          <w:lang w:eastAsia="en-US"/>
        </w:rPr>
        <w:t>dosiah</w:t>
      </w:r>
      <w:r w:rsidRPr="004C5551">
        <w:rPr>
          <w:rFonts w:eastAsia="Calibri"/>
          <w:lang w:eastAsia="en-US"/>
        </w:rPr>
        <w:t>lo 3,51</w:t>
      </w:r>
      <w:r w:rsidR="009425AA" w:rsidRPr="004C5551">
        <w:rPr>
          <w:rFonts w:eastAsia="Calibri"/>
          <w:lang w:eastAsia="en-US"/>
        </w:rPr>
        <w:t> %</w:t>
      </w:r>
      <w:r w:rsidRPr="004C5551">
        <w:rPr>
          <w:rFonts w:eastAsia="Calibri"/>
          <w:lang w:eastAsia="en-US"/>
        </w:rPr>
        <w:t xml:space="preserve"> a v roku 2014 pokleslo na </w:t>
      </w:r>
      <w:r w:rsidRPr="004C5551">
        <w:rPr>
          <w:rFonts w:eastAsia="Calibri"/>
          <w:bCs/>
          <w:lang w:eastAsia="en-US"/>
        </w:rPr>
        <w:t>3,19</w:t>
      </w:r>
      <w:r w:rsidR="009425AA" w:rsidRPr="004C5551">
        <w:rPr>
          <w:rFonts w:eastAsia="Calibri"/>
          <w:lang w:eastAsia="en-US"/>
        </w:rPr>
        <w:t> %</w:t>
      </w:r>
      <w:r w:rsidRPr="004C5551">
        <w:rPr>
          <w:rFonts w:eastAsia="Calibri"/>
          <w:lang w:eastAsia="en-US"/>
        </w:rPr>
        <w:t xml:space="preserve"> z priemerného počtu poistencov v danom roku (najnižšie priemerné percento DPN bolo v Bratislavskom kraji 2,0</w:t>
      </w:r>
      <w:r w:rsidR="001650E2" w:rsidRPr="004C5551">
        <w:rPr>
          <w:rFonts w:eastAsia="Calibri"/>
          <w:lang w:eastAsia="en-US"/>
        </w:rPr>
        <w:t>1</w:t>
      </w:r>
      <w:r w:rsidR="009425AA" w:rsidRPr="004C5551">
        <w:rPr>
          <w:rFonts w:eastAsia="Calibri"/>
          <w:lang w:eastAsia="en-US"/>
        </w:rPr>
        <w:t> %</w:t>
      </w:r>
      <w:r w:rsidRPr="004C5551">
        <w:rPr>
          <w:rFonts w:eastAsia="Calibri"/>
          <w:lang w:eastAsia="en-US"/>
        </w:rPr>
        <w:t xml:space="preserve"> a najvyššie v Prešovskom kraji 4,34</w:t>
      </w:r>
      <w:r w:rsidR="009425AA" w:rsidRPr="004C5551">
        <w:rPr>
          <w:rFonts w:eastAsia="Calibri"/>
          <w:lang w:eastAsia="en-US"/>
        </w:rPr>
        <w:t> %</w:t>
      </w:r>
      <w:r w:rsidRPr="004C5551">
        <w:rPr>
          <w:rFonts w:eastAsia="Calibri"/>
          <w:lang w:eastAsia="en-US"/>
        </w:rPr>
        <w:t xml:space="preserve">). Priemerná doba trvania práceneschopnosti v roku 2014 predstavovala 46,46 dní (najnižšia priemerná doba trvania 36,85 dní bola v Bratislavskom kraji a najvyššia 56,48 dní v Prešovskom kraji), čo znamenalo oproti roku 2013 nárast o 0,39 dňa. </w:t>
      </w:r>
    </w:p>
    <w:p w:rsidR="00283A6C" w:rsidRPr="004C5551" w:rsidRDefault="00AE2699" w:rsidP="00C92B2F">
      <w:pPr>
        <w:pStyle w:val="Normlnysozarkami12"/>
        <w:ind w:firstLine="431"/>
      </w:pPr>
      <w:r w:rsidRPr="004C5551">
        <w:t xml:space="preserve">Nižšie uvedená tabuľka </w:t>
      </w:r>
      <w:r w:rsidR="00283A6C" w:rsidRPr="004C5551">
        <w:t xml:space="preserve">naznačuje, že priemerné výšky vyplácaných nemocenských dávok s výnimkou materského v roku 2014 sa v porovnaní s rokom 2013 mierne zvýšili. </w:t>
      </w:r>
    </w:p>
    <w:p w:rsidR="00283A6C" w:rsidRPr="004C5551" w:rsidRDefault="00283A6C" w:rsidP="00782BB3">
      <w:pPr>
        <w:pStyle w:val="Nadpis7"/>
      </w:pPr>
      <w:bookmarkStart w:id="132" w:name="_Toc294026951"/>
      <w:bookmarkStart w:id="133" w:name="_Toc294029190"/>
      <w:bookmarkStart w:id="134" w:name="_Toc313878681"/>
      <w:bookmarkStart w:id="135" w:name="_Toc325438163"/>
      <w:bookmarkStart w:id="136" w:name="_Toc325440932"/>
      <w:bookmarkStart w:id="137" w:name="_Toc356482674"/>
      <w:bookmarkStart w:id="138" w:name="_Toc325440933"/>
      <w:bookmarkStart w:id="139" w:name="_Toc356482675"/>
      <w:bookmarkStart w:id="140" w:name="_Toc356916009"/>
      <w:r w:rsidRPr="004C5551">
        <w:t>Tabuľka 3.1 Počet prípadov a priemerná výška nemocenských dávok v roku 201</w:t>
      </w:r>
      <w:bookmarkEnd w:id="132"/>
      <w:bookmarkEnd w:id="133"/>
      <w:bookmarkEnd w:id="134"/>
      <w:bookmarkEnd w:id="135"/>
      <w:bookmarkEnd w:id="136"/>
      <w:bookmarkEnd w:id="137"/>
      <w:r w:rsidRPr="004C5551">
        <w:t>4</w:t>
      </w:r>
    </w:p>
    <w:tbl>
      <w:tblPr>
        <w:tblW w:w="0" w:type="auto"/>
        <w:jc w:val="center"/>
        <w:tblInd w:w="-683"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1E0" w:firstRow="1" w:lastRow="1" w:firstColumn="1" w:lastColumn="1" w:noHBand="0" w:noVBand="0"/>
      </w:tblPr>
      <w:tblGrid>
        <w:gridCol w:w="1985"/>
        <w:gridCol w:w="1785"/>
        <w:gridCol w:w="1815"/>
        <w:gridCol w:w="1816"/>
        <w:gridCol w:w="1816"/>
      </w:tblGrid>
      <w:tr w:rsidR="00283A6C" w:rsidRPr="004C5551" w:rsidTr="00782BB3">
        <w:trPr>
          <w:trHeight w:val="496"/>
          <w:jc w:val="center"/>
        </w:trPr>
        <w:tc>
          <w:tcPr>
            <w:tcW w:w="1985" w:type="dxa"/>
            <w:shd w:val="clear" w:color="auto" w:fill="BF0000" w:themeFill="accent3" w:themeFillShade="BF"/>
            <w:vAlign w:val="center"/>
          </w:tcPr>
          <w:p w:rsidR="00283A6C" w:rsidRPr="004C5551" w:rsidRDefault="00283A6C" w:rsidP="00D36062">
            <w:pPr>
              <w:jc w:val="center"/>
              <w:rPr>
                <w:b/>
                <w:color w:val="FFFFFF" w:themeColor="background1"/>
              </w:rPr>
            </w:pPr>
            <w:r w:rsidRPr="004C5551">
              <w:rPr>
                <w:b/>
                <w:color w:val="FFFFFF" w:themeColor="background1"/>
              </w:rPr>
              <w:t>Dávka</w:t>
            </w:r>
          </w:p>
        </w:tc>
        <w:tc>
          <w:tcPr>
            <w:tcW w:w="1785" w:type="dxa"/>
            <w:shd w:val="clear" w:color="auto" w:fill="BF0000" w:themeFill="accent3" w:themeFillShade="BF"/>
          </w:tcPr>
          <w:p w:rsidR="00283A6C" w:rsidRPr="004C5551" w:rsidRDefault="00283A6C" w:rsidP="00D36062">
            <w:pPr>
              <w:jc w:val="center"/>
              <w:rPr>
                <w:b/>
                <w:color w:val="FFFFFF" w:themeColor="background1"/>
              </w:rPr>
            </w:pPr>
            <w:r w:rsidRPr="004C5551">
              <w:rPr>
                <w:b/>
                <w:color w:val="FFFFFF" w:themeColor="background1"/>
              </w:rPr>
              <w:t xml:space="preserve">Počet vyplatených dávok </w:t>
            </w:r>
            <w:r w:rsidRPr="004C5551">
              <w:rPr>
                <w:b/>
                <w:color w:val="FFFFFF" w:themeColor="background1"/>
              </w:rPr>
              <w:br/>
              <w:t>v roku 2014</w:t>
            </w:r>
          </w:p>
        </w:tc>
        <w:tc>
          <w:tcPr>
            <w:tcW w:w="1815" w:type="dxa"/>
            <w:shd w:val="clear" w:color="auto" w:fill="BF0000" w:themeFill="accent3" w:themeFillShade="BF"/>
            <w:vAlign w:val="center"/>
          </w:tcPr>
          <w:p w:rsidR="00782BB3" w:rsidRPr="004C5551" w:rsidRDefault="00283A6C" w:rsidP="00D36062">
            <w:pPr>
              <w:jc w:val="center"/>
              <w:rPr>
                <w:b/>
                <w:color w:val="FFFFFF" w:themeColor="background1"/>
              </w:rPr>
            </w:pPr>
            <w:r w:rsidRPr="004C5551">
              <w:rPr>
                <w:b/>
                <w:color w:val="FFFFFF" w:themeColor="background1"/>
              </w:rPr>
              <w:t xml:space="preserve">Index </w:t>
            </w:r>
          </w:p>
          <w:p w:rsidR="00283A6C" w:rsidRPr="004C5551" w:rsidRDefault="00283A6C" w:rsidP="00D36062">
            <w:pPr>
              <w:jc w:val="center"/>
              <w:rPr>
                <w:b/>
                <w:color w:val="FFFFFF" w:themeColor="background1"/>
              </w:rPr>
            </w:pPr>
            <w:r w:rsidRPr="004C5551">
              <w:rPr>
                <w:b/>
                <w:color w:val="FFFFFF" w:themeColor="background1"/>
              </w:rPr>
              <w:t>2014/2013</w:t>
            </w:r>
          </w:p>
        </w:tc>
        <w:tc>
          <w:tcPr>
            <w:tcW w:w="1816" w:type="dxa"/>
            <w:shd w:val="clear" w:color="auto" w:fill="BF0000" w:themeFill="accent3" w:themeFillShade="BF"/>
            <w:vAlign w:val="center"/>
          </w:tcPr>
          <w:p w:rsidR="00283A6C" w:rsidRPr="004C5551" w:rsidRDefault="00283A6C" w:rsidP="000860E9">
            <w:pPr>
              <w:jc w:val="center"/>
              <w:rPr>
                <w:b/>
                <w:color w:val="FFFFFF" w:themeColor="background1"/>
              </w:rPr>
            </w:pPr>
            <w:r w:rsidRPr="004C5551">
              <w:rPr>
                <w:b/>
                <w:color w:val="FFFFFF" w:themeColor="background1"/>
              </w:rPr>
              <w:t xml:space="preserve">Priemerná výška dávky v roku 2014 (v </w:t>
            </w:r>
            <w:r w:rsidR="000860E9" w:rsidRPr="004C5551">
              <w:rPr>
                <w:b/>
                <w:color w:val="FFFFFF" w:themeColor="background1"/>
              </w:rPr>
              <w:t>€</w:t>
            </w:r>
            <w:r w:rsidRPr="004C5551">
              <w:rPr>
                <w:b/>
                <w:color w:val="FFFFFF" w:themeColor="background1"/>
              </w:rPr>
              <w:t>)</w:t>
            </w:r>
          </w:p>
        </w:tc>
        <w:tc>
          <w:tcPr>
            <w:tcW w:w="1816" w:type="dxa"/>
            <w:shd w:val="clear" w:color="auto" w:fill="BF0000" w:themeFill="accent3" w:themeFillShade="BF"/>
            <w:vAlign w:val="center"/>
          </w:tcPr>
          <w:p w:rsidR="00782BB3" w:rsidRPr="004C5551" w:rsidRDefault="00283A6C" w:rsidP="00D36062">
            <w:pPr>
              <w:jc w:val="center"/>
              <w:rPr>
                <w:b/>
                <w:color w:val="FFFFFF" w:themeColor="background1"/>
              </w:rPr>
            </w:pPr>
            <w:r w:rsidRPr="004C5551">
              <w:rPr>
                <w:b/>
                <w:color w:val="FFFFFF" w:themeColor="background1"/>
              </w:rPr>
              <w:t xml:space="preserve">Index </w:t>
            </w:r>
          </w:p>
          <w:p w:rsidR="00283A6C" w:rsidRPr="004C5551" w:rsidRDefault="00283A6C" w:rsidP="00D36062">
            <w:pPr>
              <w:jc w:val="center"/>
              <w:rPr>
                <w:b/>
                <w:color w:val="FFFFFF" w:themeColor="background1"/>
              </w:rPr>
            </w:pPr>
            <w:r w:rsidRPr="004C5551">
              <w:rPr>
                <w:b/>
                <w:color w:val="FFFFFF" w:themeColor="background1"/>
              </w:rPr>
              <w:t>2014/2013</w:t>
            </w:r>
          </w:p>
        </w:tc>
      </w:tr>
      <w:tr w:rsidR="00283A6C" w:rsidRPr="004C5551" w:rsidTr="00782BB3">
        <w:trPr>
          <w:trHeight w:val="283"/>
          <w:jc w:val="center"/>
        </w:trPr>
        <w:tc>
          <w:tcPr>
            <w:tcW w:w="1985" w:type="dxa"/>
            <w:vAlign w:val="center"/>
          </w:tcPr>
          <w:p w:rsidR="00283A6C" w:rsidRPr="004C5551" w:rsidRDefault="00283A6C" w:rsidP="00D36062">
            <w:r w:rsidRPr="004C5551">
              <w:t>Nemocenské</w:t>
            </w:r>
          </w:p>
        </w:tc>
        <w:tc>
          <w:tcPr>
            <w:tcW w:w="1785" w:type="dxa"/>
            <w:vAlign w:val="bottom"/>
          </w:tcPr>
          <w:p w:rsidR="00283A6C" w:rsidRPr="004C5551" w:rsidRDefault="00283A6C" w:rsidP="00782BB3">
            <w:pPr>
              <w:ind w:right="328"/>
              <w:jc w:val="right"/>
            </w:pPr>
            <w:r w:rsidRPr="004C5551">
              <w:rPr>
                <w:szCs w:val="22"/>
              </w:rPr>
              <w:t>1 180 550</w:t>
            </w:r>
          </w:p>
        </w:tc>
        <w:tc>
          <w:tcPr>
            <w:tcW w:w="1815" w:type="dxa"/>
            <w:vAlign w:val="bottom"/>
          </w:tcPr>
          <w:p w:rsidR="00283A6C" w:rsidRPr="004C5551" w:rsidRDefault="00283A6C" w:rsidP="00782BB3">
            <w:pPr>
              <w:ind w:right="442"/>
              <w:jc w:val="right"/>
            </w:pPr>
            <w:r w:rsidRPr="004C5551">
              <w:rPr>
                <w:szCs w:val="22"/>
              </w:rPr>
              <w:t>94,84</w:t>
            </w:r>
          </w:p>
        </w:tc>
        <w:tc>
          <w:tcPr>
            <w:tcW w:w="1816" w:type="dxa"/>
            <w:vAlign w:val="bottom"/>
          </w:tcPr>
          <w:p w:rsidR="00283A6C" w:rsidRPr="004C5551" w:rsidRDefault="00283A6C" w:rsidP="00782BB3">
            <w:pPr>
              <w:ind w:right="416"/>
              <w:jc w:val="right"/>
            </w:pPr>
            <w:r w:rsidRPr="004C5551">
              <w:rPr>
                <w:szCs w:val="22"/>
              </w:rPr>
              <w:t>217</w:t>
            </w:r>
          </w:p>
        </w:tc>
        <w:tc>
          <w:tcPr>
            <w:tcW w:w="1816" w:type="dxa"/>
            <w:vAlign w:val="bottom"/>
          </w:tcPr>
          <w:p w:rsidR="00283A6C" w:rsidRPr="004C5551" w:rsidRDefault="00283A6C" w:rsidP="00782BB3">
            <w:pPr>
              <w:ind w:right="389"/>
              <w:jc w:val="right"/>
            </w:pPr>
            <w:r w:rsidRPr="004C5551">
              <w:rPr>
                <w:szCs w:val="22"/>
              </w:rPr>
              <w:t>101,61</w:t>
            </w:r>
            <w:r w:rsidR="00D3036E" w:rsidRPr="004C5551">
              <w:rPr>
                <w:szCs w:val="22"/>
              </w:rPr>
              <w:t> </w:t>
            </w:r>
            <w:r w:rsidRPr="004C5551">
              <w:rPr>
                <w:szCs w:val="22"/>
              </w:rPr>
              <w:t>%</w:t>
            </w:r>
          </w:p>
        </w:tc>
      </w:tr>
      <w:tr w:rsidR="00283A6C" w:rsidRPr="004C5551" w:rsidTr="00782BB3">
        <w:trPr>
          <w:trHeight w:val="283"/>
          <w:jc w:val="center"/>
        </w:trPr>
        <w:tc>
          <w:tcPr>
            <w:tcW w:w="1985" w:type="dxa"/>
            <w:vAlign w:val="center"/>
          </w:tcPr>
          <w:p w:rsidR="00283A6C" w:rsidRPr="004C5551" w:rsidRDefault="00283A6C" w:rsidP="00D36062">
            <w:r w:rsidRPr="004C5551">
              <w:t>Ošetrovné</w:t>
            </w:r>
          </w:p>
        </w:tc>
        <w:tc>
          <w:tcPr>
            <w:tcW w:w="1785" w:type="dxa"/>
            <w:vAlign w:val="bottom"/>
          </w:tcPr>
          <w:p w:rsidR="00283A6C" w:rsidRPr="004C5551" w:rsidRDefault="00283A6C" w:rsidP="00782BB3">
            <w:pPr>
              <w:ind w:right="328"/>
              <w:jc w:val="right"/>
            </w:pPr>
            <w:r w:rsidRPr="004C5551">
              <w:rPr>
                <w:szCs w:val="22"/>
              </w:rPr>
              <w:t>112 464</w:t>
            </w:r>
          </w:p>
        </w:tc>
        <w:tc>
          <w:tcPr>
            <w:tcW w:w="1815" w:type="dxa"/>
            <w:vAlign w:val="bottom"/>
          </w:tcPr>
          <w:p w:rsidR="00283A6C" w:rsidRPr="004C5551" w:rsidRDefault="00283A6C" w:rsidP="00782BB3">
            <w:pPr>
              <w:ind w:right="442"/>
              <w:jc w:val="right"/>
            </w:pPr>
            <w:r w:rsidRPr="004C5551">
              <w:rPr>
                <w:szCs w:val="22"/>
              </w:rPr>
              <w:t>92,94</w:t>
            </w:r>
          </w:p>
        </w:tc>
        <w:tc>
          <w:tcPr>
            <w:tcW w:w="1816" w:type="dxa"/>
            <w:vAlign w:val="bottom"/>
          </w:tcPr>
          <w:p w:rsidR="00283A6C" w:rsidRPr="004C5551" w:rsidRDefault="00283A6C" w:rsidP="00782BB3">
            <w:pPr>
              <w:ind w:right="416"/>
              <w:jc w:val="right"/>
            </w:pPr>
            <w:r w:rsidRPr="004C5551">
              <w:rPr>
                <w:szCs w:val="22"/>
              </w:rPr>
              <w:t>78</w:t>
            </w:r>
          </w:p>
        </w:tc>
        <w:tc>
          <w:tcPr>
            <w:tcW w:w="1816" w:type="dxa"/>
            <w:vAlign w:val="bottom"/>
          </w:tcPr>
          <w:p w:rsidR="00283A6C" w:rsidRPr="004C5551" w:rsidRDefault="00283A6C" w:rsidP="00782BB3">
            <w:pPr>
              <w:ind w:right="389"/>
              <w:jc w:val="right"/>
            </w:pPr>
            <w:r w:rsidRPr="004C5551">
              <w:rPr>
                <w:szCs w:val="22"/>
              </w:rPr>
              <w:t>104,42</w:t>
            </w:r>
            <w:r w:rsidR="00D3036E" w:rsidRPr="004C5551">
              <w:rPr>
                <w:szCs w:val="22"/>
              </w:rPr>
              <w:t> </w:t>
            </w:r>
            <w:r w:rsidRPr="004C5551">
              <w:rPr>
                <w:szCs w:val="22"/>
              </w:rPr>
              <w:t>%</w:t>
            </w:r>
          </w:p>
        </w:tc>
      </w:tr>
      <w:tr w:rsidR="00283A6C" w:rsidRPr="004C5551" w:rsidTr="00782BB3">
        <w:trPr>
          <w:trHeight w:val="283"/>
          <w:jc w:val="center"/>
        </w:trPr>
        <w:tc>
          <w:tcPr>
            <w:tcW w:w="1985" w:type="dxa"/>
            <w:vAlign w:val="center"/>
          </w:tcPr>
          <w:p w:rsidR="00283A6C" w:rsidRPr="004C5551" w:rsidRDefault="00283A6C" w:rsidP="00D36062">
            <w:r w:rsidRPr="004C5551">
              <w:t>Vyrovnávacia dávka</w:t>
            </w:r>
          </w:p>
        </w:tc>
        <w:tc>
          <w:tcPr>
            <w:tcW w:w="1785" w:type="dxa"/>
            <w:vAlign w:val="bottom"/>
          </w:tcPr>
          <w:p w:rsidR="00283A6C" w:rsidRPr="004C5551" w:rsidRDefault="00283A6C" w:rsidP="00782BB3">
            <w:pPr>
              <w:ind w:right="328"/>
              <w:jc w:val="right"/>
            </w:pPr>
            <w:r w:rsidRPr="004C5551">
              <w:rPr>
                <w:szCs w:val="22"/>
              </w:rPr>
              <w:t>1 185</w:t>
            </w:r>
          </w:p>
        </w:tc>
        <w:tc>
          <w:tcPr>
            <w:tcW w:w="1815" w:type="dxa"/>
            <w:vAlign w:val="bottom"/>
          </w:tcPr>
          <w:p w:rsidR="00283A6C" w:rsidRPr="004C5551" w:rsidRDefault="00283A6C" w:rsidP="00782BB3">
            <w:pPr>
              <w:ind w:right="442"/>
              <w:jc w:val="right"/>
            </w:pPr>
            <w:r w:rsidRPr="004C5551">
              <w:rPr>
                <w:szCs w:val="22"/>
              </w:rPr>
              <w:t>147,76</w:t>
            </w:r>
          </w:p>
        </w:tc>
        <w:tc>
          <w:tcPr>
            <w:tcW w:w="1816" w:type="dxa"/>
            <w:vAlign w:val="bottom"/>
          </w:tcPr>
          <w:p w:rsidR="00283A6C" w:rsidRPr="004C5551" w:rsidRDefault="00283A6C" w:rsidP="00782BB3">
            <w:pPr>
              <w:ind w:right="416"/>
              <w:jc w:val="right"/>
            </w:pPr>
            <w:r w:rsidRPr="004C5551">
              <w:rPr>
                <w:szCs w:val="22"/>
              </w:rPr>
              <w:t>61</w:t>
            </w:r>
          </w:p>
        </w:tc>
        <w:tc>
          <w:tcPr>
            <w:tcW w:w="1816" w:type="dxa"/>
            <w:vAlign w:val="bottom"/>
          </w:tcPr>
          <w:p w:rsidR="00283A6C" w:rsidRPr="004C5551" w:rsidRDefault="00283A6C" w:rsidP="00782BB3">
            <w:pPr>
              <w:ind w:right="389"/>
              <w:jc w:val="right"/>
            </w:pPr>
            <w:r w:rsidRPr="004C5551">
              <w:rPr>
                <w:szCs w:val="22"/>
              </w:rPr>
              <w:t>110,26</w:t>
            </w:r>
            <w:r w:rsidR="00D3036E" w:rsidRPr="004C5551">
              <w:rPr>
                <w:szCs w:val="22"/>
              </w:rPr>
              <w:t> </w:t>
            </w:r>
            <w:r w:rsidRPr="004C5551">
              <w:rPr>
                <w:szCs w:val="22"/>
              </w:rPr>
              <w:t>%</w:t>
            </w:r>
          </w:p>
        </w:tc>
      </w:tr>
      <w:tr w:rsidR="00283A6C" w:rsidRPr="004C5551" w:rsidTr="00782BB3">
        <w:trPr>
          <w:trHeight w:val="283"/>
          <w:jc w:val="center"/>
        </w:trPr>
        <w:tc>
          <w:tcPr>
            <w:tcW w:w="1985" w:type="dxa"/>
            <w:vAlign w:val="center"/>
          </w:tcPr>
          <w:p w:rsidR="00283A6C" w:rsidRPr="004C5551" w:rsidRDefault="00283A6C" w:rsidP="00D36062">
            <w:r w:rsidRPr="004C5551">
              <w:t>Materské</w:t>
            </w:r>
          </w:p>
        </w:tc>
        <w:tc>
          <w:tcPr>
            <w:tcW w:w="1785" w:type="dxa"/>
            <w:vAlign w:val="bottom"/>
          </w:tcPr>
          <w:p w:rsidR="00283A6C" w:rsidRPr="004C5551" w:rsidRDefault="00283A6C" w:rsidP="00782BB3">
            <w:pPr>
              <w:ind w:right="328"/>
              <w:jc w:val="right"/>
            </w:pPr>
            <w:r w:rsidRPr="004C5551">
              <w:rPr>
                <w:szCs w:val="22"/>
              </w:rPr>
              <w:t>277 588</w:t>
            </w:r>
          </w:p>
        </w:tc>
        <w:tc>
          <w:tcPr>
            <w:tcW w:w="1815" w:type="dxa"/>
            <w:vAlign w:val="bottom"/>
          </w:tcPr>
          <w:p w:rsidR="00283A6C" w:rsidRPr="004C5551" w:rsidRDefault="00283A6C" w:rsidP="00782BB3">
            <w:pPr>
              <w:ind w:right="442"/>
              <w:jc w:val="right"/>
            </w:pPr>
            <w:r w:rsidRPr="004C5551">
              <w:rPr>
                <w:szCs w:val="22"/>
              </w:rPr>
              <w:t>96,96</w:t>
            </w:r>
          </w:p>
        </w:tc>
        <w:tc>
          <w:tcPr>
            <w:tcW w:w="1816" w:type="dxa"/>
            <w:vAlign w:val="bottom"/>
          </w:tcPr>
          <w:p w:rsidR="00283A6C" w:rsidRPr="004C5551" w:rsidRDefault="00283A6C" w:rsidP="00782BB3">
            <w:pPr>
              <w:ind w:right="416"/>
              <w:jc w:val="right"/>
            </w:pPr>
            <w:r w:rsidRPr="004C5551">
              <w:rPr>
                <w:szCs w:val="22"/>
              </w:rPr>
              <w:t>423</w:t>
            </w:r>
          </w:p>
        </w:tc>
        <w:tc>
          <w:tcPr>
            <w:tcW w:w="1816" w:type="dxa"/>
            <w:vAlign w:val="bottom"/>
          </w:tcPr>
          <w:p w:rsidR="00283A6C" w:rsidRPr="004C5551" w:rsidRDefault="00283A6C" w:rsidP="00782BB3">
            <w:pPr>
              <w:ind w:right="389"/>
              <w:jc w:val="right"/>
            </w:pPr>
            <w:r w:rsidRPr="004C5551">
              <w:rPr>
                <w:szCs w:val="22"/>
              </w:rPr>
              <w:t>95,91</w:t>
            </w:r>
            <w:r w:rsidR="00D3036E" w:rsidRPr="004C5551">
              <w:rPr>
                <w:szCs w:val="22"/>
              </w:rPr>
              <w:t> </w:t>
            </w:r>
            <w:r w:rsidRPr="004C5551">
              <w:rPr>
                <w:szCs w:val="22"/>
              </w:rPr>
              <w:t>%</w:t>
            </w:r>
          </w:p>
        </w:tc>
      </w:tr>
    </w:tbl>
    <w:p w:rsidR="00283A6C" w:rsidRDefault="00283A6C" w:rsidP="00782BB3">
      <w:pPr>
        <w:pStyle w:val="zdroj"/>
      </w:pPr>
      <w:r w:rsidRPr="004C5551">
        <w:t>Zdroj: Sociálna poisťovňa</w:t>
      </w:r>
    </w:p>
    <w:p w:rsidR="006D3D43" w:rsidRPr="004C5551" w:rsidRDefault="006D3D43" w:rsidP="00782BB3">
      <w:pPr>
        <w:pStyle w:val="zdroj"/>
      </w:pPr>
    </w:p>
    <w:p w:rsidR="00913863" w:rsidRPr="004C5551" w:rsidRDefault="00913863" w:rsidP="00B922C6">
      <w:pPr>
        <w:pStyle w:val="Nadpis6"/>
      </w:pPr>
      <w:bookmarkStart w:id="141" w:name="_Toc422233416"/>
      <w:r w:rsidRPr="004C5551">
        <w:t>Dôchodkové poistenie</w:t>
      </w:r>
      <w:bookmarkEnd w:id="138"/>
      <w:bookmarkEnd w:id="139"/>
      <w:bookmarkEnd w:id="140"/>
      <w:bookmarkEnd w:id="141"/>
    </w:p>
    <w:p w:rsidR="000F0A76" w:rsidRPr="004C5551" w:rsidRDefault="000F0A76" w:rsidP="00C92B2F">
      <w:pPr>
        <w:ind w:firstLine="431"/>
        <w:rPr>
          <w:bCs/>
          <w:szCs w:val="22"/>
        </w:rPr>
      </w:pPr>
      <w:bookmarkStart w:id="142" w:name="_Toc294026978"/>
      <w:bookmarkStart w:id="143" w:name="_Toc294029217"/>
      <w:bookmarkStart w:id="144" w:name="_Toc313878708"/>
      <w:bookmarkStart w:id="145" w:name="_Toc325438165"/>
      <w:bookmarkStart w:id="146" w:name="_Toc325440934"/>
      <w:bookmarkStart w:id="147" w:name="_Toc356482676"/>
      <w:bookmarkStart w:id="148" w:name="_Toc132369527"/>
      <w:r w:rsidRPr="004C5551">
        <w:rPr>
          <w:bCs/>
          <w:szCs w:val="22"/>
        </w:rPr>
        <w:t>Dôchodkové poistenie sa člení na starobné poistenie (poistenie na zabezpečenie príjmu v starobe a pre prípad úmrtia) a na invalidné poistenie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w:t>
      </w:r>
    </w:p>
    <w:p w:rsidR="000F0A76" w:rsidRPr="004C5551" w:rsidRDefault="000F0A76" w:rsidP="00C92B2F">
      <w:pPr>
        <w:ind w:firstLine="431"/>
      </w:pPr>
      <w:r w:rsidRPr="004C5551">
        <w:rPr>
          <w:bCs/>
          <w:szCs w:val="22"/>
        </w:rPr>
        <w:t xml:space="preserve"> </w:t>
      </w:r>
      <w:r w:rsidRPr="004C5551">
        <w:t>V terminológii dôchodkových dávok znamená súbeh poberanie súčasne (súbežne) tzv. priameho dôchodku (starobného, predčasného starobného alebo invalidného) s nepriamym dôchodkom (vdovským dôchodkom alebo vdoveckým dôchodkom, prípadne súbehu invalidného dôchodku s mierou poklesu schopnosti vykonávať zárobkovú činnosť do 70</w:t>
      </w:r>
      <w:r w:rsidR="009425AA" w:rsidRPr="004C5551">
        <w:t> %</w:t>
      </w:r>
      <w:r w:rsidRPr="004C5551">
        <w:t xml:space="preserve"> so sirotským dôchodkom).</w:t>
      </w:r>
    </w:p>
    <w:p w:rsidR="0024571B" w:rsidRPr="004C5551" w:rsidRDefault="0024571B" w:rsidP="0024571B">
      <w:pPr>
        <w:ind w:firstLine="431"/>
      </w:pPr>
      <w:r w:rsidRPr="004C5551">
        <w:t xml:space="preserve">K 31. decembru 2014 bolo vyplácaných </w:t>
      </w:r>
      <w:r w:rsidRPr="004C5551">
        <w:rPr>
          <w:color w:val="000000"/>
          <w:szCs w:val="22"/>
        </w:rPr>
        <w:t xml:space="preserve">1 633 742 </w:t>
      </w:r>
      <w:r w:rsidRPr="004C5551">
        <w:t>dôchodkových dávok (bez dôchodkov hradených štátom – napr. tzv. invalidov z mladosti, dôchodkov manželky, sociálnych dôchodkov, ako aj bez dôchodkov vyplácaných do cudziny a dôchodkov neprevzatých do automatizovanej evidencie). Dôchodkov neprevzatých do automatizovanej evidencie bolo 70 a počet dôchodkov vyplácaných do</w:t>
      </w:r>
      <w:r w:rsidR="00D22736" w:rsidRPr="004C5551">
        <w:t> </w:t>
      </w:r>
      <w:r w:rsidRPr="004C5551">
        <w:t>cudziny bol 21 607.</w:t>
      </w:r>
    </w:p>
    <w:p w:rsidR="00D22736" w:rsidRPr="004C5551" w:rsidRDefault="0024571B" w:rsidP="0024571B">
      <w:pPr>
        <w:ind w:firstLine="431"/>
      </w:pPr>
      <w:bookmarkStart w:id="149" w:name="_Toc294027031"/>
      <w:bookmarkStart w:id="150" w:name="_Toc294029270"/>
      <w:bookmarkStart w:id="151" w:name="_Toc313878761"/>
      <w:bookmarkStart w:id="152" w:name="_Toc325438166"/>
      <w:bookmarkStart w:id="153" w:name="_Toc325440935"/>
      <w:bookmarkStart w:id="154" w:name="_Toc356482677"/>
      <w:bookmarkEnd w:id="142"/>
      <w:bookmarkEnd w:id="143"/>
      <w:bookmarkEnd w:id="144"/>
      <w:bookmarkEnd w:id="145"/>
      <w:bookmarkEnd w:id="146"/>
      <w:bookmarkEnd w:id="147"/>
      <w:bookmarkEnd w:id="148"/>
      <w:r w:rsidRPr="004C5551">
        <w:t>V porovnaní so stavom k 31. decembru 2013 bol počet vyplatených dôchodkov</w:t>
      </w:r>
      <w:r w:rsidRPr="004C5551">
        <w:rPr>
          <w:rStyle w:val="Odkaznapoznmkupodiarou"/>
          <w:szCs w:val="22"/>
        </w:rPr>
        <w:footnoteReference w:id="22"/>
      </w:r>
      <w:r w:rsidRPr="004C5551">
        <w:t xml:space="preserve"> v decembri 2014 vyšší o </w:t>
      </w:r>
      <w:r w:rsidRPr="004C5551">
        <w:rPr>
          <w:color w:val="000000"/>
          <w:szCs w:val="22"/>
        </w:rPr>
        <w:t>30 413</w:t>
      </w:r>
      <w:r w:rsidRPr="004C5551">
        <w:t>, čo predstavuje medziročný nárast o 1,90 %. Počet vyplácaných</w:t>
      </w:r>
      <w:r w:rsidR="003D4864" w:rsidRPr="004C5551">
        <w:t xml:space="preserve"> </w:t>
      </w:r>
      <w:r w:rsidRPr="004C5551">
        <w:t>vdovských dôchodkov, sirotských dôchodkov a predčasných starobných dôchodkov oproti roku 2013 mierne poklesol. Nárast zaznamenal počet vyplácaných vdoveckých dôchodkov o 1 042, počet vyplácaných starobných dôchodkov o 30 537 a počet invalidných o 1 462 v porovnaní s rokom 2013.</w:t>
      </w:r>
    </w:p>
    <w:p w:rsidR="00D22736" w:rsidRPr="004C5551" w:rsidRDefault="00D22736">
      <w:pPr>
        <w:jc w:val="left"/>
      </w:pPr>
      <w:r w:rsidRPr="004C5551">
        <w:br w:type="page"/>
      </w:r>
    </w:p>
    <w:p w:rsidR="000F0A76" w:rsidRPr="004C5551" w:rsidRDefault="000F0A76" w:rsidP="00782BB3">
      <w:pPr>
        <w:pStyle w:val="Nadpis7"/>
      </w:pPr>
      <w:r w:rsidRPr="004C5551">
        <w:t xml:space="preserve">Tabuľka 3.2 Počet vyplácaných dôchodkových dávok a priemerná výška dôchodkov </w:t>
      </w:r>
      <w:r w:rsidR="00782BB3" w:rsidRPr="004C5551">
        <w:br/>
      </w:r>
      <w:r w:rsidRPr="004C5551">
        <w:t>v roku 2013 a 2014</w:t>
      </w:r>
    </w:p>
    <w:tbl>
      <w:tblPr>
        <w:tblW w:w="9464" w:type="dxa"/>
        <w:jc w:val="center"/>
        <w:tblInd w:w="60"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392"/>
        <w:gridCol w:w="1406"/>
        <w:gridCol w:w="1406"/>
        <w:gridCol w:w="1130"/>
        <w:gridCol w:w="1130"/>
      </w:tblGrid>
      <w:tr w:rsidR="000F0A76" w:rsidRPr="004C5551" w:rsidTr="0024571B">
        <w:trPr>
          <w:trHeight w:val="315"/>
          <w:jc w:val="center"/>
        </w:trPr>
        <w:tc>
          <w:tcPr>
            <w:tcW w:w="4392" w:type="dxa"/>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0F0A76" w:rsidRPr="004C5551" w:rsidRDefault="000F0A76" w:rsidP="00D36062">
            <w:pPr>
              <w:jc w:val="left"/>
              <w:rPr>
                <w:b/>
                <w:bCs/>
                <w:color w:val="FFFFFF"/>
              </w:rPr>
            </w:pPr>
            <w:bookmarkStart w:id="155" w:name="_Toc294026979"/>
            <w:bookmarkStart w:id="156" w:name="_Toc294029218"/>
            <w:bookmarkStart w:id="157" w:name="_Toc313878709"/>
            <w:r w:rsidRPr="004C5551">
              <w:rPr>
                <w:b/>
                <w:bCs/>
                <w:color w:val="FFFFFF" w:themeColor="background1"/>
                <w:szCs w:val="22"/>
              </w:rPr>
              <w:t>Typ dôchodku</w:t>
            </w:r>
            <w:bookmarkEnd w:id="155"/>
            <w:bookmarkEnd w:id="156"/>
            <w:bookmarkEnd w:id="157"/>
          </w:p>
        </w:tc>
        <w:tc>
          <w:tcPr>
            <w:tcW w:w="2812"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0F0A76" w:rsidRPr="004C5551" w:rsidRDefault="000F0A76" w:rsidP="00D36062">
            <w:pPr>
              <w:jc w:val="center"/>
              <w:rPr>
                <w:b/>
                <w:bCs/>
                <w:color w:val="FFFFFF"/>
              </w:rPr>
            </w:pPr>
            <w:bookmarkStart w:id="158" w:name="_Toc294026980"/>
            <w:bookmarkStart w:id="159" w:name="_Toc294029219"/>
            <w:bookmarkStart w:id="160" w:name="_Toc313878710"/>
            <w:r w:rsidRPr="004C5551">
              <w:rPr>
                <w:b/>
                <w:bCs/>
                <w:color w:val="FFFFFF" w:themeColor="background1"/>
                <w:szCs w:val="22"/>
              </w:rPr>
              <w:t>Počty vyplácaných dôchodkov* k:</w:t>
            </w:r>
            <w:bookmarkEnd w:id="158"/>
            <w:bookmarkEnd w:id="159"/>
            <w:bookmarkEnd w:id="160"/>
          </w:p>
        </w:tc>
        <w:tc>
          <w:tcPr>
            <w:tcW w:w="2260"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0F0A76" w:rsidRPr="004C5551" w:rsidRDefault="000F0A76" w:rsidP="000860E9">
            <w:pPr>
              <w:jc w:val="center"/>
              <w:rPr>
                <w:b/>
                <w:bCs/>
                <w:color w:val="FFFFFF"/>
              </w:rPr>
            </w:pPr>
            <w:r w:rsidRPr="004C5551">
              <w:rPr>
                <w:b/>
                <w:bCs/>
                <w:color w:val="FFFFFF"/>
                <w:szCs w:val="22"/>
              </w:rPr>
              <w:t>Priemerná výška (sólo) dôchodku v </w:t>
            </w:r>
            <w:r w:rsidR="000860E9" w:rsidRPr="004C5551">
              <w:rPr>
                <w:b/>
                <w:bCs/>
                <w:color w:val="FFFFFF"/>
                <w:szCs w:val="22"/>
              </w:rPr>
              <w:t>€</w:t>
            </w:r>
            <w:r w:rsidRPr="004C5551">
              <w:rPr>
                <w:b/>
                <w:bCs/>
                <w:color w:val="FFFFFF" w:themeColor="background1"/>
                <w:szCs w:val="22"/>
              </w:rPr>
              <w:t>:</w:t>
            </w:r>
          </w:p>
        </w:tc>
      </w:tr>
      <w:tr w:rsidR="0024571B" w:rsidRPr="004C5551" w:rsidTr="0024571B">
        <w:trPr>
          <w:trHeight w:val="315"/>
          <w:jc w:val="center"/>
        </w:trPr>
        <w:tc>
          <w:tcPr>
            <w:tcW w:w="4392" w:type="dxa"/>
            <w:tcBorders>
              <w:top w:val="single" w:sz="6" w:space="0" w:color="BF0000" w:themeColor="accent3" w:themeShade="BF"/>
            </w:tcBorders>
            <w:shd w:val="clear" w:color="auto" w:fill="auto"/>
            <w:noWrap/>
            <w:vAlign w:val="center"/>
            <w:hideMark/>
          </w:tcPr>
          <w:p w:rsidR="0024571B" w:rsidRPr="004C5551" w:rsidRDefault="0024571B" w:rsidP="00B85283">
            <w:pPr>
              <w:jc w:val="center"/>
              <w:rPr>
                <w:color w:val="000000"/>
              </w:rPr>
            </w:pPr>
            <w:r w:rsidRPr="004C5551">
              <w:rPr>
                <w:color w:val="000000"/>
                <w:szCs w:val="22"/>
              </w:rPr>
              <w:t> </w:t>
            </w:r>
          </w:p>
        </w:tc>
        <w:tc>
          <w:tcPr>
            <w:tcW w:w="1406" w:type="dxa"/>
            <w:tcBorders>
              <w:top w:val="single" w:sz="6" w:space="0" w:color="BF0000" w:themeColor="accent3" w:themeShade="BF"/>
            </w:tcBorders>
            <w:shd w:val="clear" w:color="auto" w:fill="auto"/>
            <w:noWrap/>
            <w:vAlign w:val="center"/>
            <w:hideMark/>
          </w:tcPr>
          <w:p w:rsidR="0024571B" w:rsidRPr="004C5551" w:rsidRDefault="0024571B" w:rsidP="00B85283">
            <w:pPr>
              <w:jc w:val="center"/>
              <w:rPr>
                <w:color w:val="000000"/>
              </w:rPr>
            </w:pPr>
            <w:bookmarkStart w:id="161" w:name="_Toc294026982"/>
            <w:bookmarkStart w:id="162" w:name="_Toc294029221"/>
            <w:bookmarkStart w:id="163" w:name="_Toc313878712"/>
            <w:r w:rsidRPr="004C5551">
              <w:rPr>
                <w:color w:val="000000"/>
                <w:szCs w:val="22"/>
              </w:rPr>
              <w:t>31.12.2013</w:t>
            </w:r>
            <w:bookmarkEnd w:id="161"/>
            <w:bookmarkEnd w:id="162"/>
            <w:bookmarkEnd w:id="163"/>
          </w:p>
        </w:tc>
        <w:tc>
          <w:tcPr>
            <w:tcW w:w="1406" w:type="dxa"/>
            <w:tcBorders>
              <w:top w:val="single" w:sz="6" w:space="0" w:color="BF0000" w:themeColor="accent3" w:themeShade="BF"/>
            </w:tcBorders>
            <w:shd w:val="clear" w:color="auto" w:fill="auto"/>
            <w:noWrap/>
            <w:vAlign w:val="center"/>
            <w:hideMark/>
          </w:tcPr>
          <w:p w:rsidR="0024571B" w:rsidRPr="004C5551" w:rsidRDefault="0024571B" w:rsidP="00B85283">
            <w:pPr>
              <w:jc w:val="center"/>
              <w:rPr>
                <w:color w:val="000000"/>
              </w:rPr>
            </w:pPr>
            <w:bookmarkStart w:id="164" w:name="_Toc294026983"/>
            <w:bookmarkStart w:id="165" w:name="_Toc294029222"/>
            <w:bookmarkStart w:id="166" w:name="_Toc313878713"/>
            <w:r w:rsidRPr="004C5551">
              <w:rPr>
                <w:color w:val="000000"/>
                <w:szCs w:val="22"/>
              </w:rPr>
              <w:t>31.12.2014</w:t>
            </w:r>
            <w:bookmarkEnd w:id="164"/>
            <w:bookmarkEnd w:id="165"/>
            <w:bookmarkEnd w:id="166"/>
          </w:p>
        </w:tc>
        <w:tc>
          <w:tcPr>
            <w:tcW w:w="1130" w:type="dxa"/>
            <w:tcBorders>
              <w:top w:val="single" w:sz="6" w:space="0" w:color="BF0000" w:themeColor="accent3" w:themeShade="BF"/>
            </w:tcBorders>
            <w:shd w:val="clear" w:color="auto" w:fill="auto"/>
            <w:noWrap/>
            <w:vAlign w:val="center"/>
            <w:hideMark/>
          </w:tcPr>
          <w:p w:rsidR="0024571B" w:rsidRPr="004C5551" w:rsidRDefault="0024571B" w:rsidP="00B85283">
            <w:pPr>
              <w:jc w:val="center"/>
              <w:rPr>
                <w:color w:val="000000"/>
              </w:rPr>
            </w:pPr>
            <w:bookmarkStart w:id="167" w:name="_Toc294026984"/>
            <w:bookmarkStart w:id="168" w:name="_Toc294029223"/>
            <w:bookmarkStart w:id="169" w:name="_Toc313878714"/>
            <w:r w:rsidRPr="004C5551">
              <w:rPr>
                <w:color w:val="000000"/>
                <w:szCs w:val="22"/>
              </w:rPr>
              <w:t>31.12.2013</w:t>
            </w:r>
            <w:bookmarkEnd w:id="167"/>
            <w:bookmarkEnd w:id="168"/>
            <w:bookmarkEnd w:id="169"/>
          </w:p>
        </w:tc>
        <w:tc>
          <w:tcPr>
            <w:tcW w:w="1130" w:type="dxa"/>
            <w:tcBorders>
              <w:top w:val="single" w:sz="6" w:space="0" w:color="BF0000" w:themeColor="accent3" w:themeShade="BF"/>
            </w:tcBorders>
            <w:shd w:val="clear" w:color="auto" w:fill="auto"/>
            <w:noWrap/>
            <w:vAlign w:val="center"/>
            <w:hideMark/>
          </w:tcPr>
          <w:p w:rsidR="0024571B" w:rsidRPr="004C5551" w:rsidRDefault="0024571B" w:rsidP="00B85283">
            <w:pPr>
              <w:jc w:val="center"/>
              <w:rPr>
                <w:color w:val="000000"/>
              </w:rPr>
            </w:pPr>
            <w:bookmarkStart w:id="170" w:name="_Toc294026985"/>
            <w:bookmarkStart w:id="171" w:name="_Toc294029224"/>
            <w:bookmarkStart w:id="172" w:name="_Toc313878715"/>
            <w:r w:rsidRPr="004C5551">
              <w:rPr>
                <w:color w:val="000000"/>
                <w:szCs w:val="22"/>
              </w:rPr>
              <w:t>31.12.2014</w:t>
            </w:r>
            <w:bookmarkEnd w:id="170"/>
            <w:bookmarkEnd w:id="171"/>
            <w:bookmarkEnd w:id="172"/>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bookmarkStart w:id="173" w:name="_Toc294026986"/>
            <w:bookmarkStart w:id="174" w:name="_Toc294029225"/>
            <w:bookmarkStart w:id="175" w:name="_Toc313878716"/>
            <w:r w:rsidRPr="004C5551">
              <w:rPr>
                <w:color w:val="000000"/>
                <w:szCs w:val="22"/>
              </w:rPr>
              <w:t>Starobný (sólo + v súbehu) spolu</w:t>
            </w:r>
            <w:bookmarkEnd w:id="173"/>
            <w:bookmarkEnd w:id="174"/>
            <w:bookmarkEnd w:id="175"/>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988 277</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1 018 814</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391</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400</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bookmarkStart w:id="176" w:name="_Toc294026991"/>
            <w:bookmarkStart w:id="177" w:name="_Toc294029230"/>
            <w:bookmarkStart w:id="178" w:name="_Toc313878721"/>
            <w:r w:rsidRPr="004C5551">
              <w:rPr>
                <w:color w:val="000000"/>
                <w:szCs w:val="22"/>
              </w:rPr>
              <w:t xml:space="preserve">Predčasný starobný </w:t>
            </w:r>
            <w:bookmarkEnd w:id="176"/>
            <w:bookmarkEnd w:id="177"/>
            <w:bookmarkEnd w:id="178"/>
            <w:r w:rsidRPr="004C5551">
              <w:rPr>
                <w:color w:val="000000"/>
                <w:szCs w:val="22"/>
              </w:rPr>
              <w:t>(sólo + v súbehu) spolu</w:t>
            </w:r>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21 935</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21 348</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385</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384</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3D4864">
            <w:pPr>
              <w:jc w:val="left"/>
              <w:rPr>
                <w:color w:val="000000"/>
              </w:rPr>
            </w:pPr>
            <w:bookmarkStart w:id="179" w:name="_Toc294026996"/>
            <w:bookmarkStart w:id="180" w:name="_Toc294029235"/>
            <w:bookmarkStart w:id="181" w:name="_Toc313878726"/>
            <w:r w:rsidRPr="004C5551">
              <w:rPr>
                <w:color w:val="000000"/>
                <w:szCs w:val="22"/>
              </w:rPr>
              <w:t>Invalidný</w:t>
            </w:r>
            <w:bookmarkEnd w:id="179"/>
            <w:bookmarkEnd w:id="180"/>
            <w:bookmarkEnd w:id="181"/>
            <w:r w:rsidR="003D4864" w:rsidRPr="004C5551">
              <w:rPr>
                <w:color w:val="000000"/>
                <w:szCs w:val="22"/>
              </w:rPr>
              <w:t xml:space="preserve"> </w:t>
            </w:r>
            <w:r w:rsidRPr="004C5551">
              <w:rPr>
                <w:color w:val="000000"/>
                <w:szCs w:val="22"/>
              </w:rPr>
              <w:t>(sólo + v súbehu) spolu</w:t>
            </w:r>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231 547</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233 009</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264</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267</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bookmarkStart w:id="182" w:name="_Toc294027001"/>
            <w:bookmarkStart w:id="183" w:name="_Toc294029240"/>
            <w:bookmarkStart w:id="184" w:name="_Toc313878731"/>
            <w:r w:rsidRPr="004C5551">
              <w:rPr>
                <w:color w:val="000000"/>
                <w:szCs w:val="22"/>
              </w:rPr>
              <w:t>Vdovský (sólo+ v súbehu)</w:t>
            </w:r>
            <w:bookmarkEnd w:id="182"/>
            <w:bookmarkEnd w:id="183"/>
            <w:bookmarkEnd w:id="184"/>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295 894</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294 986</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237</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243</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bookmarkStart w:id="185" w:name="_Toc294027006"/>
            <w:bookmarkStart w:id="186" w:name="_Toc294029245"/>
            <w:bookmarkStart w:id="187" w:name="_Toc313878736"/>
            <w:r w:rsidRPr="004C5551">
              <w:rPr>
                <w:color w:val="000000"/>
                <w:szCs w:val="22"/>
              </w:rPr>
              <w:t xml:space="preserve">Vdovecký </w:t>
            </w:r>
            <w:bookmarkEnd w:id="185"/>
            <w:bookmarkEnd w:id="186"/>
            <w:bookmarkEnd w:id="187"/>
            <w:r w:rsidRPr="004C5551">
              <w:rPr>
                <w:color w:val="000000"/>
                <w:szCs w:val="22"/>
              </w:rPr>
              <w:t>(sólo+ v súbehu)</w:t>
            </w:r>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39 918</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40 960</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183</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187</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r w:rsidRPr="004C5551">
              <w:rPr>
                <w:color w:val="000000"/>
                <w:szCs w:val="22"/>
              </w:rPr>
              <w:t>Sirotský</w:t>
            </w:r>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25 758</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24 625</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130</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131</w:t>
            </w:r>
          </w:p>
        </w:tc>
      </w:tr>
      <w:tr w:rsidR="0024571B" w:rsidRPr="004C5551" w:rsidTr="0024571B">
        <w:trPr>
          <w:trHeight w:hRule="exact" w:val="57"/>
          <w:jc w:val="center"/>
        </w:trPr>
        <w:tc>
          <w:tcPr>
            <w:tcW w:w="4392" w:type="dxa"/>
            <w:vMerge w:val="restart"/>
            <w:shd w:val="clear" w:color="auto" w:fill="auto"/>
            <w:noWrap/>
            <w:vAlign w:val="center"/>
            <w:hideMark/>
          </w:tcPr>
          <w:p w:rsidR="0024571B" w:rsidRPr="004C5551" w:rsidRDefault="0024571B" w:rsidP="00B85283">
            <w:pPr>
              <w:jc w:val="left"/>
              <w:rPr>
                <w:color w:val="000000"/>
              </w:rPr>
            </w:pPr>
            <w:bookmarkStart w:id="188" w:name="_Toc294027016"/>
            <w:bookmarkStart w:id="189" w:name="_Toc294029255"/>
            <w:bookmarkStart w:id="190" w:name="_Toc313878746"/>
            <w:r w:rsidRPr="004C5551">
              <w:rPr>
                <w:color w:val="000000"/>
                <w:szCs w:val="22"/>
              </w:rPr>
              <w:t>Spolu</w:t>
            </w:r>
            <w:bookmarkEnd w:id="188"/>
            <w:bookmarkEnd w:id="189"/>
            <w:bookmarkEnd w:id="190"/>
          </w:p>
        </w:tc>
        <w:tc>
          <w:tcPr>
            <w:tcW w:w="1406" w:type="dxa"/>
            <w:vMerge w:val="restart"/>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1 603 329</w:t>
            </w:r>
          </w:p>
        </w:tc>
        <w:tc>
          <w:tcPr>
            <w:tcW w:w="1406" w:type="dxa"/>
            <w:vMerge w:val="restart"/>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1 633 742</w:t>
            </w:r>
          </w:p>
        </w:tc>
        <w:tc>
          <w:tcPr>
            <w:tcW w:w="1130" w:type="dxa"/>
            <w:vMerge w:val="restart"/>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c>
          <w:tcPr>
            <w:tcW w:w="1130" w:type="dxa"/>
            <w:vMerge w:val="restart"/>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r>
      <w:tr w:rsidR="0024571B" w:rsidRPr="004C5551" w:rsidTr="0024571B">
        <w:trPr>
          <w:trHeight w:val="253"/>
          <w:jc w:val="center"/>
        </w:trPr>
        <w:tc>
          <w:tcPr>
            <w:tcW w:w="4392" w:type="dxa"/>
            <w:vMerge/>
            <w:vAlign w:val="center"/>
            <w:hideMark/>
          </w:tcPr>
          <w:p w:rsidR="0024571B" w:rsidRPr="004C5551" w:rsidRDefault="0024571B" w:rsidP="00D36062">
            <w:pPr>
              <w:jc w:val="left"/>
              <w:rPr>
                <w:color w:val="000000"/>
              </w:rPr>
            </w:pPr>
          </w:p>
        </w:tc>
        <w:tc>
          <w:tcPr>
            <w:tcW w:w="1406" w:type="dxa"/>
            <w:vMerge/>
            <w:vAlign w:val="center"/>
            <w:hideMark/>
          </w:tcPr>
          <w:p w:rsidR="0024571B" w:rsidRPr="004C5551" w:rsidRDefault="0024571B" w:rsidP="00782BB3">
            <w:pPr>
              <w:ind w:right="189"/>
              <w:jc w:val="right"/>
              <w:rPr>
                <w:color w:val="000000"/>
              </w:rPr>
            </w:pPr>
          </w:p>
        </w:tc>
        <w:tc>
          <w:tcPr>
            <w:tcW w:w="1406" w:type="dxa"/>
            <w:vMerge/>
            <w:vAlign w:val="center"/>
            <w:hideMark/>
          </w:tcPr>
          <w:p w:rsidR="0024571B" w:rsidRPr="004C5551" w:rsidRDefault="0024571B" w:rsidP="00782BB3">
            <w:pPr>
              <w:ind w:right="178"/>
              <w:jc w:val="right"/>
              <w:rPr>
                <w:color w:val="000000"/>
              </w:rPr>
            </w:pPr>
          </w:p>
        </w:tc>
        <w:tc>
          <w:tcPr>
            <w:tcW w:w="1130" w:type="dxa"/>
            <w:vMerge/>
            <w:vAlign w:val="center"/>
            <w:hideMark/>
          </w:tcPr>
          <w:p w:rsidR="0024571B" w:rsidRPr="004C5551" w:rsidRDefault="0024571B" w:rsidP="00782BB3">
            <w:pPr>
              <w:ind w:right="170"/>
              <w:jc w:val="right"/>
              <w:rPr>
                <w:color w:val="000000"/>
              </w:rPr>
            </w:pPr>
          </w:p>
        </w:tc>
        <w:tc>
          <w:tcPr>
            <w:tcW w:w="1130" w:type="dxa"/>
            <w:vMerge/>
            <w:vAlign w:val="center"/>
            <w:hideMark/>
          </w:tcPr>
          <w:p w:rsidR="0024571B" w:rsidRPr="004C5551" w:rsidRDefault="0024571B" w:rsidP="00782BB3">
            <w:pPr>
              <w:ind w:right="170"/>
              <w:jc w:val="right"/>
              <w:rPr>
                <w:color w:val="000000"/>
              </w:rPr>
            </w:pPr>
          </w:p>
        </w:tc>
      </w:tr>
      <w:tr w:rsidR="0024571B" w:rsidRPr="004C5551" w:rsidTr="0024571B">
        <w:trPr>
          <w:trHeight w:val="315"/>
          <w:jc w:val="center"/>
        </w:trPr>
        <w:tc>
          <w:tcPr>
            <w:tcW w:w="4392" w:type="dxa"/>
            <w:shd w:val="clear" w:color="auto" w:fill="auto"/>
            <w:noWrap/>
            <w:vAlign w:val="center"/>
            <w:hideMark/>
          </w:tcPr>
          <w:p w:rsidR="0024571B" w:rsidRPr="004C5551" w:rsidRDefault="0024571B" w:rsidP="00B85283">
            <w:pPr>
              <w:jc w:val="left"/>
              <w:rPr>
                <w:color w:val="000000"/>
              </w:rPr>
            </w:pPr>
            <w:bookmarkStart w:id="191" w:name="_Toc294027021"/>
            <w:bookmarkStart w:id="192" w:name="_Toc294029260"/>
            <w:bookmarkStart w:id="193" w:name="_Toc313878751"/>
            <w:r w:rsidRPr="004C5551">
              <w:rPr>
                <w:color w:val="000000"/>
                <w:szCs w:val="22"/>
              </w:rPr>
              <w:t>Dôchodky neprevzaté do automatizovanej evidencie</w:t>
            </w:r>
            <w:bookmarkEnd w:id="191"/>
            <w:bookmarkEnd w:id="192"/>
            <w:bookmarkEnd w:id="193"/>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30</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70</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r>
      <w:tr w:rsidR="0024571B" w:rsidRPr="004C5551" w:rsidTr="0024571B">
        <w:trPr>
          <w:trHeight w:val="283"/>
          <w:jc w:val="center"/>
        </w:trPr>
        <w:tc>
          <w:tcPr>
            <w:tcW w:w="4392" w:type="dxa"/>
            <w:shd w:val="clear" w:color="auto" w:fill="auto"/>
            <w:noWrap/>
            <w:vAlign w:val="center"/>
            <w:hideMark/>
          </w:tcPr>
          <w:p w:rsidR="0024571B" w:rsidRPr="004C5551" w:rsidRDefault="0024571B" w:rsidP="00B85283">
            <w:pPr>
              <w:jc w:val="left"/>
              <w:rPr>
                <w:color w:val="000000"/>
              </w:rPr>
            </w:pPr>
            <w:bookmarkStart w:id="194" w:name="_Toc294027026"/>
            <w:bookmarkStart w:id="195" w:name="_Toc294029265"/>
            <w:bookmarkStart w:id="196" w:name="_Toc313878756"/>
            <w:r w:rsidRPr="004C5551">
              <w:rPr>
                <w:color w:val="000000"/>
                <w:szCs w:val="22"/>
              </w:rPr>
              <w:t>Dôchodky vyplácané do cudziny</w:t>
            </w:r>
            <w:bookmarkEnd w:id="194"/>
            <w:bookmarkEnd w:id="195"/>
            <w:bookmarkEnd w:id="196"/>
          </w:p>
        </w:tc>
        <w:tc>
          <w:tcPr>
            <w:tcW w:w="1406" w:type="dxa"/>
            <w:shd w:val="clear" w:color="auto" w:fill="auto"/>
            <w:noWrap/>
            <w:vAlign w:val="center"/>
            <w:hideMark/>
          </w:tcPr>
          <w:p w:rsidR="0024571B" w:rsidRPr="004C5551" w:rsidRDefault="0024571B" w:rsidP="00B85283">
            <w:pPr>
              <w:ind w:right="189"/>
              <w:jc w:val="right"/>
              <w:rPr>
                <w:color w:val="000000"/>
              </w:rPr>
            </w:pPr>
            <w:r w:rsidRPr="004C5551">
              <w:rPr>
                <w:color w:val="000000"/>
                <w:szCs w:val="22"/>
              </w:rPr>
              <w:t>20 005</w:t>
            </w:r>
          </w:p>
        </w:tc>
        <w:tc>
          <w:tcPr>
            <w:tcW w:w="1406" w:type="dxa"/>
            <w:shd w:val="clear" w:color="auto" w:fill="auto"/>
            <w:noWrap/>
            <w:vAlign w:val="center"/>
            <w:hideMark/>
          </w:tcPr>
          <w:p w:rsidR="0024571B" w:rsidRPr="004C5551" w:rsidRDefault="0024571B" w:rsidP="00B85283">
            <w:pPr>
              <w:ind w:right="178"/>
              <w:jc w:val="right"/>
              <w:rPr>
                <w:color w:val="000000"/>
              </w:rPr>
            </w:pPr>
            <w:r w:rsidRPr="004C5551">
              <w:rPr>
                <w:color w:val="000000"/>
                <w:szCs w:val="22"/>
              </w:rPr>
              <w:t>21 607</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c>
          <w:tcPr>
            <w:tcW w:w="1130" w:type="dxa"/>
            <w:shd w:val="clear" w:color="auto" w:fill="auto"/>
            <w:noWrap/>
            <w:vAlign w:val="center"/>
            <w:hideMark/>
          </w:tcPr>
          <w:p w:rsidR="0024571B" w:rsidRPr="004C5551" w:rsidRDefault="0024571B" w:rsidP="00B85283">
            <w:pPr>
              <w:ind w:right="170"/>
              <w:jc w:val="right"/>
              <w:rPr>
                <w:color w:val="000000"/>
              </w:rPr>
            </w:pPr>
            <w:r w:rsidRPr="004C5551">
              <w:rPr>
                <w:color w:val="000000"/>
                <w:szCs w:val="22"/>
              </w:rPr>
              <w:t>x</w:t>
            </w:r>
          </w:p>
        </w:tc>
      </w:tr>
    </w:tbl>
    <w:p w:rsidR="00105470" w:rsidRPr="004C5551" w:rsidRDefault="000F0A76" w:rsidP="009A10DF">
      <w:pPr>
        <w:pStyle w:val="zdroj"/>
      </w:pPr>
      <w:r w:rsidRPr="004C5551">
        <w:t>Zdroj: Sociálna poisťovňa</w:t>
      </w:r>
    </w:p>
    <w:p w:rsidR="000F0A76" w:rsidRPr="004C5551" w:rsidRDefault="000F0A76" w:rsidP="00C92B2F">
      <w:pPr>
        <w:pStyle w:val="Normlnysozarkami12"/>
        <w:ind w:firstLine="431"/>
      </w:pPr>
      <w:r w:rsidRPr="004C5551">
        <w:t xml:space="preserve">V roku 2014 vplyvom makroekonomických ukazovateľov zohľadnených pri valorizácii dôchodkových dávok a raste aktuálnej dôchodkovej hodnoty došlo k zlepšeniu sociálnej situácie dôchodcov. </w:t>
      </w:r>
      <w:r w:rsidR="001743E6" w:rsidRPr="004C5551">
        <w:t xml:space="preserve">Všetky dávky dôchodkového poistenia </w:t>
      </w:r>
      <w:r w:rsidR="004E7EAC" w:rsidRPr="004C5551">
        <w:t xml:space="preserve">okrem sólo predčasného starobného dôchodku </w:t>
      </w:r>
      <w:r w:rsidR="001743E6" w:rsidRPr="004C5551">
        <w:t xml:space="preserve">vyplácané </w:t>
      </w:r>
      <w:r w:rsidRPr="004C5551">
        <w:t>Sociáln</w:t>
      </w:r>
      <w:r w:rsidR="001743E6" w:rsidRPr="004C5551">
        <w:t>ou</w:t>
      </w:r>
      <w:r w:rsidRPr="004C5551">
        <w:t xml:space="preserve"> poisťovň</w:t>
      </w:r>
      <w:r w:rsidR="001743E6" w:rsidRPr="004C5551">
        <w:t>ou</w:t>
      </w:r>
      <w:r w:rsidRPr="004C5551">
        <w:t xml:space="preserve"> </w:t>
      </w:r>
      <w:r w:rsidR="001743E6" w:rsidRPr="004C5551">
        <w:t>sa v priemere oproti roku 2013 zvýšili</w:t>
      </w:r>
      <w:r w:rsidRPr="004C5551">
        <w:t>. Najvyšší nárast zaznamenali poberatelia starobného dôchodku vyplácaného v súbehu s vdoveckým dôchodkom a poberatelia starobného dôchodku vyplácaného v súbehu s vdovským dôchodkom.</w:t>
      </w:r>
    </w:p>
    <w:bookmarkEnd w:id="149"/>
    <w:bookmarkEnd w:id="150"/>
    <w:bookmarkEnd w:id="151"/>
    <w:bookmarkEnd w:id="152"/>
    <w:bookmarkEnd w:id="153"/>
    <w:bookmarkEnd w:id="154"/>
    <w:p w:rsidR="000F0A76" w:rsidRPr="004C5551" w:rsidRDefault="000F0A76" w:rsidP="000F0A76">
      <w:pPr>
        <w:pStyle w:val="Nadpis7"/>
        <w:rPr>
          <w:color w:val="000000" w:themeColor="text1"/>
        </w:rPr>
      </w:pPr>
      <w:r w:rsidRPr="004C5551">
        <w:rPr>
          <w:color w:val="000000" w:themeColor="text1"/>
        </w:rPr>
        <w:t>Tabuľka 3.3 Priemerná výška dôchodkov v súbehu v rokoch 2013 a 2014 k 31. 12.</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5511"/>
        <w:gridCol w:w="1849"/>
        <w:gridCol w:w="1852"/>
      </w:tblGrid>
      <w:tr w:rsidR="000F0A76" w:rsidRPr="004C5551" w:rsidTr="00782BB3">
        <w:trPr>
          <w:trHeight w:val="328"/>
          <w:jc w:val="center"/>
        </w:trPr>
        <w:tc>
          <w:tcPr>
            <w:tcW w:w="2991" w:type="pct"/>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D36062">
            <w:pPr>
              <w:jc w:val="center"/>
              <w:rPr>
                <w:b/>
                <w:color w:val="FFFFFF" w:themeColor="background1"/>
              </w:rPr>
            </w:pPr>
            <w:bookmarkStart w:id="197" w:name="_Toc294019709"/>
            <w:bookmarkStart w:id="198" w:name="_Toc294027032"/>
            <w:bookmarkStart w:id="199" w:name="_Toc294029271"/>
            <w:bookmarkStart w:id="200" w:name="_Toc313878762"/>
            <w:r w:rsidRPr="004C5551">
              <w:rPr>
                <w:b/>
                <w:color w:val="FFFFFF" w:themeColor="background1"/>
              </w:rPr>
              <w:t>Druh dôchodku</w:t>
            </w:r>
            <w:bookmarkEnd w:id="197"/>
            <w:bookmarkEnd w:id="198"/>
            <w:bookmarkEnd w:id="199"/>
            <w:bookmarkEnd w:id="200"/>
          </w:p>
        </w:tc>
        <w:tc>
          <w:tcPr>
            <w:tcW w:w="2009" w:type="pct"/>
            <w:gridSpan w:val="2"/>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0860E9">
            <w:pPr>
              <w:jc w:val="center"/>
              <w:rPr>
                <w:b/>
                <w:color w:val="FFFFFF" w:themeColor="background1"/>
              </w:rPr>
            </w:pPr>
            <w:bookmarkStart w:id="201" w:name="_Toc294019710"/>
            <w:bookmarkStart w:id="202" w:name="_Toc294027033"/>
            <w:bookmarkStart w:id="203" w:name="_Toc294029272"/>
            <w:bookmarkStart w:id="204" w:name="_Toc313878763"/>
            <w:r w:rsidRPr="004C5551">
              <w:rPr>
                <w:b/>
                <w:color w:val="FFFFFF" w:themeColor="background1"/>
              </w:rPr>
              <w:t>Priemerná výška dôchodku*</w:t>
            </w:r>
            <w:r w:rsidRPr="004C5551">
              <w:rPr>
                <w:b/>
                <w:color w:val="FFFFFF" w:themeColor="background1"/>
                <w:vertAlign w:val="superscript"/>
              </w:rPr>
              <w:t xml:space="preserve"> </w:t>
            </w:r>
            <w:r w:rsidRPr="004C5551">
              <w:rPr>
                <w:b/>
                <w:color w:val="FFFFFF" w:themeColor="background1"/>
              </w:rPr>
              <w:t>v </w:t>
            </w:r>
            <w:r w:rsidR="000860E9" w:rsidRPr="004C5551">
              <w:rPr>
                <w:b/>
                <w:color w:val="FFFFFF" w:themeColor="background1"/>
              </w:rPr>
              <w:t>€</w:t>
            </w:r>
            <w:bookmarkEnd w:id="201"/>
            <w:bookmarkEnd w:id="202"/>
            <w:bookmarkEnd w:id="203"/>
            <w:bookmarkEnd w:id="204"/>
          </w:p>
        </w:tc>
      </w:tr>
      <w:tr w:rsidR="000F0A76" w:rsidRPr="004C5551" w:rsidTr="00782BB3">
        <w:trPr>
          <w:trHeight w:val="328"/>
          <w:jc w:val="center"/>
        </w:trPr>
        <w:tc>
          <w:tcPr>
            <w:tcW w:w="2991" w:type="pct"/>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F0A76" w:rsidRPr="004C5551" w:rsidRDefault="000F0A76" w:rsidP="00D36062">
            <w:pPr>
              <w:jc w:val="center"/>
              <w:rPr>
                <w:b/>
                <w:color w:val="FFFFFF" w:themeColor="background1"/>
              </w:rPr>
            </w:pPr>
          </w:p>
        </w:tc>
        <w:tc>
          <w:tcPr>
            <w:tcW w:w="1004"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EB65C5">
            <w:pPr>
              <w:jc w:val="center"/>
              <w:rPr>
                <w:b/>
                <w:color w:val="FFFFFF" w:themeColor="background1"/>
              </w:rPr>
            </w:pPr>
            <w:bookmarkStart w:id="205" w:name="_Toc294019711"/>
            <w:bookmarkStart w:id="206" w:name="_Toc294027034"/>
            <w:bookmarkStart w:id="207" w:name="_Toc294029273"/>
            <w:bookmarkStart w:id="208" w:name="_Toc313878764"/>
            <w:r w:rsidRPr="004C5551">
              <w:rPr>
                <w:b/>
                <w:color w:val="FFFFFF" w:themeColor="background1"/>
              </w:rPr>
              <w:t>rok 201</w:t>
            </w:r>
            <w:bookmarkEnd w:id="205"/>
            <w:bookmarkEnd w:id="206"/>
            <w:bookmarkEnd w:id="207"/>
            <w:bookmarkEnd w:id="208"/>
            <w:r w:rsidR="00EB65C5" w:rsidRPr="004C5551">
              <w:rPr>
                <w:b/>
                <w:color w:val="FFFFFF" w:themeColor="background1"/>
              </w:rPr>
              <w:t>3</w:t>
            </w:r>
          </w:p>
        </w:tc>
        <w:tc>
          <w:tcPr>
            <w:tcW w:w="1005"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EB65C5">
            <w:pPr>
              <w:jc w:val="center"/>
              <w:rPr>
                <w:b/>
                <w:color w:val="FFFFFF" w:themeColor="background1"/>
              </w:rPr>
            </w:pPr>
            <w:bookmarkStart w:id="209" w:name="_Toc294019712"/>
            <w:bookmarkStart w:id="210" w:name="_Toc294027035"/>
            <w:bookmarkStart w:id="211" w:name="_Toc294029274"/>
            <w:bookmarkStart w:id="212" w:name="_Toc313878765"/>
            <w:r w:rsidRPr="004C5551">
              <w:rPr>
                <w:b/>
                <w:color w:val="FFFFFF" w:themeColor="background1"/>
              </w:rPr>
              <w:t>rok 201</w:t>
            </w:r>
            <w:bookmarkEnd w:id="209"/>
            <w:bookmarkEnd w:id="210"/>
            <w:bookmarkEnd w:id="211"/>
            <w:bookmarkEnd w:id="212"/>
            <w:r w:rsidR="00EB65C5" w:rsidRPr="004C5551">
              <w:rPr>
                <w:b/>
                <w:color w:val="FFFFFF" w:themeColor="background1"/>
              </w:rPr>
              <w:t>4</w:t>
            </w:r>
          </w:p>
        </w:tc>
      </w:tr>
      <w:tr w:rsidR="00EB65C5" w:rsidRPr="004C5551" w:rsidTr="00782BB3">
        <w:trPr>
          <w:trHeight w:val="328"/>
          <w:jc w:val="center"/>
        </w:trPr>
        <w:tc>
          <w:tcPr>
            <w:tcW w:w="2991" w:type="pct"/>
            <w:tcBorders>
              <w:top w:val="single" w:sz="6" w:space="0" w:color="BF0000" w:themeColor="accent3" w:themeShade="BF"/>
            </w:tcBorders>
            <w:noWrap/>
            <w:vAlign w:val="center"/>
          </w:tcPr>
          <w:p w:rsidR="00EB65C5" w:rsidRPr="004C5551" w:rsidRDefault="00EB65C5" w:rsidP="00096384">
            <w:pPr>
              <w:jc w:val="left"/>
              <w:rPr>
                <w:color w:val="000000"/>
                <w:szCs w:val="22"/>
              </w:rPr>
            </w:pPr>
            <w:bookmarkStart w:id="213" w:name="_Toc294019713"/>
            <w:bookmarkStart w:id="214" w:name="_Toc294027036"/>
            <w:bookmarkStart w:id="215" w:name="_Toc294029275"/>
            <w:bookmarkStart w:id="216" w:name="_Toc313878766"/>
            <w:r w:rsidRPr="004C5551">
              <w:rPr>
                <w:color w:val="000000"/>
                <w:szCs w:val="22"/>
              </w:rPr>
              <w:t>starobný vyplácaný v súbehu s vdovským (ženy)</w:t>
            </w:r>
            <w:bookmarkEnd w:id="213"/>
            <w:bookmarkEnd w:id="214"/>
            <w:bookmarkEnd w:id="215"/>
            <w:bookmarkEnd w:id="216"/>
          </w:p>
        </w:tc>
        <w:tc>
          <w:tcPr>
            <w:tcW w:w="1004" w:type="pct"/>
            <w:tcBorders>
              <w:top w:val="single" w:sz="6" w:space="0" w:color="BF0000" w:themeColor="accent3" w:themeShade="BF"/>
            </w:tcBorders>
            <w:noWrap/>
            <w:vAlign w:val="center"/>
          </w:tcPr>
          <w:p w:rsidR="00EB65C5" w:rsidRPr="004C5551" w:rsidRDefault="00EB65C5" w:rsidP="00D6574F">
            <w:pPr>
              <w:ind w:right="699"/>
              <w:jc w:val="right"/>
            </w:pPr>
            <w:r w:rsidRPr="004C5551">
              <w:t>427</w:t>
            </w:r>
          </w:p>
        </w:tc>
        <w:tc>
          <w:tcPr>
            <w:tcW w:w="1005" w:type="pct"/>
            <w:tcBorders>
              <w:top w:val="single" w:sz="6" w:space="0" w:color="BF0000" w:themeColor="accent3" w:themeShade="BF"/>
            </w:tcBorders>
            <w:noWrap/>
            <w:vAlign w:val="center"/>
          </w:tcPr>
          <w:p w:rsidR="00EB65C5" w:rsidRPr="004C5551" w:rsidRDefault="00EB65C5" w:rsidP="00D6574F">
            <w:pPr>
              <w:ind w:right="699"/>
              <w:jc w:val="right"/>
            </w:pPr>
            <w:r w:rsidRPr="004C5551">
              <w:t>440</w:t>
            </w:r>
          </w:p>
        </w:tc>
      </w:tr>
      <w:tr w:rsidR="00EB65C5" w:rsidRPr="004C5551" w:rsidTr="00782BB3">
        <w:trPr>
          <w:trHeight w:val="328"/>
          <w:jc w:val="center"/>
        </w:trPr>
        <w:tc>
          <w:tcPr>
            <w:tcW w:w="2991" w:type="pct"/>
            <w:noWrap/>
            <w:vAlign w:val="center"/>
          </w:tcPr>
          <w:p w:rsidR="00EB65C5" w:rsidRPr="004C5551" w:rsidRDefault="00EB65C5" w:rsidP="00096384">
            <w:pPr>
              <w:jc w:val="left"/>
              <w:rPr>
                <w:color w:val="000000"/>
                <w:szCs w:val="22"/>
              </w:rPr>
            </w:pPr>
            <w:bookmarkStart w:id="217" w:name="_Toc294019716"/>
            <w:bookmarkStart w:id="218" w:name="_Toc294027039"/>
            <w:bookmarkStart w:id="219" w:name="_Toc294029278"/>
            <w:bookmarkStart w:id="220" w:name="_Toc313878769"/>
            <w:r w:rsidRPr="004C5551">
              <w:rPr>
                <w:color w:val="000000"/>
                <w:szCs w:val="22"/>
              </w:rPr>
              <w:t>starobný vyplácaný v súbehu s vdoveckým (muži)</w:t>
            </w:r>
            <w:bookmarkEnd w:id="217"/>
            <w:bookmarkEnd w:id="218"/>
            <w:bookmarkEnd w:id="219"/>
            <w:bookmarkEnd w:id="220"/>
          </w:p>
        </w:tc>
        <w:tc>
          <w:tcPr>
            <w:tcW w:w="1004" w:type="pct"/>
            <w:noWrap/>
            <w:vAlign w:val="center"/>
          </w:tcPr>
          <w:p w:rsidR="00EB65C5" w:rsidRPr="004C5551" w:rsidRDefault="00EB65C5" w:rsidP="00D6574F">
            <w:pPr>
              <w:ind w:right="699"/>
              <w:jc w:val="right"/>
            </w:pPr>
            <w:r w:rsidRPr="004C5551">
              <w:t>498</w:t>
            </w:r>
          </w:p>
        </w:tc>
        <w:tc>
          <w:tcPr>
            <w:tcW w:w="1005" w:type="pct"/>
            <w:noWrap/>
            <w:vAlign w:val="center"/>
          </w:tcPr>
          <w:p w:rsidR="00EB65C5" w:rsidRPr="004C5551" w:rsidRDefault="00EB65C5" w:rsidP="00D6574F">
            <w:pPr>
              <w:ind w:right="699"/>
              <w:jc w:val="right"/>
            </w:pPr>
            <w:r w:rsidRPr="004C5551">
              <w:t>513</w:t>
            </w:r>
          </w:p>
        </w:tc>
      </w:tr>
      <w:tr w:rsidR="00EB65C5" w:rsidRPr="004C5551" w:rsidTr="00782BB3">
        <w:trPr>
          <w:trHeight w:val="328"/>
          <w:jc w:val="center"/>
        </w:trPr>
        <w:tc>
          <w:tcPr>
            <w:tcW w:w="2991" w:type="pct"/>
            <w:noWrap/>
            <w:vAlign w:val="center"/>
          </w:tcPr>
          <w:p w:rsidR="00EB65C5" w:rsidRPr="004C5551" w:rsidRDefault="00EB65C5" w:rsidP="00096384">
            <w:pPr>
              <w:jc w:val="left"/>
              <w:rPr>
                <w:color w:val="000000"/>
                <w:szCs w:val="22"/>
              </w:rPr>
            </w:pPr>
            <w:bookmarkStart w:id="221" w:name="_Toc294019719"/>
            <w:bookmarkStart w:id="222" w:name="_Toc294027042"/>
            <w:bookmarkStart w:id="223" w:name="_Toc294029281"/>
            <w:bookmarkStart w:id="224" w:name="_Toc313878772"/>
            <w:r w:rsidRPr="004C5551">
              <w:rPr>
                <w:color w:val="000000"/>
                <w:szCs w:val="22"/>
              </w:rPr>
              <w:t>predčasný starobný vyplácaný v súbehu s vdovským (ženy)</w:t>
            </w:r>
            <w:bookmarkEnd w:id="221"/>
            <w:bookmarkEnd w:id="222"/>
            <w:bookmarkEnd w:id="223"/>
            <w:bookmarkEnd w:id="224"/>
          </w:p>
        </w:tc>
        <w:tc>
          <w:tcPr>
            <w:tcW w:w="1004" w:type="pct"/>
            <w:noWrap/>
            <w:vAlign w:val="center"/>
          </w:tcPr>
          <w:p w:rsidR="00EB65C5" w:rsidRPr="004C5551" w:rsidRDefault="00EB65C5" w:rsidP="00D6574F">
            <w:pPr>
              <w:ind w:right="699"/>
              <w:jc w:val="right"/>
            </w:pPr>
            <w:r w:rsidRPr="004C5551">
              <w:t>455</w:t>
            </w:r>
          </w:p>
        </w:tc>
        <w:tc>
          <w:tcPr>
            <w:tcW w:w="1005" w:type="pct"/>
            <w:noWrap/>
            <w:vAlign w:val="center"/>
          </w:tcPr>
          <w:p w:rsidR="00EB65C5" w:rsidRPr="004C5551" w:rsidRDefault="00EB65C5" w:rsidP="00D6574F">
            <w:pPr>
              <w:ind w:right="699"/>
              <w:jc w:val="right"/>
            </w:pPr>
            <w:r w:rsidRPr="004C5551">
              <w:t>467</w:t>
            </w:r>
          </w:p>
        </w:tc>
      </w:tr>
      <w:tr w:rsidR="00EB65C5" w:rsidRPr="004C5551" w:rsidTr="00782BB3">
        <w:trPr>
          <w:trHeight w:val="328"/>
          <w:jc w:val="center"/>
        </w:trPr>
        <w:tc>
          <w:tcPr>
            <w:tcW w:w="2991" w:type="pct"/>
            <w:noWrap/>
            <w:vAlign w:val="center"/>
          </w:tcPr>
          <w:p w:rsidR="00EB65C5" w:rsidRPr="004C5551" w:rsidRDefault="00EB65C5" w:rsidP="00096384">
            <w:pPr>
              <w:jc w:val="left"/>
              <w:rPr>
                <w:color w:val="000000"/>
                <w:szCs w:val="22"/>
              </w:rPr>
            </w:pPr>
            <w:bookmarkStart w:id="225" w:name="_Toc294019722"/>
            <w:bookmarkStart w:id="226" w:name="_Toc294027045"/>
            <w:bookmarkStart w:id="227" w:name="_Toc294029284"/>
            <w:bookmarkStart w:id="228" w:name="_Toc313878775"/>
            <w:r w:rsidRPr="004C5551">
              <w:rPr>
                <w:color w:val="000000"/>
                <w:szCs w:val="22"/>
              </w:rPr>
              <w:t>predčasný starobný vyplácaný v súbehu s vdoveckým (muži)</w:t>
            </w:r>
            <w:bookmarkEnd w:id="225"/>
            <w:bookmarkEnd w:id="226"/>
            <w:bookmarkEnd w:id="227"/>
            <w:bookmarkEnd w:id="228"/>
          </w:p>
        </w:tc>
        <w:tc>
          <w:tcPr>
            <w:tcW w:w="1004" w:type="pct"/>
            <w:noWrap/>
            <w:vAlign w:val="center"/>
          </w:tcPr>
          <w:p w:rsidR="00EB65C5" w:rsidRPr="004C5551" w:rsidRDefault="00EB65C5" w:rsidP="00D6574F">
            <w:pPr>
              <w:ind w:right="699"/>
              <w:jc w:val="right"/>
            </w:pPr>
            <w:r w:rsidRPr="004C5551">
              <w:t>497</w:t>
            </w:r>
          </w:p>
        </w:tc>
        <w:tc>
          <w:tcPr>
            <w:tcW w:w="1005" w:type="pct"/>
            <w:noWrap/>
            <w:vAlign w:val="center"/>
          </w:tcPr>
          <w:p w:rsidR="00EB65C5" w:rsidRPr="004C5551" w:rsidRDefault="00EB65C5" w:rsidP="00D6574F">
            <w:pPr>
              <w:ind w:right="699"/>
              <w:jc w:val="right"/>
            </w:pPr>
            <w:r w:rsidRPr="004C5551">
              <w:t>501</w:t>
            </w:r>
          </w:p>
        </w:tc>
      </w:tr>
      <w:tr w:rsidR="00EB65C5" w:rsidRPr="004C5551" w:rsidTr="00782BB3">
        <w:trPr>
          <w:trHeight w:val="328"/>
          <w:jc w:val="center"/>
        </w:trPr>
        <w:tc>
          <w:tcPr>
            <w:tcW w:w="2991" w:type="pct"/>
            <w:noWrap/>
            <w:vAlign w:val="center"/>
          </w:tcPr>
          <w:p w:rsidR="00EB65C5" w:rsidRPr="004C5551" w:rsidRDefault="00EB65C5" w:rsidP="00096384">
            <w:pPr>
              <w:jc w:val="left"/>
              <w:rPr>
                <w:color w:val="000000"/>
                <w:szCs w:val="22"/>
              </w:rPr>
            </w:pPr>
            <w:bookmarkStart w:id="229" w:name="_Toc294019725"/>
            <w:bookmarkStart w:id="230" w:name="_Toc294027048"/>
            <w:bookmarkStart w:id="231" w:name="_Toc294029287"/>
            <w:bookmarkStart w:id="232" w:name="_Toc313878778"/>
            <w:r w:rsidRPr="004C5551">
              <w:rPr>
                <w:color w:val="000000"/>
                <w:szCs w:val="22"/>
              </w:rPr>
              <w:t>invalidný vyplácaný v súbehu s vdovským (ženy)</w:t>
            </w:r>
            <w:bookmarkEnd w:id="229"/>
            <w:bookmarkEnd w:id="230"/>
            <w:bookmarkEnd w:id="231"/>
            <w:bookmarkEnd w:id="232"/>
          </w:p>
        </w:tc>
        <w:tc>
          <w:tcPr>
            <w:tcW w:w="1004" w:type="pct"/>
            <w:noWrap/>
            <w:vAlign w:val="center"/>
          </w:tcPr>
          <w:p w:rsidR="00EB65C5" w:rsidRPr="004C5551" w:rsidRDefault="00EB65C5" w:rsidP="00D6574F">
            <w:pPr>
              <w:ind w:right="699"/>
              <w:jc w:val="right"/>
            </w:pPr>
            <w:r w:rsidRPr="004C5551">
              <w:t>387</w:t>
            </w:r>
          </w:p>
        </w:tc>
        <w:tc>
          <w:tcPr>
            <w:tcW w:w="1005" w:type="pct"/>
            <w:noWrap/>
            <w:vAlign w:val="center"/>
          </w:tcPr>
          <w:p w:rsidR="00EB65C5" w:rsidRPr="004C5551" w:rsidRDefault="00EB65C5" w:rsidP="00D6574F">
            <w:pPr>
              <w:ind w:right="699"/>
              <w:jc w:val="right"/>
            </w:pPr>
            <w:r w:rsidRPr="004C5551">
              <w:t>393</w:t>
            </w:r>
          </w:p>
        </w:tc>
      </w:tr>
      <w:tr w:rsidR="00EB65C5" w:rsidRPr="004C5551" w:rsidTr="00782BB3">
        <w:trPr>
          <w:trHeight w:val="328"/>
          <w:jc w:val="center"/>
        </w:trPr>
        <w:tc>
          <w:tcPr>
            <w:tcW w:w="2991" w:type="pct"/>
            <w:noWrap/>
            <w:vAlign w:val="center"/>
          </w:tcPr>
          <w:p w:rsidR="00EB65C5" w:rsidRPr="004C5551" w:rsidRDefault="00EB65C5" w:rsidP="00096384">
            <w:pPr>
              <w:jc w:val="left"/>
              <w:rPr>
                <w:color w:val="000000"/>
                <w:szCs w:val="22"/>
              </w:rPr>
            </w:pPr>
            <w:bookmarkStart w:id="233" w:name="_Toc294019728"/>
            <w:bookmarkStart w:id="234" w:name="_Toc294027051"/>
            <w:bookmarkStart w:id="235" w:name="_Toc294029290"/>
            <w:bookmarkStart w:id="236" w:name="_Toc313878781"/>
            <w:r w:rsidRPr="004C5551">
              <w:rPr>
                <w:color w:val="000000"/>
                <w:szCs w:val="22"/>
              </w:rPr>
              <w:t>invalidný vyplácaný v súbehu s vdoveckým (muži)</w:t>
            </w:r>
            <w:bookmarkEnd w:id="233"/>
            <w:bookmarkEnd w:id="234"/>
            <w:bookmarkEnd w:id="235"/>
            <w:bookmarkEnd w:id="236"/>
          </w:p>
        </w:tc>
        <w:tc>
          <w:tcPr>
            <w:tcW w:w="1004" w:type="pct"/>
            <w:noWrap/>
            <w:vAlign w:val="center"/>
          </w:tcPr>
          <w:p w:rsidR="00EB65C5" w:rsidRPr="004C5551" w:rsidRDefault="00EB65C5" w:rsidP="00D6574F">
            <w:pPr>
              <w:ind w:right="699"/>
              <w:jc w:val="right"/>
            </w:pPr>
            <w:r w:rsidRPr="004C5551">
              <w:t>419</w:t>
            </w:r>
          </w:p>
        </w:tc>
        <w:tc>
          <w:tcPr>
            <w:tcW w:w="1005" w:type="pct"/>
            <w:noWrap/>
            <w:vAlign w:val="center"/>
          </w:tcPr>
          <w:p w:rsidR="00EB65C5" w:rsidRPr="004C5551" w:rsidRDefault="00EB65C5" w:rsidP="00D6574F">
            <w:pPr>
              <w:ind w:right="699"/>
              <w:jc w:val="right"/>
            </w:pPr>
            <w:r w:rsidRPr="004C5551">
              <w:t>422</w:t>
            </w:r>
          </w:p>
        </w:tc>
      </w:tr>
    </w:tbl>
    <w:p w:rsidR="000F0A76" w:rsidRPr="004C5551" w:rsidRDefault="000F0A76" w:rsidP="00782BB3">
      <w:pPr>
        <w:pStyle w:val="zdroj"/>
        <w:spacing w:after="0"/>
      </w:pPr>
      <w:r w:rsidRPr="004C5551">
        <w:t>Zdroj: Sociálna poisťovňa</w:t>
      </w:r>
    </w:p>
    <w:p w:rsidR="000F0A76" w:rsidRPr="004C5551" w:rsidRDefault="000F0A76" w:rsidP="00782BB3">
      <w:pPr>
        <w:pStyle w:val="zdroj"/>
        <w:spacing w:before="0"/>
      </w:pPr>
      <w:r w:rsidRPr="004C5551">
        <w:t>*priemerná výška vypočítaná z úhrnnej sumy oboch vyplácaných dôchodkov</w:t>
      </w:r>
    </w:p>
    <w:p w:rsidR="00F36366" w:rsidRPr="004C5551" w:rsidRDefault="000F0A76" w:rsidP="00C92B2F">
      <w:pPr>
        <w:ind w:firstLine="431"/>
      </w:pPr>
      <w:bookmarkStart w:id="237" w:name="_Toc325440936"/>
      <w:bookmarkStart w:id="238" w:name="_Toc356482678"/>
      <w:bookmarkStart w:id="239" w:name="_Toc356916010"/>
      <w:r w:rsidRPr="004C5551">
        <w:rPr>
          <w:b/>
        </w:rPr>
        <w:t>Výdavky</w:t>
      </w:r>
      <w:r w:rsidRPr="004C5551">
        <w:rPr>
          <w:rStyle w:val="Odkaznapoznmkupodiarou"/>
          <w:szCs w:val="22"/>
        </w:rPr>
        <w:footnoteReference w:id="23"/>
      </w:r>
      <w:r w:rsidRPr="004C5551">
        <w:t xml:space="preserve"> na (systémové) dávky dôchodkového poistenia v roku 2014 boli</w:t>
      </w:r>
      <w:r w:rsidR="00073D95" w:rsidRPr="004C5551">
        <w:t xml:space="preserve"> </w:t>
      </w:r>
      <w:r w:rsidRPr="004C5551">
        <w:t xml:space="preserve">6,2 mld. </w:t>
      </w:r>
      <w:r w:rsidR="000860E9" w:rsidRPr="004C5551">
        <w:t>eur</w:t>
      </w:r>
      <w:r w:rsidRPr="004C5551">
        <w:t>, čo predstavuje oproti roku 2013 nárast výdavkov o 5,9</w:t>
      </w:r>
      <w:r w:rsidR="009425AA" w:rsidRPr="004C5551">
        <w:t> %</w:t>
      </w:r>
      <w:r w:rsidRPr="004C5551">
        <w:t>. Okrem toho štátom hradené dôchodkové dávky (dôchodok manželky, sociálny dôchodok, tzv. invalidný dôchodok z mladosti, zvýšenie pre</w:t>
      </w:r>
      <w:r w:rsidR="00D22736" w:rsidRPr="004C5551">
        <w:t> </w:t>
      </w:r>
      <w:r w:rsidRPr="004C5551">
        <w:t xml:space="preserve">bezvládnosť, zvýšenie dôchodku z dôvodu jediného zdroja príjmu, za odboj a rehabilitáciu, vrátane príplatkov za štátnu službu) predstavovali 52,8 mil. </w:t>
      </w:r>
      <w:r w:rsidR="000860E9" w:rsidRPr="004C5551">
        <w:t>eur</w:t>
      </w:r>
      <w:r w:rsidR="00073D95" w:rsidRPr="004C5551">
        <w:t xml:space="preserve"> </w:t>
      </w:r>
      <w:r w:rsidRPr="004C5551">
        <w:t>(nárast oproti roku 2013 o 5,1</w:t>
      </w:r>
      <w:r w:rsidR="009425AA" w:rsidRPr="004C5551">
        <w:t> %</w:t>
      </w:r>
      <w:r w:rsidRPr="004C5551">
        <w:t xml:space="preserve">). </w:t>
      </w:r>
    </w:p>
    <w:p w:rsidR="005743A7" w:rsidRPr="004C5551" w:rsidRDefault="00460DEB" w:rsidP="00C92B2F">
      <w:pPr>
        <w:ind w:firstLine="431"/>
        <w:rPr>
          <w:bCs/>
          <w:color w:val="ED7D27" w:themeColor="accent6"/>
        </w:rPr>
      </w:pPr>
      <w:r w:rsidRPr="004C5551">
        <w:rPr>
          <w:b/>
        </w:rPr>
        <w:t>Výdavky na výplatu vianočného príspevku</w:t>
      </w:r>
      <w:r w:rsidR="000F0A76" w:rsidRPr="004C5551">
        <w:t xml:space="preserve"> niektorým poberateľom dôchodku v roku 2014 (bez doplatkov) predstavovali 78,3 mil. </w:t>
      </w:r>
      <w:r w:rsidR="00A96FDE" w:rsidRPr="004C5551">
        <w:t>eur</w:t>
      </w:r>
      <w:r w:rsidR="006C34F8" w:rsidRPr="004C5551">
        <w:t xml:space="preserve"> a v roku 2013 to bolo 70,6 mil. </w:t>
      </w:r>
      <w:r w:rsidR="00A96FDE" w:rsidRPr="004C5551">
        <w:t>eur</w:t>
      </w:r>
      <w:r w:rsidR="006C34F8" w:rsidRPr="004C5551">
        <w:t xml:space="preserve">. </w:t>
      </w:r>
      <w:r w:rsidR="006C34F8" w:rsidRPr="004C5551">
        <w:rPr>
          <w:szCs w:val="22"/>
        </w:rPr>
        <w:t>Celkový po</w:t>
      </w:r>
      <w:r w:rsidR="005743A7" w:rsidRPr="004C5551">
        <w:rPr>
          <w:szCs w:val="22"/>
        </w:rPr>
        <w:t xml:space="preserve">čet dôchodcov, ktorým bol vyplatený vianočný príspevok v roku 2014 </w:t>
      </w:r>
      <w:r w:rsidR="006C34F8" w:rsidRPr="004C5551">
        <w:rPr>
          <w:szCs w:val="22"/>
        </w:rPr>
        <w:t>dosiahol</w:t>
      </w:r>
      <w:r w:rsidR="005743A7" w:rsidRPr="004C5551">
        <w:rPr>
          <w:szCs w:val="22"/>
        </w:rPr>
        <w:t xml:space="preserve"> 1 119</w:t>
      </w:r>
      <w:r w:rsidR="00A126C4" w:rsidRPr="004C5551">
        <w:rPr>
          <w:szCs w:val="22"/>
        </w:rPr>
        <w:t> </w:t>
      </w:r>
      <w:r w:rsidR="005743A7" w:rsidRPr="004C5551">
        <w:rPr>
          <w:szCs w:val="22"/>
        </w:rPr>
        <w:t>735</w:t>
      </w:r>
      <w:r w:rsidR="00A126C4" w:rsidRPr="004C5551">
        <w:rPr>
          <w:szCs w:val="22"/>
        </w:rPr>
        <w:t xml:space="preserve"> osôb</w:t>
      </w:r>
      <w:r w:rsidR="006C34F8" w:rsidRPr="004C5551">
        <w:rPr>
          <w:szCs w:val="22"/>
        </w:rPr>
        <w:t>, kým v roku 2013 to bolo</w:t>
      </w:r>
      <w:r w:rsidR="003D4864" w:rsidRPr="004C5551">
        <w:rPr>
          <w:szCs w:val="22"/>
        </w:rPr>
        <w:t xml:space="preserve"> </w:t>
      </w:r>
      <w:r w:rsidR="006C34F8" w:rsidRPr="004C5551">
        <w:rPr>
          <w:szCs w:val="22"/>
        </w:rPr>
        <w:t>1 154 401 osôb.</w:t>
      </w:r>
    </w:p>
    <w:p w:rsidR="000F0A76" w:rsidRPr="004C5551" w:rsidRDefault="000F0A76" w:rsidP="00C92B2F">
      <w:pPr>
        <w:ind w:firstLine="431"/>
      </w:pPr>
    </w:p>
    <w:p w:rsidR="009A10DF" w:rsidRPr="004C5551" w:rsidRDefault="009A10DF">
      <w:pPr>
        <w:jc w:val="left"/>
      </w:pPr>
      <w:r w:rsidRPr="004C5551">
        <w:br w:type="page"/>
      </w:r>
    </w:p>
    <w:p w:rsidR="000F0A76" w:rsidRPr="004C5551" w:rsidRDefault="000F0A76" w:rsidP="00C92B2F">
      <w:pPr>
        <w:pStyle w:val="Normlnysozarkami12"/>
        <w:ind w:firstLine="431"/>
      </w:pPr>
      <w:r w:rsidRPr="004C5551">
        <w:t>K 31. decembru 2014 bolo zaznamenaných približne 8 100 poberateľov sólo starobných dôchodkov (t. j. 1,11</w:t>
      </w:r>
      <w:r w:rsidR="009425AA" w:rsidRPr="004C5551">
        <w:t> %</w:t>
      </w:r>
      <w:r w:rsidRPr="004C5551">
        <w:t>) presahujúcich priemernú mesačnú mzdu v hospodárstve Slovenskej republiky (858 </w:t>
      </w:r>
      <w:r w:rsidR="000860E9" w:rsidRPr="004C5551">
        <w:t>eur</w:t>
      </w:r>
      <w:r w:rsidRPr="004C5551">
        <w:t>). Pomer priemerného starobného sólo dôchodku vyplácaného k 31. decembru 2014 k priemernej mesačnej mzde za rok 2014 v hospodárstve Slovenskej republiky bol 46,64</w:t>
      </w:r>
      <w:r w:rsidR="009425AA" w:rsidRPr="004C5551">
        <w:t> %</w:t>
      </w:r>
      <w:r w:rsidR="00461FDE" w:rsidRPr="004C5551">
        <w:t>,</w:t>
      </w:r>
      <w:r w:rsidRPr="004C5551">
        <w:t xml:space="preserve"> čo je mierny pokles v porovnaní s rokom 2013 (pokles o 0,75 p. b.).</w:t>
      </w:r>
    </w:p>
    <w:p w:rsidR="00913863" w:rsidRPr="004C5551" w:rsidRDefault="00913863" w:rsidP="00ED16E0">
      <w:pPr>
        <w:pStyle w:val="Nadpis6"/>
      </w:pPr>
      <w:bookmarkStart w:id="240" w:name="_Toc422233417"/>
      <w:r w:rsidRPr="004C5551">
        <w:t>Úrazové poistenie</w:t>
      </w:r>
      <w:bookmarkEnd w:id="237"/>
      <w:bookmarkEnd w:id="238"/>
      <w:bookmarkEnd w:id="239"/>
      <w:bookmarkEnd w:id="240"/>
    </w:p>
    <w:p w:rsidR="000F0A76" w:rsidRPr="004C5551" w:rsidRDefault="000F0A76" w:rsidP="00C92B2F">
      <w:pPr>
        <w:pStyle w:val="Normlnysozarkami12"/>
        <w:ind w:firstLine="431"/>
        <w:rPr>
          <w:bCs/>
          <w:szCs w:val="22"/>
        </w:rPr>
      </w:pPr>
      <w:bookmarkStart w:id="241" w:name="_Toc325440937"/>
      <w:bookmarkStart w:id="242" w:name="_Toc356482679"/>
      <w:bookmarkStart w:id="243" w:name="_Toc356916011"/>
      <w:r w:rsidRPr="004C5551">
        <w:rPr>
          <w:bCs/>
          <w:szCs w:val="22"/>
        </w:rPr>
        <w:t>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rsidR="000F0A76" w:rsidRPr="004C5551" w:rsidRDefault="000F0A76" w:rsidP="00C92B2F">
      <w:pPr>
        <w:pStyle w:val="Normlnysozarkami12"/>
        <w:ind w:firstLine="431"/>
      </w:pPr>
      <w:r w:rsidRPr="004C5551">
        <w:t>Celková suma vyplatených dávok v roku 2014</w:t>
      </w:r>
      <w:r w:rsidRPr="004C5551">
        <w:rPr>
          <w:vertAlign w:val="superscript"/>
        </w:rPr>
        <w:footnoteReference w:id="24"/>
      </w:r>
      <w:r w:rsidRPr="004C5551">
        <w:t xml:space="preserve"> bola 44,6 mil. </w:t>
      </w:r>
      <w:r w:rsidR="000860E9" w:rsidRPr="004C5551">
        <w:t>eur</w:t>
      </w:r>
      <w:r w:rsidRPr="004C5551">
        <w:t>, čo predstavuje 100,69</w:t>
      </w:r>
      <w:r w:rsidR="009425AA" w:rsidRPr="004C5551">
        <w:t> %</w:t>
      </w:r>
      <w:r w:rsidRPr="004C5551">
        <w:t xml:space="preserve"> výdavkov za rok 2013, ide teda o mierny medziročný nárast. Najpočetnejšia a finančne najnáročnejšia dávka je úrazová renta. Za rok 2014</w:t>
      </w:r>
      <w:r w:rsidRPr="004C5551">
        <w:rPr>
          <w:vertAlign w:val="superscript"/>
        </w:rPr>
        <w:footnoteReference w:id="25"/>
      </w:r>
      <w:r w:rsidRPr="004C5551">
        <w:t xml:space="preserve"> bolo vyplatených 83 590 úrazových rent, čo predstavuje oproti roku 2013 nárast o</w:t>
      </w:r>
      <w:r w:rsidR="002948EF" w:rsidRPr="004C5551">
        <w:t> </w:t>
      </w:r>
      <w:r w:rsidRPr="004C5551">
        <w:t>1</w:t>
      </w:r>
      <w:r w:rsidR="002948EF" w:rsidRPr="004C5551">
        <w:t>,0</w:t>
      </w:r>
      <w:r w:rsidR="009425AA" w:rsidRPr="004C5551">
        <w:t> %</w:t>
      </w:r>
      <w:r w:rsidRPr="004C5551">
        <w:t xml:space="preserve">. Priemerná výška tejto dávky za rok 2014 bola 291 </w:t>
      </w:r>
      <w:r w:rsidR="000860E9" w:rsidRPr="004C5551">
        <w:t>eur</w:t>
      </w:r>
      <w:r w:rsidRPr="004C5551">
        <w:t>, t. j. 2,1</w:t>
      </w:r>
      <w:r w:rsidR="009425AA" w:rsidRPr="004C5551">
        <w:t> %</w:t>
      </w:r>
      <w:r w:rsidR="00073D95" w:rsidRPr="004C5551">
        <w:t xml:space="preserve"> </w:t>
      </w:r>
      <w:r w:rsidRPr="004C5551">
        <w:t xml:space="preserve">nárast oproti roku 2013. Na túto dávku bolo vynaložených 23,9 mil. </w:t>
      </w:r>
      <w:r w:rsidR="000860E9" w:rsidRPr="004C5551">
        <w:t>eur</w:t>
      </w:r>
      <w:r w:rsidRPr="004C5551">
        <w:t xml:space="preserve"> (53,6</w:t>
      </w:r>
      <w:r w:rsidR="009425AA" w:rsidRPr="004C5551">
        <w:t> %</w:t>
      </w:r>
      <w:r w:rsidRPr="004C5551">
        <w:t xml:space="preserve"> všetkých výdavkov základného fondu úrazového poistenia). Druhou najpočetnejšie vyplácanou dávkou bol úrazový príplatok v rozsahu 27 027 prípadov, čo oproti roku 2013 predstavuje pokles o 3,2</w:t>
      </w:r>
      <w:r w:rsidR="009425AA" w:rsidRPr="004C5551">
        <w:t> %</w:t>
      </w:r>
      <w:r w:rsidRPr="004C5551">
        <w:t xml:space="preserve">. Najvyššiu priemernú výšku na jeden prípad predstavovali dávky: jednorazové odškodnenie (13 701 </w:t>
      </w:r>
      <w:r w:rsidR="000860E9" w:rsidRPr="004C5551">
        <w:t>eur</w:t>
      </w:r>
      <w:r w:rsidRPr="004C5551">
        <w:t xml:space="preserve">) a náhrada za bolesť (12 497 </w:t>
      </w:r>
      <w:r w:rsidR="000860E9" w:rsidRPr="004C5551">
        <w:t>eur</w:t>
      </w:r>
      <w:r w:rsidRPr="004C5551">
        <w:t xml:space="preserve">) </w:t>
      </w:r>
      <w:r w:rsidR="00106028" w:rsidRPr="004C5551">
        <w:t>–</w:t>
      </w:r>
      <w:r w:rsidRPr="004C5551">
        <w:t xml:space="preserve"> ide však o menej početné dávky.</w:t>
      </w:r>
    </w:p>
    <w:p w:rsidR="00913863" w:rsidRPr="004C5551" w:rsidRDefault="00913863" w:rsidP="00ED16E0">
      <w:pPr>
        <w:pStyle w:val="Nadpis6"/>
      </w:pPr>
      <w:bookmarkStart w:id="244" w:name="_Toc422233418"/>
      <w:r w:rsidRPr="004C5551">
        <w:t>Garančné poistenie</w:t>
      </w:r>
      <w:bookmarkEnd w:id="241"/>
      <w:bookmarkEnd w:id="242"/>
      <w:bookmarkEnd w:id="243"/>
      <w:bookmarkEnd w:id="244"/>
    </w:p>
    <w:p w:rsidR="000F0A76" w:rsidRPr="004C5551" w:rsidRDefault="000F0A76" w:rsidP="00C92B2F">
      <w:pPr>
        <w:pStyle w:val="Normlnysozarkami12"/>
        <w:ind w:firstLine="431"/>
        <w:rPr>
          <w:bCs/>
          <w:szCs w:val="22"/>
        </w:rPr>
      </w:pPr>
      <w:bookmarkStart w:id="245" w:name="_Toc294027056"/>
      <w:bookmarkStart w:id="246" w:name="_Toc294029295"/>
      <w:bookmarkStart w:id="247" w:name="_Toc313878786"/>
      <w:bookmarkStart w:id="248" w:name="_Toc325438169"/>
      <w:bookmarkStart w:id="249" w:name="_Toc325440938"/>
      <w:bookmarkStart w:id="250" w:name="_Toc356482680"/>
      <w:r w:rsidRPr="004C5551">
        <w:rPr>
          <w:bCs/>
          <w:szCs w:val="22"/>
        </w:rPr>
        <w:t>Garančné poistenie je poistením pre prípad platobnej neschopnosti zamestnávateľa na</w:t>
      </w:r>
      <w:r w:rsidR="00782BB3" w:rsidRPr="004C5551">
        <w:rPr>
          <w:bCs/>
          <w:szCs w:val="22"/>
        </w:rPr>
        <w:t> </w:t>
      </w:r>
      <w:r w:rsidRPr="004C5551">
        <w:rPr>
          <w:bCs/>
          <w:szCs w:val="22"/>
        </w:rPr>
        <w:t>uspokojenie nárokov zamestnanca. Pri tomto druhu poistenia platí poistné len zamestnávateľ a poisteným je zamestnanec, pre prípad platobnej neschopnosti zamestnávateľa. 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povinné príspevky na starobné dôchodkové sporenie nezaplatené zamestnávateľom do základného fondu príspevkov na starobné dôchodkové sporenie v zákonom ustanovenej lehote. V rámci garančného poistenia nevystupuje ako subjekt SZČO a vzhľadom na charakter poistných vzťahov nie je daná ani možnosť dobrovoľnej účasti na tomto druhu poistenia</w:t>
      </w:r>
      <w:r w:rsidRPr="004C5551">
        <w:rPr>
          <w:rStyle w:val="Odkaznapoznmkupodiarou"/>
          <w:bCs/>
          <w:szCs w:val="22"/>
        </w:rPr>
        <w:footnoteReference w:id="26"/>
      </w:r>
      <w:r w:rsidRPr="004C5551">
        <w:rPr>
          <w:bCs/>
          <w:szCs w:val="22"/>
        </w:rPr>
        <w:t>.</w:t>
      </w:r>
    </w:p>
    <w:bookmarkEnd w:id="245"/>
    <w:bookmarkEnd w:id="246"/>
    <w:bookmarkEnd w:id="247"/>
    <w:bookmarkEnd w:id="248"/>
    <w:bookmarkEnd w:id="249"/>
    <w:bookmarkEnd w:id="250"/>
    <w:p w:rsidR="00F74BE8" w:rsidRPr="004C5551" w:rsidRDefault="00F74BE8" w:rsidP="00F74BE8">
      <w:pPr>
        <w:ind w:firstLine="431"/>
      </w:pPr>
      <w:r w:rsidRPr="004C5551">
        <w:t xml:space="preserve">Za rok 2014 bolo vyplatených 3 076 dávok (tabuľka 3.4), čo v porovnaní s rokom 2013 predstavuje pokles o 32,3 %. Celkový objem vyplatených prostriedkov na dávku garančného poistenia bol 14,2 mil. eur (vrátane povinných príspevkov na starobné dôchodkové sporenie nezaplatených zamestnávateľom do základného fondu príspevkov na starobné sporenie v zákonom ustanovenej lehote), oproti predchádzajúcemu roku ide o 12,7 percentné zníženie. </w:t>
      </w:r>
    </w:p>
    <w:p w:rsidR="00F74BE8" w:rsidRPr="004C5551" w:rsidRDefault="00F74BE8" w:rsidP="00F74BE8">
      <w:pPr>
        <w:ind w:firstLine="431"/>
        <w:rPr>
          <w:rFonts w:ascii="Arial" w:hAnsi="Arial" w:cs="Arial"/>
          <w:sz w:val="20"/>
          <w:szCs w:val="20"/>
        </w:rPr>
      </w:pPr>
      <w:r w:rsidRPr="004C5551">
        <w:t xml:space="preserve">Priemerná výška dávky za rok 2014 činila </w:t>
      </w:r>
      <w:r w:rsidRPr="004C5551">
        <w:rPr>
          <w:szCs w:val="22"/>
        </w:rPr>
        <w:t xml:space="preserve">1 338,16 </w:t>
      </w:r>
      <w:r w:rsidRPr="004C5551">
        <w:t>eura, čo predstavuje nárast o 25,1 % oproti roku 2013.</w:t>
      </w:r>
    </w:p>
    <w:p w:rsidR="00A15FB2" w:rsidRPr="004C5551" w:rsidRDefault="00A15FB2">
      <w:pPr>
        <w:jc w:val="left"/>
        <w:rPr>
          <w:b/>
        </w:rPr>
      </w:pPr>
      <w:r w:rsidRPr="004C5551">
        <w:br w:type="page"/>
      </w:r>
    </w:p>
    <w:p w:rsidR="000F0A76" w:rsidRPr="004C5551" w:rsidRDefault="000F0A76" w:rsidP="00782BB3">
      <w:pPr>
        <w:pStyle w:val="Nadpis7"/>
      </w:pPr>
      <w:r w:rsidRPr="004C5551">
        <w:t xml:space="preserve">Tabuľka 3.4 Výdavky na dávku garančného poistenia, počet prípadov a priemerná </w:t>
      </w:r>
      <w:r w:rsidRPr="004C5551">
        <w:br/>
        <w:t>výška dávky v </w:t>
      </w:r>
      <w:r w:rsidR="000860E9" w:rsidRPr="004C5551">
        <w:t>eurách v roku 2014</w:t>
      </w:r>
    </w:p>
    <w:tbl>
      <w:tblPr>
        <w:tblW w:w="6983" w:type="dxa"/>
        <w:jc w:val="center"/>
        <w:tblInd w:w="65"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022"/>
        <w:gridCol w:w="1618"/>
        <w:gridCol w:w="1619"/>
        <w:gridCol w:w="1724"/>
      </w:tblGrid>
      <w:tr w:rsidR="000F0A76" w:rsidRPr="004C5551" w:rsidTr="000860E9">
        <w:trPr>
          <w:trHeight w:val="749"/>
          <w:jc w:val="center"/>
        </w:trPr>
        <w:tc>
          <w:tcPr>
            <w:tcW w:w="202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D36062">
            <w:pPr>
              <w:jc w:val="center"/>
              <w:rPr>
                <w:b/>
                <w:color w:val="FFFFFF" w:themeColor="background1"/>
              </w:rPr>
            </w:pPr>
            <w:bookmarkStart w:id="251" w:name="_Toc294019733"/>
            <w:bookmarkStart w:id="252" w:name="_Toc294027057"/>
            <w:bookmarkStart w:id="253" w:name="_Toc294029296"/>
            <w:bookmarkStart w:id="254" w:name="_Toc313878787"/>
            <w:r w:rsidRPr="004C5551">
              <w:rPr>
                <w:b/>
                <w:color w:val="FFFFFF" w:themeColor="background1"/>
              </w:rPr>
              <w:t>Obdobie</w:t>
            </w:r>
            <w:bookmarkEnd w:id="251"/>
            <w:bookmarkEnd w:id="252"/>
            <w:bookmarkEnd w:id="253"/>
            <w:bookmarkEnd w:id="254"/>
          </w:p>
        </w:tc>
        <w:tc>
          <w:tcPr>
            <w:tcW w:w="161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F0A76" w:rsidRPr="004C5551" w:rsidRDefault="000F0A76" w:rsidP="00D36062">
            <w:pPr>
              <w:jc w:val="center"/>
              <w:rPr>
                <w:b/>
                <w:color w:val="FFFFFF" w:themeColor="background1"/>
              </w:rPr>
            </w:pPr>
            <w:bookmarkStart w:id="255" w:name="_Toc294019734"/>
            <w:bookmarkStart w:id="256" w:name="_Toc294027058"/>
            <w:bookmarkStart w:id="257" w:name="_Toc294029297"/>
            <w:bookmarkStart w:id="258" w:name="_Toc313878788"/>
            <w:r w:rsidRPr="004C5551">
              <w:rPr>
                <w:b/>
                <w:color w:val="FFFFFF" w:themeColor="background1"/>
              </w:rPr>
              <w:t>Počet prípadov</w:t>
            </w:r>
            <w:bookmarkEnd w:id="255"/>
            <w:bookmarkEnd w:id="256"/>
            <w:bookmarkEnd w:id="257"/>
            <w:bookmarkEnd w:id="258"/>
          </w:p>
        </w:tc>
        <w:tc>
          <w:tcPr>
            <w:tcW w:w="1619"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F0A76" w:rsidRPr="004C5551" w:rsidRDefault="000F0A76" w:rsidP="000860E9">
            <w:pPr>
              <w:jc w:val="center"/>
              <w:rPr>
                <w:b/>
                <w:color w:val="FFFFFF" w:themeColor="background1"/>
              </w:rPr>
            </w:pPr>
            <w:bookmarkStart w:id="259" w:name="_Toc294019735"/>
            <w:bookmarkStart w:id="260" w:name="_Toc294027059"/>
            <w:bookmarkStart w:id="261" w:name="_Toc294029298"/>
            <w:bookmarkStart w:id="262" w:name="_Toc313878789"/>
            <w:r w:rsidRPr="004C5551">
              <w:rPr>
                <w:b/>
                <w:color w:val="FFFFFF" w:themeColor="background1"/>
              </w:rPr>
              <w:t>Priemerná výška dávky v </w:t>
            </w:r>
            <w:r w:rsidR="000860E9" w:rsidRPr="004C5551">
              <w:rPr>
                <w:b/>
                <w:color w:val="FFFFFF" w:themeColor="background1"/>
              </w:rPr>
              <w:t>€</w:t>
            </w:r>
            <w:bookmarkEnd w:id="259"/>
            <w:bookmarkEnd w:id="260"/>
            <w:bookmarkEnd w:id="261"/>
            <w:bookmarkEnd w:id="262"/>
          </w:p>
        </w:tc>
        <w:tc>
          <w:tcPr>
            <w:tcW w:w="172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F0A76" w:rsidRPr="004C5551" w:rsidRDefault="000F0A76" w:rsidP="000860E9">
            <w:pPr>
              <w:jc w:val="center"/>
              <w:rPr>
                <w:b/>
                <w:color w:val="FFFFFF" w:themeColor="background1"/>
              </w:rPr>
            </w:pPr>
            <w:bookmarkStart w:id="263" w:name="_Toc294019736"/>
            <w:bookmarkStart w:id="264" w:name="_Toc294027060"/>
            <w:bookmarkStart w:id="265" w:name="_Toc294029299"/>
            <w:bookmarkStart w:id="266" w:name="_Toc313878790"/>
            <w:r w:rsidRPr="004C5551">
              <w:rPr>
                <w:b/>
                <w:color w:val="FFFFFF" w:themeColor="background1"/>
              </w:rPr>
              <w:t>Výdavky na dávku garančného poistenia v tis.</w:t>
            </w:r>
            <w:r w:rsidR="000860E9" w:rsidRPr="004C5551">
              <w:rPr>
                <w:b/>
                <w:color w:val="FFFFFF" w:themeColor="background1"/>
              </w:rPr>
              <w:t> €</w:t>
            </w:r>
            <w:bookmarkEnd w:id="263"/>
            <w:bookmarkEnd w:id="264"/>
            <w:bookmarkEnd w:id="265"/>
            <w:bookmarkEnd w:id="266"/>
          </w:p>
        </w:tc>
      </w:tr>
      <w:tr w:rsidR="00CB27E1" w:rsidRPr="004C5551" w:rsidTr="000860E9">
        <w:trPr>
          <w:trHeight w:val="275"/>
          <w:jc w:val="center"/>
        </w:trPr>
        <w:tc>
          <w:tcPr>
            <w:tcW w:w="2022" w:type="dxa"/>
            <w:tcBorders>
              <w:top w:val="single" w:sz="6" w:space="0" w:color="BF0000" w:themeColor="accent3" w:themeShade="BF"/>
            </w:tcBorders>
            <w:noWrap/>
            <w:vAlign w:val="bottom"/>
          </w:tcPr>
          <w:p w:rsidR="00CB27E1" w:rsidRPr="004C5551" w:rsidRDefault="00CB27E1" w:rsidP="00B85283">
            <w:bookmarkStart w:id="267" w:name="_Toc294019737"/>
            <w:bookmarkStart w:id="268" w:name="_Toc294027061"/>
            <w:bookmarkStart w:id="269" w:name="_Toc294029300"/>
            <w:bookmarkStart w:id="270" w:name="_Toc313878791"/>
            <w:r w:rsidRPr="004C5551">
              <w:t>Január</w:t>
            </w:r>
            <w:bookmarkEnd w:id="267"/>
            <w:bookmarkEnd w:id="268"/>
            <w:bookmarkEnd w:id="269"/>
            <w:bookmarkEnd w:id="270"/>
          </w:p>
        </w:tc>
        <w:tc>
          <w:tcPr>
            <w:tcW w:w="1618" w:type="dxa"/>
            <w:tcBorders>
              <w:top w:val="single" w:sz="6" w:space="0" w:color="BF0000" w:themeColor="accent3" w:themeShade="BF"/>
            </w:tcBorders>
            <w:noWrap/>
            <w:vAlign w:val="center"/>
          </w:tcPr>
          <w:p w:rsidR="00CB27E1" w:rsidRPr="004C5551" w:rsidRDefault="00CB27E1" w:rsidP="00B85283">
            <w:pPr>
              <w:ind w:right="414"/>
              <w:jc w:val="right"/>
            </w:pPr>
            <w:r w:rsidRPr="004C5551">
              <w:rPr>
                <w:szCs w:val="22"/>
              </w:rPr>
              <w:t>156</w:t>
            </w:r>
          </w:p>
        </w:tc>
        <w:tc>
          <w:tcPr>
            <w:tcW w:w="1619" w:type="dxa"/>
            <w:tcBorders>
              <w:top w:val="single" w:sz="6" w:space="0" w:color="BF0000" w:themeColor="accent3" w:themeShade="BF"/>
            </w:tcBorders>
            <w:noWrap/>
            <w:vAlign w:val="center"/>
          </w:tcPr>
          <w:p w:rsidR="00CB27E1" w:rsidRPr="004C5551" w:rsidRDefault="00CB27E1" w:rsidP="00B85283">
            <w:pPr>
              <w:ind w:right="414"/>
              <w:jc w:val="right"/>
            </w:pPr>
            <w:r w:rsidRPr="004C5551">
              <w:rPr>
                <w:szCs w:val="22"/>
              </w:rPr>
              <w:t>1 674,48</w:t>
            </w:r>
          </w:p>
        </w:tc>
        <w:tc>
          <w:tcPr>
            <w:tcW w:w="1724" w:type="dxa"/>
            <w:tcBorders>
              <w:top w:val="single" w:sz="6" w:space="0" w:color="BF0000" w:themeColor="accent3" w:themeShade="BF"/>
            </w:tcBorders>
            <w:noWrap/>
            <w:vAlign w:val="center"/>
          </w:tcPr>
          <w:p w:rsidR="00CB27E1" w:rsidRPr="004C5551" w:rsidRDefault="00CB27E1" w:rsidP="00B85283">
            <w:pPr>
              <w:ind w:right="414"/>
              <w:jc w:val="right"/>
            </w:pPr>
            <w:r w:rsidRPr="004C5551">
              <w:rPr>
                <w:szCs w:val="22"/>
              </w:rPr>
              <w:t>261,2</w:t>
            </w:r>
          </w:p>
        </w:tc>
      </w:tr>
      <w:tr w:rsidR="00CB27E1" w:rsidRPr="004C5551" w:rsidTr="000860E9">
        <w:trPr>
          <w:trHeight w:val="275"/>
          <w:jc w:val="center"/>
        </w:trPr>
        <w:tc>
          <w:tcPr>
            <w:tcW w:w="2022" w:type="dxa"/>
            <w:noWrap/>
            <w:vAlign w:val="bottom"/>
          </w:tcPr>
          <w:p w:rsidR="00CB27E1" w:rsidRPr="004C5551" w:rsidRDefault="00CB27E1" w:rsidP="00B85283">
            <w:bookmarkStart w:id="271" w:name="_Toc294019741"/>
            <w:bookmarkStart w:id="272" w:name="_Toc294027065"/>
            <w:bookmarkStart w:id="273" w:name="_Toc294029304"/>
            <w:bookmarkStart w:id="274" w:name="_Toc313878795"/>
            <w:r w:rsidRPr="004C5551">
              <w:t>Február</w:t>
            </w:r>
            <w:bookmarkEnd w:id="271"/>
            <w:bookmarkEnd w:id="272"/>
            <w:bookmarkEnd w:id="273"/>
            <w:bookmarkEnd w:id="274"/>
          </w:p>
        </w:tc>
        <w:tc>
          <w:tcPr>
            <w:tcW w:w="1618" w:type="dxa"/>
            <w:noWrap/>
            <w:vAlign w:val="center"/>
          </w:tcPr>
          <w:p w:rsidR="00CB27E1" w:rsidRPr="004C5551" w:rsidRDefault="00CB27E1" w:rsidP="00B85283">
            <w:pPr>
              <w:ind w:right="414"/>
              <w:jc w:val="right"/>
            </w:pPr>
            <w:r w:rsidRPr="004C5551">
              <w:rPr>
                <w:szCs w:val="22"/>
              </w:rPr>
              <w:t>295</w:t>
            </w:r>
          </w:p>
        </w:tc>
        <w:tc>
          <w:tcPr>
            <w:tcW w:w="1619" w:type="dxa"/>
            <w:noWrap/>
            <w:vAlign w:val="center"/>
          </w:tcPr>
          <w:p w:rsidR="00CB27E1" w:rsidRPr="004C5551" w:rsidRDefault="00CB27E1" w:rsidP="00B85283">
            <w:pPr>
              <w:ind w:right="414"/>
              <w:jc w:val="right"/>
            </w:pPr>
            <w:r w:rsidRPr="004C5551">
              <w:rPr>
                <w:szCs w:val="22"/>
              </w:rPr>
              <w:t>1 804,32</w:t>
            </w:r>
          </w:p>
        </w:tc>
        <w:tc>
          <w:tcPr>
            <w:tcW w:w="1724" w:type="dxa"/>
            <w:noWrap/>
            <w:vAlign w:val="center"/>
          </w:tcPr>
          <w:p w:rsidR="00CB27E1" w:rsidRPr="004C5551" w:rsidRDefault="00CB27E1" w:rsidP="00B85283">
            <w:pPr>
              <w:ind w:right="414"/>
              <w:jc w:val="right"/>
            </w:pPr>
            <w:r w:rsidRPr="004C5551">
              <w:rPr>
                <w:szCs w:val="22"/>
              </w:rPr>
              <w:t>531,7</w:t>
            </w:r>
          </w:p>
        </w:tc>
      </w:tr>
      <w:tr w:rsidR="00CB27E1" w:rsidRPr="004C5551" w:rsidTr="000860E9">
        <w:trPr>
          <w:trHeight w:val="275"/>
          <w:jc w:val="center"/>
        </w:trPr>
        <w:tc>
          <w:tcPr>
            <w:tcW w:w="2022" w:type="dxa"/>
            <w:noWrap/>
            <w:vAlign w:val="bottom"/>
          </w:tcPr>
          <w:p w:rsidR="00CB27E1" w:rsidRPr="004C5551" w:rsidRDefault="00CB27E1" w:rsidP="00B85283">
            <w:bookmarkStart w:id="275" w:name="_Toc294019745"/>
            <w:bookmarkStart w:id="276" w:name="_Toc294027069"/>
            <w:bookmarkStart w:id="277" w:name="_Toc294029308"/>
            <w:bookmarkStart w:id="278" w:name="_Toc313878799"/>
            <w:r w:rsidRPr="004C5551">
              <w:t>Marec</w:t>
            </w:r>
            <w:bookmarkEnd w:id="275"/>
            <w:bookmarkEnd w:id="276"/>
            <w:bookmarkEnd w:id="277"/>
            <w:bookmarkEnd w:id="278"/>
          </w:p>
        </w:tc>
        <w:tc>
          <w:tcPr>
            <w:tcW w:w="1618" w:type="dxa"/>
            <w:noWrap/>
            <w:vAlign w:val="center"/>
          </w:tcPr>
          <w:p w:rsidR="00CB27E1" w:rsidRPr="004C5551" w:rsidRDefault="00CB27E1" w:rsidP="00B85283">
            <w:pPr>
              <w:ind w:right="414"/>
              <w:jc w:val="right"/>
            </w:pPr>
            <w:r w:rsidRPr="004C5551">
              <w:rPr>
                <w:szCs w:val="22"/>
              </w:rPr>
              <w:t>235</w:t>
            </w:r>
          </w:p>
        </w:tc>
        <w:tc>
          <w:tcPr>
            <w:tcW w:w="1619" w:type="dxa"/>
            <w:noWrap/>
            <w:vAlign w:val="center"/>
          </w:tcPr>
          <w:p w:rsidR="00CB27E1" w:rsidRPr="004C5551" w:rsidRDefault="00CB27E1" w:rsidP="00B85283">
            <w:pPr>
              <w:ind w:right="414"/>
              <w:jc w:val="right"/>
            </w:pPr>
            <w:r w:rsidRPr="004C5551">
              <w:rPr>
                <w:szCs w:val="22"/>
              </w:rPr>
              <w:t>1 358,63</w:t>
            </w:r>
          </w:p>
        </w:tc>
        <w:tc>
          <w:tcPr>
            <w:tcW w:w="1724" w:type="dxa"/>
            <w:noWrap/>
            <w:vAlign w:val="center"/>
          </w:tcPr>
          <w:p w:rsidR="00CB27E1" w:rsidRPr="004C5551" w:rsidRDefault="00CB27E1" w:rsidP="00B85283">
            <w:pPr>
              <w:ind w:right="414"/>
              <w:jc w:val="right"/>
            </w:pPr>
            <w:r w:rsidRPr="004C5551">
              <w:rPr>
                <w:szCs w:val="22"/>
              </w:rPr>
              <w:t>319,3</w:t>
            </w:r>
          </w:p>
        </w:tc>
      </w:tr>
      <w:tr w:rsidR="00CB27E1" w:rsidRPr="004C5551" w:rsidTr="000860E9">
        <w:trPr>
          <w:trHeight w:val="275"/>
          <w:jc w:val="center"/>
        </w:trPr>
        <w:tc>
          <w:tcPr>
            <w:tcW w:w="2022" w:type="dxa"/>
            <w:noWrap/>
            <w:vAlign w:val="bottom"/>
          </w:tcPr>
          <w:p w:rsidR="00CB27E1" w:rsidRPr="004C5551" w:rsidRDefault="00CB27E1" w:rsidP="00B85283">
            <w:bookmarkStart w:id="279" w:name="_Toc294019749"/>
            <w:bookmarkStart w:id="280" w:name="_Toc294027073"/>
            <w:bookmarkStart w:id="281" w:name="_Toc294029312"/>
            <w:bookmarkStart w:id="282" w:name="_Toc313878803"/>
            <w:r w:rsidRPr="004C5551">
              <w:t>Apríl</w:t>
            </w:r>
            <w:bookmarkEnd w:id="279"/>
            <w:bookmarkEnd w:id="280"/>
            <w:bookmarkEnd w:id="281"/>
            <w:bookmarkEnd w:id="282"/>
          </w:p>
        </w:tc>
        <w:tc>
          <w:tcPr>
            <w:tcW w:w="1618" w:type="dxa"/>
            <w:noWrap/>
            <w:vAlign w:val="center"/>
          </w:tcPr>
          <w:p w:rsidR="00CB27E1" w:rsidRPr="004C5551" w:rsidRDefault="00CB27E1" w:rsidP="00B85283">
            <w:pPr>
              <w:ind w:right="414"/>
              <w:jc w:val="right"/>
            </w:pPr>
            <w:r w:rsidRPr="004C5551">
              <w:rPr>
                <w:szCs w:val="22"/>
              </w:rPr>
              <w:t>280</w:t>
            </w:r>
          </w:p>
        </w:tc>
        <w:tc>
          <w:tcPr>
            <w:tcW w:w="1619" w:type="dxa"/>
            <w:noWrap/>
            <w:vAlign w:val="center"/>
          </w:tcPr>
          <w:p w:rsidR="00CB27E1" w:rsidRPr="004C5551" w:rsidRDefault="00CB27E1" w:rsidP="00B85283">
            <w:pPr>
              <w:ind w:right="414"/>
              <w:jc w:val="right"/>
            </w:pPr>
            <w:r w:rsidRPr="004C5551">
              <w:rPr>
                <w:szCs w:val="22"/>
              </w:rPr>
              <w:t>947,32</w:t>
            </w:r>
          </w:p>
        </w:tc>
        <w:tc>
          <w:tcPr>
            <w:tcW w:w="1724" w:type="dxa"/>
            <w:noWrap/>
            <w:vAlign w:val="center"/>
          </w:tcPr>
          <w:p w:rsidR="00CB27E1" w:rsidRPr="004C5551" w:rsidRDefault="00CB27E1" w:rsidP="00B85283">
            <w:pPr>
              <w:ind w:right="414"/>
              <w:jc w:val="right"/>
            </w:pPr>
            <w:r w:rsidRPr="004C5551">
              <w:rPr>
                <w:szCs w:val="22"/>
              </w:rPr>
              <w:t>251,2</w:t>
            </w:r>
          </w:p>
        </w:tc>
      </w:tr>
      <w:tr w:rsidR="00CB27E1" w:rsidRPr="004C5551" w:rsidTr="000860E9">
        <w:trPr>
          <w:trHeight w:val="275"/>
          <w:jc w:val="center"/>
        </w:trPr>
        <w:tc>
          <w:tcPr>
            <w:tcW w:w="2022" w:type="dxa"/>
            <w:noWrap/>
            <w:vAlign w:val="bottom"/>
          </w:tcPr>
          <w:p w:rsidR="00CB27E1" w:rsidRPr="004C5551" w:rsidRDefault="00CB27E1" w:rsidP="00B85283">
            <w:bookmarkStart w:id="283" w:name="_Toc294019753"/>
            <w:bookmarkStart w:id="284" w:name="_Toc294027077"/>
            <w:bookmarkStart w:id="285" w:name="_Toc294029316"/>
            <w:bookmarkStart w:id="286" w:name="_Toc313878807"/>
            <w:r w:rsidRPr="004C5551">
              <w:t>Máj</w:t>
            </w:r>
            <w:bookmarkEnd w:id="283"/>
            <w:bookmarkEnd w:id="284"/>
            <w:bookmarkEnd w:id="285"/>
            <w:bookmarkEnd w:id="286"/>
          </w:p>
        </w:tc>
        <w:tc>
          <w:tcPr>
            <w:tcW w:w="1618" w:type="dxa"/>
            <w:noWrap/>
            <w:vAlign w:val="center"/>
          </w:tcPr>
          <w:p w:rsidR="00CB27E1" w:rsidRPr="004C5551" w:rsidRDefault="00CB27E1" w:rsidP="00B85283">
            <w:pPr>
              <w:ind w:right="414"/>
              <w:jc w:val="right"/>
            </w:pPr>
            <w:r w:rsidRPr="004C5551">
              <w:rPr>
                <w:szCs w:val="22"/>
              </w:rPr>
              <w:t>93</w:t>
            </w:r>
          </w:p>
        </w:tc>
        <w:tc>
          <w:tcPr>
            <w:tcW w:w="1619" w:type="dxa"/>
            <w:noWrap/>
            <w:vAlign w:val="center"/>
          </w:tcPr>
          <w:p w:rsidR="00CB27E1" w:rsidRPr="004C5551" w:rsidRDefault="00CB27E1" w:rsidP="00B85283">
            <w:pPr>
              <w:ind w:right="414"/>
              <w:jc w:val="right"/>
            </w:pPr>
            <w:r w:rsidRPr="004C5551">
              <w:rPr>
                <w:szCs w:val="22"/>
              </w:rPr>
              <w:t>1 468,50</w:t>
            </w:r>
          </w:p>
        </w:tc>
        <w:tc>
          <w:tcPr>
            <w:tcW w:w="1724" w:type="dxa"/>
            <w:noWrap/>
            <w:vAlign w:val="center"/>
          </w:tcPr>
          <w:p w:rsidR="00CB27E1" w:rsidRPr="004C5551" w:rsidRDefault="00CB27E1" w:rsidP="00B85283">
            <w:pPr>
              <w:ind w:right="414"/>
              <w:jc w:val="right"/>
            </w:pPr>
            <w:r w:rsidRPr="004C5551">
              <w:rPr>
                <w:szCs w:val="22"/>
              </w:rPr>
              <w:t>134,3</w:t>
            </w:r>
          </w:p>
        </w:tc>
      </w:tr>
      <w:tr w:rsidR="00CB27E1" w:rsidRPr="004C5551" w:rsidTr="000860E9">
        <w:trPr>
          <w:trHeight w:val="275"/>
          <w:jc w:val="center"/>
        </w:trPr>
        <w:tc>
          <w:tcPr>
            <w:tcW w:w="2022" w:type="dxa"/>
            <w:noWrap/>
            <w:vAlign w:val="bottom"/>
          </w:tcPr>
          <w:p w:rsidR="00CB27E1" w:rsidRPr="004C5551" w:rsidRDefault="00CB27E1" w:rsidP="00B85283">
            <w:bookmarkStart w:id="287" w:name="_Toc294019757"/>
            <w:bookmarkStart w:id="288" w:name="_Toc294027081"/>
            <w:bookmarkStart w:id="289" w:name="_Toc294029320"/>
            <w:bookmarkStart w:id="290" w:name="_Toc313878811"/>
            <w:r w:rsidRPr="004C5551">
              <w:t>Jún</w:t>
            </w:r>
            <w:bookmarkEnd w:id="287"/>
            <w:bookmarkEnd w:id="288"/>
            <w:bookmarkEnd w:id="289"/>
            <w:bookmarkEnd w:id="290"/>
          </w:p>
        </w:tc>
        <w:tc>
          <w:tcPr>
            <w:tcW w:w="1618" w:type="dxa"/>
            <w:noWrap/>
            <w:vAlign w:val="center"/>
          </w:tcPr>
          <w:p w:rsidR="00CB27E1" w:rsidRPr="004C5551" w:rsidRDefault="00CB27E1" w:rsidP="00B85283">
            <w:pPr>
              <w:ind w:right="414"/>
              <w:jc w:val="right"/>
            </w:pPr>
            <w:r w:rsidRPr="004C5551">
              <w:rPr>
                <w:szCs w:val="22"/>
              </w:rPr>
              <w:t>701</w:t>
            </w:r>
          </w:p>
        </w:tc>
        <w:tc>
          <w:tcPr>
            <w:tcW w:w="1619" w:type="dxa"/>
            <w:noWrap/>
            <w:vAlign w:val="center"/>
          </w:tcPr>
          <w:p w:rsidR="00CB27E1" w:rsidRPr="004C5551" w:rsidRDefault="00CB27E1" w:rsidP="00B85283">
            <w:pPr>
              <w:ind w:right="414"/>
              <w:jc w:val="right"/>
            </w:pPr>
            <w:r w:rsidRPr="004C5551">
              <w:rPr>
                <w:szCs w:val="22"/>
              </w:rPr>
              <w:t>1 251,68</w:t>
            </w:r>
          </w:p>
        </w:tc>
        <w:tc>
          <w:tcPr>
            <w:tcW w:w="1724" w:type="dxa"/>
            <w:noWrap/>
            <w:vAlign w:val="center"/>
          </w:tcPr>
          <w:p w:rsidR="00CB27E1" w:rsidRPr="004C5551" w:rsidRDefault="00CB27E1" w:rsidP="00B85283">
            <w:pPr>
              <w:ind w:right="414"/>
              <w:jc w:val="right"/>
            </w:pPr>
            <w:r w:rsidRPr="004C5551">
              <w:rPr>
                <w:szCs w:val="22"/>
              </w:rPr>
              <w:t>868,0</w:t>
            </w:r>
          </w:p>
        </w:tc>
      </w:tr>
      <w:tr w:rsidR="00CB27E1" w:rsidRPr="004C5551" w:rsidTr="000860E9">
        <w:trPr>
          <w:trHeight w:val="275"/>
          <w:jc w:val="center"/>
        </w:trPr>
        <w:tc>
          <w:tcPr>
            <w:tcW w:w="2022" w:type="dxa"/>
            <w:noWrap/>
            <w:vAlign w:val="bottom"/>
          </w:tcPr>
          <w:p w:rsidR="00CB27E1" w:rsidRPr="004C5551" w:rsidRDefault="00CB27E1" w:rsidP="00B85283">
            <w:bookmarkStart w:id="291" w:name="_Toc294019761"/>
            <w:bookmarkStart w:id="292" w:name="_Toc294027085"/>
            <w:bookmarkStart w:id="293" w:name="_Toc294029324"/>
            <w:bookmarkStart w:id="294" w:name="_Toc313878815"/>
            <w:r w:rsidRPr="004C5551">
              <w:t>Júl</w:t>
            </w:r>
            <w:bookmarkEnd w:id="291"/>
            <w:bookmarkEnd w:id="292"/>
            <w:bookmarkEnd w:id="293"/>
            <w:bookmarkEnd w:id="294"/>
          </w:p>
        </w:tc>
        <w:tc>
          <w:tcPr>
            <w:tcW w:w="1618" w:type="dxa"/>
            <w:noWrap/>
            <w:vAlign w:val="center"/>
          </w:tcPr>
          <w:p w:rsidR="00CB27E1" w:rsidRPr="004C5551" w:rsidRDefault="00CB27E1" w:rsidP="00B85283">
            <w:pPr>
              <w:ind w:right="414"/>
              <w:jc w:val="right"/>
            </w:pPr>
            <w:r w:rsidRPr="004C5551">
              <w:rPr>
                <w:szCs w:val="22"/>
              </w:rPr>
              <w:t>344</w:t>
            </w:r>
          </w:p>
        </w:tc>
        <w:tc>
          <w:tcPr>
            <w:tcW w:w="1619" w:type="dxa"/>
            <w:noWrap/>
            <w:vAlign w:val="center"/>
          </w:tcPr>
          <w:p w:rsidR="00CB27E1" w:rsidRPr="004C5551" w:rsidRDefault="00CB27E1" w:rsidP="00B85283">
            <w:pPr>
              <w:ind w:right="414"/>
              <w:jc w:val="right"/>
            </w:pPr>
            <w:r w:rsidRPr="004C5551">
              <w:rPr>
                <w:szCs w:val="22"/>
              </w:rPr>
              <w:t>1 174,76</w:t>
            </w:r>
          </w:p>
        </w:tc>
        <w:tc>
          <w:tcPr>
            <w:tcW w:w="1724" w:type="dxa"/>
            <w:noWrap/>
            <w:vAlign w:val="center"/>
          </w:tcPr>
          <w:p w:rsidR="00CB27E1" w:rsidRPr="004C5551" w:rsidRDefault="00CB27E1" w:rsidP="00B85283">
            <w:pPr>
              <w:ind w:right="414"/>
              <w:jc w:val="right"/>
            </w:pPr>
            <w:r w:rsidRPr="004C5551">
              <w:rPr>
                <w:szCs w:val="22"/>
              </w:rPr>
              <w:t>395,2</w:t>
            </w:r>
          </w:p>
        </w:tc>
      </w:tr>
      <w:tr w:rsidR="00CB27E1" w:rsidRPr="004C5551" w:rsidTr="000860E9">
        <w:trPr>
          <w:trHeight w:val="275"/>
          <w:jc w:val="center"/>
        </w:trPr>
        <w:tc>
          <w:tcPr>
            <w:tcW w:w="2022" w:type="dxa"/>
            <w:noWrap/>
            <w:vAlign w:val="bottom"/>
          </w:tcPr>
          <w:p w:rsidR="00CB27E1" w:rsidRPr="004C5551" w:rsidRDefault="00CB27E1" w:rsidP="00B85283">
            <w:bookmarkStart w:id="295" w:name="_Toc294019765"/>
            <w:bookmarkStart w:id="296" w:name="_Toc294027089"/>
            <w:bookmarkStart w:id="297" w:name="_Toc294029328"/>
            <w:bookmarkStart w:id="298" w:name="_Toc313878819"/>
            <w:r w:rsidRPr="004C5551">
              <w:t>August</w:t>
            </w:r>
            <w:bookmarkEnd w:id="295"/>
            <w:bookmarkEnd w:id="296"/>
            <w:bookmarkEnd w:id="297"/>
            <w:bookmarkEnd w:id="298"/>
          </w:p>
        </w:tc>
        <w:tc>
          <w:tcPr>
            <w:tcW w:w="1618" w:type="dxa"/>
            <w:noWrap/>
            <w:vAlign w:val="center"/>
          </w:tcPr>
          <w:p w:rsidR="00CB27E1" w:rsidRPr="004C5551" w:rsidRDefault="00CB27E1" w:rsidP="00B85283">
            <w:pPr>
              <w:ind w:right="414"/>
              <w:jc w:val="right"/>
            </w:pPr>
            <w:r w:rsidRPr="004C5551">
              <w:rPr>
                <w:szCs w:val="22"/>
              </w:rPr>
              <w:t>284</w:t>
            </w:r>
          </w:p>
        </w:tc>
        <w:tc>
          <w:tcPr>
            <w:tcW w:w="1619" w:type="dxa"/>
            <w:noWrap/>
            <w:vAlign w:val="center"/>
          </w:tcPr>
          <w:p w:rsidR="00CB27E1" w:rsidRPr="004C5551" w:rsidRDefault="00CB27E1" w:rsidP="00B85283">
            <w:pPr>
              <w:ind w:right="414"/>
              <w:jc w:val="right"/>
            </w:pPr>
            <w:r w:rsidRPr="004C5551">
              <w:rPr>
                <w:szCs w:val="22"/>
              </w:rPr>
              <w:t>1 313,07</w:t>
            </w:r>
          </w:p>
        </w:tc>
        <w:tc>
          <w:tcPr>
            <w:tcW w:w="1724" w:type="dxa"/>
            <w:noWrap/>
            <w:vAlign w:val="center"/>
          </w:tcPr>
          <w:p w:rsidR="00CB27E1" w:rsidRPr="004C5551" w:rsidRDefault="00CB27E1" w:rsidP="00B85283">
            <w:pPr>
              <w:ind w:right="414"/>
              <w:jc w:val="right"/>
            </w:pPr>
            <w:r w:rsidRPr="004C5551">
              <w:rPr>
                <w:szCs w:val="22"/>
              </w:rPr>
              <w:t>365,6</w:t>
            </w:r>
          </w:p>
        </w:tc>
      </w:tr>
      <w:tr w:rsidR="00CB27E1" w:rsidRPr="004C5551" w:rsidTr="000860E9">
        <w:trPr>
          <w:trHeight w:val="275"/>
          <w:jc w:val="center"/>
        </w:trPr>
        <w:tc>
          <w:tcPr>
            <w:tcW w:w="2022" w:type="dxa"/>
            <w:noWrap/>
            <w:vAlign w:val="bottom"/>
          </w:tcPr>
          <w:p w:rsidR="00CB27E1" w:rsidRPr="004C5551" w:rsidRDefault="00CB27E1" w:rsidP="00B85283">
            <w:bookmarkStart w:id="299" w:name="_Toc294019769"/>
            <w:bookmarkStart w:id="300" w:name="_Toc294027093"/>
            <w:bookmarkStart w:id="301" w:name="_Toc294029332"/>
            <w:bookmarkStart w:id="302" w:name="_Toc313878823"/>
            <w:r w:rsidRPr="004C5551">
              <w:t>September</w:t>
            </w:r>
            <w:bookmarkEnd w:id="299"/>
            <w:bookmarkEnd w:id="300"/>
            <w:bookmarkEnd w:id="301"/>
            <w:bookmarkEnd w:id="302"/>
          </w:p>
        </w:tc>
        <w:tc>
          <w:tcPr>
            <w:tcW w:w="1618" w:type="dxa"/>
            <w:noWrap/>
            <w:vAlign w:val="center"/>
          </w:tcPr>
          <w:p w:rsidR="00CB27E1" w:rsidRPr="004C5551" w:rsidRDefault="00CB27E1" w:rsidP="00B85283">
            <w:pPr>
              <w:ind w:right="414"/>
              <w:jc w:val="right"/>
            </w:pPr>
            <w:r w:rsidRPr="004C5551">
              <w:rPr>
                <w:szCs w:val="22"/>
              </w:rPr>
              <w:t>143</w:t>
            </w:r>
          </w:p>
        </w:tc>
        <w:tc>
          <w:tcPr>
            <w:tcW w:w="1619" w:type="dxa"/>
            <w:noWrap/>
            <w:vAlign w:val="center"/>
          </w:tcPr>
          <w:p w:rsidR="00CB27E1" w:rsidRPr="004C5551" w:rsidRDefault="00CB27E1" w:rsidP="00B85283">
            <w:pPr>
              <w:ind w:right="414"/>
              <w:jc w:val="right"/>
            </w:pPr>
            <w:r w:rsidRPr="004C5551">
              <w:rPr>
                <w:szCs w:val="22"/>
              </w:rPr>
              <w:t>1 844,45</w:t>
            </w:r>
          </w:p>
        </w:tc>
        <w:tc>
          <w:tcPr>
            <w:tcW w:w="1724" w:type="dxa"/>
            <w:noWrap/>
            <w:vAlign w:val="center"/>
          </w:tcPr>
          <w:p w:rsidR="00CB27E1" w:rsidRPr="004C5551" w:rsidRDefault="00CB27E1" w:rsidP="00B85283">
            <w:pPr>
              <w:ind w:right="414"/>
              <w:jc w:val="right"/>
            </w:pPr>
            <w:r w:rsidRPr="004C5551">
              <w:rPr>
                <w:szCs w:val="22"/>
              </w:rPr>
              <w:t>259,5</w:t>
            </w:r>
          </w:p>
        </w:tc>
      </w:tr>
      <w:tr w:rsidR="00CB27E1" w:rsidRPr="004C5551" w:rsidTr="000860E9">
        <w:trPr>
          <w:trHeight w:val="275"/>
          <w:jc w:val="center"/>
        </w:trPr>
        <w:tc>
          <w:tcPr>
            <w:tcW w:w="2022" w:type="dxa"/>
            <w:noWrap/>
            <w:vAlign w:val="bottom"/>
          </w:tcPr>
          <w:p w:rsidR="00CB27E1" w:rsidRPr="004C5551" w:rsidRDefault="00CB27E1" w:rsidP="00B85283">
            <w:bookmarkStart w:id="303" w:name="_Toc294019773"/>
            <w:bookmarkStart w:id="304" w:name="_Toc294027097"/>
            <w:bookmarkStart w:id="305" w:name="_Toc294029336"/>
            <w:bookmarkStart w:id="306" w:name="_Toc313878827"/>
            <w:r w:rsidRPr="004C5551">
              <w:t>Október</w:t>
            </w:r>
            <w:bookmarkEnd w:id="303"/>
            <w:bookmarkEnd w:id="304"/>
            <w:bookmarkEnd w:id="305"/>
            <w:bookmarkEnd w:id="306"/>
          </w:p>
        </w:tc>
        <w:tc>
          <w:tcPr>
            <w:tcW w:w="1618" w:type="dxa"/>
            <w:noWrap/>
            <w:vAlign w:val="center"/>
          </w:tcPr>
          <w:p w:rsidR="00CB27E1" w:rsidRPr="004C5551" w:rsidRDefault="00CB27E1" w:rsidP="00B85283">
            <w:pPr>
              <w:ind w:right="414"/>
              <w:jc w:val="right"/>
            </w:pPr>
            <w:r w:rsidRPr="004C5551">
              <w:rPr>
                <w:szCs w:val="22"/>
              </w:rPr>
              <w:t>253</w:t>
            </w:r>
          </w:p>
        </w:tc>
        <w:tc>
          <w:tcPr>
            <w:tcW w:w="1619" w:type="dxa"/>
            <w:noWrap/>
            <w:vAlign w:val="center"/>
          </w:tcPr>
          <w:p w:rsidR="00CB27E1" w:rsidRPr="004C5551" w:rsidRDefault="00CB27E1" w:rsidP="00B85283">
            <w:pPr>
              <w:ind w:right="414"/>
              <w:jc w:val="right"/>
            </w:pPr>
            <w:r w:rsidRPr="004C5551">
              <w:rPr>
                <w:szCs w:val="22"/>
              </w:rPr>
              <w:t>1 409,28</w:t>
            </w:r>
          </w:p>
        </w:tc>
        <w:tc>
          <w:tcPr>
            <w:tcW w:w="1724" w:type="dxa"/>
            <w:noWrap/>
            <w:vAlign w:val="center"/>
          </w:tcPr>
          <w:p w:rsidR="00CB27E1" w:rsidRPr="004C5551" w:rsidRDefault="00CB27E1" w:rsidP="00B85283">
            <w:pPr>
              <w:ind w:right="414"/>
              <w:jc w:val="right"/>
            </w:pPr>
            <w:r w:rsidRPr="004C5551">
              <w:rPr>
                <w:szCs w:val="22"/>
              </w:rPr>
              <w:t>353,2</w:t>
            </w:r>
          </w:p>
        </w:tc>
      </w:tr>
      <w:tr w:rsidR="00CB27E1" w:rsidRPr="004C5551" w:rsidTr="000860E9">
        <w:trPr>
          <w:trHeight w:val="275"/>
          <w:jc w:val="center"/>
        </w:trPr>
        <w:tc>
          <w:tcPr>
            <w:tcW w:w="2022" w:type="dxa"/>
            <w:noWrap/>
            <w:vAlign w:val="bottom"/>
          </w:tcPr>
          <w:p w:rsidR="00CB27E1" w:rsidRPr="004C5551" w:rsidRDefault="00CB27E1" w:rsidP="00B85283">
            <w:bookmarkStart w:id="307" w:name="_Toc294019777"/>
            <w:bookmarkStart w:id="308" w:name="_Toc294027101"/>
            <w:bookmarkStart w:id="309" w:name="_Toc294029340"/>
            <w:bookmarkStart w:id="310" w:name="_Toc313878831"/>
            <w:r w:rsidRPr="004C5551">
              <w:t>November</w:t>
            </w:r>
            <w:bookmarkEnd w:id="307"/>
            <w:bookmarkEnd w:id="308"/>
            <w:bookmarkEnd w:id="309"/>
            <w:bookmarkEnd w:id="310"/>
          </w:p>
        </w:tc>
        <w:tc>
          <w:tcPr>
            <w:tcW w:w="1618" w:type="dxa"/>
            <w:noWrap/>
            <w:vAlign w:val="center"/>
          </w:tcPr>
          <w:p w:rsidR="00CB27E1" w:rsidRPr="004C5551" w:rsidRDefault="00CB27E1" w:rsidP="00B85283">
            <w:pPr>
              <w:ind w:right="414"/>
              <w:jc w:val="right"/>
            </w:pPr>
            <w:r w:rsidRPr="004C5551">
              <w:rPr>
                <w:szCs w:val="22"/>
              </w:rPr>
              <w:t>136</w:t>
            </w:r>
          </w:p>
        </w:tc>
        <w:tc>
          <w:tcPr>
            <w:tcW w:w="1619" w:type="dxa"/>
            <w:noWrap/>
            <w:vAlign w:val="center"/>
          </w:tcPr>
          <w:p w:rsidR="00CB27E1" w:rsidRPr="004C5551" w:rsidRDefault="00CB27E1" w:rsidP="00B85283">
            <w:pPr>
              <w:ind w:right="414"/>
              <w:jc w:val="right"/>
            </w:pPr>
            <w:r w:rsidRPr="004C5551">
              <w:rPr>
                <w:szCs w:val="22"/>
              </w:rPr>
              <w:t>1 914,18</w:t>
            </w:r>
          </w:p>
        </w:tc>
        <w:tc>
          <w:tcPr>
            <w:tcW w:w="1724" w:type="dxa"/>
            <w:noWrap/>
            <w:vAlign w:val="center"/>
          </w:tcPr>
          <w:p w:rsidR="00CB27E1" w:rsidRPr="004C5551" w:rsidRDefault="00CB27E1" w:rsidP="00B85283">
            <w:pPr>
              <w:ind w:right="414"/>
              <w:jc w:val="right"/>
            </w:pPr>
            <w:r w:rsidRPr="004C5551">
              <w:rPr>
                <w:szCs w:val="22"/>
              </w:rPr>
              <w:t>255,3</w:t>
            </w:r>
          </w:p>
        </w:tc>
      </w:tr>
      <w:tr w:rsidR="00CB27E1" w:rsidRPr="004C5551" w:rsidTr="000860E9">
        <w:trPr>
          <w:trHeight w:val="275"/>
          <w:jc w:val="center"/>
        </w:trPr>
        <w:tc>
          <w:tcPr>
            <w:tcW w:w="2022" w:type="dxa"/>
            <w:noWrap/>
            <w:vAlign w:val="bottom"/>
          </w:tcPr>
          <w:p w:rsidR="00CB27E1" w:rsidRPr="004C5551" w:rsidRDefault="00CB27E1" w:rsidP="00B85283">
            <w:bookmarkStart w:id="311" w:name="_Toc294019781"/>
            <w:bookmarkStart w:id="312" w:name="_Toc294027105"/>
            <w:bookmarkStart w:id="313" w:name="_Toc294029344"/>
            <w:bookmarkStart w:id="314" w:name="_Toc313878835"/>
            <w:r w:rsidRPr="004C5551">
              <w:t>December</w:t>
            </w:r>
            <w:bookmarkEnd w:id="311"/>
            <w:bookmarkEnd w:id="312"/>
            <w:bookmarkEnd w:id="313"/>
            <w:bookmarkEnd w:id="314"/>
          </w:p>
        </w:tc>
        <w:tc>
          <w:tcPr>
            <w:tcW w:w="1618" w:type="dxa"/>
            <w:noWrap/>
            <w:vAlign w:val="center"/>
          </w:tcPr>
          <w:p w:rsidR="00CB27E1" w:rsidRPr="004C5551" w:rsidRDefault="00CB27E1" w:rsidP="00B85283">
            <w:pPr>
              <w:ind w:right="414"/>
              <w:jc w:val="right"/>
            </w:pPr>
            <w:r w:rsidRPr="004C5551">
              <w:rPr>
                <w:szCs w:val="22"/>
              </w:rPr>
              <w:t>156</w:t>
            </w:r>
          </w:p>
        </w:tc>
        <w:tc>
          <w:tcPr>
            <w:tcW w:w="1619" w:type="dxa"/>
            <w:noWrap/>
            <w:vAlign w:val="center"/>
          </w:tcPr>
          <w:p w:rsidR="00CB27E1" w:rsidRPr="004C5551" w:rsidRDefault="00CB27E1" w:rsidP="00B85283">
            <w:pPr>
              <w:ind w:right="414"/>
              <w:jc w:val="right"/>
            </w:pPr>
            <w:r w:rsidRPr="004C5551">
              <w:rPr>
                <w:szCs w:val="22"/>
              </w:rPr>
              <w:t>882,94</w:t>
            </w:r>
          </w:p>
        </w:tc>
        <w:tc>
          <w:tcPr>
            <w:tcW w:w="1724" w:type="dxa"/>
            <w:noWrap/>
            <w:vAlign w:val="center"/>
          </w:tcPr>
          <w:p w:rsidR="00CB27E1" w:rsidRPr="004C5551" w:rsidRDefault="00CB27E1" w:rsidP="00B85283">
            <w:pPr>
              <w:ind w:right="414"/>
              <w:jc w:val="right"/>
            </w:pPr>
            <w:r w:rsidRPr="004C5551">
              <w:rPr>
                <w:szCs w:val="22"/>
              </w:rPr>
              <w:t>132,4</w:t>
            </w:r>
          </w:p>
        </w:tc>
      </w:tr>
      <w:tr w:rsidR="00CB27E1" w:rsidRPr="004C5551" w:rsidTr="000860E9">
        <w:trPr>
          <w:trHeight w:val="275"/>
          <w:jc w:val="center"/>
        </w:trPr>
        <w:tc>
          <w:tcPr>
            <w:tcW w:w="2022" w:type="dxa"/>
            <w:noWrap/>
            <w:vAlign w:val="bottom"/>
          </w:tcPr>
          <w:p w:rsidR="00CB27E1" w:rsidRPr="004C5551" w:rsidRDefault="00CB27E1" w:rsidP="00B85283">
            <w:pPr>
              <w:rPr>
                <w:b/>
              </w:rPr>
            </w:pPr>
            <w:bookmarkStart w:id="315" w:name="_Toc294019785"/>
            <w:bookmarkStart w:id="316" w:name="_Toc294027109"/>
            <w:bookmarkStart w:id="317" w:name="_Toc294029348"/>
            <w:bookmarkStart w:id="318" w:name="_Toc313878839"/>
            <w:r w:rsidRPr="004C5551">
              <w:rPr>
                <w:b/>
              </w:rPr>
              <w:t>Celkom</w:t>
            </w:r>
            <w:bookmarkEnd w:id="315"/>
            <w:bookmarkEnd w:id="316"/>
            <w:bookmarkEnd w:id="317"/>
            <w:bookmarkEnd w:id="318"/>
          </w:p>
        </w:tc>
        <w:tc>
          <w:tcPr>
            <w:tcW w:w="1618" w:type="dxa"/>
            <w:noWrap/>
            <w:vAlign w:val="center"/>
          </w:tcPr>
          <w:p w:rsidR="00CB27E1" w:rsidRPr="004C5551" w:rsidRDefault="00CB27E1" w:rsidP="00B85283">
            <w:pPr>
              <w:ind w:right="414"/>
              <w:jc w:val="right"/>
              <w:rPr>
                <w:b/>
              </w:rPr>
            </w:pPr>
            <w:r w:rsidRPr="004C5551">
              <w:rPr>
                <w:b/>
                <w:szCs w:val="22"/>
              </w:rPr>
              <w:t>3 076</w:t>
            </w:r>
          </w:p>
        </w:tc>
        <w:tc>
          <w:tcPr>
            <w:tcW w:w="1619" w:type="dxa"/>
            <w:noWrap/>
            <w:vAlign w:val="center"/>
          </w:tcPr>
          <w:p w:rsidR="00CB27E1" w:rsidRPr="004C5551" w:rsidRDefault="00CB27E1" w:rsidP="00B85283">
            <w:pPr>
              <w:ind w:right="414"/>
              <w:jc w:val="right"/>
              <w:rPr>
                <w:b/>
              </w:rPr>
            </w:pPr>
            <w:r w:rsidRPr="004C5551">
              <w:rPr>
                <w:b/>
                <w:szCs w:val="22"/>
              </w:rPr>
              <w:t>x</w:t>
            </w:r>
          </w:p>
        </w:tc>
        <w:tc>
          <w:tcPr>
            <w:tcW w:w="1724" w:type="dxa"/>
            <w:noWrap/>
            <w:vAlign w:val="center"/>
          </w:tcPr>
          <w:p w:rsidR="00CB27E1" w:rsidRPr="004C5551" w:rsidRDefault="00CB27E1" w:rsidP="00B85283">
            <w:pPr>
              <w:ind w:right="414"/>
              <w:jc w:val="right"/>
              <w:rPr>
                <w:b/>
              </w:rPr>
            </w:pPr>
            <w:r w:rsidRPr="004C5551">
              <w:rPr>
                <w:b/>
                <w:szCs w:val="22"/>
              </w:rPr>
              <w:t>4 127,0</w:t>
            </w:r>
          </w:p>
        </w:tc>
      </w:tr>
      <w:tr w:rsidR="00CB27E1" w:rsidRPr="004C5551" w:rsidTr="000860E9">
        <w:trPr>
          <w:trHeight w:val="275"/>
          <w:jc w:val="center"/>
        </w:trPr>
        <w:tc>
          <w:tcPr>
            <w:tcW w:w="2022" w:type="dxa"/>
            <w:noWrap/>
            <w:vAlign w:val="bottom"/>
          </w:tcPr>
          <w:p w:rsidR="00CB27E1" w:rsidRPr="004C5551" w:rsidRDefault="00CB27E1" w:rsidP="00B85283">
            <w:pPr>
              <w:rPr>
                <w:b/>
              </w:rPr>
            </w:pPr>
            <w:bookmarkStart w:id="319" w:name="_Toc294019789"/>
            <w:bookmarkStart w:id="320" w:name="_Toc294027113"/>
            <w:bookmarkStart w:id="321" w:name="_Toc294029352"/>
            <w:bookmarkStart w:id="322" w:name="_Toc313878843"/>
            <w:r w:rsidRPr="004C5551">
              <w:rPr>
                <w:b/>
              </w:rPr>
              <w:t>Priemer</w:t>
            </w:r>
            <w:bookmarkEnd w:id="319"/>
            <w:bookmarkEnd w:id="320"/>
            <w:bookmarkEnd w:id="321"/>
            <w:bookmarkEnd w:id="322"/>
            <w:r w:rsidRPr="004C5551">
              <w:rPr>
                <w:b/>
              </w:rPr>
              <w:t xml:space="preserve"> </w:t>
            </w:r>
          </w:p>
        </w:tc>
        <w:tc>
          <w:tcPr>
            <w:tcW w:w="1618" w:type="dxa"/>
            <w:noWrap/>
            <w:vAlign w:val="center"/>
          </w:tcPr>
          <w:p w:rsidR="00CB27E1" w:rsidRPr="004C5551" w:rsidRDefault="00CB27E1" w:rsidP="00B85283">
            <w:pPr>
              <w:ind w:right="414"/>
              <w:jc w:val="right"/>
              <w:rPr>
                <w:b/>
              </w:rPr>
            </w:pPr>
            <w:r w:rsidRPr="004C5551">
              <w:rPr>
                <w:b/>
                <w:szCs w:val="22"/>
              </w:rPr>
              <w:t>256</w:t>
            </w:r>
          </w:p>
        </w:tc>
        <w:tc>
          <w:tcPr>
            <w:tcW w:w="1619" w:type="dxa"/>
            <w:noWrap/>
            <w:vAlign w:val="center"/>
          </w:tcPr>
          <w:p w:rsidR="00CB27E1" w:rsidRPr="004C5551" w:rsidRDefault="00CB27E1" w:rsidP="00B85283">
            <w:pPr>
              <w:ind w:right="414"/>
              <w:jc w:val="right"/>
              <w:rPr>
                <w:b/>
              </w:rPr>
            </w:pPr>
            <w:r w:rsidRPr="004C5551">
              <w:rPr>
                <w:b/>
                <w:szCs w:val="22"/>
              </w:rPr>
              <w:t>1 338,16</w:t>
            </w:r>
          </w:p>
        </w:tc>
        <w:tc>
          <w:tcPr>
            <w:tcW w:w="1724" w:type="dxa"/>
            <w:noWrap/>
            <w:vAlign w:val="center"/>
          </w:tcPr>
          <w:p w:rsidR="00CB27E1" w:rsidRPr="004C5551" w:rsidRDefault="00CB27E1" w:rsidP="00B85283">
            <w:pPr>
              <w:ind w:right="414"/>
              <w:jc w:val="right"/>
              <w:rPr>
                <w:b/>
              </w:rPr>
            </w:pPr>
            <w:r w:rsidRPr="004C5551">
              <w:rPr>
                <w:b/>
                <w:szCs w:val="22"/>
              </w:rPr>
              <w:t>343,9</w:t>
            </w:r>
          </w:p>
        </w:tc>
      </w:tr>
    </w:tbl>
    <w:p w:rsidR="000F0A76" w:rsidRPr="004C5551" w:rsidRDefault="000F0A76" w:rsidP="006A1B1E">
      <w:pPr>
        <w:pStyle w:val="zdroj"/>
        <w:ind w:firstLine="1134"/>
      </w:pPr>
      <w:r w:rsidRPr="004C5551">
        <w:t>Zdroj: Sociálna poisťovňa</w:t>
      </w:r>
    </w:p>
    <w:p w:rsidR="00913863" w:rsidRPr="004C5551" w:rsidRDefault="00913863" w:rsidP="00913863">
      <w:pPr>
        <w:pStyle w:val="zdroj"/>
        <w:rPr>
          <w:color w:val="7F2016" w:themeColor="accent1"/>
        </w:rPr>
      </w:pPr>
    </w:p>
    <w:p w:rsidR="00913863" w:rsidRPr="004C5551" w:rsidRDefault="00913863" w:rsidP="00ED16E0">
      <w:pPr>
        <w:pStyle w:val="Nadpis6"/>
      </w:pPr>
      <w:bookmarkStart w:id="323" w:name="_Toc325440939"/>
      <w:bookmarkStart w:id="324" w:name="_Toc356482681"/>
      <w:bookmarkStart w:id="325" w:name="_Toc356916012"/>
      <w:bookmarkStart w:id="326" w:name="_Toc422233419"/>
      <w:r w:rsidRPr="004C5551">
        <w:t>Poistenie v nezamestnanosti</w:t>
      </w:r>
      <w:bookmarkEnd w:id="323"/>
      <w:bookmarkEnd w:id="324"/>
      <w:bookmarkEnd w:id="325"/>
      <w:bookmarkEnd w:id="326"/>
    </w:p>
    <w:p w:rsidR="00D36062" w:rsidRPr="004C5551" w:rsidRDefault="00D36062" w:rsidP="00C92B2F">
      <w:pPr>
        <w:pStyle w:val="Normlnysozarkami12"/>
        <w:ind w:firstLine="431"/>
        <w:rPr>
          <w:bCs/>
          <w:szCs w:val="22"/>
        </w:rPr>
      </w:pPr>
      <w:bookmarkStart w:id="327" w:name="_Toc325440940"/>
      <w:bookmarkStart w:id="328" w:name="_Toc356482682"/>
      <w:bookmarkStart w:id="329" w:name="_Toc356482815"/>
      <w:r w:rsidRPr="004C5551">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D36062" w:rsidRPr="004C5551" w:rsidRDefault="00D36062" w:rsidP="00C92B2F">
      <w:pPr>
        <w:ind w:firstLine="431"/>
        <w:rPr>
          <w:rFonts w:ascii="Arial" w:hAnsi="Arial" w:cs="Arial"/>
          <w:sz w:val="20"/>
          <w:szCs w:val="20"/>
        </w:rPr>
      </w:pPr>
      <w:r w:rsidRPr="004C5551">
        <w:t>V roku 2014 predstavoval priemerný mesačný počet poberateľov dávky</w:t>
      </w:r>
      <w:r w:rsidRPr="004C5551">
        <w:rPr>
          <w:vertAlign w:val="superscript"/>
        </w:rPr>
        <w:footnoteReference w:id="27"/>
      </w:r>
      <w:r w:rsidRPr="004C5551">
        <w:t xml:space="preserve"> v nezamestnanosti </w:t>
      </w:r>
      <w:r w:rsidRPr="004C5551">
        <w:rPr>
          <w:szCs w:val="22"/>
        </w:rPr>
        <w:t xml:space="preserve">35 480 </w:t>
      </w:r>
      <w:r w:rsidRPr="004C5551">
        <w:t>osôb, t. j. približne 12,6</w:t>
      </w:r>
      <w:r w:rsidR="009425AA" w:rsidRPr="004C5551">
        <w:t> %</w:t>
      </w:r>
      <w:r w:rsidRPr="004C5551">
        <w:t xml:space="preserve"> pokles oproti priemernému mesačnému počtu v roku 2013. Počet osôb, ktoré v roku 2014 boli poberateľmi dávky v nezamestnanosti predstavuje 122 198, z čoho bolo 60 870 žien (49,8</w:t>
      </w:r>
      <w:r w:rsidR="009425AA" w:rsidRPr="004C5551">
        <w:t> %</w:t>
      </w:r>
      <w:r w:rsidRPr="004C5551">
        <w:t>) a 61 328 mužov (50,2</w:t>
      </w:r>
      <w:r w:rsidR="009425AA" w:rsidRPr="004C5551">
        <w:t> %</w:t>
      </w:r>
      <w:r w:rsidRPr="004C5551">
        <w:t xml:space="preserve">). Z hľadiska vekovej štruktúry bol najväčší podiel poberateľov dávky v nezamestnanosti vo vekovej skupine 30 </w:t>
      </w:r>
      <w:r w:rsidR="00106028" w:rsidRPr="004C5551">
        <w:t>–</w:t>
      </w:r>
      <w:r w:rsidRPr="004C5551">
        <w:t xml:space="preserve"> 39 ročných (najväčšia skupina mužov poberateľov dávky v nezamestnanosti bola vo veku 25 – 34 rokov a najväčšia skupina žien poberateľov dávky v nezamestnanosti bola vo veku 30 – 39 rokov).</w:t>
      </w:r>
    </w:p>
    <w:p w:rsidR="00913863" w:rsidRPr="004C5551" w:rsidRDefault="00CB27E1" w:rsidP="00C92B2F">
      <w:pPr>
        <w:pStyle w:val="Normlnysozarkami12"/>
        <w:ind w:firstLine="431"/>
        <w:rPr>
          <w:rFonts w:ascii="Times New Roman Bold" w:hAnsi="Times New Roman Bold"/>
          <w:b/>
          <w:bCs/>
          <w:iCs/>
          <w:sz w:val="28"/>
          <w:szCs w:val="22"/>
          <w:lang w:eastAsia="cs-CZ"/>
        </w:rPr>
      </w:pPr>
      <w:r w:rsidRPr="004C5551">
        <w:t>Výdavky na dávky v nezamestnanosti v roku 2014 dosiahli sumu 154,7 mil. eur, t. j. pokles výdavkov o 11,24 % oproti roku 2013. Priemerná mesačná výška dávky v roku 2014 bola 333 eur, čo je o 2,4 % viac ako v roku 2013</w:t>
      </w:r>
      <w:r w:rsidR="00913863" w:rsidRPr="004C5551">
        <w:br w:type="page"/>
      </w:r>
    </w:p>
    <w:p w:rsidR="00913863" w:rsidRPr="004C5551" w:rsidRDefault="00913863" w:rsidP="00ED16E0">
      <w:pPr>
        <w:pStyle w:val="nadpis2"/>
      </w:pPr>
      <w:bookmarkStart w:id="330" w:name="_Toc356916013"/>
      <w:bookmarkStart w:id="331" w:name="_Toc422233420"/>
      <w:r w:rsidRPr="004C5551">
        <w:t>Dôchodkové sporenie</w:t>
      </w:r>
      <w:bookmarkEnd w:id="327"/>
      <w:bookmarkEnd w:id="328"/>
      <w:bookmarkEnd w:id="329"/>
      <w:bookmarkEnd w:id="330"/>
      <w:bookmarkEnd w:id="331"/>
    </w:p>
    <w:p w:rsidR="00A15FB2" w:rsidRPr="004C5551" w:rsidRDefault="00913863" w:rsidP="00A15FB2">
      <w:pPr>
        <w:ind w:firstLine="431"/>
      </w:pPr>
      <w:r w:rsidRPr="004C5551">
        <w:t>Dôchodkové sporenie v súčasnosti tvorí starobné dôchodkové sporenie a doplnkové dôchodkové sporenie:</w:t>
      </w:r>
    </w:p>
    <w:p w:rsidR="00D36062" w:rsidRPr="004C5551" w:rsidRDefault="00D36062" w:rsidP="00D36062">
      <w:pPr>
        <w:ind w:left="360" w:hanging="360"/>
      </w:pPr>
      <w:bookmarkStart w:id="332" w:name="_Toc165882926"/>
      <w:bookmarkStart w:id="333" w:name="_Toc325440941"/>
      <w:bookmarkStart w:id="334" w:name="_Toc356482683"/>
      <w:bookmarkStart w:id="335" w:name="_Toc356916014"/>
      <w:r w:rsidRPr="004C5551">
        <w:rPr>
          <w:b/>
        </w:rPr>
        <w:t xml:space="preserve">II. pilier </w:t>
      </w:r>
      <w:r w:rsidR="00106028" w:rsidRPr="004C5551">
        <w:rPr>
          <w:b/>
        </w:rPr>
        <w:t>–</w:t>
      </w:r>
      <w:r w:rsidRPr="004C5551">
        <w:rPr>
          <w:b/>
        </w:rPr>
        <w:t xml:space="preserve"> starobné dôchodkové sporenie</w:t>
      </w:r>
      <w:r w:rsidRPr="004C5551">
        <w:t>, príspevkovo definované, financované prostredníctvom kapitalizácie, vykonávané dôchodkovými správcovskými spoločnosťami na základe zákona č. 43/2004 Z. z. o starobnom dôchodkovom sporení a o zmene a doplnení niektorých zákonov v znení neskorších predpisov (ďalej len „zákon o starobnom dôchodkovom sporení“), ktorý nadobudol účinnosť 1. januára 2005.</w:t>
      </w:r>
    </w:p>
    <w:p w:rsidR="00D36062" w:rsidRPr="004C5551" w:rsidRDefault="00D36062" w:rsidP="009E0529">
      <w:pPr>
        <w:ind w:left="357" w:hanging="357"/>
      </w:pPr>
      <w:r w:rsidRPr="004C5551">
        <w:rPr>
          <w:b/>
        </w:rPr>
        <w:t xml:space="preserve">III. pilier </w:t>
      </w:r>
      <w:r w:rsidR="00106028" w:rsidRPr="004C5551">
        <w:rPr>
          <w:b/>
        </w:rPr>
        <w:t>–</w:t>
      </w:r>
      <w:r w:rsidRPr="004C5551">
        <w:rPr>
          <w:b/>
        </w:rPr>
        <w:t xml:space="preserve"> doplnkové dôchodkové sporenie</w:t>
      </w:r>
      <w:r w:rsidRPr="004C5551">
        <w:t>, príspevkovo definované, financované prostredníctvom kapitalizácie, vykonávané doplnkovými dôchodkovými spoločnosťami na základe zákona č. 650/2004 Z. z. o doplnkovom dôchodkovom sporení a o zmene a doplnení niektorých zákonov v znení neskorších predpisov (ďalej len „zákon o doplnkovom dôchodkovom sporení“), ktorý nadobudol účinnosť 1. januára 2005.</w:t>
      </w:r>
    </w:p>
    <w:p w:rsidR="00913863" w:rsidRPr="004C5551" w:rsidRDefault="00913863" w:rsidP="00ED16E0">
      <w:pPr>
        <w:pStyle w:val="Nadpis6"/>
      </w:pPr>
      <w:bookmarkStart w:id="336" w:name="_Toc422233421"/>
      <w:r w:rsidRPr="004C5551">
        <w:t>Starobné dôchodkové sporenie</w:t>
      </w:r>
      <w:bookmarkEnd w:id="332"/>
      <w:bookmarkEnd w:id="333"/>
      <w:bookmarkEnd w:id="334"/>
      <w:bookmarkEnd w:id="335"/>
      <w:bookmarkEnd w:id="336"/>
    </w:p>
    <w:p w:rsidR="00C371A4" w:rsidRPr="004C5551" w:rsidRDefault="00C371A4" w:rsidP="009E0529">
      <w:pPr>
        <w:spacing w:after="120"/>
        <w:ind w:firstLine="431"/>
      </w:pPr>
      <w:r w:rsidRPr="004C5551">
        <w:t xml:space="preserve">Cieľom zavedenia starobného dôchodkového sporenia, ktorý je súčasťou povinného dôchodkového systému, bolo </w:t>
      </w:r>
      <w:proofErr w:type="spellStart"/>
      <w:r w:rsidRPr="004C5551">
        <w:t>diverzifikovať</w:t>
      </w:r>
      <w:proofErr w:type="spellEnd"/>
      <w:r w:rsidRPr="004C5551">
        <w:t xml:space="preserve"> riziká jednotlivých spôsobov financovania dôchodkových dávok, t. j. priebežného spôsobu financovania a kapitalizačného spôsobu financovania.</w:t>
      </w:r>
    </w:p>
    <w:p w:rsidR="00C371A4" w:rsidRPr="004C5551" w:rsidRDefault="00C371A4" w:rsidP="009E0529">
      <w:pPr>
        <w:spacing w:after="120"/>
        <w:ind w:firstLine="431"/>
      </w:pPr>
      <w:r w:rsidRPr="004C5551">
        <w:t xml:space="preserve">Starobné dôchodkové sporenie (II. pilier) je príspevkovo definované a financované z príspevkov na starobné dôchodkové sporenie (ďalej len „príspevky“) odvádzaných na osobné dôchodkové účty sporiteľov. </w:t>
      </w:r>
    </w:p>
    <w:p w:rsidR="00C371A4" w:rsidRPr="004C5551" w:rsidRDefault="00C371A4" w:rsidP="00C92B2F">
      <w:pPr>
        <w:ind w:firstLine="431"/>
      </w:pPr>
      <w:r w:rsidRPr="004C5551">
        <w:t>Najzásadnejšou zmenou v oblasti starobného dôchodkového sporenia bolo v roku 2014 prijatie komplexnej právnej úpravy tzv. anuitnej novely zameranej na výplatnú fázu z II. dôchodkového piliera. Anuitná novela, t.j. zákon č. 183/2014 Z. z., ktorým sa mení a dopĺňa zákon č. 43/2004 Z. z. o</w:t>
      </w:r>
      <w:r w:rsidR="006A1B1E" w:rsidRPr="004C5551">
        <w:t> </w:t>
      </w:r>
      <w:r w:rsidRPr="004C5551">
        <w:t>starobnom dôchodkovom sporení a o zmene a doplnení niektorých zákonov v znení neskorších predpisov a ktorým sa menia a dopĺňajú niektoré zákony bola prijatá s delenou účinnosťou (od</w:t>
      </w:r>
      <w:r w:rsidR="006A1B1E" w:rsidRPr="004C5551">
        <w:t> </w:t>
      </w:r>
      <w:r w:rsidRPr="004C5551">
        <w:t>1.7.2014 a 1.1.2015). Keďže sa prvé dôchodky z II. piliera začali vyplácať od 1. januára 2015, bolo potrebné, aby sa činnosti spojené s prípravou realizácie výplatnej fázy začali vykonávať už v roku 2014. Tieto činnosti sa týkali najmä poisťovní, ktoré chceli byť zapojené do vyplácania dôchodkov z II. piliera, keďže od 1. júla 2014 mohli žiadať Národnú banku Slovenska o rozšírenie svojej licencie. Išlo aj o činnosti spojené s prípravou centrálneho informačného ponukového systému, ktorý vytvárala Sociálna poisťovňa a do ktorého sú zapojené aj poisťovne a dôchodkové správcovské spoločnosti a o činnosti spojené s prípravou ponukového listu, ktorý dostane sporiteľ, ak požiada o dôchodok z II. piliera.</w:t>
      </w:r>
    </w:p>
    <w:p w:rsidR="00C371A4" w:rsidRPr="004C5551" w:rsidRDefault="00C371A4" w:rsidP="00C92B2F">
      <w:pPr>
        <w:ind w:firstLine="431"/>
      </w:pPr>
    </w:p>
    <w:p w:rsidR="00C371A4" w:rsidRPr="004C5551" w:rsidRDefault="00C371A4" w:rsidP="009E0529">
      <w:pPr>
        <w:spacing w:after="120"/>
        <w:rPr>
          <w:b/>
          <w:i/>
        </w:rPr>
      </w:pPr>
      <w:r w:rsidRPr="004C5551">
        <w:rPr>
          <w:b/>
          <w:i/>
        </w:rPr>
        <w:t xml:space="preserve">Medzi najdôležitejšie oblasti, ktoré zmenila alebo zadefinovala anuitná novela patria: </w:t>
      </w:r>
    </w:p>
    <w:p w:rsidR="00C371A4" w:rsidRPr="004C5551" w:rsidRDefault="00C371A4" w:rsidP="00C371A4">
      <w:pPr>
        <w:shd w:val="clear" w:color="auto" w:fill="FFFFFF"/>
        <w:rPr>
          <w:b/>
        </w:rPr>
      </w:pPr>
      <w:r w:rsidRPr="004C5551">
        <w:rPr>
          <w:b/>
        </w:rPr>
        <w:t>Zmeny v oblasti dôchodkov:</w:t>
      </w:r>
    </w:p>
    <w:p w:rsidR="00C371A4" w:rsidRPr="004C5551" w:rsidRDefault="00C371A4" w:rsidP="00C92B2F">
      <w:pPr>
        <w:shd w:val="clear" w:color="auto" w:fill="FFFFFF"/>
        <w:ind w:firstLine="431"/>
      </w:pPr>
      <w:r w:rsidRPr="004C5551">
        <w:t xml:space="preserve">Z II. piliera sa môžu vyplácať dôchodky tromi formami. Zachovaná zostala forma doživotného dôchodku, ktorý vyplácajú poisťovne a taktiež programový výber vyplácaný dôchodkovými správcovskými spoločnosťami, aj keď podmienky výplaty dôchodku týmito formami boli značne zmenené. Anuitná novela zaviedla ďalšiu formu výplaty dôchodku – dočasný dôchodok. Rovnako ako pri doživotnom dôchodku, aj pri tejto forme ide o poistný produkt, ktorý je vyplácaný poisťovňami. </w:t>
      </w:r>
    </w:p>
    <w:p w:rsidR="00C371A4" w:rsidRPr="004C5551" w:rsidRDefault="00C371A4" w:rsidP="00C92B2F">
      <w:pPr>
        <w:shd w:val="clear" w:color="auto" w:fill="FFFFFF"/>
        <w:ind w:firstLine="431"/>
      </w:pPr>
      <w:r w:rsidRPr="004C5551">
        <w:t>Anuitná novela tiež umožnila prístup k úsporám v II. pilier</w:t>
      </w:r>
      <w:r w:rsidR="002948EF" w:rsidRPr="004C5551">
        <w:t>i</w:t>
      </w:r>
      <w:r w:rsidRPr="004C5551">
        <w:t xml:space="preserve"> všetkým sporiteľom, ktorí by na</w:t>
      </w:r>
      <w:r w:rsidR="006A1B1E" w:rsidRPr="004C5551">
        <w:t> </w:t>
      </w:r>
      <w:r w:rsidRPr="004C5551">
        <w:t>základe predošlej právnej úpravy nemohli získať svoje nasporené prostriedky. Ide napríklad o</w:t>
      </w:r>
      <w:r w:rsidR="006A1B1E" w:rsidRPr="004C5551">
        <w:t> </w:t>
      </w:r>
      <w:r w:rsidRPr="004C5551">
        <w:t xml:space="preserve">sporiteľov s nízkou nasporenou sumou, za ktorú si nedokážu zakúpiť doživotný dôchodok. </w:t>
      </w:r>
      <w:r w:rsidR="00C70604" w:rsidRPr="004C5551">
        <w:t>Pre </w:t>
      </w:r>
      <w:r w:rsidRPr="004C5551">
        <w:t>týchto sporiteľov je určený programový výber alebo dočasný dôchodok v striktne regulovanom režime maximalizujúcom dobu výplaty.</w:t>
      </w:r>
      <w:r w:rsidR="00073D95" w:rsidRPr="004C5551">
        <w:t xml:space="preserve"> </w:t>
      </w:r>
      <w:r w:rsidRPr="004C5551">
        <w:t>Anuitnou novelou taktiež došlo k zrušeniu podmienky minimálneho obdobia sporenia v dĺžke 10 rokov. Jedinou podmienkou na výplatu starobného dôchodku je dovŕšenie dôchodkového veku, čím sa umožnil prístup k úsporám v II. pilieri aj pre tých sporiteľov, pri ktorých nie je z objektívnych dôvodov reálne očakávať splnenie podmienky 10 rokov sporenia (napr. z dôvodu dovŕšenia dôchodkového veku). Pri aktuálnom znení zákona už podmienka minimálneho sporenia v dĺžke 10 rokov stratila svoje opodstatnenie aj z dôvodu, že prvú zmluvu o starobnom dôchodkovom sporení môže uzatvoriť len fyzická osoba, ktorá ešte nedovŕšila 35 rokov veku.</w:t>
      </w:r>
    </w:p>
    <w:p w:rsidR="00C371A4" w:rsidRPr="004C5551" w:rsidRDefault="00C371A4" w:rsidP="00C371A4">
      <w:pPr>
        <w:shd w:val="clear" w:color="auto" w:fill="FFFFFF"/>
      </w:pPr>
    </w:p>
    <w:p w:rsidR="00C371A4" w:rsidRPr="004C5551" w:rsidRDefault="00C371A4" w:rsidP="00C371A4">
      <w:pPr>
        <w:shd w:val="clear" w:color="auto" w:fill="FFFFFF"/>
        <w:rPr>
          <w:b/>
        </w:rPr>
      </w:pPr>
      <w:r w:rsidRPr="004C5551">
        <w:rPr>
          <w:b/>
        </w:rPr>
        <w:t>Zmeny v oblasti informačných povinností:</w:t>
      </w:r>
    </w:p>
    <w:p w:rsidR="00C371A4" w:rsidRPr="004C5551" w:rsidRDefault="00C371A4" w:rsidP="00C92B2F">
      <w:pPr>
        <w:shd w:val="clear" w:color="auto" w:fill="FFFFFF"/>
        <w:ind w:firstLine="431"/>
      </w:pPr>
      <w:r w:rsidRPr="004C5551">
        <w:t>Sporitelia majú od 1. januára 2015 k dispozícii niekoľko zdrojov informácií o vyplácaní dôchodkov z II. piliera. Všetky dôležité informácie nájdu na webovom sídle Sociálnej poisťovne a</w:t>
      </w:r>
      <w:r w:rsidR="006A1B1E" w:rsidRPr="004C5551">
        <w:t> </w:t>
      </w:r>
      <w:r w:rsidRPr="004C5551">
        <w:t xml:space="preserve">dôchodkových správcovských spoločností. Sporitelia tiež môžu požiadať dôchodkové správcovské spoločnosti, v ktorých si sporia, o bezplatné zaslanie informačného balíčka. V ňom sa dozvedia napr. ako a kde môžu o dôchodok požiadať alebo informácie o jednotlivých formách výplaty dôchodkov spolu s praktickými príkladmi. </w:t>
      </w:r>
    </w:p>
    <w:p w:rsidR="00C371A4" w:rsidRPr="004C5551" w:rsidRDefault="00C371A4" w:rsidP="00C371A4">
      <w:pPr>
        <w:shd w:val="clear" w:color="auto" w:fill="FFFFFF"/>
      </w:pPr>
    </w:p>
    <w:p w:rsidR="00C371A4" w:rsidRPr="004C5551" w:rsidRDefault="00C371A4" w:rsidP="00C371A4">
      <w:pPr>
        <w:shd w:val="clear" w:color="auto" w:fill="FFFFFF"/>
        <w:rPr>
          <w:b/>
        </w:rPr>
      </w:pPr>
      <w:r w:rsidRPr="004C5551">
        <w:rPr>
          <w:b/>
        </w:rPr>
        <w:t>Zmeny v oblasti sprostredkovania ponúk:</w:t>
      </w:r>
    </w:p>
    <w:p w:rsidR="00C371A4" w:rsidRPr="004C5551" w:rsidRDefault="00C371A4" w:rsidP="00C92B2F">
      <w:pPr>
        <w:shd w:val="clear" w:color="auto" w:fill="FFFFFF"/>
        <w:ind w:firstLine="431"/>
      </w:pPr>
      <w:r w:rsidRPr="004C5551">
        <w:t>Sociálna poisťovňa zriadila a spravuje Centrálny informačný ponukový systém (CIPS), ktorý slúži na sprostredkovanie ponúk dôchodkov pre sporiteľov. Takýto systém zabezpečuje transparentnosť systému a znižuje administratívnu záťaž sporiteľa, ktorý dostane všetky ponuky na</w:t>
      </w:r>
      <w:r w:rsidR="006A1B1E" w:rsidRPr="004C5551">
        <w:t> </w:t>
      </w:r>
      <w:r w:rsidRPr="004C5551">
        <w:t xml:space="preserve">jednom mieste. Vďaka tomu si sporiteľ môže rýchlo porovnať ponuky jednotlivých poisťovní bez toho, aby každú z nich osobne navštívil. Existencia CIPS umožnila zakázať sprostredkovateľskú činnosť pri vyplácaní dôchodkov, čím sa zamedzuje vzniku jedného z najväčších nákladov vstupujúcich do ceny dôchodku. Rovnako pozitívny vplyv na výšku vyplácaných dôchodkov má aj stimulácia konkurenčného prostredia, vyvolaná zavedením CIPS. Znižuje sa tiež informačná asymetria medzi sporiteľom a subjektmi vyplácajúcimi dôchodky z II. piliera. </w:t>
      </w:r>
    </w:p>
    <w:p w:rsidR="00C371A4" w:rsidRPr="004C5551" w:rsidRDefault="00C371A4" w:rsidP="00C371A4">
      <w:pPr>
        <w:shd w:val="clear" w:color="auto" w:fill="FFFFFF"/>
      </w:pPr>
    </w:p>
    <w:p w:rsidR="00C371A4" w:rsidRPr="004C5551" w:rsidRDefault="00C371A4" w:rsidP="00C371A4">
      <w:pPr>
        <w:shd w:val="clear" w:color="auto" w:fill="FFFFFF"/>
        <w:rPr>
          <w:b/>
        </w:rPr>
      </w:pPr>
      <w:r w:rsidRPr="004C5551">
        <w:rPr>
          <w:b/>
        </w:rPr>
        <w:t>Zmeny v ostatných špecifických oblastiach:</w:t>
      </w:r>
    </w:p>
    <w:p w:rsidR="00C371A4" w:rsidRPr="004C5551" w:rsidRDefault="002948EF" w:rsidP="00C92B2F">
      <w:pPr>
        <w:shd w:val="clear" w:color="auto" w:fill="FFFFFF"/>
        <w:ind w:firstLine="431"/>
      </w:pPr>
      <w:r w:rsidRPr="004C5551">
        <w:t>Poslednou novelou o</w:t>
      </w:r>
      <w:r w:rsidR="00C371A4" w:rsidRPr="004C5551">
        <w:t>stáva zachovaná možnosť vyplácania predčasného starobného dôchodku. Predčasný starobný dôchodok sa vypláca takému sporiteľovi, ktorému už bol priznaný predčasný starobný dôchodok z</w:t>
      </w:r>
      <w:r w:rsidR="006A1B1E" w:rsidRPr="004C5551">
        <w:t> </w:t>
      </w:r>
      <w:r w:rsidR="00C371A4" w:rsidRPr="004C5551">
        <w:t>I.</w:t>
      </w:r>
      <w:r w:rsidR="006A1B1E" w:rsidRPr="004C5551">
        <w:t> </w:t>
      </w:r>
      <w:r w:rsidR="00C371A4" w:rsidRPr="004C5551">
        <w:t>piliera, a to musí byť vyšší ako 1,2 násobok životného minima pre jednu plnoletú fyzickú osobu. Ak sporiteľ nemá nárok na predčasný starobný dôchodok z I. piliera vyšší ako 1,2-násobok sumy životného minima pre jednu plnoletú fyzickú osobu, môže si pomôcť úsporami v</w:t>
      </w:r>
      <w:r w:rsidR="009E0529" w:rsidRPr="004C5551">
        <w:t> </w:t>
      </w:r>
      <w:r w:rsidR="00C371A4" w:rsidRPr="004C5551">
        <w:t>II.</w:t>
      </w:r>
      <w:r w:rsidR="009E0529" w:rsidRPr="004C5551">
        <w:t> </w:t>
      </w:r>
      <w:r w:rsidR="00C371A4" w:rsidRPr="004C5551">
        <w:t>pilieri. Má teda nárok na predčasný starobný dôchodok aj vtedy, ak jeho predčasný starobný dôchodok z oboch pilierov bude vyšší ako 1,2 násobok životného minima pre jednu plnoletú fyzickú osobu. V</w:t>
      </w:r>
      <w:r w:rsidR="009E0529" w:rsidRPr="004C5551">
        <w:t> </w:t>
      </w:r>
      <w:r w:rsidR="00C371A4" w:rsidRPr="004C5551">
        <w:t>prípade predčasného starobného dôchodku musia byť splnené podmienky, že sporiteľ získal najmenej 15</w:t>
      </w:r>
      <w:r w:rsidR="006A1B1E" w:rsidRPr="004C5551">
        <w:t> </w:t>
      </w:r>
      <w:r w:rsidR="00C371A4" w:rsidRPr="004C5551">
        <w:t>rokov dôchodkového poistenia a do dovŕšenia dôchodkového veku mu chýbajú maximálne 2 roky.</w:t>
      </w:r>
    </w:p>
    <w:p w:rsidR="00C371A4" w:rsidRPr="004C5551" w:rsidRDefault="00C371A4" w:rsidP="00C92B2F">
      <w:pPr>
        <w:shd w:val="clear" w:color="auto" w:fill="FFFFFF"/>
        <w:ind w:firstLine="431"/>
      </w:pPr>
      <w:r w:rsidRPr="004C5551">
        <w:t xml:space="preserve">Sporiteľ si môže na vyplácanie predčasného starobného alebo starobného dôchodku vybrať doživotný dôchodok bez zvyšovania a bez pozostalostného krytia, doživotný dôchodok so zvyšovaním (indexáciou), s pozostalostným krytím (krytie pozostalých na jeden alebo dva roky po smrti poberateľa dôchodku) alebo ich kombináciu. </w:t>
      </w:r>
    </w:p>
    <w:p w:rsidR="00C371A4" w:rsidRPr="004C5551" w:rsidRDefault="00C371A4" w:rsidP="00C92B2F">
      <w:pPr>
        <w:shd w:val="clear" w:color="auto" w:fill="FFFFFF"/>
        <w:ind w:firstLine="431"/>
      </w:pPr>
      <w:r w:rsidRPr="004C5551">
        <w:t>Sporiteľ, ktorý dovŕši dôchodkový vek a nebude poberať dôchodok programovým výberom bude môcť požiadať o dávku výnos z investovania. Ide o pravidelne vyplácanú dávku sporiteľovou dôchodkovou správcovskou spoločnosťou z výnosov z jeho majetku, ktorý má v dôchodkovom fonde.</w:t>
      </w:r>
    </w:p>
    <w:p w:rsidR="00C371A4" w:rsidRPr="004C5551" w:rsidRDefault="00C371A4" w:rsidP="00C92B2F">
      <w:pPr>
        <w:shd w:val="clear" w:color="auto" w:fill="FFFFFF"/>
        <w:ind w:firstLine="431"/>
      </w:pPr>
      <w:r w:rsidRPr="004C5551">
        <w:t xml:space="preserve">Ak si sporiteľ platil aj dobrovoľné príspevky na starobné dôchodkové sporenie, po dovŕšení dôchodkového veku si ich môže vybrať formou programového výberu bez nutnosti splnenia dodatočných podmienok. </w:t>
      </w:r>
    </w:p>
    <w:p w:rsidR="00C371A4" w:rsidRPr="004C5551" w:rsidRDefault="00C371A4" w:rsidP="00C92B2F">
      <w:pPr>
        <w:shd w:val="clear" w:color="auto" w:fill="FFFFFF"/>
        <w:ind w:firstLine="431"/>
      </w:pPr>
      <w:r w:rsidRPr="004C5551">
        <w:t>Anuitná novela taktiež umožnila na žiadosť sporiteľa v preddôchodkovom veku zmierniť automatický prevod majetku do garantovaného fondu o polovicu.</w:t>
      </w:r>
    </w:p>
    <w:p w:rsidR="00C371A4" w:rsidRPr="004C5551" w:rsidRDefault="00C371A4" w:rsidP="00C92B2F">
      <w:pPr>
        <w:shd w:val="clear" w:color="auto" w:fill="FFFFFF"/>
        <w:ind w:firstLine="431"/>
      </w:pPr>
      <w:r w:rsidRPr="004C5551">
        <w:t>Počas roka 2014 nenastali zmeny</w:t>
      </w:r>
      <w:r w:rsidR="00073D95" w:rsidRPr="004C5551">
        <w:t xml:space="preserve"> </w:t>
      </w:r>
      <w:r w:rsidRPr="004C5551">
        <w:t>v počte a zložení dôchodkových správcovských spoločností, pričom k 31. decembru 2014 pôsobilo na trhu starobného dôchodkového sporenia 6 dôchodkových správcovských spoločností (ďalej len „DSS“):</w:t>
      </w:r>
    </w:p>
    <w:p w:rsidR="00C371A4" w:rsidRPr="004C5551" w:rsidRDefault="00C371A4" w:rsidP="009C55E3">
      <w:pPr>
        <w:pStyle w:val="Odsekzoznamu"/>
        <w:numPr>
          <w:ilvl w:val="0"/>
          <w:numId w:val="32"/>
        </w:numPr>
        <w:ind w:left="1418"/>
        <w:contextualSpacing/>
      </w:pPr>
      <w:proofErr w:type="spellStart"/>
      <w:r w:rsidRPr="004C5551">
        <w:t>Aegon</w:t>
      </w:r>
      <w:proofErr w:type="spellEnd"/>
      <w:r w:rsidRPr="004C5551">
        <w:t xml:space="preserve">, </w:t>
      </w:r>
      <w:proofErr w:type="spellStart"/>
      <w:r w:rsidRPr="004C5551">
        <w:t>d.s.s</w:t>
      </w:r>
      <w:proofErr w:type="spellEnd"/>
      <w:r w:rsidRPr="004C5551">
        <w:t>., a.s., Bratislava,</w:t>
      </w:r>
    </w:p>
    <w:p w:rsidR="00C371A4" w:rsidRPr="004C5551" w:rsidRDefault="00C371A4" w:rsidP="009C55E3">
      <w:pPr>
        <w:pStyle w:val="Odsekzoznamu"/>
        <w:numPr>
          <w:ilvl w:val="0"/>
          <w:numId w:val="32"/>
        </w:numPr>
        <w:ind w:left="1418"/>
        <w:contextualSpacing/>
      </w:pPr>
      <w:proofErr w:type="spellStart"/>
      <w:r w:rsidRPr="004C5551">
        <w:t>Allianz</w:t>
      </w:r>
      <w:proofErr w:type="spellEnd"/>
      <w:r w:rsidRPr="004C5551">
        <w:t xml:space="preserve"> – Slovenská dôchodková správcovská spoločnosť, a.s., Bratislava,</w:t>
      </w:r>
    </w:p>
    <w:p w:rsidR="00C371A4" w:rsidRPr="004C5551" w:rsidRDefault="00C371A4" w:rsidP="009C55E3">
      <w:pPr>
        <w:pStyle w:val="Odsekzoznamu"/>
        <w:numPr>
          <w:ilvl w:val="0"/>
          <w:numId w:val="32"/>
        </w:numPr>
        <w:ind w:left="1418"/>
        <w:contextualSpacing/>
      </w:pPr>
      <w:proofErr w:type="spellStart"/>
      <w:r w:rsidRPr="004C5551">
        <w:t>Axa</w:t>
      </w:r>
      <w:proofErr w:type="spellEnd"/>
      <w:r w:rsidRPr="004C5551">
        <w:t xml:space="preserve"> </w:t>
      </w:r>
      <w:proofErr w:type="spellStart"/>
      <w:r w:rsidRPr="004C5551">
        <w:t>d.s.s</w:t>
      </w:r>
      <w:proofErr w:type="spellEnd"/>
      <w:r w:rsidRPr="004C5551">
        <w:t>., a.s., Bratislava,</w:t>
      </w:r>
    </w:p>
    <w:p w:rsidR="00C371A4" w:rsidRPr="004C5551" w:rsidRDefault="00C371A4" w:rsidP="009C55E3">
      <w:pPr>
        <w:pStyle w:val="Odsekzoznamu"/>
        <w:numPr>
          <w:ilvl w:val="0"/>
          <w:numId w:val="32"/>
        </w:numPr>
        <w:ind w:left="1418"/>
        <w:contextualSpacing/>
      </w:pPr>
      <w:r w:rsidRPr="004C5551">
        <w:t>Dôchodková správcovská spoločnosť Poštovej banky, a.s., Bratislava;</w:t>
      </w:r>
    </w:p>
    <w:p w:rsidR="00C371A4" w:rsidRPr="004C5551" w:rsidRDefault="00C371A4" w:rsidP="009C55E3">
      <w:pPr>
        <w:pStyle w:val="Odsekzoznamu"/>
        <w:numPr>
          <w:ilvl w:val="0"/>
          <w:numId w:val="32"/>
        </w:numPr>
        <w:ind w:left="1418"/>
        <w:contextualSpacing/>
      </w:pPr>
      <w:r w:rsidRPr="004C5551">
        <w:t>ING dôchodková správcovská spoločnosť, a.s., Bratislava,</w:t>
      </w:r>
    </w:p>
    <w:p w:rsidR="00C371A4" w:rsidRPr="004C5551" w:rsidRDefault="00C371A4" w:rsidP="009C55E3">
      <w:pPr>
        <w:pStyle w:val="Odsekzoznamu"/>
        <w:numPr>
          <w:ilvl w:val="0"/>
          <w:numId w:val="32"/>
        </w:numPr>
        <w:ind w:left="1418"/>
        <w:contextualSpacing/>
      </w:pPr>
      <w:r w:rsidRPr="004C5551">
        <w:t xml:space="preserve">VÚB </w:t>
      </w:r>
      <w:proofErr w:type="spellStart"/>
      <w:r w:rsidRPr="004C5551">
        <w:t>Generali</w:t>
      </w:r>
      <w:proofErr w:type="spellEnd"/>
      <w:r w:rsidRPr="004C5551">
        <w:t xml:space="preserve">, </w:t>
      </w:r>
      <w:proofErr w:type="spellStart"/>
      <w:r w:rsidRPr="004C5551">
        <w:t>d.s.s</w:t>
      </w:r>
      <w:proofErr w:type="spellEnd"/>
      <w:r w:rsidRPr="004C5551">
        <w:t>., a.s., Bratislava.</w:t>
      </w:r>
    </w:p>
    <w:p w:rsidR="00C371A4" w:rsidRPr="004C5551" w:rsidRDefault="00C371A4" w:rsidP="00C92B2F">
      <w:pPr>
        <w:shd w:val="clear" w:color="auto" w:fill="FFFFFF"/>
        <w:ind w:firstLine="431"/>
      </w:pPr>
      <w:r w:rsidRPr="004C5551">
        <w:t>Tabuľka 3.5 ukazuje čistú hodnotu majetku spravovaného jednotlivými dôchodkovými správcovskými spoločnosťami podľa druhu</w:t>
      </w:r>
      <w:r w:rsidR="00073D95" w:rsidRPr="004C5551">
        <w:t xml:space="preserve"> </w:t>
      </w:r>
      <w:r w:rsidRPr="004C5551">
        <w:t>dôchodkového fondu k 31.12.2014.</w:t>
      </w:r>
    </w:p>
    <w:p w:rsidR="00C371A4" w:rsidRPr="004C5551" w:rsidRDefault="00C371A4" w:rsidP="00C371A4">
      <w:pPr>
        <w:pStyle w:val="Nadpis7"/>
        <w:rPr>
          <w:color w:val="000000" w:themeColor="text1"/>
          <w:lang w:eastAsia="cs-CZ"/>
        </w:rPr>
      </w:pPr>
      <w:bookmarkStart w:id="337" w:name="_Toc356482684"/>
      <w:r w:rsidRPr="004C5551">
        <w:rPr>
          <w:color w:val="000000" w:themeColor="text1"/>
          <w:lang w:eastAsia="cs-CZ"/>
        </w:rPr>
        <w:t xml:space="preserve">Tabuľka 3.5 Rozdelenie majetku v dôchodkových fondoch k 31.12.2014 (v mil. </w:t>
      </w:r>
      <w:r w:rsidR="000860E9" w:rsidRPr="004C5551">
        <w:rPr>
          <w:color w:val="000000" w:themeColor="text1"/>
          <w:lang w:eastAsia="cs-CZ"/>
        </w:rPr>
        <w:t>eur</w:t>
      </w:r>
      <w:r w:rsidRPr="004C5551">
        <w:rPr>
          <w:color w:val="000000" w:themeColor="text1"/>
          <w:lang w:eastAsia="cs-CZ"/>
        </w:rPr>
        <w:t>)</w:t>
      </w:r>
      <w:bookmarkEnd w:id="337"/>
    </w:p>
    <w:tbl>
      <w:tblPr>
        <w:tblW w:w="10139" w:type="dxa"/>
        <w:jc w:val="center"/>
        <w:tblInd w:w="574"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225"/>
        <w:gridCol w:w="1247"/>
        <w:gridCol w:w="1418"/>
        <w:gridCol w:w="1474"/>
        <w:gridCol w:w="1400"/>
        <w:gridCol w:w="1134"/>
        <w:gridCol w:w="1241"/>
      </w:tblGrid>
      <w:tr w:rsidR="006A1B1E" w:rsidRPr="004C5551" w:rsidTr="009A10DF">
        <w:trPr>
          <w:trHeight w:val="300"/>
          <w:jc w:val="center"/>
        </w:trPr>
        <w:tc>
          <w:tcPr>
            <w:tcW w:w="222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38" w:name="_Toc294019796"/>
            <w:bookmarkStart w:id="339" w:name="_Toc294027121"/>
            <w:bookmarkStart w:id="340" w:name="_Toc294029360"/>
            <w:bookmarkStart w:id="341" w:name="_Toc313878851"/>
            <w:r w:rsidRPr="004C5551">
              <w:rPr>
                <w:b/>
                <w:color w:val="FFFFFF" w:themeColor="background1"/>
                <w:sz w:val="19"/>
                <w:szCs w:val="19"/>
                <w:lang w:eastAsia="cs-CZ"/>
              </w:rPr>
              <w:t>Dôchodková správcovská spoločnosť</w:t>
            </w:r>
            <w:bookmarkEnd w:id="338"/>
            <w:bookmarkEnd w:id="339"/>
            <w:bookmarkEnd w:id="340"/>
            <w:bookmarkEnd w:id="341"/>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42" w:name="_Toc294019797"/>
            <w:bookmarkStart w:id="343" w:name="_Toc294027122"/>
            <w:bookmarkStart w:id="344" w:name="_Toc294029361"/>
            <w:bookmarkStart w:id="345" w:name="_Toc313878852"/>
            <w:r w:rsidRPr="004C5551">
              <w:rPr>
                <w:b/>
                <w:color w:val="FFFFFF" w:themeColor="background1"/>
                <w:sz w:val="19"/>
                <w:szCs w:val="19"/>
                <w:lang w:eastAsia="cs-CZ"/>
              </w:rPr>
              <w:t>Dlhopisový garantovaný dôchodkový fond</w:t>
            </w:r>
            <w:bookmarkEnd w:id="342"/>
            <w:bookmarkEnd w:id="343"/>
            <w:bookmarkEnd w:id="344"/>
            <w:bookmarkEnd w:id="345"/>
          </w:p>
        </w:tc>
        <w:tc>
          <w:tcPr>
            <w:tcW w:w="141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46" w:name="_Toc294019798"/>
            <w:bookmarkStart w:id="347" w:name="_Toc294027123"/>
            <w:bookmarkStart w:id="348" w:name="_Toc294029362"/>
            <w:bookmarkStart w:id="349" w:name="_Toc313878853"/>
            <w:r w:rsidRPr="004C5551">
              <w:rPr>
                <w:b/>
                <w:color w:val="FFFFFF" w:themeColor="background1"/>
                <w:sz w:val="19"/>
                <w:szCs w:val="19"/>
                <w:lang w:eastAsia="cs-CZ"/>
              </w:rPr>
              <w:t>Zmiešaný negarantovaný dôchodkový fond</w:t>
            </w:r>
            <w:bookmarkEnd w:id="346"/>
            <w:bookmarkEnd w:id="347"/>
            <w:bookmarkEnd w:id="348"/>
            <w:bookmarkEnd w:id="349"/>
          </w:p>
        </w:tc>
        <w:tc>
          <w:tcPr>
            <w:tcW w:w="14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50" w:name="_Toc294019799"/>
            <w:bookmarkStart w:id="351" w:name="_Toc294027124"/>
            <w:bookmarkStart w:id="352" w:name="_Toc294029363"/>
            <w:bookmarkStart w:id="353" w:name="_Toc313878854"/>
            <w:r w:rsidRPr="004C5551">
              <w:rPr>
                <w:b/>
                <w:color w:val="FFFFFF" w:themeColor="background1"/>
                <w:sz w:val="19"/>
                <w:szCs w:val="19"/>
                <w:lang w:eastAsia="cs-CZ"/>
              </w:rPr>
              <w:t>Akciový negarantovaný dôchodkový fond</w:t>
            </w:r>
            <w:bookmarkEnd w:id="350"/>
            <w:bookmarkEnd w:id="351"/>
            <w:bookmarkEnd w:id="352"/>
            <w:bookmarkEnd w:id="353"/>
          </w:p>
        </w:tc>
        <w:tc>
          <w:tcPr>
            <w:tcW w:w="140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C371A4" w:rsidRPr="004C5551" w:rsidRDefault="00C371A4" w:rsidP="006A1B1E">
            <w:pPr>
              <w:jc w:val="center"/>
              <w:rPr>
                <w:b/>
                <w:color w:val="FFFFFF" w:themeColor="background1"/>
                <w:sz w:val="19"/>
                <w:szCs w:val="19"/>
                <w:lang w:eastAsia="cs-CZ"/>
              </w:rPr>
            </w:pPr>
            <w:r w:rsidRPr="004C5551">
              <w:rPr>
                <w:b/>
                <w:color w:val="FFFFFF" w:themeColor="background1"/>
                <w:sz w:val="19"/>
                <w:szCs w:val="19"/>
                <w:lang w:eastAsia="cs-CZ"/>
              </w:rPr>
              <w:t>Indexový negarantovaný dôchodkový fond</w:t>
            </w:r>
          </w:p>
        </w:tc>
        <w:tc>
          <w:tcPr>
            <w:tcW w:w="11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54" w:name="_Toc294019800"/>
            <w:bookmarkStart w:id="355" w:name="_Toc294027125"/>
            <w:bookmarkStart w:id="356" w:name="_Toc294029364"/>
            <w:bookmarkStart w:id="357" w:name="_Toc313878855"/>
            <w:r w:rsidRPr="004C5551">
              <w:rPr>
                <w:b/>
                <w:color w:val="FFFFFF" w:themeColor="background1"/>
                <w:sz w:val="19"/>
                <w:szCs w:val="19"/>
                <w:lang w:eastAsia="cs-CZ"/>
              </w:rPr>
              <w:t>Spolu k 31.12.201</w:t>
            </w:r>
            <w:bookmarkEnd w:id="354"/>
            <w:bookmarkEnd w:id="355"/>
            <w:bookmarkEnd w:id="356"/>
            <w:bookmarkEnd w:id="357"/>
            <w:r w:rsidRPr="004C5551">
              <w:rPr>
                <w:b/>
                <w:color w:val="FFFFFF" w:themeColor="background1"/>
                <w:sz w:val="19"/>
                <w:szCs w:val="19"/>
                <w:lang w:eastAsia="cs-CZ"/>
              </w:rPr>
              <w:t>4</w:t>
            </w:r>
          </w:p>
        </w:tc>
        <w:tc>
          <w:tcPr>
            <w:tcW w:w="1241"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6A1B1E">
            <w:pPr>
              <w:jc w:val="center"/>
              <w:rPr>
                <w:b/>
                <w:color w:val="FFFFFF" w:themeColor="background1"/>
                <w:sz w:val="19"/>
                <w:szCs w:val="19"/>
                <w:lang w:eastAsia="cs-CZ"/>
              </w:rPr>
            </w:pPr>
            <w:bookmarkStart w:id="358" w:name="_Toc294019801"/>
            <w:bookmarkStart w:id="359" w:name="_Toc294027126"/>
            <w:bookmarkStart w:id="360" w:name="_Toc294029365"/>
            <w:bookmarkStart w:id="361" w:name="_Toc313878856"/>
            <w:r w:rsidRPr="004C5551">
              <w:rPr>
                <w:b/>
                <w:color w:val="FFFFFF" w:themeColor="background1"/>
                <w:sz w:val="19"/>
                <w:szCs w:val="19"/>
                <w:lang w:eastAsia="cs-CZ"/>
              </w:rPr>
              <w:t>Percentuálny podiel majetku</w:t>
            </w:r>
            <w:bookmarkEnd w:id="358"/>
            <w:bookmarkEnd w:id="359"/>
            <w:bookmarkEnd w:id="360"/>
            <w:bookmarkEnd w:id="361"/>
          </w:p>
        </w:tc>
      </w:tr>
      <w:tr w:rsidR="00C371A4" w:rsidRPr="004C5551" w:rsidTr="009A10DF">
        <w:trPr>
          <w:trHeight w:val="300"/>
          <w:jc w:val="center"/>
        </w:trPr>
        <w:tc>
          <w:tcPr>
            <w:tcW w:w="2225" w:type="dxa"/>
            <w:tcBorders>
              <w:top w:val="single" w:sz="6" w:space="0" w:color="BF0000" w:themeColor="accent3" w:themeShade="BF"/>
            </w:tcBorders>
            <w:noWrap/>
            <w:vAlign w:val="center"/>
          </w:tcPr>
          <w:p w:rsidR="00C371A4" w:rsidRPr="004C5551" w:rsidRDefault="00C371A4" w:rsidP="00014525">
            <w:pPr>
              <w:jc w:val="left"/>
              <w:rPr>
                <w:color w:val="000000" w:themeColor="text1"/>
                <w:sz w:val="20"/>
                <w:szCs w:val="17"/>
              </w:rPr>
            </w:pPr>
            <w:bookmarkStart w:id="362" w:name="_Toc294019802"/>
            <w:bookmarkStart w:id="363" w:name="_Toc294027127"/>
            <w:bookmarkStart w:id="364" w:name="_Toc294029366"/>
            <w:bookmarkStart w:id="365" w:name="_Toc313878857"/>
            <w:r w:rsidRPr="004C5551">
              <w:rPr>
                <w:color w:val="000000" w:themeColor="text1"/>
                <w:sz w:val="20"/>
                <w:szCs w:val="17"/>
              </w:rPr>
              <w:t xml:space="preserve">AEGON, </w:t>
            </w:r>
            <w:proofErr w:type="spellStart"/>
            <w:r w:rsidRPr="004C5551">
              <w:rPr>
                <w:color w:val="000000" w:themeColor="text1"/>
                <w:sz w:val="20"/>
                <w:szCs w:val="17"/>
              </w:rPr>
              <w:t>d.s.s</w:t>
            </w:r>
            <w:proofErr w:type="spellEnd"/>
            <w:r w:rsidRPr="004C5551">
              <w:rPr>
                <w:color w:val="000000" w:themeColor="text1"/>
                <w:sz w:val="20"/>
                <w:szCs w:val="17"/>
              </w:rPr>
              <w:t>., a.s.</w:t>
            </w:r>
            <w:bookmarkEnd w:id="362"/>
            <w:bookmarkEnd w:id="363"/>
            <w:bookmarkEnd w:id="364"/>
            <w:bookmarkEnd w:id="365"/>
          </w:p>
        </w:tc>
        <w:tc>
          <w:tcPr>
            <w:tcW w:w="1247" w:type="dxa"/>
            <w:tcBorders>
              <w:top w:val="single" w:sz="6" w:space="0" w:color="BF0000" w:themeColor="accent3" w:themeShade="BF"/>
            </w:tcBorders>
            <w:noWrap/>
            <w:vAlign w:val="center"/>
          </w:tcPr>
          <w:p w:rsidR="00C371A4" w:rsidRPr="004C5551" w:rsidRDefault="00C371A4" w:rsidP="009E0529">
            <w:pPr>
              <w:ind w:right="113"/>
              <w:jc w:val="right"/>
              <w:rPr>
                <w:color w:val="000000"/>
                <w:sz w:val="20"/>
                <w:szCs w:val="17"/>
              </w:rPr>
            </w:pPr>
            <w:r w:rsidRPr="004C5551">
              <w:rPr>
                <w:color w:val="000000"/>
                <w:sz w:val="20"/>
                <w:szCs w:val="17"/>
              </w:rPr>
              <w:t>563,08</w:t>
            </w:r>
          </w:p>
        </w:tc>
        <w:tc>
          <w:tcPr>
            <w:tcW w:w="1418" w:type="dxa"/>
            <w:tcBorders>
              <w:top w:val="single" w:sz="6" w:space="0" w:color="BF0000" w:themeColor="accent3" w:themeShade="BF"/>
            </w:tcBorders>
            <w:noWrap/>
            <w:vAlign w:val="center"/>
          </w:tcPr>
          <w:p w:rsidR="00C371A4" w:rsidRPr="004C5551" w:rsidRDefault="00C371A4" w:rsidP="009E0529">
            <w:pPr>
              <w:ind w:right="113"/>
              <w:jc w:val="right"/>
              <w:rPr>
                <w:color w:val="000000"/>
                <w:sz w:val="20"/>
                <w:szCs w:val="17"/>
              </w:rPr>
            </w:pPr>
            <w:r w:rsidRPr="004C5551">
              <w:rPr>
                <w:color w:val="000000"/>
                <w:sz w:val="20"/>
                <w:szCs w:val="17"/>
              </w:rPr>
              <w:t>0</w:t>
            </w:r>
          </w:p>
        </w:tc>
        <w:tc>
          <w:tcPr>
            <w:tcW w:w="1474" w:type="dxa"/>
            <w:tcBorders>
              <w:top w:val="single" w:sz="6" w:space="0" w:color="BF0000" w:themeColor="accent3" w:themeShade="BF"/>
            </w:tcBorders>
            <w:noWrap/>
            <w:vAlign w:val="center"/>
          </w:tcPr>
          <w:p w:rsidR="00C371A4" w:rsidRPr="004C5551" w:rsidRDefault="00C371A4" w:rsidP="009E0529">
            <w:pPr>
              <w:ind w:right="113"/>
              <w:jc w:val="right"/>
              <w:rPr>
                <w:color w:val="000000"/>
                <w:sz w:val="20"/>
                <w:szCs w:val="17"/>
              </w:rPr>
            </w:pPr>
            <w:r w:rsidRPr="004C5551">
              <w:rPr>
                <w:color w:val="000000"/>
                <w:sz w:val="20"/>
                <w:szCs w:val="17"/>
              </w:rPr>
              <w:t>51</w:t>
            </w:r>
          </w:p>
        </w:tc>
        <w:tc>
          <w:tcPr>
            <w:tcW w:w="1400" w:type="dxa"/>
            <w:tcBorders>
              <w:top w:val="single" w:sz="6" w:space="0" w:color="BF0000" w:themeColor="accent3" w:themeShade="BF"/>
            </w:tcBorders>
            <w:vAlign w:val="center"/>
          </w:tcPr>
          <w:p w:rsidR="00C371A4" w:rsidRPr="004C5551" w:rsidRDefault="00C371A4" w:rsidP="009E0529">
            <w:pPr>
              <w:ind w:right="113"/>
              <w:jc w:val="right"/>
              <w:rPr>
                <w:color w:val="000000"/>
                <w:sz w:val="20"/>
                <w:szCs w:val="17"/>
              </w:rPr>
            </w:pPr>
            <w:r w:rsidRPr="004C5551">
              <w:rPr>
                <w:color w:val="000000"/>
                <w:sz w:val="20"/>
                <w:szCs w:val="17"/>
              </w:rPr>
              <w:t>5,56</w:t>
            </w:r>
          </w:p>
        </w:tc>
        <w:tc>
          <w:tcPr>
            <w:tcW w:w="1134" w:type="dxa"/>
            <w:tcBorders>
              <w:top w:val="single" w:sz="6" w:space="0" w:color="BF0000" w:themeColor="accent3" w:themeShade="BF"/>
            </w:tcBorders>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619,64</w:t>
            </w:r>
          </w:p>
        </w:tc>
        <w:tc>
          <w:tcPr>
            <w:tcW w:w="1241" w:type="dxa"/>
            <w:tcBorders>
              <w:top w:val="single" w:sz="6" w:space="0" w:color="BF0000" w:themeColor="accent3" w:themeShade="BF"/>
            </w:tcBorders>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9,68</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color w:val="000000" w:themeColor="text1"/>
                <w:sz w:val="20"/>
                <w:szCs w:val="17"/>
              </w:rPr>
            </w:pPr>
            <w:bookmarkStart w:id="366" w:name="_Toc294019808"/>
            <w:bookmarkStart w:id="367" w:name="_Toc294027133"/>
            <w:bookmarkStart w:id="368" w:name="_Toc294029372"/>
            <w:bookmarkStart w:id="369" w:name="_Toc313878863"/>
            <w:proofErr w:type="spellStart"/>
            <w:r w:rsidRPr="004C5551">
              <w:rPr>
                <w:color w:val="000000" w:themeColor="text1"/>
                <w:sz w:val="20"/>
                <w:szCs w:val="17"/>
              </w:rPr>
              <w:t>Allianz</w:t>
            </w:r>
            <w:proofErr w:type="spellEnd"/>
            <w:r w:rsidRPr="004C5551">
              <w:rPr>
                <w:color w:val="000000" w:themeColor="text1"/>
                <w:sz w:val="20"/>
                <w:szCs w:val="17"/>
              </w:rPr>
              <w:t xml:space="preserve"> - Slovenská </w:t>
            </w:r>
            <w:proofErr w:type="spellStart"/>
            <w:r w:rsidRPr="004C5551">
              <w:rPr>
                <w:color w:val="000000" w:themeColor="text1"/>
                <w:sz w:val="20"/>
                <w:szCs w:val="17"/>
              </w:rPr>
              <w:t>d.s.s</w:t>
            </w:r>
            <w:proofErr w:type="spellEnd"/>
            <w:r w:rsidRPr="004C5551">
              <w:rPr>
                <w:color w:val="000000" w:themeColor="text1"/>
                <w:sz w:val="20"/>
                <w:szCs w:val="17"/>
              </w:rPr>
              <w:t>., a.s.</w:t>
            </w:r>
            <w:bookmarkEnd w:id="366"/>
            <w:bookmarkEnd w:id="367"/>
            <w:bookmarkEnd w:id="368"/>
            <w:bookmarkEnd w:id="369"/>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1 886,78</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0</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200,13</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0</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2 086,91</w:t>
            </w:r>
          </w:p>
        </w:tc>
        <w:tc>
          <w:tcPr>
            <w:tcW w:w="1241" w:type="dxa"/>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32,60</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color w:val="000000" w:themeColor="text1"/>
                <w:sz w:val="20"/>
                <w:szCs w:val="17"/>
              </w:rPr>
            </w:pPr>
            <w:bookmarkStart w:id="370" w:name="_Toc294019814"/>
            <w:bookmarkStart w:id="371" w:name="_Toc294027139"/>
            <w:bookmarkStart w:id="372" w:name="_Toc294029378"/>
            <w:bookmarkStart w:id="373" w:name="_Toc313878869"/>
            <w:r w:rsidRPr="004C5551">
              <w:rPr>
                <w:color w:val="000000" w:themeColor="text1"/>
                <w:sz w:val="20"/>
                <w:szCs w:val="17"/>
              </w:rPr>
              <w:t xml:space="preserve">AXA </w:t>
            </w:r>
            <w:proofErr w:type="spellStart"/>
            <w:r w:rsidRPr="004C5551">
              <w:rPr>
                <w:color w:val="000000" w:themeColor="text1"/>
                <w:sz w:val="20"/>
                <w:szCs w:val="17"/>
              </w:rPr>
              <w:t>d.s.s</w:t>
            </w:r>
            <w:proofErr w:type="spellEnd"/>
            <w:r w:rsidRPr="004C5551">
              <w:rPr>
                <w:color w:val="000000" w:themeColor="text1"/>
                <w:sz w:val="20"/>
                <w:szCs w:val="17"/>
              </w:rPr>
              <w:t>., a.s.</w:t>
            </w:r>
            <w:bookmarkEnd w:id="370"/>
            <w:bookmarkEnd w:id="371"/>
            <w:bookmarkEnd w:id="372"/>
            <w:bookmarkEnd w:id="373"/>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1 455,91</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0</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168,67</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41,51</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1 666,09</w:t>
            </w:r>
          </w:p>
        </w:tc>
        <w:tc>
          <w:tcPr>
            <w:tcW w:w="1241" w:type="dxa"/>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26,02</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color w:val="000000" w:themeColor="text1"/>
                <w:sz w:val="20"/>
                <w:szCs w:val="17"/>
              </w:rPr>
            </w:pPr>
            <w:r w:rsidRPr="004C5551">
              <w:rPr>
                <w:color w:val="000000" w:themeColor="text1"/>
                <w:sz w:val="20"/>
                <w:szCs w:val="17"/>
              </w:rPr>
              <w:t xml:space="preserve">DSS Poštovej banky </w:t>
            </w:r>
            <w:proofErr w:type="spellStart"/>
            <w:r w:rsidRPr="004C5551">
              <w:rPr>
                <w:color w:val="000000" w:themeColor="text1"/>
                <w:sz w:val="20"/>
                <w:szCs w:val="17"/>
              </w:rPr>
              <w:t>d.s.s</w:t>
            </w:r>
            <w:proofErr w:type="spellEnd"/>
            <w:r w:rsidRPr="004C5551">
              <w:rPr>
                <w:color w:val="000000" w:themeColor="text1"/>
                <w:sz w:val="20"/>
                <w:szCs w:val="17"/>
              </w:rPr>
              <w:t>. a.s.</w:t>
            </w:r>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294,77</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15,55</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44,8</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5,75</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360,87</w:t>
            </w:r>
          </w:p>
        </w:tc>
        <w:tc>
          <w:tcPr>
            <w:tcW w:w="1241" w:type="dxa"/>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5,64</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color w:val="000000" w:themeColor="text1"/>
                <w:sz w:val="20"/>
                <w:szCs w:val="17"/>
              </w:rPr>
            </w:pPr>
            <w:bookmarkStart w:id="374" w:name="_Toc294019826"/>
            <w:bookmarkStart w:id="375" w:name="_Toc294027151"/>
            <w:bookmarkStart w:id="376" w:name="_Toc294029390"/>
            <w:bookmarkStart w:id="377" w:name="_Toc313878881"/>
            <w:r w:rsidRPr="004C5551">
              <w:rPr>
                <w:color w:val="000000" w:themeColor="text1"/>
                <w:sz w:val="20"/>
                <w:szCs w:val="17"/>
              </w:rPr>
              <w:t xml:space="preserve">ING </w:t>
            </w:r>
            <w:proofErr w:type="spellStart"/>
            <w:r w:rsidRPr="004C5551">
              <w:rPr>
                <w:color w:val="000000" w:themeColor="text1"/>
                <w:sz w:val="20"/>
                <w:szCs w:val="17"/>
              </w:rPr>
              <w:t>d.s.s</w:t>
            </w:r>
            <w:proofErr w:type="spellEnd"/>
            <w:r w:rsidRPr="004C5551">
              <w:rPr>
                <w:color w:val="000000" w:themeColor="text1"/>
                <w:sz w:val="20"/>
                <w:szCs w:val="17"/>
              </w:rPr>
              <w:t>., a.s.</w:t>
            </w:r>
            <w:bookmarkEnd w:id="374"/>
            <w:bookmarkEnd w:id="375"/>
            <w:bookmarkEnd w:id="376"/>
            <w:bookmarkEnd w:id="377"/>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577,56</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22,4</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69,19</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19,1</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688,25</w:t>
            </w:r>
          </w:p>
        </w:tc>
        <w:tc>
          <w:tcPr>
            <w:tcW w:w="1241" w:type="dxa"/>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10,75</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color w:val="000000" w:themeColor="text1"/>
                <w:sz w:val="20"/>
                <w:szCs w:val="17"/>
              </w:rPr>
            </w:pPr>
            <w:bookmarkStart w:id="378" w:name="_Toc294019832"/>
            <w:bookmarkStart w:id="379" w:name="_Toc294027157"/>
            <w:bookmarkStart w:id="380" w:name="_Toc294029396"/>
            <w:bookmarkStart w:id="381" w:name="_Toc313878887"/>
            <w:r w:rsidRPr="004C5551">
              <w:rPr>
                <w:color w:val="000000" w:themeColor="text1"/>
                <w:sz w:val="20"/>
                <w:szCs w:val="17"/>
              </w:rPr>
              <w:t xml:space="preserve">VÚB </w:t>
            </w:r>
            <w:proofErr w:type="spellStart"/>
            <w:r w:rsidRPr="004C5551">
              <w:rPr>
                <w:color w:val="000000" w:themeColor="text1"/>
                <w:sz w:val="20"/>
                <w:szCs w:val="17"/>
              </w:rPr>
              <w:t>Generali</w:t>
            </w:r>
            <w:proofErr w:type="spellEnd"/>
            <w:r w:rsidRPr="004C5551">
              <w:rPr>
                <w:color w:val="000000" w:themeColor="text1"/>
                <w:sz w:val="20"/>
                <w:szCs w:val="17"/>
              </w:rPr>
              <w:t xml:space="preserve"> </w:t>
            </w:r>
            <w:proofErr w:type="spellStart"/>
            <w:r w:rsidRPr="004C5551">
              <w:rPr>
                <w:color w:val="000000" w:themeColor="text1"/>
                <w:sz w:val="20"/>
                <w:szCs w:val="17"/>
              </w:rPr>
              <w:t>d.s.s</w:t>
            </w:r>
            <w:proofErr w:type="spellEnd"/>
            <w:r w:rsidRPr="004C5551">
              <w:rPr>
                <w:color w:val="000000" w:themeColor="text1"/>
                <w:sz w:val="20"/>
                <w:szCs w:val="17"/>
              </w:rPr>
              <w:t>., a.s.</w:t>
            </w:r>
            <w:bookmarkEnd w:id="378"/>
            <w:bookmarkEnd w:id="379"/>
            <w:bookmarkEnd w:id="380"/>
            <w:bookmarkEnd w:id="381"/>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882,3</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25,5</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52,1</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20,69</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980,59</w:t>
            </w:r>
          </w:p>
        </w:tc>
        <w:tc>
          <w:tcPr>
            <w:tcW w:w="1241" w:type="dxa"/>
            <w:noWrap/>
            <w:vAlign w:val="center"/>
          </w:tcPr>
          <w:p w:rsidR="00C371A4" w:rsidRPr="004C5551" w:rsidRDefault="00C371A4" w:rsidP="009E0529">
            <w:pPr>
              <w:ind w:right="113"/>
              <w:jc w:val="right"/>
              <w:rPr>
                <w:i/>
                <w:iCs/>
                <w:color w:val="000000"/>
                <w:sz w:val="20"/>
                <w:szCs w:val="17"/>
              </w:rPr>
            </w:pPr>
            <w:r w:rsidRPr="004C5551">
              <w:rPr>
                <w:i/>
                <w:iCs/>
                <w:color w:val="000000"/>
                <w:sz w:val="20"/>
                <w:szCs w:val="17"/>
              </w:rPr>
              <w:t>15,32</w:t>
            </w:r>
            <w:r w:rsidR="00875D86" w:rsidRPr="004C5551">
              <w:rPr>
                <w:i/>
                <w:iCs/>
                <w:color w:val="000000"/>
                <w:sz w:val="20"/>
                <w:szCs w:val="17"/>
              </w:rPr>
              <w:t> </w:t>
            </w:r>
            <w:r w:rsidRPr="004C5551">
              <w:rPr>
                <w:i/>
                <w:iCs/>
                <w:color w:val="000000"/>
                <w:sz w:val="20"/>
                <w:szCs w:val="17"/>
              </w:rPr>
              <w:t>%</w:t>
            </w:r>
          </w:p>
        </w:tc>
      </w:tr>
      <w:tr w:rsidR="00C371A4" w:rsidRPr="004C5551" w:rsidTr="009A10DF">
        <w:trPr>
          <w:trHeight w:val="300"/>
          <w:jc w:val="center"/>
        </w:trPr>
        <w:tc>
          <w:tcPr>
            <w:tcW w:w="2225" w:type="dxa"/>
            <w:noWrap/>
            <w:vAlign w:val="center"/>
          </w:tcPr>
          <w:p w:rsidR="00C371A4" w:rsidRPr="004C5551" w:rsidRDefault="00C371A4" w:rsidP="00014525">
            <w:pPr>
              <w:jc w:val="left"/>
              <w:rPr>
                <w:b/>
                <w:i/>
                <w:color w:val="000000" w:themeColor="text1"/>
                <w:sz w:val="20"/>
                <w:szCs w:val="17"/>
              </w:rPr>
            </w:pPr>
            <w:bookmarkStart w:id="382" w:name="_Toc294019838"/>
            <w:bookmarkStart w:id="383" w:name="_Toc294027163"/>
            <w:bookmarkStart w:id="384" w:name="_Toc294029402"/>
            <w:bookmarkStart w:id="385" w:name="_Toc313878893"/>
            <w:r w:rsidRPr="004C5551">
              <w:rPr>
                <w:b/>
                <w:i/>
                <w:color w:val="000000" w:themeColor="text1"/>
                <w:sz w:val="20"/>
                <w:szCs w:val="17"/>
              </w:rPr>
              <w:t>Spolu</w:t>
            </w:r>
            <w:bookmarkEnd w:id="382"/>
            <w:bookmarkEnd w:id="383"/>
            <w:bookmarkEnd w:id="384"/>
            <w:bookmarkEnd w:id="385"/>
          </w:p>
        </w:tc>
        <w:tc>
          <w:tcPr>
            <w:tcW w:w="1247"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5 660,40</w:t>
            </w:r>
          </w:p>
        </w:tc>
        <w:tc>
          <w:tcPr>
            <w:tcW w:w="1418"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63,45</w:t>
            </w:r>
          </w:p>
        </w:tc>
        <w:tc>
          <w:tcPr>
            <w:tcW w:w="147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585,89</w:t>
            </w:r>
          </w:p>
        </w:tc>
        <w:tc>
          <w:tcPr>
            <w:tcW w:w="1400" w:type="dxa"/>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92,61</w:t>
            </w:r>
          </w:p>
        </w:tc>
        <w:tc>
          <w:tcPr>
            <w:tcW w:w="1134"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6 402,35</w:t>
            </w:r>
          </w:p>
        </w:tc>
        <w:tc>
          <w:tcPr>
            <w:tcW w:w="1241" w:type="dxa"/>
            <w:noWrap/>
            <w:vAlign w:val="center"/>
          </w:tcPr>
          <w:p w:rsidR="00C371A4" w:rsidRPr="004C5551" w:rsidRDefault="00C371A4" w:rsidP="009E0529">
            <w:pPr>
              <w:ind w:right="113"/>
              <w:jc w:val="right"/>
              <w:rPr>
                <w:b/>
                <w:bCs/>
                <w:i/>
                <w:iCs/>
                <w:color w:val="000000"/>
                <w:sz w:val="20"/>
                <w:szCs w:val="17"/>
              </w:rPr>
            </w:pPr>
            <w:r w:rsidRPr="004C5551">
              <w:rPr>
                <w:b/>
                <w:bCs/>
                <w:i/>
                <w:iCs/>
                <w:color w:val="000000"/>
                <w:sz w:val="20"/>
                <w:szCs w:val="17"/>
              </w:rPr>
              <w:t>100,00</w:t>
            </w:r>
            <w:r w:rsidR="00875D86" w:rsidRPr="004C5551">
              <w:rPr>
                <w:b/>
                <w:bCs/>
                <w:i/>
                <w:iCs/>
                <w:color w:val="000000"/>
                <w:sz w:val="20"/>
                <w:szCs w:val="17"/>
              </w:rPr>
              <w:t> </w:t>
            </w:r>
            <w:r w:rsidRPr="004C5551">
              <w:rPr>
                <w:b/>
                <w:bCs/>
                <w:i/>
                <w:iCs/>
                <w:color w:val="000000"/>
                <w:sz w:val="20"/>
                <w:szCs w:val="17"/>
              </w:rPr>
              <w:t>%</w:t>
            </w:r>
          </w:p>
        </w:tc>
      </w:tr>
      <w:tr w:rsidR="00C371A4" w:rsidRPr="004C5551" w:rsidTr="009A10DF">
        <w:trPr>
          <w:trHeight w:val="314"/>
          <w:jc w:val="center"/>
        </w:trPr>
        <w:tc>
          <w:tcPr>
            <w:tcW w:w="2225" w:type="dxa"/>
            <w:noWrap/>
            <w:vAlign w:val="center"/>
          </w:tcPr>
          <w:p w:rsidR="00C371A4" w:rsidRPr="004C5551" w:rsidRDefault="00C371A4" w:rsidP="00014525">
            <w:pPr>
              <w:jc w:val="left"/>
              <w:rPr>
                <w:color w:val="000000" w:themeColor="text1"/>
                <w:sz w:val="20"/>
                <w:szCs w:val="17"/>
              </w:rPr>
            </w:pPr>
            <w:bookmarkStart w:id="386" w:name="_Toc294019844"/>
            <w:bookmarkStart w:id="387" w:name="_Toc294027169"/>
            <w:bookmarkStart w:id="388" w:name="_Toc294029408"/>
            <w:bookmarkStart w:id="389" w:name="_Toc313878899"/>
            <w:r w:rsidRPr="004C5551">
              <w:rPr>
                <w:color w:val="000000" w:themeColor="text1"/>
                <w:sz w:val="20"/>
                <w:szCs w:val="17"/>
              </w:rPr>
              <w:t>Percentuálny podiel majetku</w:t>
            </w:r>
            <w:bookmarkEnd w:id="386"/>
            <w:bookmarkEnd w:id="387"/>
            <w:bookmarkEnd w:id="388"/>
            <w:bookmarkEnd w:id="389"/>
          </w:p>
        </w:tc>
        <w:tc>
          <w:tcPr>
            <w:tcW w:w="1247"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88,41</w:t>
            </w:r>
            <w:r w:rsidR="00875D86" w:rsidRPr="004C5551">
              <w:rPr>
                <w:color w:val="000000"/>
                <w:sz w:val="20"/>
                <w:szCs w:val="17"/>
              </w:rPr>
              <w:t> </w:t>
            </w:r>
            <w:r w:rsidRPr="004C5551">
              <w:rPr>
                <w:color w:val="000000"/>
                <w:sz w:val="20"/>
                <w:szCs w:val="17"/>
              </w:rPr>
              <w:t>%</w:t>
            </w:r>
          </w:p>
        </w:tc>
        <w:tc>
          <w:tcPr>
            <w:tcW w:w="1418"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0,99</w:t>
            </w:r>
            <w:r w:rsidR="00875D86" w:rsidRPr="004C5551">
              <w:rPr>
                <w:color w:val="000000"/>
                <w:sz w:val="20"/>
                <w:szCs w:val="17"/>
              </w:rPr>
              <w:t> </w:t>
            </w:r>
            <w:r w:rsidRPr="004C5551">
              <w:rPr>
                <w:color w:val="000000"/>
                <w:sz w:val="20"/>
                <w:szCs w:val="17"/>
              </w:rPr>
              <w:t>%</w:t>
            </w:r>
          </w:p>
        </w:tc>
        <w:tc>
          <w:tcPr>
            <w:tcW w:w="1474" w:type="dxa"/>
            <w:noWrap/>
            <w:vAlign w:val="center"/>
          </w:tcPr>
          <w:p w:rsidR="00C371A4" w:rsidRPr="004C5551" w:rsidRDefault="00C371A4" w:rsidP="009E0529">
            <w:pPr>
              <w:ind w:right="113"/>
              <w:jc w:val="right"/>
              <w:rPr>
                <w:color w:val="000000"/>
                <w:sz w:val="20"/>
                <w:szCs w:val="17"/>
              </w:rPr>
            </w:pPr>
            <w:r w:rsidRPr="004C5551">
              <w:rPr>
                <w:color w:val="000000"/>
                <w:sz w:val="20"/>
                <w:szCs w:val="17"/>
              </w:rPr>
              <w:t>9,15</w:t>
            </w:r>
            <w:r w:rsidR="00875D86" w:rsidRPr="004C5551">
              <w:rPr>
                <w:color w:val="000000"/>
                <w:sz w:val="20"/>
                <w:szCs w:val="17"/>
              </w:rPr>
              <w:t> </w:t>
            </w:r>
            <w:r w:rsidRPr="004C5551">
              <w:rPr>
                <w:color w:val="000000"/>
                <w:sz w:val="20"/>
                <w:szCs w:val="17"/>
              </w:rPr>
              <w:t>%</w:t>
            </w:r>
          </w:p>
        </w:tc>
        <w:tc>
          <w:tcPr>
            <w:tcW w:w="1400" w:type="dxa"/>
            <w:vAlign w:val="center"/>
          </w:tcPr>
          <w:p w:rsidR="00C371A4" w:rsidRPr="004C5551" w:rsidRDefault="00C371A4" w:rsidP="009E0529">
            <w:pPr>
              <w:ind w:right="113"/>
              <w:jc w:val="right"/>
              <w:rPr>
                <w:color w:val="000000"/>
                <w:sz w:val="20"/>
                <w:szCs w:val="17"/>
              </w:rPr>
            </w:pPr>
            <w:r w:rsidRPr="004C5551">
              <w:rPr>
                <w:color w:val="000000"/>
                <w:sz w:val="20"/>
                <w:szCs w:val="17"/>
              </w:rPr>
              <w:t>1,45</w:t>
            </w:r>
            <w:r w:rsidR="00875D86" w:rsidRPr="004C5551">
              <w:rPr>
                <w:color w:val="000000"/>
                <w:sz w:val="20"/>
                <w:szCs w:val="17"/>
              </w:rPr>
              <w:t> </w:t>
            </w:r>
            <w:r w:rsidRPr="004C5551">
              <w:rPr>
                <w:color w:val="000000"/>
                <w:sz w:val="20"/>
                <w:szCs w:val="17"/>
              </w:rPr>
              <w:t>%</w:t>
            </w:r>
          </w:p>
        </w:tc>
        <w:tc>
          <w:tcPr>
            <w:tcW w:w="1134" w:type="dxa"/>
            <w:noWrap/>
            <w:vAlign w:val="center"/>
          </w:tcPr>
          <w:p w:rsidR="00C371A4" w:rsidRPr="004C5551" w:rsidRDefault="00C371A4" w:rsidP="009E0529">
            <w:pPr>
              <w:ind w:right="113"/>
              <w:jc w:val="right"/>
              <w:rPr>
                <w:i/>
                <w:color w:val="000000" w:themeColor="text1"/>
                <w:sz w:val="20"/>
                <w:szCs w:val="17"/>
              </w:rPr>
            </w:pPr>
            <w:r w:rsidRPr="004C5551">
              <w:rPr>
                <w:b/>
                <w:bCs/>
                <w:i/>
                <w:iCs/>
                <w:sz w:val="20"/>
                <w:szCs w:val="17"/>
              </w:rPr>
              <w:t>100,0</w:t>
            </w:r>
            <w:r w:rsidR="00875D86" w:rsidRPr="004C5551">
              <w:rPr>
                <w:b/>
                <w:bCs/>
                <w:i/>
                <w:iCs/>
                <w:sz w:val="20"/>
                <w:szCs w:val="17"/>
              </w:rPr>
              <w:t> </w:t>
            </w:r>
            <w:r w:rsidRPr="004C5551">
              <w:rPr>
                <w:b/>
                <w:bCs/>
                <w:i/>
                <w:iCs/>
                <w:sz w:val="20"/>
                <w:szCs w:val="17"/>
              </w:rPr>
              <w:t>%</w:t>
            </w:r>
          </w:p>
        </w:tc>
        <w:tc>
          <w:tcPr>
            <w:tcW w:w="1241" w:type="dxa"/>
            <w:noWrap/>
            <w:vAlign w:val="center"/>
          </w:tcPr>
          <w:p w:rsidR="00C371A4" w:rsidRPr="004C5551" w:rsidRDefault="00C371A4" w:rsidP="009E0529">
            <w:pPr>
              <w:ind w:right="113"/>
              <w:jc w:val="right"/>
              <w:rPr>
                <w:color w:val="000000" w:themeColor="text1"/>
                <w:sz w:val="20"/>
                <w:szCs w:val="17"/>
              </w:rPr>
            </w:pPr>
            <w:r w:rsidRPr="004C5551">
              <w:rPr>
                <w:b/>
                <w:bCs/>
                <w:i/>
                <w:iCs/>
                <w:sz w:val="20"/>
                <w:szCs w:val="17"/>
              </w:rPr>
              <w:t> </w:t>
            </w:r>
          </w:p>
        </w:tc>
      </w:tr>
    </w:tbl>
    <w:p w:rsidR="00C371A4" w:rsidRPr="004C5551" w:rsidRDefault="00C371A4" w:rsidP="009A10DF">
      <w:pPr>
        <w:pStyle w:val="zdroj"/>
      </w:pPr>
      <w:r w:rsidRPr="004C5551">
        <w:t>Výpočet: MPSVR SR</w:t>
      </w:r>
    </w:p>
    <w:p w:rsidR="00C371A4" w:rsidRPr="004C5551" w:rsidRDefault="00C371A4" w:rsidP="00C92B2F">
      <w:pPr>
        <w:ind w:firstLine="431"/>
      </w:pPr>
      <w:r w:rsidRPr="004C5551">
        <w:t xml:space="preserve">Sociálna poisťovňa postúpila v priebehu roku 2014 povinné </w:t>
      </w:r>
      <w:r w:rsidRPr="004C5551">
        <w:rPr>
          <w:b/>
        </w:rPr>
        <w:t>príspevky</w:t>
      </w:r>
      <w:r w:rsidRPr="004C5551">
        <w:t xml:space="preserve"> na starobné dôchodkové sporenie v hodnote takmer </w:t>
      </w:r>
      <w:r w:rsidRPr="004C5551">
        <w:rPr>
          <w:b/>
        </w:rPr>
        <w:t xml:space="preserve">438 mil. </w:t>
      </w:r>
      <w:r w:rsidR="000860E9" w:rsidRPr="004C5551">
        <w:rPr>
          <w:b/>
        </w:rPr>
        <w:t>eur</w:t>
      </w:r>
      <w:r w:rsidRPr="004C5551">
        <w:t>, čo predstavuje oproti roku 2013 nárast o necelých 6</w:t>
      </w:r>
      <w:r w:rsidR="009425AA" w:rsidRPr="004C5551">
        <w:t> %</w:t>
      </w:r>
      <w:r w:rsidRPr="004C5551">
        <w:t>. Celková výška postúpených príspevkov k 31.12.2014 bola 6,5 mld. eur. Berúc do úvahy všetky možnosti vstupu a výstupu zo systému starobného dôchodkového sporenia v priebehu jeho otvorení,</w:t>
      </w:r>
      <w:r w:rsidR="004E7EAC" w:rsidRPr="004C5551">
        <w:t xml:space="preserve"> bola celková výška postúpených príspevkov 6,03 mld. eur. Na základe toho a čistej hodnoty majetku v dôchodkových fondoch k 31.12.2014 v sume 6,40 mld. eur</w:t>
      </w:r>
      <w:r w:rsidRPr="004C5551">
        <w:t xml:space="preserve"> možno skonštatovať, že k 31.12.2014 dosiahli dôchodkové fondy </w:t>
      </w:r>
      <w:r w:rsidRPr="004C5551">
        <w:rPr>
          <w:b/>
        </w:rPr>
        <w:t>zisk 375,3</w:t>
      </w:r>
      <w:r w:rsidRPr="004C5551">
        <w:t xml:space="preserve"> </w:t>
      </w:r>
      <w:r w:rsidRPr="004C5551">
        <w:rPr>
          <w:b/>
        </w:rPr>
        <w:t>mil. eur</w:t>
      </w:r>
      <w:r w:rsidRPr="004C5551">
        <w:t>.</w:t>
      </w:r>
    </w:p>
    <w:p w:rsidR="00C371A4" w:rsidRPr="004C5551" w:rsidRDefault="00C371A4" w:rsidP="00C92B2F">
      <w:pPr>
        <w:ind w:firstLine="431"/>
      </w:pPr>
      <w:r w:rsidRPr="004C5551">
        <w:t xml:space="preserve">Najväčší podiel na slovenskom trhu starobného dôchodkového sporenia v roku 2014 si zachovali spoločnosti </w:t>
      </w:r>
      <w:proofErr w:type="spellStart"/>
      <w:r w:rsidRPr="004C5551">
        <w:t>Allianz</w:t>
      </w:r>
      <w:proofErr w:type="spellEnd"/>
      <w:r w:rsidRPr="004C5551">
        <w:t xml:space="preserve"> – Slovenská </w:t>
      </w:r>
      <w:proofErr w:type="spellStart"/>
      <w:r w:rsidRPr="004C5551">
        <w:t>d.s.s</w:t>
      </w:r>
      <w:proofErr w:type="spellEnd"/>
      <w:r w:rsidRPr="004C5551">
        <w:t xml:space="preserve">., a. s. a </w:t>
      </w:r>
      <w:proofErr w:type="spellStart"/>
      <w:r w:rsidRPr="004C5551">
        <w:t>Axa</w:t>
      </w:r>
      <w:proofErr w:type="spellEnd"/>
      <w:r w:rsidRPr="004C5551">
        <w:t xml:space="preserve"> </w:t>
      </w:r>
      <w:proofErr w:type="spellStart"/>
      <w:r w:rsidRPr="004C5551">
        <w:t>d.s.s</w:t>
      </w:r>
      <w:proofErr w:type="spellEnd"/>
      <w:r w:rsidRPr="004C5551">
        <w:t>., a. s (spoločne predstavujú takmer 60</w:t>
      </w:r>
      <w:r w:rsidR="006D0272" w:rsidRPr="004C5551">
        <w:t> </w:t>
      </w:r>
      <w:r w:rsidRPr="004C5551">
        <w:t>% trhu). V porovnaní s rokom 2013 došlo k miernej zmene rozdelenia majetku v dôchodkových fondoch</w:t>
      </w:r>
      <w:r w:rsidR="00EB12E6" w:rsidRPr="004C5551">
        <w:t xml:space="preserve"> v prospech akciových a </w:t>
      </w:r>
      <w:proofErr w:type="spellStart"/>
      <w:r w:rsidR="00EB12E6" w:rsidRPr="004C5551">
        <w:t>a</w:t>
      </w:r>
      <w:proofErr w:type="spellEnd"/>
      <w:r w:rsidR="00EB12E6" w:rsidRPr="004C5551">
        <w:t xml:space="preserve"> indexových </w:t>
      </w:r>
      <w:proofErr w:type="spellStart"/>
      <w:r w:rsidR="00EB12E6" w:rsidRPr="004C5551">
        <w:t>negarantových</w:t>
      </w:r>
      <w:proofErr w:type="spellEnd"/>
      <w:r w:rsidR="00EB12E6" w:rsidRPr="004C5551">
        <w:t xml:space="preserve"> fondov. N</w:t>
      </w:r>
      <w:r w:rsidRPr="004C5551">
        <w:t xml:space="preserve">ajviac prostriedkov sa stále koncentruje v dlhopisových garantovaných dôchodkových fondoch a potom </w:t>
      </w:r>
      <w:r w:rsidR="00EB12E6" w:rsidRPr="004C5551">
        <w:t xml:space="preserve">nasledujú akciové negarantované dôchodkové fondy. Najmenej finančných prostriedkov je </w:t>
      </w:r>
      <w:proofErr w:type="spellStart"/>
      <w:r w:rsidR="00EB12E6" w:rsidRPr="004C5551">
        <w:t>konceptrovaných</w:t>
      </w:r>
      <w:proofErr w:type="spellEnd"/>
      <w:r w:rsidR="00EB12E6" w:rsidRPr="004C5551">
        <w:t xml:space="preserve"> v</w:t>
      </w:r>
      <w:r w:rsidR="009E0529" w:rsidRPr="004C5551">
        <w:t> </w:t>
      </w:r>
      <w:r w:rsidRPr="004C5551">
        <w:t>indexov</w:t>
      </w:r>
      <w:r w:rsidR="00EB12E6" w:rsidRPr="004C5551">
        <w:t>ých</w:t>
      </w:r>
      <w:r w:rsidRPr="004C5551">
        <w:t xml:space="preserve"> a zmiešan</w:t>
      </w:r>
      <w:r w:rsidR="00EB12E6" w:rsidRPr="004C5551">
        <w:t>ých</w:t>
      </w:r>
      <w:r w:rsidRPr="004C5551">
        <w:t xml:space="preserve"> negarantovan</w:t>
      </w:r>
      <w:r w:rsidR="00EB12E6" w:rsidRPr="004C5551">
        <w:t>ých</w:t>
      </w:r>
      <w:r w:rsidRPr="004C5551">
        <w:t xml:space="preserve"> dôchodkov</w:t>
      </w:r>
      <w:r w:rsidR="00EB12E6" w:rsidRPr="004C5551">
        <w:t>ých</w:t>
      </w:r>
      <w:r w:rsidRPr="004C5551">
        <w:t xml:space="preserve"> fond</w:t>
      </w:r>
      <w:r w:rsidR="00EB12E6" w:rsidRPr="004C5551">
        <w:t>och</w:t>
      </w:r>
      <w:r w:rsidRPr="004C5551">
        <w:t xml:space="preserve">. </w:t>
      </w:r>
    </w:p>
    <w:p w:rsidR="00C371A4" w:rsidRPr="004C5551" w:rsidRDefault="00C371A4" w:rsidP="006A1B1E">
      <w:pPr>
        <w:pStyle w:val="Nadpis7"/>
      </w:pPr>
      <w:r w:rsidRPr="004C5551">
        <w:t>Tabuľka 3.6 Porovnanie rozdelenia majetku v dôchodkových fondoch</w:t>
      </w:r>
    </w:p>
    <w:tbl>
      <w:tblPr>
        <w:tblW w:w="6097" w:type="dxa"/>
        <w:jc w:val="center"/>
        <w:tblInd w:w="65"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1139"/>
        <w:gridCol w:w="1334"/>
        <w:gridCol w:w="1260"/>
        <w:gridCol w:w="1091"/>
        <w:gridCol w:w="1273"/>
      </w:tblGrid>
      <w:tr w:rsidR="00C371A4" w:rsidRPr="004C5551" w:rsidTr="006A1B1E">
        <w:trPr>
          <w:trHeight w:val="523"/>
          <w:jc w:val="center"/>
        </w:trPr>
        <w:tc>
          <w:tcPr>
            <w:tcW w:w="113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p>
        </w:tc>
        <w:tc>
          <w:tcPr>
            <w:tcW w:w="4958" w:type="dxa"/>
            <w:gridSpan w:val="4"/>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Percentuálne podiely rozdelenia majetku v dôchodkových fondoch za všetky DSS</w:t>
            </w:r>
          </w:p>
        </w:tc>
      </w:tr>
      <w:tr w:rsidR="00C371A4" w:rsidRPr="004C5551" w:rsidTr="006A1B1E">
        <w:trPr>
          <w:trHeight w:val="306"/>
          <w:jc w:val="center"/>
        </w:trPr>
        <w:tc>
          <w:tcPr>
            <w:tcW w:w="1139"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Dátum</w:t>
            </w:r>
          </w:p>
        </w:tc>
        <w:tc>
          <w:tcPr>
            <w:tcW w:w="1334"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Dlhopisové</w:t>
            </w:r>
          </w:p>
          <w:p w:rsidR="00C371A4" w:rsidRPr="004C5551" w:rsidRDefault="00C371A4" w:rsidP="00090370">
            <w:pPr>
              <w:jc w:val="center"/>
              <w:rPr>
                <w:b/>
                <w:bCs/>
                <w:color w:val="FFFFFF" w:themeColor="background1"/>
                <w:szCs w:val="18"/>
              </w:rPr>
            </w:pPr>
            <w:proofErr w:type="spellStart"/>
            <w:r w:rsidRPr="004C5551">
              <w:rPr>
                <w:b/>
                <w:bCs/>
                <w:color w:val="FFFFFF" w:themeColor="background1"/>
                <w:szCs w:val="18"/>
              </w:rPr>
              <w:t>g.d.f</w:t>
            </w:r>
            <w:proofErr w:type="spellEnd"/>
            <w:r w:rsidRPr="004C5551">
              <w:rPr>
                <w:b/>
                <w:bCs/>
                <w:color w:val="FFFFFF" w:themeColor="background1"/>
                <w:szCs w:val="18"/>
              </w:rPr>
              <w:t>.</w:t>
            </w:r>
          </w:p>
        </w:tc>
        <w:tc>
          <w:tcPr>
            <w:tcW w:w="126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 xml:space="preserve">Zmiešané </w:t>
            </w:r>
            <w:proofErr w:type="spellStart"/>
            <w:r w:rsidRPr="004C5551">
              <w:rPr>
                <w:b/>
                <w:bCs/>
                <w:color w:val="FFFFFF" w:themeColor="background1"/>
                <w:szCs w:val="18"/>
              </w:rPr>
              <w:t>n.d.f</w:t>
            </w:r>
            <w:proofErr w:type="spellEnd"/>
            <w:r w:rsidRPr="004C5551">
              <w:rPr>
                <w:b/>
                <w:bCs/>
                <w:color w:val="FFFFFF" w:themeColor="background1"/>
                <w:szCs w:val="18"/>
              </w:rPr>
              <w:t>.</w:t>
            </w:r>
          </w:p>
        </w:tc>
        <w:tc>
          <w:tcPr>
            <w:tcW w:w="1091"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 xml:space="preserve">Akciový </w:t>
            </w:r>
            <w:proofErr w:type="spellStart"/>
            <w:r w:rsidRPr="004C5551">
              <w:rPr>
                <w:b/>
                <w:bCs/>
                <w:color w:val="FFFFFF" w:themeColor="background1"/>
                <w:szCs w:val="18"/>
              </w:rPr>
              <w:t>n.d.f</w:t>
            </w:r>
            <w:proofErr w:type="spellEnd"/>
            <w:r w:rsidRPr="004C5551">
              <w:rPr>
                <w:b/>
                <w:bCs/>
                <w:color w:val="FFFFFF" w:themeColor="background1"/>
                <w:szCs w:val="18"/>
              </w:rPr>
              <w:t>.</w:t>
            </w:r>
          </w:p>
        </w:tc>
        <w:tc>
          <w:tcPr>
            <w:tcW w:w="1273"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 xml:space="preserve">Indexové </w:t>
            </w:r>
            <w:proofErr w:type="spellStart"/>
            <w:r w:rsidRPr="004C5551">
              <w:rPr>
                <w:b/>
                <w:bCs/>
                <w:color w:val="FFFFFF" w:themeColor="background1"/>
                <w:szCs w:val="18"/>
              </w:rPr>
              <w:t>n.d.f</w:t>
            </w:r>
            <w:proofErr w:type="spellEnd"/>
            <w:r w:rsidRPr="004C5551">
              <w:rPr>
                <w:b/>
                <w:bCs/>
                <w:color w:val="FFFFFF" w:themeColor="background1"/>
                <w:szCs w:val="18"/>
              </w:rPr>
              <w:t>.</w:t>
            </w:r>
          </w:p>
        </w:tc>
      </w:tr>
      <w:tr w:rsidR="00C371A4" w:rsidRPr="004C5551" w:rsidTr="006A1B1E">
        <w:trPr>
          <w:trHeight w:val="362"/>
          <w:jc w:val="center"/>
        </w:trPr>
        <w:tc>
          <w:tcPr>
            <w:tcW w:w="1139" w:type="dxa"/>
            <w:tcBorders>
              <w:top w:val="single" w:sz="6" w:space="0" w:color="BF0000" w:themeColor="accent3" w:themeShade="BF"/>
            </w:tcBorders>
            <w:shd w:val="clear" w:color="auto" w:fill="auto"/>
            <w:noWrap/>
            <w:vAlign w:val="center"/>
            <w:hideMark/>
          </w:tcPr>
          <w:p w:rsidR="00C371A4" w:rsidRPr="004C5551" w:rsidRDefault="00C371A4" w:rsidP="00014525">
            <w:pPr>
              <w:jc w:val="center"/>
              <w:rPr>
                <w:b/>
                <w:bCs/>
                <w:szCs w:val="18"/>
              </w:rPr>
            </w:pPr>
            <w:r w:rsidRPr="004C5551">
              <w:rPr>
                <w:b/>
                <w:bCs/>
                <w:szCs w:val="18"/>
              </w:rPr>
              <w:t>31.12.2013</w:t>
            </w:r>
          </w:p>
        </w:tc>
        <w:tc>
          <w:tcPr>
            <w:tcW w:w="1334" w:type="dxa"/>
            <w:tcBorders>
              <w:top w:val="single" w:sz="6" w:space="0" w:color="BF0000" w:themeColor="accent3" w:themeShade="BF"/>
            </w:tcBorders>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89,98</w:t>
            </w:r>
            <w:r w:rsidR="00875D86" w:rsidRPr="004C5551">
              <w:rPr>
                <w:color w:val="000000"/>
                <w:szCs w:val="17"/>
              </w:rPr>
              <w:t> </w:t>
            </w:r>
            <w:r w:rsidRPr="004C5551">
              <w:rPr>
                <w:color w:val="000000"/>
                <w:szCs w:val="17"/>
              </w:rPr>
              <w:t>%</w:t>
            </w:r>
          </w:p>
        </w:tc>
        <w:tc>
          <w:tcPr>
            <w:tcW w:w="1260" w:type="dxa"/>
            <w:tcBorders>
              <w:top w:val="single" w:sz="6" w:space="0" w:color="BF0000" w:themeColor="accent3" w:themeShade="BF"/>
            </w:tcBorders>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1,12</w:t>
            </w:r>
            <w:r w:rsidR="00875D86" w:rsidRPr="004C5551">
              <w:rPr>
                <w:color w:val="000000"/>
                <w:szCs w:val="17"/>
              </w:rPr>
              <w:t> </w:t>
            </w:r>
            <w:r w:rsidRPr="004C5551">
              <w:rPr>
                <w:color w:val="000000"/>
                <w:szCs w:val="17"/>
              </w:rPr>
              <w:t>%</w:t>
            </w:r>
          </w:p>
        </w:tc>
        <w:tc>
          <w:tcPr>
            <w:tcW w:w="1091" w:type="dxa"/>
            <w:tcBorders>
              <w:top w:val="single" w:sz="6" w:space="0" w:color="BF0000" w:themeColor="accent3" w:themeShade="BF"/>
            </w:tcBorders>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8,32</w:t>
            </w:r>
            <w:r w:rsidR="00875D86" w:rsidRPr="004C5551">
              <w:rPr>
                <w:color w:val="000000"/>
                <w:szCs w:val="17"/>
              </w:rPr>
              <w:t> </w:t>
            </w:r>
            <w:r w:rsidRPr="004C5551">
              <w:rPr>
                <w:color w:val="000000"/>
                <w:szCs w:val="17"/>
              </w:rPr>
              <w:t>%</w:t>
            </w:r>
          </w:p>
        </w:tc>
        <w:tc>
          <w:tcPr>
            <w:tcW w:w="1273" w:type="dxa"/>
            <w:tcBorders>
              <w:top w:val="single" w:sz="6" w:space="0" w:color="BF0000" w:themeColor="accent3" w:themeShade="BF"/>
            </w:tcBorders>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0,58</w:t>
            </w:r>
            <w:r w:rsidR="00875D86" w:rsidRPr="004C5551">
              <w:rPr>
                <w:color w:val="000000"/>
                <w:szCs w:val="17"/>
              </w:rPr>
              <w:t> </w:t>
            </w:r>
            <w:r w:rsidRPr="004C5551">
              <w:rPr>
                <w:color w:val="000000"/>
                <w:szCs w:val="17"/>
              </w:rPr>
              <w:t>%</w:t>
            </w:r>
          </w:p>
        </w:tc>
      </w:tr>
      <w:tr w:rsidR="00C371A4" w:rsidRPr="004C5551" w:rsidTr="006A1B1E">
        <w:trPr>
          <w:trHeight w:val="348"/>
          <w:jc w:val="center"/>
        </w:trPr>
        <w:tc>
          <w:tcPr>
            <w:tcW w:w="1139" w:type="dxa"/>
            <w:shd w:val="clear" w:color="auto" w:fill="auto"/>
            <w:noWrap/>
            <w:vAlign w:val="center"/>
            <w:hideMark/>
          </w:tcPr>
          <w:p w:rsidR="00C371A4" w:rsidRPr="004C5551" w:rsidRDefault="00C371A4" w:rsidP="00014525">
            <w:pPr>
              <w:jc w:val="center"/>
              <w:rPr>
                <w:b/>
                <w:bCs/>
                <w:szCs w:val="18"/>
              </w:rPr>
            </w:pPr>
            <w:r w:rsidRPr="004C5551">
              <w:rPr>
                <w:b/>
                <w:bCs/>
                <w:szCs w:val="18"/>
              </w:rPr>
              <w:t>31.12.2014</w:t>
            </w:r>
          </w:p>
        </w:tc>
        <w:tc>
          <w:tcPr>
            <w:tcW w:w="1334" w:type="dxa"/>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88,41</w:t>
            </w:r>
            <w:r w:rsidR="00875D86" w:rsidRPr="004C5551">
              <w:rPr>
                <w:color w:val="000000"/>
                <w:szCs w:val="17"/>
              </w:rPr>
              <w:t> </w:t>
            </w:r>
            <w:r w:rsidRPr="004C5551">
              <w:rPr>
                <w:color w:val="000000"/>
                <w:szCs w:val="17"/>
              </w:rPr>
              <w:t>%</w:t>
            </w:r>
          </w:p>
        </w:tc>
        <w:tc>
          <w:tcPr>
            <w:tcW w:w="1260" w:type="dxa"/>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0,99</w:t>
            </w:r>
            <w:r w:rsidR="00875D86" w:rsidRPr="004C5551">
              <w:rPr>
                <w:color w:val="000000"/>
                <w:szCs w:val="17"/>
              </w:rPr>
              <w:t> </w:t>
            </w:r>
            <w:r w:rsidRPr="004C5551">
              <w:rPr>
                <w:color w:val="000000"/>
                <w:szCs w:val="17"/>
              </w:rPr>
              <w:t>%</w:t>
            </w:r>
          </w:p>
        </w:tc>
        <w:tc>
          <w:tcPr>
            <w:tcW w:w="1091" w:type="dxa"/>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9,15</w:t>
            </w:r>
            <w:r w:rsidR="00875D86" w:rsidRPr="004C5551">
              <w:rPr>
                <w:color w:val="000000"/>
                <w:szCs w:val="17"/>
              </w:rPr>
              <w:t> </w:t>
            </w:r>
            <w:r w:rsidRPr="004C5551">
              <w:rPr>
                <w:color w:val="000000"/>
                <w:szCs w:val="17"/>
              </w:rPr>
              <w:t>%</w:t>
            </w:r>
          </w:p>
        </w:tc>
        <w:tc>
          <w:tcPr>
            <w:tcW w:w="1273" w:type="dxa"/>
            <w:shd w:val="clear" w:color="auto" w:fill="auto"/>
            <w:noWrap/>
            <w:vAlign w:val="center"/>
            <w:hideMark/>
          </w:tcPr>
          <w:p w:rsidR="00C371A4" w:rsidRPr="004C5551" w:rsidRDefault="00C371A4" w:rsidP="00014525">
            <w:pPr>
              <w:jc w:val="center"/>
              <w:rPr>
                <w:color w:val="000000"/>
                <w:szCs w:val="17"/>
              </w:rPr>
            </w:pPr>
            <w:r w:rsidRPr="004C5551">
              <w:rPr>
                <w:color w:val="000000"/>
                <w:szCs w:val="17"/>
              </w:rPr>
              <w:t>1,45</w:t>
            </w:r>
            <w:r w:rsidR="00875D86" w:rsidRPr="004C5551">
              <w:rPr>
                <w:color w:val="000000"/>
                <w:szCs w:val="17"/>
              </w:rPr>
              <w:t> </w:t>
            </w:r>
            <w:r w:rsidRPr="004C5551">
              <w:rPr>
                <w:color w:val="000000"/>
                <w:szCs w:val="17"/>
              </w:rPr>
              <w:t>%</w:t>
            </w:r>
          </w:p>
        </w:tc>
      </w:tr>
    </w:tbl>
    <w:p w:rsidR="00C371A4" w:rsidRPr="004C5551" w:rsidRDefault="00C371A4" w:rsidP="006A1B1E">
      <w:pPr>
        <w:pStyle w:val="zdroj"/>
        <w:ind w:firstLine="1418"/>
      </w:pPr>
      <w:r w:rsidRPr="004C5551">
        <w:t>Výpočet: MPSVR SR</w:t>
      </w:r>
    </w:p>
    <w:p w:rsidR="00C371A4" w:rsidRPr="004C5551" w:rsidRDefault="00E4189E" w:rsidP="00C92B2F">
      <w:pPr>
        <w:ind w:firstLine="431"/>
      </w:pPr>
      <w:r w:rsidRPr="004C5551">
        <w:t>Z</w:t>
      </w:r>
      <w:r w:rsidR="00C371A4" w:rsidRPr="004C5551">
        <w:t xml:space="preserve">menu </w:t>
      </w:r>
      <w:r w:rsidRPr="004C5551">
        <w:t xml:space="preserve">v rozdelení majetku dôchodkových fondov </w:t>
      </w:r>
      <w:r w:rsidR="00C371A4" w:rsidRPr="004C5551">
        <w:t>je možné pripísať vysokému zhodnoteniu indexových negarantovaných dôchodkových fondov (v roku 2013 na úrovni 17,45</w:t>
      </w:r>
      <w:r w:rsidR="009425AA" w:rsidRPr="004C5551">
        <w:t> %</w:t>
      </w:r>
      <w:r w:rsidR="00C371A4" w:rsidRPr="004C5551">
        <w:t>, v roku 2014 na</w:t>
      </w:r>
      <w:r w:rsidR="009E0529" w:rsidRPr="004C5551">
        <w:t> </w:t>
      </w:r>
      <w:r w:rsidR="00C371A4" w:rsidRPr="004C5551">
        <w:t>úrovni 13,39</w:t>
      </w:r>
      <w:r w:rsidR="009425AA" w:rsidRPr="004C5551">
        <w:t> %</w:t>
      </w:r>
      <w:r w:rsidR="00C371A4" w:rsidRPr="004C5551">
        <w:t>). Napriek tomu, že ročné zhodnotenie týchto fondov oproti roku 2013 pokleslo, jedná sa o najvýkonnejší typ fondov. Zhodnotenia zvyšných troch typov fondov oproti roku 2013 zaznamenali nárast. Prehľad celkového a ročného zhodnotenia dôchodkových fondov sa nachádza v tabuľke 3.7.</w:t>
      </w:r>
    </w:p>
    <w:p w:rsidR="00105470" w:rsidRPr="004C5551" w:rsidRDefault="00105470" w:rsidP="00C92B2F">
      <w:pPr>
        <w:ind w:firstLine="431"/>
      </w:pPr>
    </w:p>
    <w:p w:rsidR="009E0529" w:rsidRPr="004C5551" w:rsidRDefault="009E0529" w:rsidP="00C92B2F">
      <w:pPr>
        <w:ind w:firstLine="431"/>
      </w:pPr>
    </w:p>
    <w:p w:rsidR="00C371A4" w:rsidRPr="004C5551" w:rsidRDefault="00C371A4" w:rsidP="009E0529">
      <w:pPr>
        <w:pStyle w:val="Nadpis7"/>
        <w:spacing w:before="0"/>
      </w:pPr>
      <w:r w:rsidRPr="004C5551">
        <w:t>Tabuľka 3.7 Celkové a ročné zhodnotenie dôchodkových fondov</w:t>
      </w:r>
    </w:p>
    <w:tbl>
      <w:tblPr>
        <w:tblW w:w="6922" w:type="dxa"/>
        <w:jc w:val="center"/>
        <w:tblInd w:w="-982"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34"/>
        <w:gridCol w:w="1545"/>
        <w:gridCol w:w="1278"/>
        <w:gridCol w:w="1465"/>
      </w:tblGrid>
      <w:tr w:rsidR="00C371A4" w:rsidRPr="004C5551" w:rsidTr="006A1B1E">
        <w:trPr>
          <w:trHeight w:val="877"/>
          <w:jc w:val="center"/>
        </w:trPr>
        <w:tc>
          <w:tcPr>
            <w:tcW w:w="26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Dôchodkové fondy</w:t>
            </w:r>
          </w:p>
        </w:tc>
        <w:tc>
          <w:tcPr>
            <w:tcW w:w="154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E4189E" w:rsidP="00014525">
            <w:pPr>
              <w:jc w:val="center"/>
              <w:rPr>
                <w:b/>
                <w:bCs/>
                <w:color w:val="FFFFFF" w:themeColor="background1"/>
                <w:szCs w:val="18"/>
              </w:rPr>
            </w:pPr>
            <w:r w:rsidRPr="004C5551">
              <w:rPr>
                <w:b/>
                <w:bCs/>
                <w:color w:val="FFFFFF" w:themeColor="background1"/>
                <w:szCs w:val="18"/>
              </w:rPr>
              <w:t>Priemerné ročné zhodnotenie v roku 2013</w:t>
            </w:r>
          </w:p>
        </w:tc>
        <w:tc>
          <w:tcPr>
            <w:tcW w:w="127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C371A4" w:rsidP="00014525">
            <w:pPr>
              <w:jc w:val="center"/>
              <w:rPr>
                <w:b/>
                <w:bCs/>
                <w:color w:val="FFFFFF" w:themeColor="background1"/>
                <w:szCs w:val="18"/>
              </w:rPr>
            </w:pPr>
            <w:r w:rsidRPr="004C5551">
              <w:rPr>
                <w:b/>
                <w:bCs/>
                <w:color w:val="FFFFFF" w:themeColor="background1"/>
                <w:szCs w:val="18"/>
              </w:rPr>
              <w:t>Priemerné ročné zhodnotenie v roku 2014</w:t>
            </w:r>
          </w:p>
        </w:tc>
        <w:tc>
          <w:tcPr>
            <w:tcW w:w="146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371A4" w:rsidRPr="004C5551" w:rsidRDefault="00B819D4" w:rsidP="00014525">
            <w:pPr>
              <w:jc w:val="center"/>
              <w:rPr>
                <w:b/>
                <w:bCs/>
                <w:color w:val="FFFFFF" w:themeColor="background1"/>
                <w:szCs w:val="18"/>
              </w:rPr>
            </w:pPr>
            <w:r w:rsidRPr="004C5551">
              <w:rPr>
                <w:b/>
                <w:bCs/>
                <w:color w:val="FFFFFF" w:themeColor="background1"/>
                <w:szCs w:val="18"/>
              </w:rPr>
              <w:t>Celkové zhodnotenie k 31.12.2014</w:t>
            </w:r>
            <w:r w:rsidR="00350A9B" w:rsidRPr="004C5551">
              <w:rPr>
                <w:rStyle w:val="Odkaznapoznmkupodiarou"/>
                <w:b/>
                <w:bCs/>
                <w:color w:val="FFFFFF" w:themeColor="background1"/>
                <w:szCs w:val="18"/>
              </w:rPr>
              <w:footnoteReference w:id="28"/>
            </w:r>
          </w:p>
        </w:tc>
      </w:tr>
      <w:tr w:rsidR="00B819D4" w:rsidRPr="004C5551" w:rsidTr="006A1B1E">
        <w:trPr>
          <w:trHeight w:val="362"/>
          <w:jc w:val="center"/>
        </w:trPr>
        <w:tc>
          <w:tcPr>
            <w:tcW w:w="2634" w:type="dxa"/>
            <w:tcBorders>
              <w:top w:val="single" w:sz="6" w:space="0" w:color="BF0000" w:themeColor="accent3" w:themeShade="BF"/>
            </w:tcBorders>
            <w:shd w:val="clear" w:color="auto" w:fill="auto"/>
            <w:noWrap/>
            <w:vAlign w:val="center"/>
            <w:hideMark/>
          </w:tcPr>
          <w:p w:rsidR="00B819D4" w:rsidRPr="004C5551" w:rsidRDefault="00B819D4" w:rsidP="00014525">
            <w:pPr>
              <w:rPr>
                <w:b/>
                <w:bCs/>
                <w:szCs w:val="18"/>
              </w:rPr>
            </w:pPr>
            <w:r w:rsidRPr="004C5551">
              <w:rPr>
                <w:b/>
                <w:bCs/>
                <w:szCs w:val="18"/>
              </w:rPr>
              <w:t>Dlhopisové garantované</w:t>
            </w:r>
          </w:p>
        </w:tc>
        <w:tc>
          <w:tcPr>
            <w:tcW w:w="1545" w:type="dxa"/>
            <w:tcBorders>
              <w:top w:val="single" w:sz="6" w:space="0" w:color="BF0000" w:themeColor="accent3" w:themeShade="BF"/>
            </w:tcBorders>
            <w:shd w:val="clear" w:color="auto" w:fill="auto"/>
            <w:noWrap/>
            <w:vAlign w:val="center"/>
            <w:hideMark/>
          </w:tcPr>
          <w:p w:rsidR="00B819D4" w:rsidRPr="004C5551" w:rsidRDefault="00B819D4" w:rsidP="00D6574F">
            <w:pPr>
              <w:jc w:val="center"/>
              <w:rPr>
                <w:bCs/>
                <w:szCs w:val="18"/>
              </w:rPr>
            </w:pPr>
            <w:r w:rsidRPr="004C5551">
              <w:rPr>
                <w:bCs/>
                <w:szCs w:val="18"/>
              </w:rPr>
              <w:t>1,0 %</w:t>
            </w:r>
          </w:p>
        </w:tc>
        <w:tc>
          <w:tcPr>
            <w:tcW w:w="1278" w:type="dxa"/>
            <w:tcBorders>
              <w:top w:val="single" w:sz="6" w:space="0" w:color="BF0000" w:themeColor="accent3" w:themeShade="BF"/>
            </w:tcBorders>
            <w:shd w:val="clear" w:color="auto" w:fill="auto"/>
            <w:noWrap/>
            <w:vAlign w:val="center"/>
            <w:hideMark/>
          </w:tcPr>
          <w:p w:rsidR="00B819D4" w:rsidRPr="004C5551" w:rsidRDefault="00B819D4" w:rsidP="00D6574F">
            <w:pPr>
              <w:jc w:val="center"/>
              <w:rPr>
                <w:bCs/>
                <w:szCs w:val="18"/>
              </w:rPr>
            </w:pPr>
            <w:r w:rsidRPr="004C5551">
              <w:rPr>
                <w:bCs/>
                <w:szCs w:val="18"/>
              </w:rPr>
              <w:t>3,26 %</w:t>
            </w:r>
          </w:p>
        </w:tc>
        <w:tc>
          <w:tcPr>
            <w:tcW w:w="1465" w:type="dxa"/>
            <w:tcBorders>
              <w:top w:val="single" w:sz="6" w:space="0" w:color="BF0000" w:themeColor="accent3" w:themeShade="BF"/>
            </w:tcBorders>
            <w:shd w:val="clear" w:color="auto" w:fill="auto"/>
            <w:noWrap/>
            <w:vAlign w:val="center"/>
          </w:tcPr>
          <w:p w:rsidR="00B819D4" w:rsidRPr="004C5551" w:rsidRDefault="00B819D4" w:rsidP="00D6574F">
            <w:pPr>
              <w:jc w:val="center"/>
              <w:rPr>
                <w:bCs/>
                <w:szCs w:val="18"/>
              </w:rPr>
            </w:pPr>
            <w:r w:rsidRPr="004C5551">
              <w:rPr>
                <w:bCs/>
                <w:szCs w:val="18"/>
              </w:rPr>
              <w:t>26,88 %</w:t>
            </w:r>
          </w:p>
        </w:tc>
      </w:tr>
      <w:tr w:rsidR="00B819D4" w:rsidRPr="004C5551" w:rsidTr="006A1B1E">
        <w:trPr>
          <w:trHeight w:val="348"/>
          <w:jc w:val="center"/>
        </w:trPr>
        <w:tc>
          <w:tcPr>
            <w:tcW w:w="2634" w:type="dxa"/>
            <w:shd w:val="clear" w:color="auto" w:fill="auto"/>
            <w:noWrap/>
            <w:vAlign w:val="center"/>
            <w:hideMark/>
          </w:tcPr>
          <w:p w:rsidR="00B819D4" w:rsidRPr="004C5551" w:rsidRDefault="00B819D4" w:rsidP="00014525">
            <w:pPr>
              <w:rPr>
                <w:b/>
                <w:bCs/>
                <w:szCs w:val="18"/>
              </w:rPr>
            </w:pPr>
            <w:r w:rsidRPr="004C5551">
              <w:rPr>
                <w:b/>
                <w:bCs/>
                <w:szCs w:val="18"/>
              </w:rPr>
              <w:t>Zmiešané negarantované</w:t>
            </w:r>
          </w:p>
        </w:tc>
        <w:tc>
          <w:tcPr>
            <w:tcW w:w="1545" w:type="dxa"/>
            <w:shd w:val="clear" w:color="auto" w:fill="auto"/>
            <w:noWrap/>
            <w:vAlign w:val="center"/>
            <w:hideMark/>
          </w:tcPr>
          <w:p w:rsidR="00B819D4" w:rsidRPr="004C5551" w:rsidRDefault="00B819D4" w:rsidP="00D6574F">
            <w:pPr>
              <w:jc w:val="center"/>
              <w:rPr>
                <w:bCs/>
                <w:szCs w:val="18"/>
              </w:rPr>
            </w:pPr>
            <w:r w:rsidRPr="004C5551">
              <w:rPr>
                <w:bCs/>
                <w:szCs w:val="18"/>
              </w:rPr>
              <w:t>2,7 %</w:t>
            </w:r>
          </w:p>
        </w:tc>
        <w:tc>
          <w:tcPr>
            <w:tcW w:w="1278" w:type="dxa"/>
            <w:shd w:val="clear" w:color="auto" w:fill="auto"/>
            <w:noWrap/>
            <w:vAlign w:val="center"/>
            <w:hideMark/>
          </w:tcPr>
          <w:p w:rsidR="00B819D4" w:rsidRPr="004C5551" w:rsidRDefault="00B819D4" w:rsidP="00D6574F">
            <w:pPr>
              <w:jc w:val="center"/>
              <w:rPr>
                <w:bCs/>
                <w:szCs w:val="18"/>
              </w:rPr>
            </w:pPr>
            <w:r w:rsidRPr="004C5551">
              <w:rPr>
                <w:bCs/>
                <w:szCs w:val="18"/>
              </w:rPr>
              <w:t>8,08 %</w:t>
            </w:r>
          </w:p>
        </w:tc>
        <w:tc>
          <w:tcPr>
            <w:tcW w:w="1465" w:type="dxa"/>
            <w:shd w:val="clear" w:color="auto" w:fill="auto"/>
            <w:noWrap/>
            <w:vAlign w:val="center"/>
          </w:tcPr>
          <w:p w:rsidR="00B819D4" w:rsidRPr="004C5551" w:rsidRDefault="00B819D4" w:rsidP="00D6574F">
            <w:pPr>
              <w:jc w:val="center"/>
              <w:rPr>
                <w:bCs/>
                <w:szCs w:val="18"/>
              </w:rPr>
            </w:pPr>
            <w:r w:rsidRPr="004C5551">
              <w:rPr>
                <w:bCs/>
                <w:szCs w:val="18"/>
              </w:rPr>
              <w:t>26,66 %</w:t>
            </w:r>
          </w:p>
        </w:tc>
      </w:tr>
      <w:tr w:rsidR="00B819D4" w:rsidRPr="004C5551" w:rsidTr="006A1B1E">
        <w:trPr>
          <w:trHeight w:val="348"/>
          <w:jc w:val="center"/>
        </w:trPr>
        <w:tc>
          <w:tcPr>
            <w:tcW w:w="2634" w:type="dxa"/>
            <w:shd w:val="clear" w:color="auto" w:fill="auto"/>
            <w:noWrap/>
            <w:vAlign w:val="center"/>
            <w:hideMark/>
          </w:tcPr>
          <w:p w:rsidR="00B819D4" w:rsidRPr="004C5551" w:rsidRDefault="00B819D4" w:rsidP="00014525">
            <w:pPr>
              <w:rPr>
                <w:b/>
                <w:bCs/>
                <w:szCs w:val="18"/>
              </w:rPr>
            </w:pPr>
            <w:r w:rsidRPr="004C5551">
              <w:rPr>
                <w:b/>
                <w:bCs/>
                <w:szCs w:val="18"/>
              </w:rPr>
              <w:t>Akciové negarantované</w:t>
            </w:r>
          </w:p>
        </w:tc>
        <w:tc>
          <w:tcPr>
            <w:tcW w:w="1545" w:type="dxa"/>
            <w:shd w:val="clear" w:color="auto" w:fill="auto"/>
            <w:noWrap/>
            <w:vAlign w:val="center"/>
            <w:hideMark/>
          </w:tcPr>
          <w:p w:rsidR="00B819D4" w:rsidRPr="004C5551" w:rsidRDefault="00B819D4" w:rsidP="00D6574F">
            <w:pPr>
              <w:jc w:val="center"/>
              <w:rPr>
                <w:bCs/>
                <w:szCs w:val="18"/>
              </w:rPr>
            </w:pPr>
            <w:r w:rsidRPr="004C5551">
              <w:rPr>
                <w:bCs/>
                <w:szCs w:val="18"/>
              </w:rPr>
              <w:t>3,9 %</w:t>
            </w:r>
          </w:p>
        </w:tc>
        <w:tc>
          <w:tcPr>
            <w:tcW w:w="1278" w:type="dxa"/>
            <w:shd w:val="clear" w:color="auto" w:fill="auto"/>
            <w:noWrap/>
            <w:vAlign w:val="center"/>
            <w:hideMark/>
          </w:tcPr>
          <w:p w:rsidR="00B819D4" w:rsidRPr="004C5551" w:rsidRDefault="00B819D4" w:rsidP="00D6574F">
            <w:pPr>
              <w:jc w:val="center"/>
              <w:rPr>
                <w:bCs/>
                <w:szCs w:val="18"/>
              </w:rPr>
            </w:pPr>
            <w:r w:rsidRPr="004C5551">
              <w:rPr>
                <w:bCs/>
                <w:szCs w:val="18"/>
              </w:rPr>
              <w:t>9,56 %</w:t>
            </w:r>
          </w:p>
        </w:tc>
        <w:tc>
          <w:tcPr>
            <w:tcW w:w="1465" w:type="dxa"/>
            <w:shd w:val="clear" w:color="auto" w:fill="auto"/>
            <w:noWrap/>
            <w:vAlign w:val="center"/>
          </w:tcPr>
          <w:p w:rsidR="00B819D4" w:rsidRPr="004C5551" w:rsidRDefault="00B819D4" w:rsidP="00D6574F">
            <w:pPr>
              <w:jc w:val="center"/>
              <w:rPr>
                <w:bCs/>
                <w:szCs w:val="18"/>
              </w:rPr>
            </w:pPr>
            <w:r w:rsidRPr="004C5551">
              <w:rPr>
                <w:bCs/>
                <w:szCs w:val="18"/>
              </w:rPr>
              <w:t>26,13 %</w:t>
            </w:r>
          </w:p>
        </w:tc>
      </w:tr>
      <w:tr w:rsidR="00B819D4" w:rsidRPr="004C5551" w:rsidTr="006A1B1E">
        <w:trPr>
          <w:trHeight w:val="348"/>
          <w:jc w:val="center"/>
        </w:trPr>
        <w:tc>
          <w:tcPr>
            <w:tcW w:w="2634" w:type="dxa"/>
            <w:shd w:val="clear" w:color="auto" w:fill="auto"/>
            <w:noWrap/>
            <w:vAlign w:val="center"/>
            <w:hideMark/>
          </w:tcPr>
          <w:p w:rsidR="00B819D4" w:rsidRPr="004C5551" w:rsidRDefault="00B819D4" w:rsidP="00014525">
            <w:pPr>
              <w:rPr>
                <w:b/>
                <w:bCs/>
                <w:szCs w:val="18"/>
              </w:rPr>
            </w:pPr>
            <w:r w:rsidRPr="004C5551">
              <w:rPr>
                <w:b/>
                <w:bCs/>
                <w:szCs w:val="18"/>
              </w:rPr>
              <w:t>Indexové negarantované</w:t>
            </w:r>
          </w:p>
        </w:tc>
        <w:tc>
          <w:tcPr>
            <w:tcW w:w="1545" w:type="dxa"/>
            <w:shd w:val="clear" w:color="auto" w:fill="auto"/>
            <w:noWrap/>
            <w:vAlign w:val="center"/>
            <w:hideMark/>
          </w:tcPr>
          <w:p w:rsidR="00B819D4" w:rsidRPr="004C5551" w:rsidRDefault="00B819D4" w:rsidP="00D6574F">
            <w:pPr>
              <w:jc w:val="center"/>
              <w:rPr>
                <w:bCs/>
                <w:szCs w:val="18"/>
              </w:rPr>
            </w:pPr>
            <w:r w:rsidRPr="004C5551">
              <w:rPr>
                <w:bCs/>
                <w:szCs w:val="18"/>
              </w:rPr>
              <w:t>17,4 %</w:t>
            </w:r>
          </w:p>
        </w:tc>
        <w:tc>
          <w:tcPr>
            <w:tcW w:w="1278" w:type="dxa"/>
            <w:shd w:val="clear" w:color="auto" w:fill="auto"/>
            <w:noWrap/>
            <w:vAlign w:val="center"/>
            <w:hideMark/>
          </w:tcPr>
          <w:p w:rsidR="00B819D4" w:rsidRPr="004C5551" w:rsidRDefault="00B819D4" w:rsidP="00D6574F">
            <w:pPr>
              <w:jc w:val="center"/>
              <w:rPr>
                <w:bCs/>
                <w:szCs w:val="18"/>
              </w:rPr>
            </w:pPr>
            <w:r w:rsidRPr="004C5551">
              <w:rPr>
                <w:bCs/>
                <w:szCs w:val="18"/>
              </w:rPr>
              <w:t>13,39 %</w:t>
            </w:r>
          </w:p>
        </w:tc>
        <w:tc>
          <w:tcPr>
            <w:tcW w:w="1465" w:type="dxa"/>
            <w:shd w:val="clear" w:color="auto" w:fill="auto"/>
            <w:noWrap/>
            <w:vAlign w:val="center"/>
          </w:tcPr>
          <w:p w:rsidR="00B819D4" w:rsidRPr="004C5551" w:rsidRDefault="00B819D4" w:rsidP="00D6574F">
            <w:pPr>
              <w:jc w:val="center"/>
              <w:rPr>
                <w:bCs/>
                <w:szCs w:val="18"/>
              </w:rPr>
            </w:pPr>
            <w:r w:rsidRPr="004C5551">
              <w:rPr>
                <w:bCs/>
                <w:szCs w:val="18"/>
              </w:rPr>
              <w:t>41,72 %</w:t>
            </w:r>
          </w:p>
        </w:tc>
      </w:tr>
    </w:tbl>
    <w:p w:rsidR="00C371A4" w:rsidRPr="004C5551" w:rsidRDefault="00C371A4" w:rsidP="003D4864">
      <w:pPr>
        <w:pStyle w:val="zdroj"/>
        <w:ind w:left="567"/>
      </w:pPr>
      <w:r w:rsidRPr="004C5551">
        <w:t>Výpočet: MPSVR SR</w:t>
      </w:r>
    </w:p>
    <w:p w:rsidR="00C371A4" w:rsidRPr="004C5551" w:rsidRDefault="00C371A4" w:rsidP="00C371A4">
      <w:pPr>
        <w:pStyle w:val="Nadpis7"/>
        <w:rPr>
          <w:lang w:eastAsia="cs-CZ"/>
        </w:rPr>
      </w:pPr>
      <w:bookmarkStart w:id="390" w:name="_Toc313878920"/>
      <w:bookmarkStart w:id="391" w:name="_Toc294029429"/>
      <w:bookmarkStart w:id="392" w:name="_Toc294027190"/>
      <w:bookmarkStart w:id="393" w:name="_Toc325438177"/>
      <w:bookmarkStart w:id="394" w:name="_Toc325440946"/>
      <w:bookmarkStart w:id="395" w:name="_Toc356482688"/>
      <w:r w:rsidRPr="004C5551">
        <w:rPr>
          <w:lang w:eastAsia="cs-CZ"/>
        </w:rPr>
        <w:t>Graf 3.</w:t>
      </w:r>
      <w:r w:rsidR="00AB3F7F" w:rsidRPr="004C5551">
        <w:rPr>
          <w:lang w:eastAsia="cs-CZ"/>
        </w:rPr>
        <w:t>1</w:t>
      </w:r>
      <w:r w:rsidRPr="004C5551">
        <w:rPr>
          <w:lang w:eastAsia="cs-CZ"/>
        </w:rPr>
        <w:t xml:space="preserve"> Vývoj hodnoty dôchodkovej jednotky jednotlivých dôchodkových fondov v roku 2014</w:t>
      </w:r>
    </w:p>
    <w:p w:rsidR="00C371A4" w:rsidRPr="004C5551" w:rsidRDefault="00C371A4" w:rsidP="00C371A4">
      <w:pPr>
        <w:rPr>
          <w:lang w:eastAsia="cs-CZ"/>
        </w:rPr>
      </w:pPr>
      <w:r w:rsidRPr="004C5551">
        <w:rPr>
          <w:noProof/>
        </w:rPr>
        <w:drawing>
          <wp:inline distT="0" distB="0" distL="0" distR="0" wp14:anchorId="6D262693" wp14:editId="6BA2C604">
            <wp:extent cx="5924550" cy="2543175"/>
            <wp:effectExtent l="0" t="0" r="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371A4" w:rsidRPr="004C5551" w:rsidRDefault="00C371A4" w:rsidP="009E0529">
      <w:pPr>
        <w:pStyle w:val="zdroj"/>
        <w:spacing w:before="0"/>
      </w:pPr>
      <w:r w:rsidRPr="004C5551">
        <w:t>Zdroj: MPSVR SR</w:t>
      </w:r>
    </w:p>
    <w:p w:rsidR="00460DEB" w:rsidRPr="004C5551" w:rsidRDefault="00C371A4" w:rsidP="00460DEB">
      <w:pPr>
        <w:ind w:firstLine="567"/>
      </w:pPr>
      <w:r w:rsidRPr="004C5551">
        <w:t>Počet sporiteľov starobného dôchodkového sporenia bol k 31.12.2014 takmer 1,5</w:t>
      </w:r>
      <w:r w:rsidR="00073D95" w:rsidRPr="004C5551">
        <w:t xml:space="preserve"> </w:t>
      </w:r>
      <w:r w:rsidRPr="004C5551">
        <w:t xml:space="preserve">mil. </w:t>
      </w:r>
      <w:r w:rsidR="009E0529" w:rsidRPr="004C5551">
        <w:br/>
      </w:r>
      <w:r w:rsidRPr="004C5551">
        <w:t>(tabuľka 3.8).</w:t>
      </w:r>
      <w:r w:rsidR="001743E6" w:rsidRPr="004C5551">
        <w:t xml:space="preserve"> </w:t>
      </w:r>
      <w:r w:rsidR="0017146E" w:rsidRPr="004C5551">
        <w:t>Rozdelenie sporiteľov v rámci jednotlivých dôchodkových správcovských spoločností sa od roku 2013 takmer nezmenil</w:t>
      </w:r>
      <w:r w:rsidR="0093563E" w:rsidRPr="004C5551">
        <w:t>o</w:t>
      </w:r>
      <w:r w:rsidR="0017146E" w:rsidRPr="004C5551">
        <w:t>.</w:t>
      </w:r>
    </w:p>
    <w:bookmarkEnd w:id="390"/>
    <w:bookmarkEnd w:id="391"/>
    <w:bookmarkEnd w:id="392"/>
    <w:bookmarkEnd w:id="393"/>
    <w:bookmarkEnd w:id="394"/>
    <w:bookmarkEnd w:id="395"/>
    <w:p w:rsidR="00C371A4" w:rsidRPr="004C5551" w:rsidRDefault="00C371A4" w:rsidP="00C94F79">
      <w:pPr>
        <w:pStyle w:val="Nadpis7"/>
      </w:pPr>
      <w:r w:rsidRPr="004C5551">
        <w:t>Tabuľka 3.8 Počet sporiteľov v dôchodkových fondoch starobného dôchodkového sporenia k 31.12.2014</w:t>
      </w:r>
    </w:p>
    <w:tbl>
      <w:tblPr>
        <w:tblW w:w="6077" w:type="dxa"/>
        <w:jc w:val="center"/>
        <w:tblInd w:w="-277"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846"/>
        <w:gridCol w:w="1587"/>
        <w:gridCol w:w="1644"/>
      </w:tblGrid>
      <w:tr w:rsidR="00C371A4" w:rsidRPr="004C5551" w:rsidTr="009E0529">
        <w:trPr>
          <w:trHeight w:val="300"/>
          <w:jc w:val="center"/>
        </w:trPr>
        <w:tc>
          <w:tcPr>
            <w:tcW w:w="2846"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014525">
            <w:pPr>
              <w:jc w:val="center"/>
              <w:rPr>
                <w:b/>
                <w:color w:val="FFFFFF" w:themeColor="background1"/>
                <w:lang w:eastAsia="cs-CZ"/>
              </w:rPr>
            </w:pPr>
            <w:bookmarkStart w:id="396" w:name="_Toc294019862"/>
            <w:bookmarkStart w:id="397" w:name="_Toc294027191"/>
            <w:bookmarkStart w:id="398" w:name="_Toc294029430"/>
            <w:bookmarkStart w:id="399" w:name="_Toc313878921"/>
            <w:r w:rsidRPr="004C5551">
              <w:rPr>
                <w:b/>
                <w:color w:val="FFFFFF" w:themeColor="background1"/>
                <w:lang w:eastAsia="cs-CZ"/>
              </w:rPr>
              <w:t>Dôchodková správcovská spoločnosť</w:t>
            </w:r>
            <w:bookmarkEnd w:id="396"/>
            <w:bookmarkEnd w:id="397"/>
            <w:bookmarkEnd w:id="398"/>
            <w:bookmarkEnd w:id="399"/>
          </w:p>
        </w:tc>
        <w:tc>
          <w:tcPr>
            <w:tcW w:w="158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014525">
            <w:pPr>
              <w:jc w:val="center"/>
              <w:rPr>
                <w:b/>
                <w:color w:val="FFFFFF" w:themeColor="background1"/>
                <w:lang w:eastAsia="cs-CZ"/>
              </w:rPr>
            </w:pPr>
            <w:bookmarkStart w:id="400" w:name="_Toc294019866"/>
            <w:bookmarkStart w:id="401" w:name="_Toc294027195"/>
            <w:bookmarkStart w:id="402" w:name="_Toc294029434"/>
            <w:bookmarkStart w:id="403" w:name="_Toc313878925"/>
            <w:r w:rsidRPr="004C5551">
              <w:rPr>
                <w:b/>
                <w:color w:val="FFFFFF" w:themeColor="background1"/>
                <w:lang w:eastAsia="cs-CZ"/>
              </w:rPr>
              <w:t>Počet sporiteľov k 31.12.201</w:t>
            </w:r>
            <w:bookmarkEnd w:id="400"/>
            <w:bookmarkEnd w:id="401"/>
            <w:bookmarkEnd w:id="402"/>
            <w:bookmarkEnd w:id="403"/>
            <w:r w:rsidRPr="004C5551">
              <w:rPr>
                <w:b/>
                <w:color w:val="FFFFFF" w:themeColor="background1"/>
                <w:lang w:eastAsia="cs-CZ"/>
              </w:rPr>
              <w:t>4</w:t>
            </w:r>
          </w:p>
        </w:tc>
        <w:tc>
          <w:tcPr>
            <w:tcW w:w="16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014525">
            <w:pPr>
              <w:jc w:val="center"/>
              <w:rPr>
                <w:b/>
                <w:color w:val="FFFFFF" w:themeColor="background1"/>
                <w:lang w:eastAsia="cs-CZ"/>
              </w:rPr>
            </w:pPr>
            <w:bookmarkStart w:id="404" w:name="_Toc294019867"/>
            <w:bookmarkStart w:id="405" w:name="_Toc294027196"/>
            <w:bookmarkStart w:id="406" w:name="_Toc294029435"/>
            <w:bookmarkStart w:id="407" w:name="_Toc313878926"/>
            <w:r w:rsidRPr="004C5551">
              <w:rPr>
                <w:b/>
                <w:color w:val="FFFFFF" w:themeColor="background1"/>
                <w:lang w:eastAsia="cs-CZ"/>
              </w:rPr>
              <w:t xml:space="preserve">Percentuálny podiel </w:t>
            </w:r>
            <w:bookmarkEnd w:id="404"/>
            <w:bookmarkEnd w:id="405"/>
            <w:bookmarkEnd w:id="406"/>
            <w:bookmarkEnd w:id="407"/>
            <w:r w:rsidRPr="004C5551">
              <w:rPr>
                <w:b/>
                <w:color w:val="FFFFFF" w:themeColor="background1"/>
                <w:lang w:eastAsia="cs-CZ"/>
              </w:rPr>
              <w:t>sporiteľov</w:t>
            </w:r>
          </w:p>
        </w:tc>
      </w:tr>
      <w:tr w:rsidR="00C371A4" w:rsidRPr="004C5551" w:rsidTr="009E0529">
        <w:trPr>
          <w:trHeight w:val="300"/>
          <w:jc w:val="center"/>
        </w:trPr>
        <w:tc>
          <w:tcPr>
            <w:tcW w:w="2846" w:type="dxa"/>
            <w:tcBorders>
              <w:top w:val="single" w:sz="6" w:space="0" w:color="BF0000" w:themeColor="accent3" w:themeShade="BF"/>
            </w:tcBorders>
            <w:noWrap/>
            <w:vAlign w:val="center"/>
          </w:tcPr>
          <w:p w:rsidR="00C371A4" w:rsidRPr="004C5551" w:rsidRDefault="00C371A4" w:rsidP="00014525">
            <w:bookmarkStart w:id="408" w:name="_Toc294019868"/>
            <w:bookmarkStart w:id="409" w:name="_Toc294027197"/>
            <w:bookmarkStart w:id="410" w:name="_Toc294029436"/>
            <w:bookmarkStart w:id="411" w:name="_Toc313878927"/>
            <w:r w:rsidRPr="004C5551">
              <w:t xml:space="preserve">AEGON, </w:t>
            </w:r>
            <w:proofErr w:type="spellStart"/>
            <w:r w:rsidRPr="004C5551">
              <w:t>d.s.s</w:t>
            </w:r>
            <w:proofErr w:type="spellEnd"/>
            <w:r w:rsidRPr="004C5551">
              <w:t>., a.s.</w:t>
            </w:r>
            <w:bookmarkEnd w:id="408"/>
            <w:bookmarkEnd w:id="409"/>
            <w:bookmarkEnd w:id="410"/>
            <w:bookmarkEnd w:id="411"/>
          </w:p>
        </w:tc>
        <w:tc>
          <w:tcPr>
            <w:tcW w:w="1587" w:type="dxa"/>
            <w:tcBorders>
              <w:top w:val="single" w:sz="6" w:space="0" w:color="BF0000" w:themeColor="accent3" w:themeShade="BF"/>
            </w:tcBorders>
            <w:noWrap/>
            <w:vAlign w:val="center"/>
          </w:tcPr>
          <w:p w:rsidR="00C371A4" w:rsidRPr="004C5551" w:rsidRDefault="00C371A4" w:rsidP="00C94F79">
            <w:pPr>
              <w:ind w:right="214"/>
              <w:jc w:val="right"/>
              <w:rPr>
                <w:i/>
                <w:iCs/>
                <w:color w:val="000000"/>
                <w:szCs w:val="20"/>
              </w:rPr>
            </w:pPr>
            <w:r w:rsidRPr="004C5551">
              <w:rPr>
                <w:i/>
                <w:iCs/>
                <w:color w:val="000000"/>
                <w:szCs w:val="20"/>
              </w:rPr>
              <w:t>174 375</w:t>
            </w:r>
          </w:p>
        </w:tc>
        <w:tc>
          <w:tcPr>
            <w:tcW w:w="1644" w:type="dxa"/>
            <w:tcBorders>
              <w:top w:val="single" w:sz="6" w:space="0" w:color="BF0000" w:themeColor="accent3" w:themeShade="BF"/>
            </w:tcBorders>
            <w:noWrap/>
            <w:vAlign w:val="center"/>
          </w:tcPr>
          <w:p w:rsidR="00C371A4" w:rsidRPr="004C5551" w:rsidRDefault="00C371A4" w:rsidP="00C94F79">
            <w:pPr>
              <w:ind w:right="214"/>
              <w:jc w:val="right"/>
              <w:rPr>
                <w:i/>
                <w:iCs/>
                <w:color w:val="000000"/>
                <w:szCs w:val="20"/>
              </w:rPr>
            </w:pPr>
            <w:r w:rsidRPr="004C5551">
              <w:rPr>
                <w:i/>
                <w:iCs/>
                <w:color w:val="000000"/>
                <w:szCs w:val="20"/>
              </w:rPr>
              <w:t>11,90</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bookmarkStart w:id="412" w:name="_Toc294019874"/>
            <w:bookmarkStart w:id="413" w:name="_Toc294027203"/>
            <w:bookmarkStart w:id="414" w:name="_Toc294029442"/>
            <w:bookmarkStart w:id="415" w:name="_Toc313878933"/>
            <w:proofErr w:type="spellStart"/>
            <w:r w:rsidRPr="004C5551">
              <w:t>Allianz</w:t>
            </w:r>
            <w:proofErr w:type="spellEnd"/>
            <w:r w:rsidRPr="004C5551">
              <w:t xml:space="preserve"> - Slovenská </w:t>
            </w:r>
            <w:proofErr w:type="spellStart"/>
            <w:r w:rsidRPr="004C5551">
              <w:t>d.s.s</w:t>
            </w:r>
            <w:proofErr w:type="spellEnd"/>
            <w:r w:rsidRPr="004C5551">
              <w:t>., a.s.</w:t>
            </w:r>
            <w:bookmarkEnd w:id="412"/>
            <w:bookmarkEnd w:id="413"/>
            <w:bookmarkEnd w:id="414"/>
            <w:bookmarkEnd w:id="415"/>
          </w:p>
        </w:tc>
        <w:tc>
          <w:tcPr>
            <w:tcW w:w="1587" w:type="dxa"/>
            <w:noWrap/>
            <w:vAlign w:val="center"/>
          </w:tcPr>
          <w:p w:rsidR="00C371A4" w:rsidRPr="004C5551" w:rsidRDefault="00C371A4" w:rsidP="00C94F79">
            <w:pPr>
              <w:ind w:right="214"/>
              <w:jc w:val="right"/>
              <w:rPr>
                <w:i/>
                <w:iCs/>
                <w:color w:val="000000"/>
                <w:szCs w:val="20"/>
              </w:rPr>
            </w:pPr>
            <w:r w:rsidRPr="004C5551">
              <w:rPr>
                <w:i/>
                <w:iCs/>
                <w:color w:val="000000"/>
                <w:szCs w:val="20"/>
              </w:rPr>
              <w:t>458 862</w:t>
            </w:r>
          </w:p>
        </w:tc>
        <w:tc>
          <w:tcPr>
            <w:tcW w:w="1644" w:type="dxa"/>
            <w:noWrap/>
            <w:vAlign w:val="center"/>
          </w:tcPr>
          <w:p w:rsidR="00C371A4" w:rsidRPr="004C5551" w:rsidRDefault="00C371A4" w:rsidP="00C94F79">
            <w:pPr>
              <w:ind w:right="214"/>
              <w:jc w:val="right"/>
              <w:rPr>
                <w:i/>
                <w:iCs/>
                <w:color w:val="000000"/>
                <w:szCs w:val="20"/>
              </w:rPr>
            </w:pPr>
            <w:r w:rsidRPr="004C5551">
              <w:rPr>
                <w:i/>
                <w:iCs/>
                <w:color w:val="000000"/>
                <w:szCs w:val="20"/>
              </w:rPr>
              <w:t>31,33</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bookmarkStart w:id="416" w:name="_Toc294019880"/>
            <w:bookmarkStart w:id="417" w:name="_Toc294027209"/>
            <w:bookmarkStart w:id="418" w:name="_Toc294029448"/>
            <w:bookmarkStart w:id="419" w:name="_Toc313878939"/>
            <w:r w:rsidRPr="004C5551">
              <w:t xml:space="preserve">AXA </w:t>
            </w:r>
            <w:proofErr w:type="spellStart"/>
            <w:r w:rsidRPr="004C5551">
              <w:t>d.s.s</w:t>
            </w:r>
            <w:proofErr w:type="spellEnd"/>
            <w:r w:rsidRPr="004C5551">
              <w:t>., a.s.</w:t>
            </w:r>
            <w:bookmarkEnd w:id="416"/>
            <w:bookmarkEnd w:id="417"/>
            <w:bookmarkEnd w:id="418"/>
            <w:bookmarkEnd w:id="419"/>
          </w:p>
        </w:tc>
        <w:tc>
          <w:tcPr>
            <w:tcW w:w="1587" w:type="dxa"/>
            <w:noWrap/>
            <w:vAlign w:val="center"/>
          </w:tcPr>
          <w:p w:rsidR="00C371A4" w:rsidRPr="004C5551" w:rsidRDefault="00C371A4" w:rsidP="00C94F79">
            <w:pPr>
              <w:ind w:right="214"/>
              <w:jc w:val="right"/>
              <w:rPr>
                <w:i/>
                <w:iCs/>
                <w:color w:val="000000"/>
                <w:szCs w:val="20"/>
              </w:rPr>
            </w:pPr>
            <w:r w:rsidRPr="004C5551">
              <w:rPr>
                <w:i/>
                <w:iCs/>
                <w:color w:val="000000"/>
                <w:szCs w:val="20"/>
              </w:rPr>
              <w:t>358 163</w:t>
            </w:r>
          </w:p>
        </w:tc>
        <w:tc>
          <w:tcPr>
            <w:tcW w:w="1644" w:type="dxa"/>
            <w:noWrap/>
            <w:vAlign w:val="center"/>
          </w:tcPr>
          <w:p w:rsidR="00C371A4" w:rsidRPr="004C5551" w:rsidRDefault="00C371A4" w:rsidP="00C94F79">
            <w:pPr>
              <w:ind w:right="214"/>
              <w:jc w:val="right"/>
              <w:rPr>
                <w:i/>
                <w:iCs/>
                <w:color w:val="000000"/>
                <w:szCs w:val="20"/>
              </w:rPr>
            </w:pPr>
            <w:r w:rsidRPr="004C5551">
              <w:rPr>
                <w:i/>
                <w:iCs/>
                <w:color w:val="000000"/>
                <w:szCs w:val="20"/>
              </w:rPr>
              <w:t>24,45</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r w:rsidRPr="004C5551">
              <w:t xml:space="preserve">DSS Poštovej banky </w:t>
            </w:r>
            <w:proofErr w:type="spellStart"/>
            <w:r w:rsidRPr="004C5551">
              <w:t>d.s.s</w:t>
            </w:r>
            <w:proofErr w:type="spellEnd"/>
            <w:r w:rsidRPr="004C5551">
              <w:t>. a.s.</w:t>
            </w:r>
          </w:p>
        </w:tc>
        <w:tc>
          <w:tcPr>
            <w:tcW w:w="1587" w:type="dxa"/>
            <w:noWrap/>
            <w:vAlign w:val="center"/>
          </w:tcPr>
          <w:p w:rsidR="00C371A4" w:rsidRPr="004C5551" w:rsidRDefault="00C371A4" w:rsidP="00C94F79">
            <w:pPr>
              <w:ind w:right="214"/>
              <w:jc w:val="right"/>
              <w:rPr>
                <w:i/>
                <w:iCs/>
                <w:color w:val="000000"/>
                <w:szCs w:val="20"/>
              </w:rPr>
            </w:pPr>
            <w:r w:rsidRPr="004C5551">
              <w:rPr>
                <w:i/>
                <w:iCs/>
                <w:color w:val="000000"/>
                <w:szCs w:val="20"/>
              </w:rPr>
              <w:t>102 218</w:t>
            </w:r>
          </w:p>
        </w:tc>
        <w:tc>
          <w:tcPr>
            <w:tcW w:w="1644" w:type="dxa"/>
            <w:noWrap/>
            <w:vAlign w:val="center"/>
          </w:tcPr>
          <w:p w:rsidR="00C371A4" w:rsidRPr="004C5551" w:rsidRDefault="00C371A4" w:rsidP="00C94F79">
            <w:pPr>
              <w:ind w:right="214"/>
              <w:jc w:val="right"/>
              <w:rPr>
                <w:i/>
                <w:iCs/>
                <w:color w:val="000000"/>
                <w:szCs w:val="20"/>
              </w:rPr>
            </w:pPr>
            <w:r w:rsidRPr="004C5551">
              <w:rPr>
                <w:i/>
                <w:iCs/>
                <w:color w:val="000000"/>
                <w:szCs w:val="20"/>
              </w:rPr>
              <w:t>6,98</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bookmarkStart w:id="420" w:name="_Toc294019892"/>
            <w:bookmarkStart w:id="421" w:name="_Toc294027221"/>
            <w:bookmarkStart w:id="422" w:name="_Toc294029460"/>
            <w:bookmarkStart w:id="423" w:name="_Toc313878951"/>
            <w:r w:rsidRPr="004C5551">
              <w:t xml:space="preserve">ING </w:t>
            </w:r>
            <w:proofErr w:type="spellStart"/>
            <w:r w:rsidRPr="004C5551">
              <w:t>d.s.s</w:t>
            </w:r>
            <w:proofErr w:type="spellEnd"/>
            <w:r w:rsidRPr="004C5551">
              <w:t>., a.s.</w:t>
            </w:r>
            <w:bookmarkEnd w:id="420"/>
            <w:bookmarkEnd w:id="421"/>
            <w:bookmarkEnd w:id="422"/>
            <w:bookmarkEnd w:id="423"/>
          </w:p>
        </w:tc>
        <w:tc>
          <w:tcPr>
            <w:tcW w:w="1587" w:type="dxa"/>
            <w:noWrap/>
            <w:vAlign w:val="center"/>
          </w:tcPr>
          <w:p w:rsidR="00C371A4" w:rsidRPr="004C5551" w:rsidRDefault="00C371A4" w:rsidP="00C94F79">
            <w:pPr>
              <w:ind w:right="214"/>
              <w:jc w:val="right"/>
              <w:rPr>
                <w:i/>
                <w:iCs/>
                <w:color w:val="000000"/>
                <w:szCs w:val="20"/>
              </w:rPr>
            </w:pPr>
            <w:r w:rsidRPr="004C5551">
              <w:rPr>
                <w:i/>
                <w:iCs/>
                <w:color w:val="000000"/>
                <w:szCs w:val="20"/>
              </w:rPr>
              <w:t>147 839</w:t>
            </w:r>
          </w:p>
        </w:tc>
        <w:tc>
          <w:tcPr>
            <w:tcW w:w="1644" w:type="dxa"/>
            <w:noWrap/>
            <w:vAlign w:val="center"/>
          </w:tcPr>
          <w:p w:rsidR="00C371A4" w:rsidRPr="004C5551" w:rsidRDefault="00C371A4" w:rsidP="00C94F79">
            <w:pPr>
              <w:ind w:right="214"/>
              <w:jc w:val="right"/>
              <w:rPr>
                <w:i/>
                <w:iCs/>
                <w:color w:val="000000"/>
                <w:szCs w:val="20"/>
              </w:rPr>
            </w:pPr>
            <w:r w:rsidRPr="004C5551">
              <w:rPr>
                <w:i/>
                <w:iCs/>
                <w:color w:val="000000"/>
                <w:szCs w:val="20"/>
              </w:rPr>
              <w:t>10,09</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bookmarkStart w:id="424" w:name="_Toc294019898"/>
            <w:bookmarkStart w:id="425" w:name="_Toc294027227"/>
            <w:bookmarkStart w:id="426" w:name="_Toc294029466"/>
            <w:bookmarkStart w:id="427" w:name="_Toc313878957"/>
            <w:r w:rsidRPr="004C5551">
              <w:t xml:space="preserve">VÚB </w:t>
            </w:r>
            <w:proofErr w:type="spellStart"/>
            <w:r w:rsidRPr="004C5551">
              <w:t>Generali</w:t>
            </w:r>
            <w:proofErr w:type="spellEnd"/>
            <w:r w:rsidRPr="004C5551">
              <w:t xml:space="preserve"> </w:t>
            </w:r>
            <w:proofErr w:type="spellStart"/>
            <w:r w:rsidRPr="004C5551">
              <w:t>d.s.s</w:t>
            </w:r>
            <w:proofErr w:type="spellEnd"/>
            <w:r w:rsidRPr="004C5551">
              <w:t>., a.s.</w:t>
            </w:r>
            <w:bookmarkEnd w:id="424"/>
            <w:bookmarkEnd w:id="425"/>
            <w:bookmarkEnd w:id="426"/>
            <w:bookmarkEnd w:id="427"/>
          </w:p>
        </w:tc>
        <w:tc>
          <w:tcPr>
            <w:tcW w:w="1587" w:type="dxa"/>
            <w:noWrap/>
            <w:vAlign w:val="center"/>
          </w:tcPr>
          <w:p w:rsidR="00C371A4" w:rsidRPr="004C5551" w:rsidRDefault="00C371A4" w:rsidP="00C94F79">
            <w:pPr>
              <w:ind w:right="214"/>
              <w:jc w:val="right"/>
              <w:rPr>
                <w:i/>
                <w:iCs/>
                <w:color w:val="000000"/>
                <w:szCs w:val="20"/>
              </w:rPr>
            </w:pPr>
            <w:r w:rsidRPr="004C5551">
              <w:rPr>
                <w:i/>
                <w:iCs/>
                <w:color w:val="000000"/>
                <w:szCs w:val="20"/>
              </w:rPr>
              <w:t>223 376</w:t>
            </w:r>
          </w:p>
        </w:tc>
        <w:tc>
          <w:tcPr>
            <w:tcW w:w="1644" w:type="dxa"/>
            <w:noWrap/>
            <w:vAlign w:val="center"/>
          </w:tcPr>
          <w:p w:rsidR="00C371A4" w:rsidRPr="004C5551" w:rsidRDefault="00C371A4" w:rsidP="00C94F79">
            <w:pPr>
              <w:ind w:right="214"/>
              <w:jc w:val="right"/>
              <w:rPr>
                <w:i/>
                <w:iCs/>
                <w:color w:val="000000"/>
                <w:szCs w:val="20"/>
              </w:rPr>
            </w:pPr>
            <w:r w:rsidRPr="004C5551">
              <w:rPr>
                <w:i/>
                <w:iCs/>
                <w:color w:val="000000"/>
                <w:szCs w:val="20"/>
              </w:rPr>
              <w:t>15,25</w:t>
            </w:r>
            <w:r w:rsidR="00875D86" w:rsidRPr="004C5551">
              <w:rPr>
                <w:i/>
                <w:iCs/>
                <w:color w:val="000000"/>
                <w:szCs w:val="20"/>
              </w:rPr>
              <w:t> </w:t>
            </w:r>
            <w:r w:rsidRPr="004C5551">
              <w:rPr>
                <w:i/>
                <w:iCs/>
                <w:color w:val="000000"/>
                <w:szCs w:val="20"/>
              </w:rPr>
              <w:t>%</w:t>
            </w:r>
          </w:p>
        </w:tc>
      </w:tr>
      <w:tr w:rsidR="00C371A4" w:rsidRPr="004C5551" w:rsidTr="009E0529">
        <w:trPr>
          <w:trHeight w:val="300"/>
          <w:jc w:val="center"/>
        </w:trPr>
        <w:tc>
          <w:tcPr>
            <w:tcW w:w="2846" w:type="dxa"/>
            <w:noWrap/>
            <w:vAlign w:val="center"/>
          </w:tcPr>
          <w:p w:rsidR="00C371A4" w:rsidRPr="004C5551" w:rsidRDefault="00C371A4" w:rsidP="00014525">
            <w:pPr>
              <w:rPr>
                <w:b/>
              </w:rPr>
            </w:pPr>
            <w:bookmarkStart w:id="428" w:name="_Toc294019904"/>
            <w:bookmarkStart w:id="429" w:name="_Toc294027233"/>
            <w:bookmarkStart w:id="430" w:name="_Toc294029472"/>
            <w:bookmarkStart w:id="431" w:name="_Toc313878963"/>
            <w:r w:rsidRPr="004C5551">
              <w:rPr>
                <w:b/>
              </w:rPr>
              <w:t>Spolu</w:t>
            </w:r>
            <w:bookmarkEnd w:id="428"/>
            <w:bookmarkEnd w:id="429"/>
            <w:bookmarkEnd w:id="430"/>
            <w:bookmarkEnd w:id="431"/>
          </w:p>
        </w:tc>
        <w:tc>
          <w:tcPr>
            <w:tcW w:w="1587" w:type="dxa"/>
            <w:noWrap/>
            <w:vAlign w:val="center"/>
          </w:tcPr>
          <w:p w:rsidR="00C371A4" w:rsidRPr="004C5551" w:rsidRDefault="00C371A4" w:rsidP="00C94F79">
            <w:pPr>
              <w:ind w:right="214"/>
              <w:jc w:val="right"/>
              <w:rPr>
                <w:b/>
                <w:bCs/>
                <w:i/>
                <w:iCs/>
                <w:color w:val="000000"/>
                <w:szCs w:val="20"/>
              </w:rPr>
            </w:pPr>
            <w:r w:rsidRPr="004C5551">
              <w:rPr>
                <w:b/>
                <w:bCs/>
                <w:i/>
                <w:iCs/>
                <w:color w:val="000000"/>
                <w:szCs w:val="20"/>
              </w:rPr>
              <w:t>1 464 833</w:t>
            </w:r>
          </w:p>
        </w:tc>
        <w:tc>
          <w:tcPr>
            <w:tcW w:w="1644" w:type="dxa"/>
            <w:noWrap/>
            <w:vAlign w:val="center"/>
          </w:tcPr>
          <w:p w:rsidR="00C371A4" w:rsidRPr="004C5551" w:rsidRDefault="00C371A4" w:rsidP="00C94F79">
            <w:pPr>
              <w:ind w:right="214"/>
              <w:jc w:val="right"/>
              <w:rPr>
                <w:b/>
                <w:bCs/>
                <w:i/>
                <w:iCs/>
                <w:color w:val="000000"/>
                <w:szCs w:val="20"/>
              </w:rPr>
            </w:pPr>
            <w:r w:rsidRPr="004C5551">
              <w:rPr>
                <w:b/>
                <w:bCs/>
                <w:i/>
                <w:iCs/>
                <w:color w:val="000000"/>
                <w:szCs w:val="20"/>
              </w:rPr>
              <w:t>100,00</w:t>
            </w:r>
            <w:r w:rsidR="00875D86" w:rsidRPr="004C5551">
              <w:rPr>
                <w:b/>
                <w:bCs/>
                <w:i/>
                <w:iCs/>
                <w:color w:val="000000"/>
                <w:szCs w:val="20"/>
              </w:rPr>
              <w:t> </w:t>
            </w:r>
            <w:r w:rsidRPr="004C5551">
              <w:rPr>
                <w:b/>
                <w:bCs/>
                <w:i/>
                <w:iCs/>
                <w:color w:val="000000"/>
                <w:szCs w:val="20"/>
              </w:rPr>
              <w:t>%</w:t>
            </w:r>
          </w:p>
        </w:tc>
      </w:tr>
    </w:tbl>
    <w:p w:rsidR="00C371A4" w:rsidRPr="004C5551" w:rsidRDefault="00C371A4" w:rsidP="00C94F79">
      <w:pPr>
        <w:pStyle w:val="zdroj"/>
      </w:pPr>
      <w:r w:rsidRPr="004C5551">
        <w:t>Zdroj: Sociálna poisťovňa</w:t>
      </w:r>
    </w:p>
    <w:p w:rsidR="00C371A4" w:rsidRPr="004C5551" w:rsidRDefault="00C371A4" w:rsidP="00C92B2F">
      <w:pPr>
        <w:ind w:firstLine="431"/>
      </w:pPr>
      <w:r w:rsidRPr="004C5551">
        <w:t>Z hľadiska vekovej štruktúry sporiteľov</w:t>
      </w:r>
      <w:r w:rsidRPr="004C5551">
        <w:rPr>
          <w:vertAlign w:val="superscript"/>
        </w:rPr>
        <w:footnoteReference w:id="29"/>
      </w:r>
      <w:r w:rsidRPr="004C5551">
        <w:t xml:space="preserve"> v systéme starobného dôchodkového sporenia najväčšie zastúpenie mali sporitelia vo veku od 31 do 40 rokov, a to približne</w:t>
      </w:r>
      <w:r w:rsidR="00073D95" w:rsidRPr="004C5551">
        <w:t xml:space="preserve"> </w:t>
      </w:r>
      <w:r w:rsidRPr="004C5551">
        <w:t>42</w:t>
      </w:r>
      <w:r w:rsidR="009425AA" w:rsidRPr="004C5551">
        <w:t> %</w:t>
      </w:r>
      <w:r w:rsidRPr="004C5551">
        <w:t xml:space="preserve"> z celkového počtu sporiteľov. Zmeny vo vekovej štruktúre sporiteľov k 31.12.2014 v porovnaní s rokom 2013 nie sú významné.</w:t>
      </w:r>
      <w:bookmarkStart w:id="432" w:name="_Toc313878974"/>
      <w:bookmarkStart w:id="433" w:name="_Toc294029483"/>
      <w:bookmarkStart w:id="434" w:name="_Toc294027244"/>
      <w:bookmarkStart w:id="435" w:name="_Toc325438178"/>
      <w:bookmarkStart w:id="436" w:name="_Toc325440947"/>
      <w:bookmarkStart w:id="437" w:name="_Toc356482689"/>
    </w:p>
    <w:p w:rsidR="00C371A4" w:rsidRPr="004C5551" w:rsidRDefault="00C371A4" w:rsidP="00C94F79">
      <w:pPr>
        <w:pStyle w:val="Nadpis7"/>
      </w:pPr>
      <w:r w:rsidRPr="004C5551">
        <w:t>Tabuľka 3.9 Rozdelenie sporiteľov podľa veku k 31.12.</w:t>
      </w:r>
      <w:bookmarkEnd w:id="432"/>
      <w:bookmarkEnd w:id="433"/>
      <w:bookmarkEnd w:id="434"/>
      <w:bookmarkEnd w:id="435"/>
      <w:bookmarkEnd w:id="436"/>
      <w:bookmarkEnd w:id="437"/>
      <w:r w:rsidRPr="004C5551">
        <w:t>2014</w:t>
      </w:r>
    </w:p>
    <w:tbl>
      <w:tblPr>
        <w:tblW w:w="4420"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1844"/>
        <w:gridCol w:w="1329"/>
        <w:gridCol w:w="1247"/>
      </w:tblGrid>
      <w:tr w:rsidR="00C371A4" w:rsidRPr="004C5551" w:rsidTr="00C94F79">
        <w:trPr>
          <w:trHeight w:val="306"/>
          <w:jc w:val="center"/>
        </w:trPr>
        <w:tc>
          <w:tcPr>
            <w:tcW w:w="18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C94F79">
            <w:pPr>
              <w:jc w:val="center"/>
              <w:rPr>
                <w:b/>
                <w:color w:val="FFFFFF" w:themeColor="background1"/>
                <w:sz w:val="20"/>
                <w:lang w:eastAsia="cs-CZ"/>
              </w:rPr>
            </w:pPr>
            <w:bookmarkStart w:id="438" w:name="_Toc294019915"/>
            <w:bookmarkStart w:id="439" w:name="_Toc294027245"/>
            <w:bookmarkStart w:id="440" w:name="_Toc294029484"/>
            <w:bookmarkStart w:id="441" w:name="_Toc313878975"/>
            <w:r w:rsidRPr="004C5551">
              <w:rPr>
                <w:b/>
                <w:color w:val="FFFFFF" w:themeColor="background1"/>
                <w:sz w:val="20"/>
                <w:lang w:eastAsia="cs-CZ"/>
              </w:rPr>
              <w:t>veková hranica</w:t>
            </w:r>
            <w:bookmarkEnd w:id="438"/>
            <w:bookmarkEnd w:id="439"/>
            <w:bookmarkEnd w:id="440"/>
            <w:bookmarkEnd w:id="441"/>
          </w:p>
        </w:tc>
        <w:tc>
          <w:tcPr>
            <w:tcW w:w="132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C371A4" w:rsidRPr="004C5551" w:rsidRDefault="00C371A4" w:rsidP="00C94F79">
            <w:pPr>
              <w:jc w:val="center"/>
              <w:rPr>
                <w:b/>
                <w:color w:val="FFFFFF" w:themeColor="background1"/>
                <w:sz w:val="20"/>
                <w:lang w:eastAsia="cs-CZ"/>
              </w:rPr>
            </w:pPr>
            <w:bookmarkStart w:id="442" w:name="_Toc294019916"/>
            <w:bookmarkStart w:id="443" w:name="_Toc294027246"/>
            <w:bookmarkStart w:id="444" w:name="_Toc294029485"/>
            <w:bookmarkStart w:id="445" w:name="_Toc313878976"/>
            <w:r w:rsidRPr="004C5551">
              <w:rPr>
                <w:b/>
                <w:color w:val="FFFFFF" w:themeColor="background1"/>
                <w:sz w:val="20"/>
                <w:lang w:eastAsia="cs-CZ"/>
              </w:rPr>
              <w:t>počet sporiteľov</w:t>
            </w:r>
            <w:bookmarkEnd w:id="442"/>
            <w:bookmarkEnd w:id="443"/>
            <w:bookmarkEnd w:id="444"/>
            <w:bookmarkEnd w:id="445"/>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C371A4" w:rsidRPr="004C5551" w:rsidRDefault="00C371A4" w:rsidP="00C94F79">
            <w:pPr>
              <w:jc w:val="center"/>
              <w:rPr>
                <w:b/>
                <w:color w:val="FFFFFF" w:themeColor="background1"/>
                <w:sz w:val="20"/>
                <w:lang w:eastAsia="cs-CZ"/>
              </w:rPr>
            </w:pPr>
            <w:bookmarkStart w:id="446" w:name="_Toc294019917"/>
            <w:bookmarkStart w:id="447" w:name="_Toc294027247"/>
            <w:bookmarkStart w:id="448" w:name="_Toc294029486"/>
            <w:bookmarkStart w:id="449" w:name="_Toc313878977"/>
            <w:r w:rsidRPr="004C5551">
              <w:rPr>
                <w:b/>
                <w:color w:val="FFFFFF" w:themeColor="background1"/>
                <w:sz w:val="20"/>
                <w:lang w:eastAsia="cs-CZ"/>
              </w:rPr>
              <w:t>% podiel</w:t>
            </w:r>
            <w:bookmarkEnd w:id="446"/>
            <w:bookmarkEnd w:id="447"/>
            <w:bookmarkEnd w:id="448"/>
            <w:bookmarkEnd w:id="449"/>
          </w:p>
        </w:tc>
      </w:tr>
      <w:tr w:rsidR="00C371A4" w:rsidRPr="004C5551" w:rsidTr="00C94F79">
        <w:trPr>
          <w:trHeight w:val="306"/>
          <w:jc w:val="center"/>
        </w:trPr>
        <w:tc>
          <w:tcPr>
            <w:tcW w:w="1844" w:type="dxa"/>
            <w:tcBorders>
              <w:top w:val="single" w:sz="6" w:space="0" w:color="BF0000" w:themeColor="accent3" w:themeShade="BF"/>
            </w:tcBorders>
            <w:noWrap/>
            <w:vAlign w:val="center"/>
          </w:tcPr>
          <w:p w:rsidR="00C371A4" w:rsidRPr="004C5551" w:rsidRDefault="00C371A4" w:rsidP="00C94F79">
            <w:pPr>
              <w:rPr>
                <w:sz w:val="20"/>
              </w:rPr>
            </w:pPr>
            <w:bookmarkStart w:id="450" w:name="_Toc294019918"/>
            <w:bookmarkStart w:id="451" w:name="_Toc294027248"/>
            <w:bookmarkStart w:id="452" w:name="_Toc294029487"/>
            <w:bookmarkStart w:id="453" w:name="_Toc313878978"/>
            <w:r w:rsidRPr="004C5551">
              <w:rPr>
                <w:sz w:val="20"/>
              </w:rPr>
              <w:t>do 20</w:t>
            </w:r>
            <w:bookmarkEnd w:id="450"/>
            <w:bookmarkEnd w:id="451"/>
            <w:bookmarkEnd w:id="452"/>
            <w:bookmarkEnd w:id="453"/>
          </w:p>
        </w:tc>
        <w:tc>
          <w:tcPr>
            <w:tcW w:w="1329" w:type="dxa"/>
            <w:tcBorders>
              <w:top w:val="single" w:sz="6" w:space="0" w:color="BF0000" w:themeColor="accent3" w:themeShade="BF"/>
            </w:tcBorders>
            <w:noWrap/>
            <w:vAlign w:val="center"/>
          </w:tcPr>
          <w:p w:rsidR="00C371A4" w:rsidRPr="004C5551" w:rsidRDefault="00C371A4" w:rsidP="00C94F79">
            <w:pPr>
              <w:ind w:right="184"/>
              <w:jc w:val="right"/>
              <w:rPr>
                <w:sz w:val="20"/>
                <w:szCs w:val="20"/>
              </w:rPr>
            </w:pPr>
            <w:r w:rsidRPr="004C5551">
              <w:rPr>
                <w:sz w:val="20"/>
                <w:szCs w:val="20"/>
              </w:rPr>
              <w:t>4 672</w:t>
            </w:r>
          </w:p>
        </w:tc>
        <w:tc>
          <w:tcPr>
            <w:tcW w:w="1247" w:type="dxa"/>
            <w:tcBorders>
              <w:top w:val="single" w:sz="6" w:space="0" w:color="BF0000" w:themeColor="accent3" w:themeShade="BF"/>
            </w:tcBorders>
            <w:noWrap/>
            <w:vAlign w:val="center"/>
          </w:tcPr>
          <w:p w:rsidR="00C371A4" w:rsidRPr="004C5551" w:rsidRDefault="00C371A4" w:rsidP="00C94F79">
            <w:pPr>
              <w:ind w:right="184"/>
              <w:jc w:val="right"/>
              <w:rPr>
                <w:sz w:val="20"/>
                <w:szCs w:val="20"/>
              </w:rPr>
            </w:pPr>
            <w:r w:rsidRPr="004C5551">
              <w:rPr>
                <w:sz w:val="20"/>
                <w:szCs w:val="20"/>
              </w:rPr>
              <w:t>0,32</w:t>
            </w:r>
            <w:r w:rsidR="00875D86" w:rsidRPr="004C5551">
              <w:rPr>
                <w:sz w:val="20"/>
                <w:szCs w:val="20"/>
              </w:rPr>
              <w:t> </w:t>
            </w:r>
            <w:r w:rsidRPr="004C5551">
              <w:rPr>
                <w:sz w:val="20"/>
                <w:szCs w:val="20"/>
              </w:rPr>
              <w:t>%</w:t>
            </w:r>
          </w:p>
        </w:tc>
      </w:tr>
      <w:tr w:rsidR="00C371A4" w:rsidRPr="004C5551" w:rsidTr="00C94F79">
        <w:trPr>
          <w:trHeight w:val="306"/>
          <w:jc w:val="center"/>
        </w:trPr>
        <w:tc>
          <w:tcPr>
            <w:tcW w:w="1844" w:type="dxa"/>
            <w:noWrap/>
            <w:vAlign w:val="center"/>
          </w:tcPr>
          <w:p w:rsidR="00C371A4" w:rsidRPr="004C5551" w:rsidRDefault="00C371A4" w:rsidP="00C94F79">
            <w:pPr>
              <w:rPr>
                <w:sz w:val="20"/>
              </w:rPr>
            </w:pPr>
            <w:bookmarkStart w:id="454" w:name="_Toc294019921"/>
            <w:bookmarkStart w:id="455" w:name="_Toc294027251"/>
            <w:bookmarkStart w:id="456" w:name="_Toc294029490"/>
            <w:bookmarkStart w:id="457" w:name="_Toc313878981"/>
            <w:r w:rsidRPr="004C5551">
              <w:rPr>
                <w:sz w:val="20"/>
              </w:rPr>
              <w:t>od 21 do 30</w:t>
            </w:r>
            <w:bookmarkEnd w:id="454"/>
            <w:bookmarkEnd w:id="455"/>
            <w:bookmarkEnd w:id="456"/>
            <w:bookmarkEnd w:id="457"/>
          </w:p>
        </w:tc>
        <w:tc>
          <w:tcPr>
            <w:tcW w:w="1329" w:type="dxa"/>
            <w:noWrap/>
            <w:vAlign w:val="center"/>
          </w:tcPr>
          <w:p w:rsidR="00C371A4" w:rsidRPr="004C5551" w:rsidRDefault="00C371A4" w:rsidP="00C94F79">
            <w:pPr>
              <w:ind w:right="184"/>
              <w:jc w:val="right"/>
              <w:rPr>
                <w:sz w:val="20"/>
                <w:szCs w:val="20"/>
              </w:rPr>
            </w:pPr>
            <w:r w:rsidRPr="004C5551">
              <w:rPr>
                <w:sz w:val="20"/>
                <w:szCs w:val="20"/>
              </w:rPr>
              <w:t>288 612</w:t>
            </w:r>
          </w:p>
        </w:tc>
        <w:tc>
          <w:tcPr>
            <w:tcW w:w="1247" w:type="dxa"/>
            <w:noWrap/>
            <w:vAlign w:val="center"/>
          </w:tcPr>
          <w:p w:rsidR="00C371A4" w:rsidRPr="004C5551" w:rsidRDefault="00C371A4" w:rsidP="00C94F79">
            <w:pPr>
              <w:ind w:right="184"/>
              <w:jc w:val="right"/>
              <w:rPr>
                <w:sz w:val="20"/>
                <w:szCs w:val="20"/>
              </w:rPr>
            </w:pPr>
            <w:r w:rsidRPr="004C5551">
              <w:rPr>
                <w:sz w:val="20"/>
                <w:szCs w:val="20"/>
              </w:rPr>
              <w:t>19,70</w:t>
            </w:r>
            <w:r w:rsidR="00875D86" w:rsidRPr="004C5551">
              <w:rPr>
                <w:sz w:val="20"/>
                <w:szCs w:val="20"/>
              </w:rPr>
              <w:t> </w:t>
            </w:r>
            <w:r w:rsidRPr="004C5551">
              <w:rPr>
                <w:sz w:val="20"/>
                <w:szCs w:val="20"/>
              </w:rPr>
              <w:t>%</w:t>
            </w:r>
          </w:p>
        </w:tc>
      </w:tr>
      <w:tr w:rsidR="00C371A4" w:rsidRPr="004C5551" w:rsidTr="00C94F79">
        <w:trPr>
          <w:trHeight w:val="306"/>
          <w:jc w:val="center"/>
        </w:trPr>
        <w:tc>
          <w:tcPr>
            <w:tcW w:w="1844" w:type="dxa"/>
            <w:noWrap/>
            <w:vAlign w:val="center"/>
          </w:tcPr>
          <w:p w:rsidR="00C371A4" w:rsidRPr="004C5551" w:rsidRDefault="00C371A4" w:rsidP="00C94F79">
            <w:pPr>
              <w:rPr>
                <w:sz w:val="20"/>
              </w:rPr>
            </w:pPr>
            <w:bookmarkStart w:id="458" w:name="_Toc294019924"/>
            <w:bookmarkStart w:id="459" w:name="_Toc294027254"/>
            <w:bookmarkStart w:id="460" w:name="_Toc294029493"/>
            <w:bookmarkStart w:id="461" w:name="_Toc313878984"/>
            <w:r w:rsidRPr="004C5551">
              <w:rPr>
                <w:sz w:val="20"/>
              </w:rPr>
              <w:t>od 31 do 40</w:t>
            </w:r>
            <w:bookmarkEnd w:id="458"/>
            <w:bookmarkEnd w:id="459"/>
            <w:bookmarkEnd w:id="460"/>
            <w:bookmarkEnd w:id="461"/>
          </w:p>
        </w:tc>
        <w:tc>
          <w:tcPr>
            <w:tcW w:w="1329" w:type="dxa"/>
            <w:noWrap/>
            <w:vAlign w:val="center"/>
          </w:tcPr>
          <w:p w:rsidR="00C371A4" w:rsidRPr="004C5551" w:rsidRDefault="00C371A4" w:rsidP="00C94F79">
            <w:pPr>
              <w:ind w:right="184"/>
              <w:jc w:val="right"/>
              <w:rPr>
                <w:sz w:val="20"/>
                <w:szCs w:val="20"/>
              </w:rPr>
            </w:pPr>
            <w:r w:rsidRPr="004C5551">
              <w:rPr>
                <w:sz w:val="20"/>
                <w:szCs w:val="20"/>
              </w:rPr>
              <w:t>614 090</w:t>
            </w:r>
          </w:p>
        </w:tc>
        <w:tc>
          <w:tcPr>
            <w:tcW w:w="1247" w:type="dxa"/>
            <w:noWrap/>
            <w:vAlign w:val="center"/>
          </w:tcPr>
          <w:p w:rsidR="00C371A4" w:rsidRPr="004C5551" w:rsidRDefault="00C371A4" w:rsidP="00C94F79">
            <w:pPr>
              <w:ind w:right="184"/>
              <w:jc w:val="right"/>
              <w:rPr>
                <w:sz w:val="20"/>
                <w:szCs w:val="20"/>
              </w:rPr>
            </w:pPr>
            <w:r w:rsidRPr="004C5551">
              <w:rPr>
                <w:sz w:val="20"/>
                <w:szCs w:val="20"/>
              </w:rPr>
              <w:t>41,92</w:t>
            </w:r>
            <w:r w:rsidR="00875D86" w:rsidRPr="004C5551">
              <w:rPr>
                <w:sz w:val="20"/>
                <w:szCs w:val="20"/>
              </w:rPr>
              <w:t> </w:t>
            </w:r>
            <w:r w:rsidRPr="004C5551">
              <w:rPr>
                <w:sz w:val="20"/>
                <w:szCs w:val="20"/>
              </w:rPr>
              <w:t>%</w:t>
            </w:r>
          </w:p>
        </w:tc>
      </w:tr>
      <w:tr w:rsidR="00C371A4" w:rsidRPr="004C5551" w:rsidTr="00C94F79">
        <w:trPr>
          <w:trHeight w:val="306"/>
          <w:jc w:val="center"/>
        </w:trPr>
        <w:tc>
          <w:tcPr>
            <w:tcW w:w="1844" w:type="dxa"/>
            <w:noWrap/>
            <w:vAlign w:val="center"/>
          </w:tcPr>
          <w:p w:rsidR="00C371A4" w:rsidRPr="004C5551" w:rsidRDefault="00C371A4" w:rsidP="00C94F79">
            <w:pPr>
              <w:rPr>
                <w:sz w:val="20"/>
              </w:rPr>
            </w:pPr>
            <w:bookmarkStart w:id="462" w:name="_Toc294019927"/>
            <w:bookmarkStart w:id="463" w:name="_Toc294027257"/>
            <w:bookmarkStart w:id="464" w:name="_Toc294029496"/>
            <w:bookmarkStart w:id="465" w:name="_Toc313878987"/>
            <w:r w:rsidRPr="004C5551">
              <w:rPr>
                <w:sz w:val="20"/>
              </w:rPr>
              <w:t>od 41 do 50</w:t>
            </w:r>
            <w:bookmarkEnd w:id="462"/>
            <w:bookmarkEnd w:id="463"/>
            <w:bookmarkEnd w:id="464"/>
            <w:bookmarkEnd w:id="465"/>
          </w:p>
        </w:tc>
        <w:tc>
          <w:tcPr>
            <w:tcW w:w="1329" w:type="dxa"/>
            <w:noWrap/>
            <w:vAlign w:val="center"/>
          </w:tcPr>
          <w:p w:rsidR="00C371A4" w:rsidRPr="004C5551" w:rsidRDefault="00C371A4" w:rsidP="00C94F79">
            <w:pPr>
              <w:ind w:right="184"/>
              <w:jc w:val="right"/>
              <w:rPr>
                <w:sz w:val="20"/>
                <w:szCs w:val="20"/>
              </w:rPr>
            </w:pPr>
            <w:r w:rsidRPr="004C5551">
              <w:rPr>
                <w:sz w:val="20"/>
                <w:szCs w:val="20"/>
              </w:rPr>
              <w:t>420 923</w:t>
            </w:r>
          </w:p>
        </w:tc>
        <w:tc>
          <w:tcPr>
            <w:tcW w:w="1247" w:type="dxa"/>
            <w:noWrap/>
            <w:vAlign w:val="center"/>
          </w:tcPr>
          <w:p w:rsidR="00C371A4" w:rsidRPr="004C5551" w:rsidRDefault="00C371A4" w:rsidP="00C94F79">
            <w:pPr>
              <w:ind w:right="184"/>
              <w:jc w:val="right"/>
              <w:rPr>
                <w:sz w:val="20"/>
                <w:szCs w:val="20"/>
              </w:rPr>
            </w:pPr>
            <w:r w:rsidRPr="004C5551">
              <w:rPr>
                <w:sz w:val="20"/>
                <w:szCs w:val="20"/>
              </w:rPr>
              <w:t>28,74</w:t>
            </w:r>
            <w:r w:rsidR="00875D86" w:rsidRPr="004C5551">
              <w:rPr>
                <w:sz w:val="20"/>
                <w:szCs w:val="20"/>
              </w:rPr>
              <w:t> </w:t>
            </w:r>
            <w:r w:rsidRPr="004C5551">
              <w:rPr>
                <w:sz w:val="20"/>
                <w:szCs w:val="20"/>
              </w:rPr>
              <w:t>%</w:t>
            </w:r>
          </w:p>
        </w:tc>
      </w:tr>
      <w:tr w:rsidR="00C371A4" w:rsidRPr="004C5551" w:rsidTr="00C94F79">
        <w:trPr>
          <w:trHeight w:val="306"/>
          <w:jc w:val="center"/>
        </w:trPr>
        <w:tc>
          <w:tcPr>
            <w:tcW w:w="1844" w:type="dxa"/>
            <w:noWrap/>
            <w:vAlign w:val="center"/>
          </w:tcPr>
          <w:p w:rsidR="00C371A4" w:rsidRPr="004C5551" w:rsidRDefault="00C371A4" w:rsidP="00C94F79">
            <w:pPr>
              <w:rPr>
                <w:sz w:val="20"/>
              </w:rPr>
            </w:pPr>
            <w:bookmarkStart w:id="466" w:name="_Toc294019930"/>
            <w:bookmarkStart w:id="467" w:name="_Toc294027260"/>
            <w:bookmarkStart w:id="468" w:name="_Toc294029499"/>
            <w:bookmarkStart w:id="469" w:name="_Toc313878990"/>
            <w:r w:rsidRPr="004C5551">
              <w:rPr>
                <w:sz w:val="20"/>
              </w:rPr>
              <w:t>od 51</w:t>
            </w:r>
            <w:bookmarkEnd w:id="466"/>
            <w:bookmarkEnd w:id="467"/>
            <w:bookmarkEnd w:id="468"/>
            <w:bookmarkEnd w:id="469"/>
          </w:p>
        </w:tc>
        <w:tc>
          <w:tcPr>
            <w:tcW w:w="1329" w:type="dxa"/>
            <w:noWrap/>
            <w:vAlign w:val="center"/>
          </w:tcPr>
          <w:p w:rsidR="00C371A4" w:rsidRPr="004C5551" w:rsidRDefault="00C371A4" w:rsidP="00C94F79">
            <w:pPr>
              <w:ind w:right="184"/>
              <w:jc w:val="right"/>
              <w:rPr>
                <w:sz w:val="20"/>
                <w:szCs w:val="20"/>
              </w:rPr>
            </w:pPr>
            <w:r w:rsidRPr="004C5551">
              <w:rPr>
                <w:sz w:val="20"/>
                <w:szCs w:val="20"/>
              </w:rPr>
              <w:t>136 536</w:t>
            </w:r>
          </w:p>
        </w:tc>
        <w:tc>
          <w:tcPr>
            <w:tcW w:w="1247" w:type="dxa"/>
            <w:noWrap/>
            <w:vAlign w:val="center"/>
          </w:tcPr>
          <w:p w:rsidR="00C371A4" w:rsidRPr="004C5551" w:rsidRDefault="00C371A4" w:rsidP="00C94F79">
            <w:pPr>
              <w:ind w:right="184"/>
              <w:jc w:val="right"/>
              <w:rPr>
                <w:sz w:val="20"/>
                <w:szCs w:val="20"/>
              </w:rPr>
            </w:pPr>
            <w:r w:rsidRPr="004C5551">
              <w:rPr>
                <w:sz w:val="20"/>
                <w:szCs w:val="20"/>
              </w:rPr>
              <w:t>9,32</w:t>
            </w:r>
            <w:r w:rsidR="00875D86" w:rsidRPr="004C5551">
              <w:rPr>
                <w:sz w:val="20"/>
                <w:szCs w:val="20"/>
              </w:rPr>
              <w:t> </w:t>
            </w:r>
            <w:r w:rsidRPr="004C5551">
              <w:rPr>
                <w:sz w:val="20"/>
                <w:szCs w:val="20"/>
              </w:rPr>
              <w:t>%</w:t>
            </w:r>
          </w:p>
        </w:tc>
      </w:tr>
      <w:tr w:rsidR="00C371A4" w:rsidRPr="004C5551" w:rsidTr="00C94F79">
        <w:trPr>
          <w:trHeight w:val="306"/>
          <w:jc w:val="center"/>
        </w:trPr>
        <w:tc>
          <w:tcPr>
            <w:tcW w:w="1844" w:type="dxa"/>
            <w:noWrap/>
            <w:vAlign w:val="center"/>
          </w:tcPr>
          <w:p w:rsidR="00C371A4" w:rsidRPr="004C5551" w:rsidRDefault="00C371A4" w:rsidP="00C94F79">
            <w:pPr>
              <w:rPr>
                <w:b/>
                <w:sz w:val="20"/>
              </w:rPr>
            </w:pPr>
            <w:bookmarkStart w:id="470" w:name="_Toc294019933"/>
            <w:bookmarkStart w:id="471" w:name="_Toc294027263"/>
            <w:bookmarkStart w:id="472" w:name="_Toc294029502"/>
            <w:bookmarkStart w:id="473" w:name="_Toc313878993"/>
            <w:r w:rsidRPr="004C5551">
              <w:rPr>
                <w:b/>
                <w:sz w:val="20"/>
              </w:rPr>
              <w:t>Spolu</w:t>
            </w:r>
            <w:bookmarkEnd w:id="470"/>
            <w:bookmarkEnd w:id="471"/>
            <w:bookmarkEnd w:id="472"/>
            <w:bookmarkEnd w:id="473"/>
          </w:p>
        </w:tc>
        <w:tc>
          <w:tcPr>
            <w:tcW w:w="1329" w:type="dxa"/>
            <w:noWrap/>
            <w:vAlign w:val="center"/>
          </w:tcPr>
          <w:p w:rsidR="00C371A4" w:rsidRPr="004C5551" w:rsidRDefault="00C371A4" w:rsidP="00C94F79">
            <w:pPr>
              <w:ind w:right="184"/>
              <w:jc w:val="right"/>
              <w:rPr>
                <w:b/>
                <w:bCs/>
                <w:sz w:val="20"/>
                <w:szCs w:val="20"/>
              </w:rPr>
            </w:pPr>
            <w:r w:rsidRPr="004C5551">
              <w:rPr>
                <w:b/>
                <w:bCs/>
                <w:sz w:val="20"/>
                <w:szCs w:val="20"/>
              </w:rPr>
              <w:t>1 464 833</w:t>
            </w:r>
          </w:p>
        </w:tc>
        <w:tc>
          <w:tcPr>
            <w:tcW w:w="1247" w:type="dxa"/>
            <w:noWrap/>
            <w:vAlign w:val="center"/>
          </w:tcPr>
          <w:p w:rsidR="00C371A4" w:rsidRPr="004C5551" w:rsidRDefault="00C371A4" w:rsidP="00C94F79">
            <w:pPr>
              <w:ind w:right="184"/>
              <w:jc w:val="right"/>
              <w:rPr>
                <w:b/>
                <w:bCs/>
                <w:sz w:val="20"/>
                <w:szCs w:val="20"/>
              </w:rPr>
            </w:pPr>
            <w:r w:rsidRPr="004C5551">
              <w:rPr>
                <w:b/>
                <w:bCs/>
                <w:sz w:val="20"/>
                <w:szCs w:val="20"/>
              </w:rPr>
              <w:t>100,00</w:t>
            </w:r>
            <w:r w:rsidR="006D0272" w:rsidRPr="004C5551">
              <w:rPr>
                <w:b/>
                <w:bCs/>
                <w:sz w:val="20"/>
                <w:szCs w:val="20"/>
              </w:rPr>
              <w:t> </w:t>
            </w:r>
            <w:r w:rsidRPr="004C5551">
              <w:rPr>
                <w:b/>
                <w:bCs/>
                <w:sz w:val="20"/>
                <w:szCs w:val="20"/>
              </w:rPr>
              <w:t>%</w:t>
            </w:r>
          </w:p>
        </w:tc>
      </w:tr>
    </w:tbl>
    <w:p w:rsidR="00C371A4" w:rsidRPr="004C5551" w:rsidRDefault="00C371A4" w:rsidP="00C94F79">
      <w:pPr>
        <w:pStyle w:val="zdroj"/>
        <w:ind w:left="2268" w:firstLine="0"/>
      </w:pPr>
      <w:r w:rsidRPr="004C5551">
        <w:t>Zdroj: MPSVR SR</w:t>
      </w:r>
    </w:p>
    <w:p w:rsidR="00C371A4" w:rsidRPr="004C5551" w:rsidRDefault="00C371A4" w:rsidP="00C92B2F">
      <w:pPr>
        <w:ind w:firstLine="431"/>
      </w:pPr>
      <w:r w:rsidRPr="004C5551">
        <w:t xml:space="preserve">Sporiteľov s vymeriavacím základom do 685 </w:t>
      </w:r>
      <w:r w:rsidR="000860E9" w:rsidRPr="004C5551">
        <w:t>eur</w:t>
      </w:r>
      <w:r w:rsidRPr="004C5551">
        <w:t xml:space="preserve"> bolo k 31. 12. 2014 takmer 600 tisíc, čo predstavovalo 53</w:t>
      </w:r>
      <w:r w:rsidR="009425AA" w:rsidRPr="004C5551">
        <w:t> %</w:t>
      </w:r>
      <w:r w:rsidRPr="004C5551">
        <w:t xml:space="preserve"> z tzv. aktívnych sporiteľov (t.j. sporiteľov s vymeriavacím základom</w:t>
      </w:r>
      <w:bookmarkStart w:id="474" w:name="_Toc313878996"/>
      <w:bookmarkStart w:id="475" w:name="_Toc294029505"/>
      <w:bookmarkStart w:id="476" w:name="_Toc294027266"/>
      <w:bookmarkStart w:id="477" w:name="_Toc325438179"/>
      <w:bookmarkStart w:id="478" w:name="_Toc325440948"/>
      <w:bookmarkStart w:id="479" w:name="_Toc356482690"/>
      <w:r w:rsidRPr="004C5551">
        <w:t>)</w:t>
      </w:r>
    </w:p>
    <w:p w:rsidR="00C371A4" w:rsidRPr="004C5551" w:rsidRDefault="00C371A4" w:rsidP="00C94F79">
      <w:pPr>
        <w:pStyle w:val="Nadpis7"/>
      </w:pPr>
      <w:r w:rsidRPr="004C5551">
        <w:t>Tabuľka 3.10 Počet aktívnych sporiteľov podľa vymeriavacieho základu k 31.12.201</w:t>
      </w:r>
      <w:bookmarkEnd w:id="474"/>
      <w:bookmarkEnd w:id="475"/>
      <w:bookmarkEnd w:id="476"/>
      <w:bookmarkEnd w:id="477"/>
      <w:bookmarkEnd w:id="478"/>
      <w:bookmarkEnd w:id="479"/>
      <w:r w:rsidRPr="004C5551">
        <w:t>4</w:t>
      </w:r>
    </w:p>
    <w:tbl>
      <w:tblPr>
        <w:tblW w:w="5163"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2100"/>
        <w:gridCol w:w="1420"/>
        <w:gridCol w:w="1643"/>
      </w:tblGrid>
      <w:tr w:rsidR="00C371A4" w:rsidRPr="004C5551" w:rsidTr="00C94F79">
        <w:trPr>
          <w:trHeight w:val="780"/>
          <w:jc w:val="center"/>
        </w:trPr>
        <w:tc>
          <w:tcPr>
            <w:tcW w:w="2100" w:type="dxa"/>
            <w:tcBorders>
              <w:top w:val="single" w:sz="8" w:space="0" w:color="BF0000" w:themeColor="accent3" w:themeShade="BF"/>
              <w:bottom w:val="single" w:sz="6" w:space="0" w:color="BF0000" w:themeColor="accent3" w:themeShade="BF"/>
            </w:tcBorders>
            <w:shd w:val="clear" w:color="000000" w:fill="BF0000" w:themeFill="accent3" w:themeFillShade="BF"/>
            <w:vAlign w:val="center"/>
            <w:hideMark/>
          </w:tcPr>
          <w:p w:rsidR="00C371A4" w:rsidRPr="004C5551" w:rsidRDefault="00C371A4" w:rsidP="000860E9">
            <w:pPr>
              <w:jc w:val="center"/>
              <w:rPr>
                <w:b/>
                <w:bCs/>
                <w:color w:val="FFFFFF"/>
                <w:sz w:val="20"/>
                <w:szCs w:val="20"/>
              </w:rPr>
            </w:pPr>
            <w:bookmarkStart w:id="480" w:name="RANGE!A1"/>
            <w:r w:rsidRPr="004C5551">
              <w:rPr>
                <w:b/>
                <w:bCs/>
                <w:color w:val="FFFFFF" w:themeColor="background1"/>
                <w:sz w:val="20"/>
                <w:szCs w:val="20"/>
                <w:lang w:eastAsia="cs-CZ"/>
              </w:rPr>
              <w:t xml:space="preserve">Rozsah vymeriavacieho základu v </w:t>
            </w:r>
            <w:r w:rsidR="000860E9" w:rsidRPr="004C5551">
              <w:rPr>
                <w:b/>
                <w:bCs/>
                <w:color w:val="FFFFFF" w:themeColor="background1"/>
                <w:sz w:val="20"/>
                <w:szCs w:val="20"/>
                <w:lang w:eastAsia="cs-CZ"/>
              </w:rPr>
              <w:t>eurách</w:t>
            </w:r>
            <w:bookmarkEnd w:id="480"/>
          </w:p>
        </w:tc>
        <w:tc>
          <w:tcPr>
            <w:tcW w:w="1420" w:type="dxa"/>
            <w:tcBorders>
              <w:top w:val="single" w:sz="8" w:space="0" w:color="BF0000" w:themeColor="accent3" w:themeShade="BF"/>
              <w:bottom w:val="single" w:sz="6" w:space="0" w:color="BF0000" w:themeColor="accent3" w:themeShade="BF"/>
            </w:tcBorders>
            <w:shd w:val="clear" w:color="000000" w:fill="BF0000" w:themeFill="accent3" w:themeFillShade="BF"/>
            <w:vAlign w:val="center"/>
            <w:hideMark/>
          </w:tcPr>
          <w:p w:rsidR="00C371A4" w:rsidRPr="004C5551" w:rsidRDefault="00C371A4" w:rsidP="00014525">
            <w:pPr>
              <w:jc w:val="center"/>
              <w:rPr>
                <w:b/>
                <w:bCs/>
                <w:color w:val="FFFFFF"/>
                <w:sz w:val="20"/>
                <w:szCs w:val="20"/>
              </w:rPr>
            </w:pPr>
            <w:bookmarkStart w:id="481" w:name="RANGE!B1"/>
            <w:r w:rsidRPr="004C5551">
              <w:rPr>
                <w:b/>
                <w:bCs/>
                <w:color w:val="FFFFFF" w:themeColor="background1"/>
                <w:sz w:val="20"/>
                <w:szCs w:val="20"/>
                <w:lang w:eastAsia="cs-CZ"/>
              </w:rPr>
              <w:t>Spolu k 31.12.2014</w:t>
            </w:r>
            <w:bookmarkEnd w:id="481"/>
          </w:p>
        </w:tc>
        <w:tc>
          <w:tcPr>
            <w:tcW w:w="1643" w:type="dxa"/>
            <w:tcBorders>
              <w:top w:val="single" w:sz="8" w:space="0" w:color="BF0000" w:themeColor="accent3" w:themeShade="BF"/>
              <w:bottom w:val="single" w:sz="6" w:space="0" w:color="BF0000" w:themeColor="accent3" w:themeShade="BF"/>
            </w:tcBorders>
            <w:shd w:val="clear" w:color="000000" w:fill="BF0000" w:themeFill="accent3" w:themeFillShade="BF"/>
            <w:vAlign w:val="center"/>
            <w:hideMark/>
          </w:tcPr>
          <w:p w:rsidR="00C371A4" w:rsidRPr="004C5551" w:rsidRDefault="00C371A4" w:rsidP="00014525">
            <w:pPr>
              <w:jc w:val="center"/>
              <w:rPr>
                <w:b/>
                <w:bCs/>
                <w:color w:val="FFFFFF"/>
                <w:sz w:val="20"/>
                <w:szCs w:val="20"/>
              </w:rPr>
            </w:pPr>
            <w:bookmarkStart w:id="482" w:name="RANGE!C1"/>
            <w:r w:rsidRPr="004C5551">
              <w:rPr>
                <w:b/>
                <w:bCs/>
                <w:color w:val="FFFFFF" w:themeColor="background1"/>
                <w:sz w:val="20"/>
                <w:szCs w:val="20"/>
                <w:lang w:eastAsia="cs-CZ"/>
              </w:rPr>
              <w:t>% podiel</w:t>
            </w:r>
            <w:bookmarkEnd w:id="482"/>
          </w:p>
        </w:tc>
      </w:tr>
      <w:tr w:rsidR="00C371A4" w:rsidRPr="004C5551" w:rsidTr="00C94F79">
        <w:trPr>
          <w:trHeight w:val="300"/>
          <w:jc w:val="center"/>
        </w:trPr>
        <w:tc>
          <w:tcPr>
            <w:tcW w:w="2100" w:type="dxa"/>
            <w:tcBorders>
              <w:top w:val="single" w:sz="6" w:space="0" w:color="BF0000" w:themeColor="accent3" w:themeShade="BF"/>
            </w:tcBorders>
            <w:shd w:val="clear" w:color="auto" w:fill="auto"/>
            <w:noWrap/>
            <w:vAlign w:val="center"/>
            <w:hideMark/>
          </w:tcPr>
          <w:p w:rsidR="00C371A4" w:rsidRPr="004C5551" w:rsidRDefault="00C371A4" w:rsidP="00014525">
            <w:pPr>
              <w:rPr>
                <w:color w:val="000000"/>
                <w:sz w:val="20"/>
                <w:szCs w:val="20"/>
              </w:rPr>
            </w:pPr>
            <w:bookmarkStart w:id="483" w:name="RANGE!A2"/>
            <w:r w:rsidRPr="004C5551">
              <w:rPr>
                <w:color w:val="000000"/>
                <w:sz w:val="20"/>
                <w:szCs w:val="20"/>
              </w:rPr>
              <w:t>od 0 do 335,00</w:t>
            </w:r>
            <w:bookmarkEnd w:id="483"/>
          </w:p>
        </w:tc>
        <w:tc>
          <w:tcPr>
            <w:tcW w:w="1420" w:type="dxa"/>
            <w:tcBorders>
              <w:top w:val="single" w:sz="6" w:space="0" w:color="BF0000" w:themeColor="accent3" w:themeShade="BF"/>
            </w:tcBorders>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122 771</w:t>
            </w:r>
          </w:p>
        </w:tc>
        <w:tc>
          <w:tcPr>
            <w:tcW w:w="1643" w:type="dxa"/>
            <w:tcBorders>
              <w:top w:val="single" w:sz="6" w:space="0" w:color="BF0000" w:themeColor="accent3" w:themeShade="BF"/>
            </w:tcBorders>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10,98</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4" w:name="RANGE!A3"/>
            <w:r w:rsidRPr="004C5551">
              <w:rPr>
                <w:color w:val="000000"/>
                <w:sz w:val="20"/>
                <w:szCs w:val="20"/>
              </w:rPr>
              <w:t xml:space="preserve">335,01 </w:t>
            </w:r>
            <w:r w:rsidR="00106028" w:rsidRPr="004C5551">
              <w:rPr>
                <w:color w:val="000000"/>
                <w:sz w:val="20"/>
                <w:szCs w:val="20"/>
              </w:rPr>
              <w:t>–</w:t>
            </w:r>
            <w:r w:rsidRPr="004C5551">
              <w:rPr>
                <w:color w:val="000000"/>
                <w:sz w:val="20"/>
                <w:szCs w:val="20"/>
              </w:rPr>
              <w:t xml:space="preserve"> 685,00</w:t>
            </w:r>
            <w:bookmarkEnd w:id="484"/>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473 739</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42,37</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5" w:name="RANGE!A4"/>
            <w:r w:rsidRPr="004C5551">
              <w:rPr>
                <w:color w:val="000000"/>
                <w:sz w:val="20"/>
                <w:szCs w:val="20"/>
              </w:rPr>
              <w:t xml:space="preserve">685,01 </w:t>
            </w:r>
            <w:r w:rsidR="00106028" w:rsidRPr="004C5551">
              <w:rPr>
                <w:color w:val="000000"/>
                <w:sz w:val="20"/>
                <w:szCs w:val="20"/>
              </w:rPr>
              <w:t>–</w:t>
            </w:r>
            <w:r w:rsidRPr="004C5551">
              <w:rPr>
                <w:color w:val="000000"/>
                <w:sz w:val="20"/>
                <w:szCs w:val="20"/>
              </w:rPr>
              <w:t xml:space="preserve"> 1000,00</w:t>
            </w:r>
            <w:bookmarkEnd w:id="485"/>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230 711</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20,63</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6" w:name="RANGE!A5"/>
            <w:r w:rsidRPr="004C5551">
              <w:rPr>
                <w:color w:val="000000"/>
                <w:sz w:val="20"/>
                <w:szCs w:val="20"/>
              </w:rPr>
              <w:t xml:space="preserve">1000,01 </w:t>
            </w:r>
            <w:r w:rsidR="00106028" w:rsidRPr="004C5551">
              <w:rPr>
                <w:color w:val="000000"/>
                <w:sz w:val="20"/>
                <w:szCs w:val="20"/>
              </w:rPr>
              <w:t>–</w:t>
            </w:r>
            <w:r w:rsidRPr="004C5551">
              <w:rPr>
                <w:color w:val="000000"/>
                <w:sz w:val="20"/>
                <w:szCs w:val="20"/>
              </w:rPr>
              <w:t xml:space="preserve"> 1 385,00</w:t>
            </w:r>
            <w:bookmarkEnd w:id="486"/>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145 971</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13,05</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7" w:name="RANGE!A6"/>
            <w:r w:rsidRPr="004C5551">
              <w:rPr>
                <w:color w:val="000000"/>
                <w:sz w:val="20"/>
                <w:szCs w:val="20"/>
              </w:rPr>
              <w:t xml:space="preserve">1 385,01 </w:t>
            </w:r>
            <w:r w:rsidR="00106028" w:rsidRPr="004C5551">
              <w:rPr>
                <w:color w:val="000000"/>
                <w:sz w:val="20"/>
                <w:szCs w:val="20"/>
              </w:rPr>
              <w:t>–</w:t>
            </w:r>
            <w:r w:rsidRPr="004C5551">
              <w:rPr>
                <w:color w:val="000000"/>
                <w:sz w:val="20"/>
                <w:szCs w:val="20"/>
              </w:rPr>
              <w:t xml:space="preserve"> 1 665,00</w:t>
            </w:r>
            <w:bookmarkEnd w:id="487"/>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50 960</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4,56</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8" w:name="RANGE!A7"/>
            <w:r w:rsidRPr="004C5551">
              <w:rPr>
                <w:color w:val="000000"/>
                <w:sz w:val="20"/>
                <w:szCs w:val="20"/>
              </w:rPr>
              <w:t>1 665,01 a viac</w:t>
            </w:r>
            <w:bookmarkEnd w:id="488"/>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93 974</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8,40</w:t>
            </w:r>
            <w:r w:rsidR="00875D86" w:rsidRPr="004C5551">
              <w:rPr>
                <w:color w:val="000000"/>
                <w:sz w:val="20"/>
                <w:szCs w:val="20"/>
              </w:rPr>
              <w:t> </w:t>
            </w:r>
            <w:r w:rsidRPr="004C5551">
              <w:rPr>
                <w:color w:val="000000"/>
                <w:sz w:val="20"/>
                <w:szCs w:val="20"/>
              </w:rPr>
              <w:t>%</w:t>
            </w:r>
          </w:p>
        </w:tc>
      </w:tr>
      <w:tr w:rsidR="00C371A4" w:rsidRPr="004C5551" w:rsidTr="00C94F79">
        <w:trPr>
          <w:trHeight w:val="300"/>
          <w:jc w:val="center"/>
        </w:trPr>
        <w:tc>
          <w:tcPr>
            <w:tcW w:w="2100" w:type="dxa"/>
            <w:shd w:val="clear" w:color="auto" w:fill="auto"/>
            <w:noWrap/>
            <w:vAlign w:val="center"/>
            <w:hideMark/>
          </w:tcPr>
          <w:p w:rsidR="00C371A4" w:rsidRPr="004C5551" w:rsidRDefault="00C371A4" w:rsidP="00014525">
            <w:pPr>
              <w:rPr>
                <w:color w:val="000000"/>
                <w:sz w:val="20"/>
                <w:szCs w:val="20"/>
              </w:rPr>
            </w:pPr>
            <w:bookmarkStart w:id="489" w:name="RANGE!A8"/>
            <w:r w:rsidRPr="004C5551">
              <w:rPr>
                <w:color w:val="000000"/>
                <w:sz w:val="20"/>
                <w:szCs w:val="20"/>
              </w:rPr>
              <w:t>Aktívni sporitelia spolu</w:t>
            </w:r>
            <w:bookmarkEnd w:id="489"/>
          </w:p>
        </w:tc>
        <w:tc>
          <w:tcPr>
            <w:tcW w:w="1420" w:type="dxa"/>
            <w:shd w:val="clear" w:color="auto" w:fill="auto"/>
            <w:noWrap/>
            <w:vAlign w:val="center"/>
            <w:hideMark/>
          </w:tcPr>
          <w:p w:rsidR="00C371A4" w:rsidRPr="004C5551" w:rsidRDefault="00C371A4" w:rsidP="00014525">
            <w:pPr>
              <w:jc w:val="right"/>
              <w:rPr>
                <w:color w:val="000000"/>
                <w:sz w:val="20"/>
                <w:szCs w:val="20"/>
              </w:rPr>
            </w:pPr>
            <w:r w:rsidRPr="004C5551">
              <w:rPr>
                <w:color w:val="000000"/>
                <w:sz w:val="20"/>
                <w:szCs w:val="20"/>
              </w:rPr>
              <w:t>1 118 126</w:t>
            </w:r>
          </w:p>
        </w:tc>
        <w:tc>
          <w:tcPr>
            <w:tcW w:w="1643" w:type="dxa"/>
            <w:shd w:val="clear" w:color="auto" w:fill="auto"/>
            <w:vAlign w:val="center"/>
            <w:hideMark/>
          </w:tcPr>
          <w:p w:rsidR="00C371A4" w:rsidRPr="004C5551" w:rsidRDefault="00C371A4" w:rsidP="00014525">
            <w:pPr>
              <w:jc w:val="right"/>
              <w:rPr>
                <w:color w:val="000000"/>
                <w:sz w:val="20"/>
                <w:szCs w:val="20"/>
              </w:rPr>
            </w:pPr>
            <w:r w:rsidRPr="004C5551">
              <w:rPr>
                <w:color w:val="000000"/>
                <w:sz w:val="20"/>
                <w:szCs w:val="20"/>
              </w:rPr>
              <w:t>100,00</w:t>
            </w:r>
            <w:r w:rsidR="00875D86" w:rsidRPr="004C5551">
              <w:rPr>
                <w:color w:val="000000"/>
                <w:sz w:val="20"/>
                <w:szCs w:val="20"/>
              </w:rPr>
              <w:t> </w:t>
            </w:r>
            <w:r w:rsidRPr="004C5551">
              <w:rPr>
                <w:color w:val="000000"/>
                <w:sz w:val="20"/>
                <w:szCs w:val="20"/>
              </w:rPr>
              <w:t>%</w:t>
            </w:r>
          </w:p>
        </w:tc>
      </w:tr>
    </w:tbl>
    <w:p w:rsidR="00C371A4" w:rsidRPr="004C5551" w:rsidRDefault="00C371A4" w:rsidP="00C94F79">
      <w:pPr>
        <w:pStyle w:val="zdroj"/>
        <w:ind w:left="1701"/>
      </w:pPr>
      <w:r w:rsidRPr="004C5551">
        <w:t>Zdroj: MPSVR SR</w:t>
      </w:r>
    </w:p>
    <w:p w:rsidR="00C371A4" w:rsidRPr="004C5551" w:rsidRDefault="00C371A4" w:rsidP="00C92B2F">
      <w:pPr>
        <w:ind w:firstLine="431"/>
      </w:pPr>
      <w:bookmarkStart w:id="490" w:name="_Toc325440949"/>
      <w:bookmarkStart w:id="491" w:name="_Toc356482691"/>
      <w:bookmarkStart w:id="492" w:name="_Toc356916015"/>
      <w:r w:rsidRPr="004C5551">
        <w:t>Rozdiel medzi celkovým počtom sporiteľov v tabuľkách 3.8 až 3.10 predstavuje takmer 347</w:t>
      </w:r>
      <w:r w:rsidR="00C94F79" w:rsidRPr="004C5551">
        <w:t> </w:t>
      </w:r>
      <w:r w:rsidRPr="004C5551">
        <w:t xml:space="preserve">tisíc osôb – tieto fyzické osoby možno označiť ako tzv. neaktívnych sporiteľov, to znamená, že si </w:t>
      </w:r>
      <w:r w:rsidR="009E0529" w:rsidRPr="004C5551">
        <w:br/>
      </w:r>
      <w:r w:rsidRPr="004C5551">
        <w:t xml:space="preserve">k 31. 12. 2014 nezaplatili povinné príspevky na starobné dôchodkové sporenie z titulu zamestnanca, povinne poistenej samostatne zárobkovo činnej osoby alebo dobrovoľne poistenej osoby a neplatil </w:t>
      </w:r>
      <w:r w:rsidR="00C70604" w:rsidRPr="004C5551">
        <w:t>za </w:t>
      </w:r>
      <w:r w:rsidRPr="004C5551">
        <w:t>nich tieto príspevky ani štát z dôvodu výkonu zákonom vymedzených činností (starostlivosť o dieťa, opatrovanie), ani Sociálna poisťovňa. Oproti roku 2013 tento počet vzrástol o 923 osôb, t.j. približne o 0,3</w:t>
      </w:r>
      <w:r w:rsidR="009425AA" w:rsidRPr="004C5551">
        <w:t> %</w:t>
      </w:r>
      <w:r w:rsidRPr="004C5551">
        <w:t xml:space="preserve">. </w:t>
      </w:r>
    </w:p>
    <w:p w:rsidR="00913863" w:rsidRPr="004C5551" w:rsidRDefault="00913863" w:rsidP="00ED16E0">
      <w:pPr>
        <w:pStyle w:val="Nadpis6"/>
      </w:pPr>
      <w:bookmarkStart w:id="493" w:name="_Toc422233422"/>
      <w:r w:rsidRPr="004C5551">
        <w:t>Doplnkové dôchodkové sporenie</w:t>
      </w:r>
      <w:bookmarkEnd w:id="490"/>
      <w:bookmarkEnd w:id="491"/>
      <w:bookmarkEnd w:id="492"/>
      <w:bookmarkEnd w:id="493"/>
      <w:r w:rsidRPr="004C5551">
        <w:t xml:space="preserve"> </w:t>
      </w:r>
    </w:p>
    <w:p w:rsidR="00B95152" w:rsidRPr="004C5551" w:rsidRDefault="00B95152" w:rsidP="00C92B2F">
      <w:pPr>
        <w:ind w:firstLine="431"/>
      </w:pPr>
      <w:r w:rsidRPr="004C5551">
        <w:t>Doplnkové (dobrovoľné) dôchodkové sporenie je súčasťou tzv. tretieho piliera dôchodkového systému, v ktorom sú finančné prostriedky účastníkov spravované doplnkovými dôchodkovými spoločnosťami (ďalej len „DDS“).</w:t>
      </w:r>
    </w:p>
    <w:p w:rsidR="00B95152" w:rsidRPr="004C5551" w:rsidRDefault="00B95152" w:rsidP="00C92B2F">
      <w:pPr>
        <w:ind w:firstLine="431"/>
      </w:pPr>
      <w:r w:rsidRPr="004C5551">
        <w:t xml:space="preserve">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skončenia výkonu prác zamestnanca, ktorý je tanečný umelec alebo hudobný umelec, ktorý vykonáva profesiu hráča </w:t>
      </w:r>
      <w:r w:rsidR="00C70604" w:rsidRPr="004C5551">
        <w:t>na </w:t>
      </w:r>
      <w:r w:rsidRPr="004C5551">
        <w:t>dychový nástroj.</w:t>
      </w:r>
    </w:p>
    <w:p w:rsidR="00B95152" w:rsidRPr="004C5551" w:rsidRDefault="00B95152" w:rsidP="00B95152">
      <w:pPr>
        <w:ind w:firstLine="567"/>
      </w:pPr>
    </w:p>
    <w:p w:rsidR="00B95152" w:rsidRPr="004C5551" w:rsidRDefault="00B95152" w:rsidP="00C92B2F">
      <w:pPr>
        <w:ind w:firstLine="431"/>
      </w:pPr>
      <w:r w:rsidRPr="004C5551">
        <w:t>Účastníkom je zamestnanec, ktorý uzatvoril zmluvu o doplnkovom dôchodkovom sporení s doplnkovou dôchodkovou spoločnosťou (ďalej len "účastnícka zmluva"); alebo iná fyzická osoba, ktorá ku dňu uzatvorenia účastníckej zmluvy dovŕšila najmenej 18 rokov veku.</w:t>
      </w:r>
    </w:p>
    <w:p w:rsidR="00B95152" w:rsidRPr="004C5551" w:rsidRDefault="00B95152" w:rsidP="00C92B2F">
      <w:pPr>
        <w:ind w:firstLine="431"/>
      </w:pPr>
      <w:r w:rsidRPr="004C5551">
        <w:t xml:space="preserve"> Zamestnanec, ktorý vykonáva práce zaradené na základe rozhodnutia orgánu na ochranu zdravia do kategórie 3 alebo 4 a zamestnanec, ktorý vykonáva práce tanečného umelca alebo hráča na</w:t>
      </w:r>
      <w:r w:rsidR="009E0529" w:rsidRPr="004C5551">
        <w:t> </w:t>
      </w:r>
      <w:r w:rsidRPr="004C5551">
        <w:t>dychový nástroj, sú povinní uzatvoriť účastnícku zmluvu a ich zamestnávatelia sú povinní uzatvoriť zamestnávateľskú zmluvu, a to do 30 dní od začatia výkonu týchto prác.</w:t>
      </w:r>
    </w:p>
    <w:p w:rsidR="00B95152" w:rsidRPr="004C5551" w:rsidRDefault="00B95152" w:rsidP="00C92B2F">
      <w:pPr>
        <w:ind w:firstLine="431"/>
      </w:pPr>
      <w:r w:rsidRPr="004C5551">
        <w:t>Prostredníctvom doplnkového dôchodkového sporenia si účastník sporí finančné prostriedky v DDS, ktorá tieto prostriedky investuje za účelom ich zhodnotenia. Výsledná suma dávky doplnkového dôchodkového sporenia závisí od výšky finančných prostriedkov, ktoré účastník a jeho zamestnávateľ počas celého obdobia sporenia do DDS odviedli a od miery ich zhodnotenia.</w:t>
      </w:r>
    </w:p>
    <w:p w:rsidR="00B95152" w:rsidRPr="004C5551" w:rsidRDefault="00B95152" w:rsidP="00C92B2F">
      <w:pPr>
        <w:ind w:firstLine="431"/>
      </w:pPr>
      <w:r w:rsidRPr="004C5551">
        <w:t>Z doplnkového dôchodkového sporenia sa po splnení podmienok ustanovených zákonom o doplnkovom dôchodkovom sporení, vyplácajú tieto dávky doplnkového dôchodkového sporenia:</w:t>
      </w:r>
    </w:p>
    <w:p w:rsidR="00B95152" w:rsidRPr="004C5551" w:rsidRDefault="00B95152" w:rsidP="009C55E3">
      <w:pPr>
        <w:pStyle w:val="Odsekzoznamu"/>
        <w:numPr>
          <w:ilvl w:val="0"/>
          <w:numId w:val="33"/>
        </w:numPr>
        <w:tabs>
          <w:tab w:val="left" w:pos="1418"/>
        </w:tabs>
        <w:contextualSpacing/>
      </w:pPr>
      <w:r w:rsidRPr="004C5551">
        <w:t>doplnkový starobný dôchodok, a to vo forme</w:t>
      </w:r>
    </w:p>
    <w:p w:rsidR="00B95152" w:rsidRPr="004C5551" w:rsidRDefault="00B95152" w:rsidP="00B95152">
      <w:pPr>
        <w:numPr>
          <w:ilvl w:val="1"/>
          <w:numId w:val="11"/>
        </w:numPr>
      </w:pPr>
      <w:r w:rsidRPr="004C5551">
        <w:t>doživotného doplnkového starobného dôchodku,</w:t>
      </w:r>
    </w:p>
    <w:p w:rsidR="00B95152" w:rsidRPr="004C5551" w:rsidRDefault="00B95152" w:rsidP="00B95152">
      <w:pPr>
        <w:numPr>
          <w:ilvl w:val="1"/>
          <w:numId w:val="11"/>
        </w:numPr>
      </w:pPr>
      <w:r w:rsidRPr="004C5551">
        <w:t>dočasného doplnkového starobného dôchodku,</w:t>
      </w:r>
    </w:p>
    <w:p w:rsidR="00B95152" w:rsidRPr="004C5551" w:rsidRDefault="00B95152" w:rsidP="009C55E3">
      <w:pPr>
        <w:pStyle w:val="Odsekzoznamu"/>
        <w:numPr>
          <w:ilvl w:val="0"/>
          <w:numId w:val="22"/>
        </w:numPr>
        <w:tabs>
          <w:tab w:val="left" w:pos="1418"/>
        </w:tabs>
        <w:contextualSpacing/>
      </w:pPr>
      <w:r w:rsidRPr="004C5551">
        <w:t xml:space="preserve">doplnkový výsluhový dôchodok, a to vo forme </w:t>
      </w:r>
    </w:p>
    <w:p w:rsidR="00B95152" w:rsidRPr="004C5551" w:rsidRDefault="00B95152" w:rsidP="00B95152">
      <w:pPr>
        <w:numPr>
          <w:ilvl w:val="1"/>
          <w:numId w:val="12"/>
        </w:numPr>
      </w:pPr>
      <w:r w:rsidRPr="004C5551">
        <w:t>doživotného doplnkového výsluhového dôchodku,</w:t>
      </w:r>
    </w:p>
    <w:p w:rsidR="00B95152" w:rsidRPr="004C5551" w:rsidRDefault="00B95152" w:rsidP="00B95152">
      <w:pPr>
        <w:numPr>
          <w:ilvl w:val="1"/>
          <w:numId w:val="12"/>
        </w:numPr>
      </w:pPr>
      <w:r w:rsidRPr="004C5551">
        <w:t>dočasného doplnkového výsluhového dôchodku,</w:t>
      </w:r>
    </w:p>
    <w:p w:rsidR="00B95152" w:rsidRPr="004C5551" w:rsidRDefault="00B95152" w:rsidP="009C55E3">
      <w:pPr>
        <w:pStyle w:val="Odsekzoznamu"/>
        <w:numPr>
          <w:ilvl w:val="0"/>
          <w:numId w:val="22"/>
        </w:numPr>
        <w:tabs>
          <w:tab w:val="left" w:pos="1418"/>
        </w:tabs>
        <w:ind w:left="709" w:hanging="283"/>
        <w:contextualSpacing/>
        <w:rPr>
          <w:lang w:eastAsia="cs-CZ"/>
        </w:rPr>
      </w:pPr>
      <w:r w:rsidRPr="004C5551">
        <w:t>jednorazové vyrovnanie,</w:t>
      </w:r>
    </w:p>
    <w:p w:rsidR="00B95152" w:rsidRPr="004C5551" w:rsidRDefault="00B95152" w:rsidP="009C55E3">
      <w:pPr>
        <w:pStyle w:val="Odsekzoznamu"/>
        <w:numPr>
          <w:ilvl w:val="0"/>
          <w:numId w:val="22"/>
        </w:numPr>
        <w:tabs>
          <w:tab w:val="left" w:pos="1418"/>
        </w:tabs>
        <w:ind w:left="709" w:hanging="283"/>
        <w:contextualSpacing/>
        <w:rPr>
          <w:lang w:eastAsia="cs-CZ"/>
        </w:rPr>
      </w:pPr>
      <w:r w:rsidRPr="004C5551">
        <w:t>predčasný výber.</w:t>
      </w:r>
    </w:p>
    <w:p w:rsidR="00B95152" w:rsidRPr="004C5551" w:rsidRDefault="00B95152" w:rsidP="00C92B2F">
      <w:pPr>
        <w:ind w:firstLine="431"/>
      </w:pPr>
      <w:r w:rsidRPr="004C5551">
        <w:t>Účastníci, ktorí uzatvorili účastnícke zmluvy pred 1. 1. 2014 a s príslušnou DDS si nedohodli zmenu účastníckej zmluvy, ktorej obsahom by bolo upustenie od dávkového plánu, majú naďalej účastnícke zmluvy s dávkovými plánmi, v ktorých sú upravené podmienky poberania dávok. Ostáva teda pre nich zachovaná aj možnosť vyplatenia dávky odstupné, avšak takíto účastníci nemajú nárok na novú dávku predčasný výber.</w:t>
      </w:r>
    </w:p>
    <w:p w:rsidR="00B95152" w:rsidRPr="004C5551" w:rsidRDefault="00B95152" w:rsidP="00C92B2F">
      <w:pPr>
        <w:ind w:firstLine="431"/>
      </w:pPr>
      <w:r w:rsidRPr="004C5551">
        <w:t>K 31. decembru 2014 pôsobili na trhu doplnkového dôchodkového sporenia 4 doplnkové dôchodkové spoločnosti, a to:</w:t>
      </w:r>
    </w:p>
    <w:p w:rsidR="00B95152" w:rsidRPr="004C5551" w:rsidRDefault="00B95152" w:rsidP="009C55E3">
      <w:pPr>
        <w:pStyle w:val="Odsekzoznamu"/>
        <w:numPr>
          <w:ilvl w:val="0"/>
          <w:numId w:val="34"/>
        </w:numPr>
        <w:ind w:firstLine="414"/>
        <w:contextualSpacing/>
      </w:pPr>
      <w:r w:rsidRPr="004C5551">
        <w:t xml:space="preserve">AXA </w:t>
      </w:r>
      <w:proofErr w:type="spellStart"/>
      <w:r w:rsidRPr="004C5551">
        <w:t>d.d.s</w:t>
      </w:r>
      <w:proofErr w:type="spellEnd"/>
      <w:r w:rsidRPr="004C5551">
        <w:t>., a.s., Bratislava,</w:t>
      </w:r>
    </w:p>
    <w:p w:rsidR="00B95152" w:rsidRPr="004C5551" w:rsidRDefault="00B95152" w:rsidP="00B95152">
      <w:pPr>
        <w:pStyle w:val="Odsekzoznamu"/>
        <w:ind w:firstLine="426"/>
        <w:contextualSpacing/>
      </w:pPr>
      <w:r w:rsidRPr="004C5551">
        <w:t>Doplnková dôchodková spoločnosť Tatra banky, a.s., Bratislava,</w:t>
      </w:r>
    </w:p>
    <w:p w:rsidR="00B95152" w:rsidRPr="004C5551" w:rsidRDefault="00B95152" w:rsidP="00B95152">
      <w:pPr>
        <w:pStyle w:val="Odsekzoznamu"/>
        <w:ind w:firstLine="426"/>
        <w:contextualSpacing/>
      </w:pPr>
      <w:r w:rsidRPr="004C5551">
        <w:t xml:space="preserve">ING Tatry – Sympatia </w:t>
      </w:r>
      <w:proofErr w:type="spellStart"/>
      <w:r w:rsidRPr="004C5551">
        <w:t>d.d.s</w:t>
      </w:r>
      <w:proofErr w:type="spellEnd"/>
      <w:r w:rsidRPr="004C5551">
        <w:t>., a.s., Bratislava,</w:t>
      </w:r>
    </w:p>
    <w:p w:rsidR="00B95152" w:rsidRPr="004C5551" w:rsidRDefault="00B95152" w:rsidP="00B95152">
      <w:pPr>
        <w:pStyle w:val="Odsekzoznamu"/>
        <w:ind w:firstLine="426"/>
        <w:contextualSpacing/>
      </w:pPr>
      <w:r w:rsidRPr="004C5551">
        <w:t xml:space="preserve">Stabilita, </w:t>
      </w:r>
      <w:proofErr w:type="spellStart"/>
      <w:r w:rsidRPr="004C5551">
        <w:t>d.d.s</w:t>
      </w:r>
      <w:proofErr w:type="spellEnd"/>
      <w:r w:rsidRPr="004C5551">
        <w:t>., a. s., Košice.</w:t>
      </w:r>
    </w:p>
    <w:p w:rsidR="00B95152" w:rsidRPr="004C5551" w:rsidRDefault="00B95152" w:rsidP="00B95152">
      <w:pPr>
        <w:ind w:firstLine="567"/>
      </w:pPr>
    </w:p>
    <w:p w:rsidR="00B95152" w:rsidRPr="004C5551" w:rsidRDefault="00B95152" w:rsidP="001206CF">
      <w:pPr>
        <w:rPr>
          <w:b/>
        </w:rPr>
      </w:pPr>
      <w:r w:rsidRPr="004C5551">
        <w:rPr>
          <w:b/>
        </w:rPr>
        <w:t>Najvýznamnejšie zmeny v doplnkovom dôchodkovom sporení</w:t>
      </w:r>
      <w:r w:rsidR="00073D95" w:rsidRPr="004C5551">
        <w:rPr>
          <w:b/>
        </w:rPr>
        <w:t xml:space="preserve"> </w:t>
      </w:r>
      <w:r w:rsidRPr="004C5551">
        <w:rPr>
          <w:b/>
        </w:rPr>
        <w:t>s účinnosťou od 1.1.2014:</w:t>
      </w:r>
    </w:p>
    <w:p w:rsidR="00B95152" w:rsidRPr="004C5551" w:rsidRDefault="00B95152" w:rsidP="00B95152">
      <w:pPr>
        <w:ind w:firstLine="567"/>
      </w:pPr>
    </w:p>
    <w:p w:rsidR="00B95152" w:rsidRPr="004C5551" w:rsidRDefault="00B95152" w:rsidP="00C92B2F">
      <w:pPr>
        <w:ind w:firstLine="431"/>
      </w:pPr>
      <w:r w:rsidRPr="004C5551">
        <w:t>V roku 2013 bol schválený zákon č. 318/2013 Z. z., ktorým sa mení a dopĺňa zákon č.</w:t>
      </w:r>
      <w:r w:rsidR="00FB16A5" w:rsidRPr="004C5551">
        <w:t> </w:t>
      </w:r>
      <w:r w:rsidRPr="004C5551">
        <w:t>650/2004 Z. z. o doplnkovom dôchodkovom sporení a o zmene a doplnení niektorých zákonov v</w:t>
      </w:r>
      <w:r w:rsidR="00FB16A5" w:rsidRPr="004C5551">
        <w:t> </w:t>
      </w:r>
      <w:r w:rsidRPr="004C5551">
        <w:t>znení neskorších predpisov a ktorým sa mení a dopĺňa zákon č. 595/2003 Z. z. o dani z príjmov v</w:t>
      </w:r>
      <w:r w:rsidR="00FB16A5" w:rsidRPr="004C5551">
        <w:t> </w:t>
      </w:r>
      <w:r w:rsidRPr="004C5551">
        <w:t>znení neskorších predpisov s účinnosťou od 1. januára 2014 (ďalej len „zákon“). Prostredníctvom tejto novely zákona došlo k viacerým dôležitým zmenám v oblasti doplnkového dôchodkového sporenia:</w:t>
      </w:r>
    </w:p>
    <w:p w:rsidR="00B95152" w:rsidRPr="004C5551" w:rsidRDefault="00B95152" w:rsidP="009C55E3">
      <w:pPr>
        <w:pStyle w:val="Odsekzoznamu"/>
        <w:numPr>
          <w:ilvl w:val="0"/>
          <w:numId w:val="22"/>
        </w:numPr>
        <w:tabs>
          <w:tab w:val="left" w:pos="1418"/>
        </w:tabs>
        <w:ind w:left="709" w:hanging="283"/>
        <w:contextualSpacing/>
      </w:pPr>
      <w:r w:rsidRPr="004C5551">
        <w:t xml:space="preserve">upravili sa podmienky vyplácania niektorých druhov dávok tak, aby bol naplnený pôvodný účel systému doplnkového dôchodkového sporenia </w:t>
      </w:r>
      <w:r w:rsidR="00106028" w:rsidRPr="004C5551">
        <w:t>–</w:t>
      </w:r>
      <w:r w:rsidRPr="004C5551">
        <w:t xml:space="preserve"> umožnilo sa účastníkovi získať doplnkový dôchodkový príjem v starobe a doplnkový dôchodkový príjem v prípade skončenia výkonu niektorých zákonom vymedzených rizikových prác; </w:t>
      </w:r>
    </w:p>
    <w:p w:rsidR="00B95152" w:rsidRPr="004C5551" w:rsidRDefault="00B95152" w:rsidP="009C55E3">
      <w:pPr>
        <w:pStyle w:val="Odsekzoznamu"/>
        <w:numPr>
          <w:ilvl w:val="0"/>
          <w:numId w:val="22"/>
        </w:numPr>
        <w:tabs>
          <w:tab w:val="left" w:pos="1418"/>
        </w:tabs>
        <w:ind w:left="709" w:hanging="283"/>
        <w:contextualSpacing/>
      </w:pPr>
      <w:r w:rsidRPr="004C5551">
        <w:t>sprísnili sa podmienky vyplácania doplnkového výsluhového dôchodku (zvýšenie obdobia výkonu rizikových prác z päť na desať rokov, zvýšenie veku, od ktorého sa tento dôchodok vypláca) a zmenil sa účel doplnkového výsluhového dôchodku (skorší ako zákonný odchod do</w:t>
      </w:r>
      <w:r w:rsidR="00FB16A5" w:rsidRPr="004C5551">
        <w:t> </w:t>
      </w:r>
      <w:r w:rsidRPr="004C5551">
        <w:t>dôchodku), čím sa zvýraznil účel zákona, t. zn. v tomto prípade zabezpečenie účastníka po</w:t>
      </w:r>
      <w:r w:rsidR="00FB16A5" w:rsidRPr="004C5551">
        <w:t> </w:t>
      </w:r>
      <w:r w:rsidRPr="004C5551">
        <w:t>skončení výkonu tzv. rizikových povolaní;</w:t>
      </w:r>
    </w:p>
    <w:p w:rsidR="00B95152" w:rsidRPr="004C5551" w:rsidRDefault="00B95152" w:rsidP="009C55E3">
      <w:pPr>
        <w:pStyle w:val="Odsekzoznamu"/>
        <w:numPr>
          <w:ilvl w:val="0"/>
          <w:numId w:val="22"/>
        </w:numPr>
        <w:tabs>
          <w:tab w:val="left" w:pos="1418"/>
        </w:tabs>
        <w:ind w:left="709" w:hanging="283"/>
        <w:contextualSpacing/>
      </w:pPr>
      <w:r w:rsidRPr="004C5551">
        <w:t>vypustila sa</w:t>
      </w:r>
      <w:r w:rsidR="00073D95" w:rsidRPr="004C5551">
        <w:t xml:space="preserve"> </w:t>
      </w:r>
      <w:r w:rsidRPr="004C5551">
        <w:t>dávka odstupné, ktorá umožňovala jednorazový výber nasporenej sumy pred dovŕšením dôchodkového veku a oslabovala tým účel zabezpečiť účastníka predovšetkým v</w:t>
      </w:r>
      <w:r w:rsidR="00FB16A5" w:rsidRPr="004C5551">
        <w:t> </w:t>
      </w:r>
      <w:r w:rsidRPr="004C5551">
        <w:t>starobe, resp. po skončení výkonu rizikového povolania a nahradila sa vhodnejšie nastavenou dávkou predčasný výber (účastník si môže vybrať svoje vlastné príspevky vrátane výnosov z ich investovania najskôr po prvých desiatich rokoch sporenia, účastnícka zmluva mu nezaniká a príspevky zamestnávateľa zostávajú na osobnom účte účastníka až do času naplnenia zákonných podmienok na výplatu dávky);</w:t>
      </w:r>
    </w:p>
    <w:p w:rsidR="00B95152" w:rsidRPr="004C5551" w:rsidRDefault="00B95152" w:rsidP="009C55E3">
      <w:pPr>
        <w:pStyle w:val="Odsekzoznamu"/>
        <w:numPr>
          <w:ilvl w:val="0"/>
          <w:numId w:val="22"/>
        </w:numPr>
        <w:tabs>
          <w:tab w:val="left" w:pos="1418"/>
        </w:tabs>
        <w:ind w:left="709" w:hanging="283"/>
        <w:contextualSpacing/>
      </w:pPr>
      <w:r w:rsidRPr="004C5551">
        <w:t>zaviedla sa nezdaniteľná časť základu dane pre daňovníka (účastníka) do výšky 180 eur ročne, ak účastník uzatvoril dodatok k účastníckej zmluve uzatvorenej do konca roku 2013, ktorého obsahom bol zánik dávkového plánu alebo uzatvoril novú účastnícku zmluvu podľa zákona účinného od 1.1.2014, čím sa vytvoril vyšší predpoklad pre lepšie zabezpečenie v starobe, resp. po skončení výkonu tzv. rizikových povolaní;</w:t>
      </w:r>
    </w:p>
    <w:p w:rsidR="00B95152" w:rsidRPr="004C5551" w:rsidRDefault="00B95152" w:rsidP="009C55E3">
      <w:pPr>
        <w:pStyle w:val="Odsekzoznamu"/>
        <w:numPr>
          <w:ilvl w:val="0"/>
          <w:numId w:val="22"/>
        </w:numPr>
        <w:tabs>
          <w:tab w:val="left" w:pos="1418"/>
        </w:tabs>
        <w:ind w:left="709" w:hanging="283"/>
        <w:contextualSpacing/>
      </w:pPr>
      <w:r w:rsidRPr="004C5551">
        <w:t>znížila sa maximálna percentuálna výška odplaty za správu v doplnkovom dôchodkovom fonde ako aj maximálna percentuálna výška odplaty za zhodnotenie majetku v príspevkovom doplnkovom dôchodkovom fonde a zrušila sa odplata za zhodnotenie majetku vo výplatnom doplnkovom dôchodkovom fonde;</w:t>
      </w:r>
    </w:p>
    <w:p w:rsidR="00B95152" w:rsidRPr="004C5551" w:rsidRDefault="00B95152" w:rsidP="009C55E3">
      <w:pPr>
        <w:pStyle w:val="Odsekzoznamu"/>
        <w:numPr>
          <w:ilvl w:val="0"/>
          <w:numId w:val="22"/>
        </w:numPr>
        <w:tabs>
          <w:tab w:val="left" w:pos="1418"/>
        </w:tabs>
        <w:ind w:left="709" w:hanging="283"/>
        <w:contextualSpacing/>
      </w:pPr>
      <w:r w:rsidRPr="004C5551">
        <w:t>upravila sa oblasť investovania a riadenia rizík (napr. optimalizovali sa kvantitatívne limity na</w:t>
      </w:r>
      <w:r w:rsidR="009E0529" w:rsidRPr="004C5551">
        <w:t> </w:t>
      </w:r>
      <w:r w:rsidRPr="004C5551">
        <w:t>základe požiadaviek regulátora – uvoľnili sa niektoré limity a sprísnili iné, znížila sa „</w:t>
      </w:r>
      <w:proofErr w:type="spellStart"/>
      <w:r w:rsidRPr="004C5551">
        <w:t>hard</w:t>
      </w:r>
      <w:proofErr w:type="spellEnd"/>
      <w:r w:rsidRPr="004C5551">
        <w:t xml:space="preserve">“ regulácia a posilnil sa </w:t>
      </w:r>
      <w:proofErr w:type="spellStart"/>
      <w:r w:rsidRPr="004C5551">
        <w:t>prudentný</w:t>
      </w:r>
      <w:proofErr w:type="spellEnd"/>
      <w:r w:rsidRPr="004C5551">
        <w:t xml:space="preserve"> princíp regulácie a teda došlo k posilneniu úlohy Národnej banky Slovenska ako regulátora, resp. orgánu dohľadu, zaviedol sa silný vnútorný systém kontroly </w:t>
      </w:r>
      <w:r w:rsidR="00106028" w:rsidRPr="004C5551">
        <w:t>–</w:t>
      </w:r>
      <w:r w:rsidRPr="004C5551">
        <w:t xml:space="preserve"> systém riadenia rizík), čím sa vytvoril predpoklad pre kvalitnejšiu správu majetku účastníkov.</w:t>
      </w:r>
    </w:p>
    <w:p w:rsidR="00B95152" w:rsidRPr="004C5551" w:rsidRDefault="00B95152" w:rsidP="001206CF">
      <w:pPr>
        <w:ind w:firstLine="431"/>
      </w:pPr>
      <w:r w:rsidRPr="004C5551">
        <w:t>Tieto legislatívne zmeny v systéme doplnkového dôchodkového sporenia vytvárajú predpoklady pre zvýšenie atraktivity a záujmu obyvateľstva o tento druh sporenia na dôchodok a</w:t>
      </w:r>
      <w:r w:rsidR="00073D95" w:rsidRPr="004C5551">
        <w:t> </w:t>
      </w:r>
      <w:r w:rsidRPr="004C5551">
        <w:t>zároveň</w:t>
      </w:r>
      <w:r w:rsidR="00073D95" w:rsidRPr="004C5551">
        <w:t xml:space="preserve"> </w:t>
      </w:r>
      <w:r w:rsidRPr="004C5551">
        <w:t>obnovenie základného cieľa systému doplnkového dôchodkové sporenia, t.j. umožniť jeho účastníkovi získať doplnkový dôchodkový príjem v starobe a doplnkový dôchodkový príjem v prípade skončenia výkonu niektorých zákonom vymedzených rizikových prác.</w:t>
      </w:r>
    </w:p>
    <w:p w:rsidR="00B95152" w:rsidRPr="004C5551" w:rsidRDefault="00B95152" w:rsidP="001206CF">
      <w:pPr>
        <w:ind w:firstLine="431"/>
      </w:pPr>
      <w:r w:rsidRPr="004C5551">
        <w:t xml:space="preserve">Od 1. decembra 2014 vstúpil do platnosti zákon č. 301/2014 Z. z. , ktorým sa transponovala smernica Európskeho parlamentu a Rady 2013/14/EÚ z 21. mája 2013 s cieľom zlepšiť kvalitu investícií inštitúcií zamestnaneckého dôchodkového zabezpečenia (v podmienkach zákona </w:t>
      </w:r>
      <w:r w:rsidR="00FB16A5" w:rsidRPr="004C5551">
        <w:br/>
      </w:r>
      <w:r w:rsidRPr="004C5551">
        <w:t>č. 650/2004 Z. z. ide o doplnkové dôchodkové spoločnosti alebo zamestnanecké dôchodkové spoločnosti v rozsahu ich činností vykonávaných na území SR) a ochraňovať tým investorov, preto je vhodné vyžadovať od týchto inštitúcií, aby pri posudzovaní rizík obsiahnutých v ich investíciách, predchádzali výhradnému alebo mechanickému spoliehaniu sa na úverové ratingy alebo ich využívaniu ako jediného parametra.</w:t>
      </w:r>
    </w:p>
    <w:p w:rsidR="00B95152" w:rsidRPr="004C5551" w:rsidRDefault="00B95152" w:rsidP="001206CF">
      <w:pPr>
        <w:ind w:firstLine="431"/>
      </w:pPr>
      <w:r w:rsidRPr="004C5551">
        <w:t>Počet prispievajúcich účastníkov v doplnkových dôchodkových fondoch s nenulovým dôchodkovým účtom bol k 31.12.2014 približne 682 tisíc. Išlo o nárast oproti roku 2013, avšak nárast bol zanedbateľný. Počet poberateľov dávok klesol oproti roku 2013 približne o 7,3</w:t>
      </w:r>
      <w:r w:rsidR="009425AA" w:rsidRPr="004C5551">
        <w:t> %</w:t>
      </w:r>
      <w:r w:rsidRPr="004C5551">
        <w:t xml:space="preserve"> na 45 tisíc.</w:t>
      </w:r>
      <w:r w:rsidR="0017146E" w:rsidRPr="004C5551">
        <w:t xml:space="preserve"> Medziročne však došlo </w:t>
      </w:r>
      <w:r w:rsidR="00857C59" w:rsidRPr="004C5551">
        <w:t>k prerozdeleniu účastníkov a poberateľov dávok medzi jednotlivými doplnkovými dôchodkovými spoločnosťami.</w:t>
      </w:r>
    </w:p>
    <w:p w:rsidR="00B95152" w:rsidRPr="004C5551" w:rsidRDefault="00B95152" w:rsidP="00FB16A5">
      <w:pPr>
        <w:pStyle w:val="Nadpis7"/>
      </w:pPr>
      <w:r w:rsidRPr="004C5551">
        <w:t>Tabuľka 3.11 Počet účastníkov a poberateľov dávok k 31.12.2014</w:t>
      </w:r>
    </w:p>
    <w:tbl>
      <w:tblPr>
        <w:tblW w:w="921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197"/>
        <w:gridCol w:w="1275"/>
        <w:gridCol w:w="1134"/>
        <w:gridCol w:w="256"/>
        <w:gridCol w:w="873"/>
        <w:gridCol w:w="1139"/>
        <w:gridCol w:w="1190"/>
        <w:gridCol w:w="1148"/>
      </w:tblGrid>
      <w:tr w:rsidR="0017146E" w:rsidRPr="004C5551" w:rsidTr="0017146E">
        <w:trPr>
          <w:trHeight w:val="397"/>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17146E" w:rsidRPr="004C5551" w:rsidRDefault="0017146E" w:rsidP="00014525">
            <w:pPr>
              <w:jc w:val="center"/>
              <w:rPr>
                <w:b/>
                <w:bCs/>
                <w:iCs/>
                <w:color w:val="FFFFFF" w:themeColor="background1"/>
                <w:sz w:val="20"/>
                <w:szCs w:val="18"/>
                <w:lang w:eastAsia="cs-CZ"/>
              </w:rPr>
            </w:pPr>
          </w:p>
        </w:tc>
        <w:tc>
          <w:tcPr>
            <w:tcW w:w="3538" w:type="dxa"/>
            <w:gridSpan w:val="4"/>
            <w:tcBorders>
              <w:top w:val="single" w:sz="4" w:space="0" w:color="BF0000" w:themeColor="accent3" w:themeShade="BF"/>
              <w:bottom w:val="single" w:sz="4" w:space="0" w:color="FFFFFF" w:themeColor="background1"/>
            </w:tcBorders>
            <w:shd w:val="clear" w:color="auto" w:fill="BF0000" w:themeFill="accent3" w:themeFillShade="BF"/>
            <w:vAlign w:val="center"/>
          </w:tcPr>
          <w:p w:rsidR="0017146E" w:rsidRPr="004C5551" w:rsidRDefault="0017146E" w:rsidP="0017146E">
            <w:pPr>
              <w:jc w:val="center"/>
              <w:rPr>
                <w:b/>
                <w:bCs/>
                <w:iCs/>
                <w:color w:val="FFFFFF" w:themeColor="background1"/>
                <w:sz w:val="20"/>
                <w:szCs w:val="18"/>
                <w:lang w:eastAsia="cs-CZ"/>
              </w:rPr>
            </w:pPr>
            <w:r w:rsidRPr="004C5551">
              <w:rPr>
                <w:b/>
                <w:bCs/>
                <w:iCs/>
                <w:color w:val="FFFFFF" w:themeColor="background1"/>
                <w:sz w:val="20"/>
                <w:szCs w:val="18"/>
                <w:lang w:eastAsia="cs-CZ"/>
              </w:rPr>
              <w:t>2013</w:t>
            </w:r>
          </w:p>
        </w:tc>
        <w:tc>
          <w:tcPr>
            <w:tcW w:w="3477" w:type="dxa"/>
            <w:gridSpan w:val="3"/>
            <w:tcBorders>
              <w:top w:val="single" w:sz="4" w:space="0" w:color="BF0000" w:themeColor="accent3" w:themeShade="BF"/>
              <w:bottom w:val="single" w:sz="4" w:space="0" w:color="FFFFFF" w:themeColor="background1"/>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2014</w:t>
            </w:r>
          </w:p>
        </w:tc>
      </w:tr>
      <w:tr w:rsidR="0017146E" w:rsidRPr="004C5551" w:rsidTr="0017146E">
        <w:trPr>
          <w:trHeight w:val="848"/>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Spoločnosť</w:t>
            </w:r>
          </w:p>
        </w:tc>
        <w:tc>
          <w:tcPr>
            <w:tcW w:w="1275"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Počet aktívnych účastníkov</w:t>
            </w:r>
          </w:p>
        </w:tc>
        <w:tc>
          <w:tcPr>
            <w:tcW w:w="1390" w:type="dxa"/>
            <w:gridSpan w:val="2"/>
            <w:tcBorders>
              <w:top w:val="single" w:sz="4" w:space="0" w:color="FFFFFF" w:themeColor="background1"/>
              <w:bottom w:val="single" w:sz="6" w:space="0" w:color="BF0000" w:themeColor="accent3" w:themeShade="BF"/>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Počet poberateľov dávok</w:t>
            </w:r>
          </w:p>
        </w:tc>
        <w:tc>
          <w:tcPr>
            <w:tcW w:w="873" w:type="dxa"/>
            <w:tcBorders>
              <w:top w:val="single" w:sz="4" w:space="0" w:color="FFFFFF" w:themeColor="background1"/>
              <w:bottom w:val="single" w:sz="6" w:space="0" w:color="BF0000" w:themeColor="accent3" w:themeShade="BF"/>
              <w:right w:val="single" w:sz="4" w:space="0" w:color="FFFFFF" w:themeColor="background1"/>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Spolu</w:t>
            </w:r>
          </w:p>
        </w:tc>
        <w:tc>
          <w:tcPr>
            <w:tcW w:w="1139" w:type="dxa"/>
            <w:tcBorders>
              <w:top w:val="single" w:sz="4" w:space="0" w:color="FFFFFF" w:themeColor="background1"/>
              <w:left w:val="single" w:sz="4" w:space="0" w:color="FFFFFF" w:themeColor="background1"/>
              <w:bottom w:val="single" w:sz="6" w:space="0" w:color="BF0000" w:themeColor="accent3" w:themeShade="BF"/>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Počet aktívnych účastníkov</w:t>
            </w:r>
          </w:p>
        </w:tc>
        <w:tc>
          <w:tcPr>
            <w:tcW w:w="1190"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Počet poberateľov dávok</w:t>
            </w:r>
          </w:p>
        </w:tc>
        <w:tc>
          <w:tcPr>
            <w:tcW w:w="1148"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17146E" w:rsidRPr="004C5551" w:rsidRDefault="0017146E" w:rsidP="00014525">
            <w:pPr>
              <w:jc w:val="center"/>
              <w:rPr>
                <w:b/>
                <w:bCs/>
                <w:iCs/>
                <w:color w:val="FFFFFF" w:themeColor="background1"/>
                <w:sz w:val="20"/>
                <w:szCs w:val="18"/>
                <w:lang w:eastAsia="cs-CZ"/>
              </w:rPr>
            </w:pPr>
            <w:r w:rsidRPr="004C5551">
              <w:rPr>
                <w:b/>
                <w:bCs/>
                <w:iCs/>
                <w:color w:val="FFFFFF" w:themeColor="background1"/>
                <w:sz w:val="20"/>
                <w:szCs w:val="18"/>
                <w:lang w:eastAsia="cs-CZ"/>
              </w:rPr>
              <w:t>Spolu</w:t>
            </w:r>
          </w:p>
        </w:tc>
      </w:tr>
      <w:tr w:rsidR="0017146E" w:rsidRPr="004C5551" w:rsidTr="0017146E">
        <w:trPr>
          <w:trHeight w:val="364"/>
          <w:jc w:val="center"/>
        </w:trPr>
        <w:tc>
          <w:tcPr>
            <w:tcW w:w="2197" w:type="dxa"/>
            <w:tcBorders>
              <w:top w:val="single" w:sz="6" w:space="0" w:color="BF0000" w:themeColor="accent3" w:themeShade="BF"/>
            </w:tcBorders>
            <w:noWrap/>
            <w:vAlign w:val="center"/>
          </w:tcPr>
          <w:p w:rsidR="0017146E" w:rsidRPr="004C5551" w:rsidRDefault="0017146E" w:rsidP="00014525">
            <w:pPr>
              <w:rPr>
                <w:bCs/>
                <w:sz w:val="20"/>
                <w:szCs w:val="18"/>
              </w:rPr>
            </w:pPr>
            <w:proofErr w:type="spellStart"/>
            <w:r w:rsidRPr="004C5551">
              <w:rPr>
                <w:bCs/>
                <w:sz w:val="20"/>
                <w:szCs w:val="18"/>
              </w:rPr>
              <w:t>Axa</w:t>
            </w:r>
            <w:proofErr w:type="spellEnd"/>
            <w:r w:rsidRPr="004C5551">
              <w:rPr>
                <w:bCs/>
                <w:sz w:val="20"/>
                <w:szCs w:val="18"/>
              </w:rPr>
              <w:t xml:space="preserve"> </w:t>
            </w:r>
            <w:proofErr w:type="spellStart"/>
            <w:r w:rsidRPr="004C5551">
              <w:rPr>
                <w:bCs/>
                <w:sz w:val="20"/>
                <w:szCs w:val="18"/>
              </w:rPr>
              <w:t>d.d.s</w:t>
            </w:r>
            <w:proofErr w:type="spellEnd"/>
            <w:r w:rsidRPr="004C5551">
              <w:rPr>
                <w:bCs/>
                <w:sz w:val="20"/>
                <w:szCs w:val="18"/>
              </w:rPr>
              <w:t>., a.s.</w:t>
            </w:r>
          </w:p>
        </w:tc>
        <w:tc>
          <w:tcPr>
            <w:tcW w:w="1275" w:type="dxa"/>
            <w:tcBorders>
              <w:top w:val="single" w:sz="6" w:space="0" w:color="BF0000" w:themeColor="accent3" w:themeShade="BF"/>
            </w:tcBorders>
            <w:vAlign w:val="center"/>
          </w:tcPr>
          <w:p w:rsidR="00460DEB" w:rsidRPr="004C5551" w:rsidRDefault="00350A9B" w:rsidP="00460DEB">
            <w:pPr>
              <w:ind w:right="71"/>
              <w:jc w:val="right"/>
              <w:rPr>
                <w:sz w:val="20"/>
                <w:szCs w:val="18"/>
              </w:rPr>
            </w:pPr>
            <w:r w:rsidRPr="004C5551">
              <w:rPr>
                <w:sz w:val="20"/>
                <w:szCs w:val="18"/>
              </w:rPr>
              <w:t>119 569</w:t>
            </w:r>
          </w:p>
        </w:tc>
        <w:tc>
          <w:tcPr>
            <w:tcW w:w="1134" w:type="dxa"/>
            <w:tcBorders>
              <w:top w:val="single" w:sz="6" w:space="0" w:color="BF0000" w:themeColor="accent3" w:themeShade="BF"/>
            </w:tcBorders>
            <w:vAlign w:val="center"/>
          </w:tcPr>
          <w:p w:rsidR="00460DEB" w:rsidRPr="004C5551" w:rsidRDefault="0017146E" w:rsidP="00460DEB">
            <w:pPr>
              <w:ind w:right="71"/>
              <w:jc w:val="right"/>
              <w:rPr>
                <w:sz w:val="20"/>
                <w:szCs w:val="18"/>
              </w:rPr>
            </w:pPr>
            <w:r w:rsidRPr="004C5551">
              <w:rPr>
                <w:sz w:val="20"/>
                <w:szCs w:val="18"/>
              </w:rPr>
              <w:t>8 802</w:t>
            </w:r>
          </w:p>
        </w:tc>
        <w:tc>
          <w:tcPr>
            <w:tcW w:w="1129" w:type="dxa"/>
            <w:gridSpan w:val="2"/>
            <w:tcBorders>
              <w:top w:val="single" w:sz="6" w:space="0" w:color="BF0000" w:themeColor="accent3" w:themeShade="BF"/>
            </w:tcBorders>
            <w:vAlign w:val="center"/>
          </w:tcPr>
          <w:p w:rsidR="00460DEB" w:rsidRPr="004C5551" w:rsidRDefault="00460DEB" w:rsidP="00460DEB">
            <w:pPr>
              <w:ind w:right="71"/>
              <w:jc w:val="right"/>
              <w:rPr>
                <w:b/>
                <w:sz w:val="20"/>
                <w:szCs w:val="18"/>
              </w:rPr>
            </w:pPr>
            <w:r w:rsidRPr="004C5551">
              <w:rPr>
                <w:b/>
                <w:sz w:val="20"/>
                <w:szCs w:val="18"/>
              </w:rPr>
              <w:t>28 2737</w:t>
            </w:r>
          </w:p>
        </w:tc>
        <w:tc>
          <w:tcPr>
            <w:tcW w:w="1139" w:type="dxa"/>
            <w:tcBorders>
              <w:top w:val="single" w:sz="6" w:space="0" w:color="BF0000" w:themeColor="accent3" w:themeShade="BF"/>
            </w:tcBorders>
            <w:vAlign w:val="center"/>
          </w:tcPr>
          <w:p w:rsidR="0017146E" w:rsidRPr="004C5551" w:rsidRDefault="0017146E" w:rsidP="00FB16A5">
            <w:pPr>
              <w:ind w:right="333"/>
              <w:jc w:val="right"/>
              <w:rPr>
                <w:sz w:val="20"/>
                <w:szCs w:val="18"/>
              </w:rPr>
            </w:pPr>
            <w:r w:rsidRPr="004C5551">
              <w:rPr>
                <w:sz w:val="20"/>
                <w:szCs w:val="18"/>
              </w:rPr>
              <w:t>118 924</w:t>
            </w:r>
          </w:p>
        </w:tc>
        <w:tc>
          <w:tcPr>
            <w:tcW w:w="1190" w:type="dxa"/>
            <w:tcBorders>
              <w:top w:val="single" w:sz="6" w:space="0" w:color="BF0000" w:themeColor="accent3" w:themeShade="BF"/>
            </w:tcBorders>
            <w:vAlign w:val="center"/>
          </w:tcPr>
          <w:p w:rsidR="00460DEB" w:rsidRPr="004C5551" w:rsidRDefault="0017146E" w:rsidP="00460DEB">
            <w:pPr>
              <w:ind w:right="152"/>
              <w:jc w:val="right"/>
              <w:rPr>
                <w:sz w:val="20"/>
                <w:szCs w:val="18"/>
              </w:rPr>
            </w:pPr>
            <w:r w:rsidRPr="004C5551">
              <w:rPr>
                <w:sz w:val="20"/>
                <w:szCs w:val="18"/>
              </w:rPr>
              <w:t>822</w:t>
            </w:r>
          </w:p>
        </w:tc>
        <w:tc>
          <w:tcPr>
            <w:tcW w:w="1148" w:type="dxa"/>
            <w:tcBorders>
              <w:top w:val="single" w:sz="6" w:space="0" w:color="BF0000" w:themeColor="accent3" w:themeShade="BF"/>
            </w:tcBorders>
            <w:vAlign w:val="center"/>
          </w:tcPr>
          <w:p w:rsidR="0017146E" w:rsidRPr="004C5551" w:rsidRDefault="0017146E" w:rsidP="00FB16A5">
            <w:pPr>
              <w:ind w:right="177"/>
              <w:jc w:val="right"/>
              <w:rPr>
                <w:b/>
                <w:color w:val="000000"/>
                <w:sz w:val="20"/>
                <w:szCs w:val="18"/>
              </w:rPr>
            </w:pPr>
            <w:r w:rsidRPr="004C5551">
              <w:rPr>
                <w:b/>
                <w:color w:val="000000"/>
                <w:sz w:val="20"/>
                <w:szCs w:val="18"/>
              </w:rPr>
              <w:t>119 746</w:t>
            </w:r>
          </w:p>
        </w:tc>
      </w:tr>
      <w:tr w:rsidR="0017146E" w:rsidRPr="004C5551" w:rsidTr="0017146E">
        <w:trPr>
          <w:trHeight w:val="364"/>
          <w:jc w:val="center"/>
        </w:trPr>
        <w:tc>
          <w:tcPr>
            <w:tcW w:w="2197" w:type="dxa"/>
            <w:vAlign w:val="center"/>
          </w:tcPr>
          <w:p w:rsidR="0017146E" w:rsidRPr="004C5551" w:rsidRDefault="0017146E" w:rsidP="00014525">
            <w:pPr>
              <w:rPr>
                <w:bCs/>
                <w:sz w:val="20"/>
                <w:szCs w:val="18"/>
              </w:rPr>
            </w:pPr>
            <w:r w:rsidRPr="004C5551">
              <w:rPr>
                <w:bCs/>
                <w:sz w:val="20"/>
                <w:szCs w:val="18"/>
              </w:rPr>
              <w:t>DDS Tatra banky, a.s.</w:t>
            </w:r>
          </w:p>
        </w:tc>
        <w:tc>
          <w:tcPr>
            <w:tcW w:w="1275" w:type="dxa"/>
            <w:vAlign w:val="center"/>
          </w:tcPr>
          <w:p w:rsidR="00460DEB" w:rsidRPr="004C5551" w:rsidRDefault="0017146E" w:rsidP="00460DEB">
            <w:pPr>
              <w:ind w:right="71"/>
              <w:jc w:val="right"/>
              <w:rPr>
                <w:sz w:val="20"/>
                <w:szCs w:val="18"/>
              </w:rPr>
            </w:pPr>
            <w:r w:rsidRPr="004C5551">
              <w:rPr>
                <w:sz w:val="20"/>
                <w:szCs w:val="18"/>
              </w:rPr>
              <w:t>177 944</w:t>
            </w:r>
          </w:p>
        </w:tc>
        <w:tc>
          <w:tcPr>
            <w:tcW w:w="1134" w:type="dxa"/>
            <w:vAlign w:val="center"/>
          </w:tcPr>
          <w:p w:rsidR="00460DEB" w:rsidRPr="004C5551" w:rsidRDefault="0017146E" w:rsidP="00460DEB">
            <w:pPr>
              <w:ind w:right="71"/>
              <w:jc w:val="right"/>
              <w:rPr>
                <w:sz w:val="20"/>
                <w:szCs w:val="18"/>
              </w:rPr>
            </w:pPr>
            <w:r w:rsidRPr="004C5551">
              <w:rPr>
                <w:sz w:val="20"/>
                <w:szCs w:val="18"/>
              </w:rPr>
              <w:t>12 536</w:t>
            </w:r>
          </w:p>
        </w:tc>
        <w:tc>
          <w:tcPr>
            <w:tcW w:w="1129" w:type="dxa"/>
            <w:gridSpan w:val="2"/>
            <w:vAlign w:val="center"/>
          </w:tcPr>
          <w:p w:rsidR="00460DEB" w:rsidRPr="004C5551" w:rsidRDefault="00460DEB" w:rsidP="00460DEB">
            <w:pPr>
              <w:ind w:right="71"/>
              <w:jc w:val="right"/>
              <w:rPr>
                <w:b/>
                <w:sz w:val="20"/>
                <w:szCs w:val="18"/>
              </w:rPr>
            </w:pPr>
            <w:r w:rsidRPr="004C5551">
              <w:rPr>
                <w:b/>
                <w:sz w:val="20"/>
                <w:szCs w:val="18"/>
              </w:rPr>
              <w:t>190 480</w:t>
            </w:r>
          </w:p>
        </w:tc>
        <w:tc>
          <w:tcPr>
            <w:tcW w:w="1139" w:type="dxa"/>
            <w:vAlign w:val="center"/>
          </w:tcPr>
          <w:p w:rsidR="0017146E" w:rsidRPr="004C5551" w:rsidRDefault="0017146E" w:rsidP="00FB16A5">
            <w:pPr>
              <w:ind w:right="333"/>
              <w:jc w:val="right"/>
              <w:rPr>
                <w:sz w:val="20"/>
                <w:szCs w:val="18"/>
              </w:rPr>
            </w:pPr>
            <w:r w:rsidRPr="004C5551">
              <w:rPr>
                <w:sz w:val="20"/>
                <w:szCs w:val="18"/>
              </w:rPr>
              <w:t>177 365</w:t>
            </w:r>
          </w:p>
        </w:tc>
        <w:tc>
          <w:tcPr>
            <w:tcW w:w="1190" w:type="dxa"/>
            <w:vAlign w:val="center"/>
          </w:tcPr>
          <w:p w:rsidR="00460DEB" w:rsidRPr="004C5551" w:rsidRDefault="0017146E" w:rsidP="00460DEB">
            <w:pPr>
              <w:ind w:right="152"/>
              <w:jc w:val="right"/>
              <w:rPr>
                <w:sz w:val="20"/>
                <w:szCs w:val="18"/>
              </w:rPr>
            </w:pPr>
            <w:r w:rsidRPr="004C5551">
              <w:rPr>
                <w:sz w:val="20"/>
                <w:szCs w:val="18"/>
              </w:rPr>
              <w:t>12 381</w:t>
            </w:r>
          </w:p>
        </w:tc>
        <w:tc>
          <w:tcPr>
            <w:tcW w:w="1148" w:type="dxa"/>
            <w:vAlign w:val="center"/>
          </w:tcPr>
          <w:p w:rsidR="0017146E" w:rsidRPr="004C5551" w:rsidRDefault="0017146E" w:rsidP="00FB16A5">
            <w:pPr>
              <w:ind w:right="177"/>
              <w:jc w:val="right"/>
              <w:rPr>
                <w:b/>
                <w:sz w:val="20"/>
                <w:szCs w:val="18"/>
              </w:rPr>
            </w:pPr>
            <w:r w:rsidRPr="004C5551">
              <w:rPr>
                <w:b/>
                <w:sz w:val="20"/>
                <w:szCs w:val="18"/>
              </w:rPr>
              <w:t>189 746</w:t>
            </w:r>
          </w:p>
        </w:tc>
      </w:tr>
      <w:tr w:rsidR="0017146E" w:rsidRPr="004C5551" w:rsidTr="0017146E">
        <w:trPr>
          <w:trHeight w:val="364"/>
          <w:jc w:val="center"/>
        </w:trPr>
        <w:tc>
          <w:tcPr>
            <w:tcW w:w="2197" w:type="dxa"/>
            <w:noWrap/>
            <w:vAlign w:val="center"/>
          </w:tcPr>
          <w:p w:rsidR="0017146E" w:rsidRPr="004C5551" w:rsidRDefault="0017146E" w:rsidP="00014525">
            <w:pPr>
              <w:rPr>
                <w:sz w:val="20"/>
                <w:szCs w:val="18"/>
              </w:rPr>
            </w:pPr>
            <w:r w:rsidRPr="004C5551">
              <w:rPr>
                <w:sz w:val="20"/>
                <w:szCs w:val="18"/>
              </w:rPr>
              <w:t xml:space="preserve">ING Tatry - Sympatia, </w:t>
            </w:r>
          </w:p>
          <w:p w:rsidR="0017146E" w:rsidRPr="004C5551" w:rsidRDefault="0017146E" w:rsidP="00014525">
            <w:pPr>
              <w:rPr>
                <w:sz w:val="20"/>
                <w:szCs w:val="18"/>
              </w:rPr>
            </w:pPr>
            <w:proofErr w:type="spellStart"/>
            <w:r w:rsidRPr="004C5551">
              <w:rPr>
                <w:sz w:val="20"/>
                <w:szCs w:val="18"/>
              </w:rPr>
              <w:t>d.d.s</w:t>
            </w:r>
            <w:proofErr w:type="spellEnd"/>
            <w:r w:rsidRPr="004C5551">
              <w:rPr>
                <w:sz w:val="20"/>
                <w:szCs w:val="18"/>
              </w:rPr>
              <w:t>., a.s.</w:t>
            </w:r>
          </w:p>
        </w:tc>
        <w:tc>
          <w:tcPr>
            <w:tcW w:w="1275" w:type="dxa"/>
            <w:vAlign w:val="center"/>
          </w:tcPr>
          <w:p w:rsidR="00460DEB" w:rsidRPr="004C5551" w:rsidRDefault="00350A9B" w:rsidP="00460DEB">
            <w:pPr>
              <w:ind w:right="71"/>
              <w:jc w:val="right"/>
              <w:rPr>
                <w:sz w:val="20"/>
                <w:szCs w:val="18"/>
              </w:rPr>
            </w:pPr>
            <w:r w:rsidRPr="004C5551">
              <w:rPr>
                <w:sz w:val="20"/>
                <w:szCs w:val="18"/>
              </w:rPr>
              <w:t>273 935</w:t>
            </w:r>
          </w:p>
        </w:tc>
        <w:tc>
          <w:tcPr>
            <w:tcW w:w="1134" w:type="dxa"/>
            <w:vAlign w:val="center"/>
          </w:tcPr>
          <w:p w:rsidR="00460DEB" w:rsidRPr="004C5551" w:rsidRDefault="0017146E" w:rsidP="00460DEB">
            <w:pPr>
              <w:ind w:right="71"/>
              <w:jc w:val="right"/>
              <w:rPr>
                <w:sz w:val="20"/>
                <w:szCs w:val="18"/>
              </w:rPr>
            </w:pPr>
            <w:r w:rsidRPr="004C5551">
              <w:rPr>
                <w:sz w:val="20"/>
                <w:szCs w:val="18"/>
              </w:rPr>
              <w:t>474</w:t>
            </w:r>
          </w:p>
        </w:tc>
        <w:tc>
          <w:tcPr>
            <w:tcW w:w="1129" w:type="dxa"/>
            <w:gridSpan w:val="2"/>
            <w:vAlign w:val="center"/>
          </w:tcPr>
          <w:p w:rsidR="00460DEB" w:rsidRPr="004C5551" w:rsidRDefault="00460DEB" w:rsidP="00460DEB">
            <w:pPr>
              <w:ind w:right="71"/>
              <w:jc w:val="right"/>
              <w:rPr>
                <w:b/>
                <w:sz w:val="20"/>
                <w:szCs w:val="18"/>
              </w:rPr>
            </w:pPr>
            <w:r w:rsidRPr="004C5551">
              <w:rPr>
                <w:b/>
                <w:sz w:val="20"/>
                <w:szCs w:val="18"/>
              </w:rPr>
              <w:t>120 043</w:t>
            </w:r>
          </w:p>
        </w:tc>
        <w:tc>
          <w:tcPr>
            <w:tcW w:w="1139" w:type="dxa"/>
            <w:vAlign w:val="center"/>
          </w:tcPr>
          <w:p w:rsidR="0017146E" w:rsidRPr="004C5551" w:rsidRDefault="0017146E" w:rsidP="00FB16A5">
            <w:pPr>
              <w:ind w:right="333"/>
              <w:jc w:val="right"/>
              <w:rPr>
                <w:sz w:val="20"/>
                <w:szCs w:val="18"/>
              </w:rPr>
            </w:pPr>
            <w:r w:rsidRPr="004C5551">
              <w:rPr>
                <w:sz w:val="20"/>
                <w:szCs w:val="18"/>
              </w:rPr>
              <w:t>273 623</w:t>
            </w:r>
          </w:p>
        </w:tc>
        <w:tc>
          <w:tcPr>
            <w:tcW w:w="1190" w:type="dxa"/>
            <w:vAlign w:val="center"/>
          </w:tcPr>
          <w:p w:rsidR="00460DEB" w:rsidRPr="004C5551" w:rsidRDefault="0017146E" w:rsidP="00460DEB">
            <w:pPr>
              <w:ind w:right="152"/>
              <w:jc w:val="right"/>
              <w:rPr>
                <w:sz w:val="20"/>
                <w:szCs w:val="18"/>
              </w:rPr>
            </w:pPr>
            <w:r w:rsidRPr="004C5551">
              <w:rPr>
                <w:sz w:val="20"/>
                <w:szCs w:val="18"/>
              </w:rPr>
              <w:t>8 159</w:t>
            </w:r>
          </w:p>
        </w:tc>
        <w:tc>
          <w:tcPr>
            <w:tcW w:w="1148" w:type="dxa"/>
            <w:vAlign w:val="center"/>
          </w:tcPr>
          <w:p w:rsidR="0017146E" w:rsidRPr="004C5551" w:rsidRDefault="0017146E" w:rsidP="00FB16A5">
            <w:pPr>
              <w:ind w:right="177"/>
              <w:jc w:val="right"/>
              <w:rPr>
                <w:b/>
                <w:color w:val="000000"/>
                <w:sz w:val="20"/>
                <w:szCs w:val="18"/>
              </w:rPr>
            </w:pPr>
            <w:r w:rsidRPr="004C5551">
              <w:rPr>
                <w:b/>
                <w:color w:val="000000"/>
                <w:sz w:val="20"/>
                <w:szCs w:val="18"/>
              </w:rPr>
              <w:t>281 782</w:t>
            </w:r>
          </w:p>
        </w:tc>
      </w:tr>
      <w:tr w:rsidR="0017146E" w:rsidRPr="004C5551" w:rsidTr="0017146E">
        <w:trPr>
          <w:trHeight w:val="403"/>
          <w:jc w:val="center"/>
        </w:trPr>
        <w:tc>
          <w:tcPr>
            <w:tcW w:w="2197" w:type="dxa"/>
            <w:noWrap/>
            <w:vAlign w:val="center"/>
          </w:tcPr>
          <w:p w:rsidR="0017146E" w:rsidRPr="004C5551" w:rsidRDefault="0017146E" w:rsidP="00014525">
            <w:pPr>
              <w:rPr>
                <w:sz w:val="20"/>
                <w:szCs w:val="18"/>
              </w:rPr>
            </w:pPr>
            <w:r w:rsidRPr="004C5551">
              <w:rPr>
                <w:sz w:val="20"/>
                <w:szCs w:val="18"/>
              </w:rPr>
              <w:t xml:space="preserve">Stabilita, </w:t>
            </w:r>
            <w:proofErr w:type="spellStart"/>
            <w:r w:rsidRPr="004C5551">
              <w:rPr>
                <w:sz w:val="20"/>
                <w:szCs w:val="18"/>
              </w:rPr>
              <w:t>d.d.s</w:t>
            </w:r>
            <w:proofErr w:type="spellEnd"/>
            <w:r w:rsidRPr="004C5551">
              <w:rPr>
                <w:sz w:val="20"/>
                <w:szCs w:val="18"/>
              </w:rPr>
              <w:t>., a.s.</w:t>
            </w:r>
          </w:p>
        </w:tc>
        <w:tc>
          <w:tcPr>
            <w:tcW w:w="1275" w:type="dxa"/>
            <w:vAlign w:val="center"/>
          </w:tcPr>
          <w:p w:rsidR="00460DEB" w:rsidRPr="004C5551" w:rsidRDefault="0017146E" w:rsidP="00460DEB">
            <w:pPr>
              <w:ind w:right="71"/>
              <w:jc w:val="right"/>
              <w:rPr>
                <w:sz w:val="20"/>
                <w:szCs w:val="18"/>
              </w:rPr>
            </w:pPr>
            <w:r w:rsidRPr="004C5551">
              <w:rPr>
                <w:sz w:val="20"/>
                <w:szCs w:val="18"/>
              </w:rPr>
              <w:t>109 868</w:t>
            </w:r>
          </w:p>
        </w:tc>
        <w:tc>
          <w:tcPr>
            <w:tcW w:w="1134" w:type="dxa"/>
            <w:vAlign w:val="center"/>
          </w:tcPr>
          <w:p w:rsidR="00460DEB" w:rsidRPr="004C5551" w:rsidRDefault="0017146E" w:rsidP="00460DEB">
            <w:pPr>
              <w:ind w:right="71"/>
              <w:jc w:val="right"/>
              <w:rPr>
                <w:sz w:val="20"/>
                <w:szCs w:val="18"/>
              </w:rPr>
            </w:pPr>
            <w:r w:rsidRPr="004C5551">
              <w:rPr>
                <w:sz w:val="20"/>
                <w:szCs w:val="18"/>
              </w:rPr>
              <w:t>27 206</w:t>
            </w:r>
          </w:p>
        </w:tc>
        <w:tc>
          <w:tcPr>
            <w:tcW w:w="1129" w:type="dxa"/>
            <w:gridSpan w:val="2"/>
            <w:vAlign w:val="center"/>
          </w:tcPr>
          <w:p w:rsidR="00460DEB" w:rsidRPr="004C5551" w:rsidRDefault="00460DEB" w:rsidP="00460DEB">
            <w:pPr>
              <w:ind w:right="71"/>
              <w:jc w:val="right"/>
              <w:rPr>
                <w:b/>
                <w:sz w:val="20"/>
                <w:szCs w:val="18"/>
              </w:rPr>
            </w:pPr>
            <w:r w:rsidRPr="004C5551">
              <w:rPr>
                <w:b/>
                <w:sz w:val="20"/>
                <w:szCs w:val="18"/>
              </w:rPr>
              <w:t>137 074</w:t>
            </w:r>
          </w:p>
        </w:tc>
        <w:tc>
          <w:tcPr>
            <w:tcW w:w="1139" w:type="dxa"/>
            <w:vAlign w:val="center"/>
          </w:tcPr>
          <w:p w:rsidR="0017146E" w:rsidRPr="004C5551" w:rsidRDefault="0017146E" w:rsidP="00FB16A5">
            <w:pPr>
              <w:ind w:right="333"/>
              <w:jc w:val="right"/>
              <w:rPr>
                <w:sz w:val="20"/>
                <w:szCs w:val="18"/>
              </w:rPr>
            </w:pPr>
            <w:r w:rsidRPr="004C5551">
              <w:rPr>
                <w:sz w:val="20"/>
                <w:szCs w:val="18"/>
              </w:rPr>
              <w:t>112 257</w:t>
            </w:r>
          </w:p>
        </w:tc>
        <w:tc>
          <w:tcPr>
            <w:tcW w:w="1190" w:type="dxa"/>
            <w:vAlign w:val="center"/>
          </w:tcPr>
          <w:p w:rsidR="00460DEB" w:rsidRPr="004C5551" w:rsidRDefault="0017146E" w:rsidP="00460DEB">
            <w:pPr>
              <w:ind w:right="152"/>
              <w:jc w:val="right"/>
              <w:rPr>
                <w:sz w:val="20"/>
                <w:szCs w:val="18"/>
              </w:rPr>
            </w:pPr>
            <w:r w:rsidRPr="004C5551">
              <w:rPr>
                <w:sz w:val="20"/>
                <w:szCs w:val="18"/>
              </w:rPr>
              <w:t>24 087</w:t>
            </w:r>
          </w:p>
        </w:tc>
        <w:tc>
          <w:tcPr>
            <w:tcW w:w="1148" w:type="dxa"/>
            <w:vAlign w:val="center"/>
          </w:tcPr>
          <w:p w:rsidR="0017146E" w:rsidRPr="004C5551" w:rsidRDefault="0017146E" w:rsidP="00FB16A5">
            <w:pPr>
              <w:ind w:right="177"/>
              <w:jc w:val="right"/>
              <w:rPr>
                <w:b/>
                <w:color w:val="000000"/>
                <w:sz w:val="20"/>
                <w:szCs w:val="18"/>
              </w:rPr>
            </w:pPr>
            <w:r w:rsidRPr="004C5551">
              <w:rPr>
                <w:b/>
                <w:color w:val="000000"/>
                <w:sz w:val="20"/>
                <w:szCs w:val="18"/>
              </w:rPr>
              <w:t>136 344</w:t>
            </w:r>
          </w:p>
        </w:tc>
      </w:tr>
      <w:tr w:rsidR="0017146E" w:rsidRPr="004C5551" w:rsidTr="0017146E">
        <w:trPr>
          <w:trHeight w:val="423"/>
          <w:jc w:val="center"/>
        </w:trPr>
        <w:tc>
          <w:tcPr>
            <w:tcW w:w="2197" w:type="dxa"/>
            <w:noWrap/>
            <w:vAlign w:val="center"/>
          </w:tcPr>
          <w:p w:rsidR="0017146E" w:rsidRPr="004C5551" w:rsidRDefault="0017146E" w:rsidP="00014525">
            <w:pPr>
              <w:rPr>
                <w:b/>
                <w:sz w:val="20"/>
                <w:szCs w:val="18"/>
              </w:rPr>
            </w:pPr>
            <w:r w:rsidRPr="004C5551">
              <w:rPr>
                <w:b/>
                <w:sz w:val="20"/>
                <w:szCs w:val="18"/>
              </w:rPr>
              <w:t>Spolu</w:t>
            </w:r>
          </w:p>
        </w:tc>
        <w:tc>
          <w:tcPr>
            <w:tcW w:w="1275" w:type="dxa"/>
            <w:vAlign w:val="center"/>
          </w:tcPr>
          <w:p w:rsidR="00460DEB" w:rsidRPr="004C5551" w:rsidRDefault="0017146E" w:rsidP="00460DEB">
            <w:pPr>
              <w:ind w:right="71"/>
              <w:jc w:val="right"/>
              <w:rPr>
                <w:b/>
                <w:sz w:val="20"/>
                <w:szCs w:val="18"/>
              </w:rPr>
            </w:pPr>
            <w:r w:rsidRPr="004C5551">
              <w:rPr>
                <w:b/>
                <w:sz w:val="20"/>
                <w:szCs w:val="18"/>
              </w:rPr>
              <w:t>681 316</w:t>
            </w:r>
          </w:p>
        </w:tc>
        <w:tc>
          <w:tcPr>
            <w:tcW w:w="1134" w:type="dxa"/>
            <w:vAlign w:val="center"/>
          </w:tcPr>
          <w:p w:rsidR="00460DEB" w:rsidRPr="004C5551" w:rsidRDefault="0017146E" w:rsidP="00460DEB">
            <w:pPr>
              <w:ind w:right="71"/>
              <w:jc w:val="right"/>
              <w:rPr>
                <w:b/>
                <w:sz w:val="20"/>
                <w:szCs w:val="18"/>
              </w:rPr>
            </w:pPr>
            <w:r w:rsidRPr="004C5551">
              <w:rPr>
                <w:b/>
                <w:sz w:val="20"/>
                <w:szCs w:val="18"/>
              </w:rPr>
              <w:t>49 018</w:t>
            </w:r>
          </w:p>
        </w:tc>
        <w:tc>
          <w:tcPr>
            <w:tcW w:w="1129" w:type="dxa"/>
            <w:gridSpan w:val="2"/>
            <w:vAlign w:val="center"/>
          </w:tcPr>
          <w:p w:rsidR="00460DEB" w:rsidRPr="004C5551" w:rsidRDefault="0017146E" w:rsidP="00460DEB">
            <w:pPr>
              <w:ind w:right="71"/>
              <w:jc w:val="right"/>
              <w:rPr>
                <w:b/>
                <w:sz w:val="20"/>
                <w:szCs w:val="18"/>
              </w:rPr>
            </w:pPr>
            <w:r w:rsidRPr="004C5551">
              <w:rPr>
                <w:b/>
                <w:sz w:val="20"/>
                <w:szCs w:val="18"/>
              </w:rPr>
              <w:t>730 334</w:t>
            </w:r>
          </w:p>
        </w:tc>
        <w:tc>
          <w:tcPr>
            <w:tcW w:w="1139" w:type="dxa"/>
            <w:vAlign w:val="center"/>
          </w:tcPr>
          <w:p w:rsidR="0017146E" w:rsidRPr="004C5551" w:rsidRDefault="0017146E" w:rsidP="00FB16A5">
            <w:pPr>
              <w:ind w:right="333"/>
              <w:jc w:val="right"/>
              <w:rPr>
                <w:b/>
                <w:sz w:val="20"/>
                <w:szCs w:val="18"/>
              </w:rPr>
            </w:pPr>
            <w:r w:rsidRPr="004C5551">
              <w:rPr>
                <w:b/>
                <w:sz w:val="20"/>
                <w:szCs w:val="18"/>
              </w:rPr>
              <w:t>682 169</w:t>
            </w:r>
          </w:p>
        </w:tc>
        <w:tc>
          <w:tcPr>
            <w:tcW w:w="1190" w:type="dxa"/>
            <w:vAlign w:val="center"/>
          </w:tcPr>
          <w:p w:rsidR="00460DEB" w:rsidRPr="004C5551" w:rsidRDefault="0017146E" w:rsidP="00460DEB">
            <w:pPr>
              <w:ind w:right="152"/>
              <w:jc w:val="right"/>
              <w:rPr>
                <w:b/>
                <w:color w:val="000000"/>
                <w:sz w:val="20"/>
                <w:szCs w:val="18"/>
              </w:rPr>
            </w:pPr>
            <w:r w:rsidRPr="004C5551">
              <w:rPr>
                <w:b/>
                <w:color w:val="000000"/>
                <w:sz w:val="20"/>
                <w:szCs w:val="18"/>
              </w:rPr>
              <w:t>45 449</w:t>
            </w:r>
          </w:p>
        </w:tc>
        <w:tc>
          <w:tcPr>
            <w:tcW w:w="1148" w:type="dxa"/>
            <w:vAlign w:val="center"/>
          </w:tcPr>
          <w:p w:rsidR="0017146E" w:rsidRPr="004C5551" w:rsidRDefault="0017146E" w:rsidP="00FB16A5">
            <w:pPr>
              <w:ind w:right="177"/>
              <w:jc w:val="right"/>
              <w:rPr>
                <w:b/>
                <w:color w:val="000000"/>
                <w:sz w:val="20"/>
                <w:szCs w:val="18"/>
              </w:rPr>
            </w:pPr>
            <w:r w:rsidRPr="004C5551">
              <w:rPr>
                <w:b/>
                <w:color w:val="000000"/>
                <w:sz w:val="20"/>
                <w:szCs w:val="18"/>
              </w:rPr>
              <w:t>727 618</w:t>
            </w:r>
          </w:p>
        </w:tc>
      </w:tr>
    </w:tbl>
    <w:p w:rsidR="00B95152" w:rsidRPr="004C5551" w:rsidRDefault="00B95152" w:rsidP="009E0529">
      <w:pPr>
        <w:pStyle w:val="zdroj"/>
        <w:ind w:left="142" w:firstLine="284"/>
      </w:pPr>
      <w:r w:rsidRPr="004C5551">
        <w:t>Zdroj: Asociácia doplnkových dôchodkových spoločností</w:t>
      </w:r>
    </w:p>
    <w:p w:rsidR="00B95152" w:rsidRPr="004C5551" w:rsidRDefault="00AF45A7" w:rsidP="001206CF">
      <w:pPr>
        <w:ind w:firstLine="431"/>
      </w:pPr>
      <w:r w:rsidRPr="004C5551">
        <w:t>V roku 2014 o</w:t>
      </w:r>
      <w:r w:rsidR="00B95152" w:rsidRPr="004C5551">
        <w:t xml:space="preserve">proti roku 2013 výrazne klesla výplata dávky odstupného, čo môže byť spojené s vyššie uvedenou legislatívnou zmenou. Týmto prispievateľom bola dávka odstupného nahradená dávkou predčasného výberu. </w:t>
      </w:r>
    </w:p>
    <w:p w:rsidR="00B95152" w:rsidRPr="004C5551" w:rsidRDefault="00B95152" w:rsidP="00B95152">
      <w:pPr>
        <w:pStyle w:val="Nadpis7"/>
        <w:rPr>
          <w:color w:val="000000" w:themeColor="text1"/>
          <w:lang w:eastAsia="cs-CZ"/>
        </w:rPr>
      </w:pPr>
      <w:bookmarkStart w:id="494" w:name="_Toc313879048"/>
      <w:bookmarkStart w:id="495" w:name="_Toc294029557"/>
      <w:bookmarkStart w:id="496" w:name="_Toc294027318"/>
      <w:bookmarkStart w:id="497" w:name="_Toc325438182"/>
      <w:bookmarkStart w:id="498" w:name="_Toc325440951"/>
      <w:bookmarkStart w:id="499" w:name="_Toc356482694"/>
      <w:r w:rsidRPr="004C5551">
        <w:rPr>
          <w:color w:val="000000" w:themeColor="text1"/>
          <w:lang w:eastAsia="cs-CZ"/>
        </w:rPr>
        <w:t>Tabuľka 3.12 Prehľad dávok z doplnkového dôchodkového sporenia k 31.12.</w:t>
      </w:r>
      <w:bookmarkEnd w:id="494"/>
      <w:bookmarkEnd w:id="495"/>
      <w:bookmarkEnd w:id="496"/>
      <w:bookmarkEnd w:id="497"/>
      <w:bookmarkEnd w:id="498"/>
      <w:bookmarkEnd w:id="499"/>
      <w:r w:rsidRPr="004C5551">
        <w:rPr>
          <w:color w:val="000000" w:themeColor="text1"/>
          <w:lang w:eastAsia="cs-CZ"/>
        </w:rPr>
        <w:t>201</w:t>
      </w:r>
      <w:r w:rsidR="004C36A5" w:rsidRPr="004C5551">
        <w:rPr>
          <w:color w:val="000000" w:themeColor="text1"/>
          <w:lang w:eastAsia="cs-CZ"/>
        </w:rPr>
        <w:t>3 a k 31.12.2014</w:t>
      </w:r>
    </w:p>
    <w:tbl>
      <w:tblPr>
        <w:tblW w:w="7775" w:type="dxa"/>
        <w:jc w:val="center"/>
        <w:tblInd w:w="65"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3339"/>
        <w:gridCol w:w="2256"/>
        <w:gridCol w:w="2180"/>
      </w:tblGrid>
      <w:tr w:rsidR="00B95152" w:rsidRPr="004C5551" w:rsidTr="00AF3FB8">
        <w:trPr>
          <w:trHeight w:val="392"/>
          <w:jc w:val="center"/>
        </w:trPr>
        <w:tc>
          <w:tcPr>
            <w:tcW w:w="3339" w:type="dxa"/>
            <w:shd w:val="clear" w:color="auto" w:fill="BF0000" w:themeFill="accent3" w:themeFillShade="BF"/>
            <w:noWrap/>
            <w:vAlign w:val="center"/>
          </w:tcPr>
          <w:p w:rsidR="00B95152" w:rsidRPr="004C5551" w:rsidRDefault="00B95152" w:rsidP="00014525">
            <w:pPr>
              <w:jc w:val="center"/>
              <w:rPr>
                <w:b/>
                <w:color w:val="7F2016" w:themeColor="accent1"/>
                <w:szCs w:val="18"/>
                <w:lang w:eastAsia="cs-CZ"/>
              </w:rPr>
            </w:pPr>
            <w:bookmarkStart w:id="500" w:name="_Toc294019986"/>
            <w:bookmarkStart w:id="501" w:name="_Toc294027319"/>
            <w:bookmarkStart w:id="502" w:name="_Toc294029558"/>
            <w:bookmarkStart w:id="503" w:name="_Toc313879049"/>
            <w:r w:rsidRPr="004C5551">
              <w:rPr>
                <w:b/>
                <w:color w:val="FFFFFF" w:themeColor="background1"/>
                <w:szCs w:val="18"/>
                <w:lang w:eastAsia="cs-CZ"/>
              </w:rPr>
              <w:t>Druh dávky</w:t>
            </w:r>
            <w:bookmarkEnd w:id="500"/>
            <w:bookmarkEnd w:id="501"/>
            <w:bookmarkEnd w:id="502"/>
            <w:bookmarkEnd w:id="503"/>
          </w:p>
        </w:tc>
        <w:tc>
          <w:tcPr>
            <w:tcW w:w="2256" w:type="dxa"/>
            <w:shd w:val="clear" w:color="auto" w:fill="BF0000" w:themeFill="accent3" w:themeFillShade="BF"/>
            <w:noWrap/>
            <w:vAlign w:val="center"/>
          </w:tcPr>
          <w:p w:rsidR="00B95152" w:rsidRPr="004C5551" w:rsidRDefault="00B95152" w:rsidP="004C36A5">
            <w:pPr>
              <w:jc w:val="center"/>
              <w:rPr>
                <w:b/>
                <w:color w:val="FFFFFF" w:themeColor="background1"/>
                <w:szCs w:val="18"/>
                <w:lang w:eastAsia="cs-CZ"/>
              </w:rPr>
            </w:pPr>
            <w:bookmarkStart w:id="504" w:name="_Toc294019987"/>
            <w:bookmarkStart w:id="505" w:name="_Toc294027320"/>
            <w:bookmarkStart w:id="506" w:name="_Toc294029559"/>
            <w:bookmarkStart w:id="507" w:name="_Toc313879050"/>
            <w:r w:rsidRPr="004C5551">
              <w:rPr>
                <w:b/>
                <w:color w:val="FFFFFF" w:themeColor="background1"/>
                <w:szCs w:val="18"/>
                <w:lang w:eastAsia="cs-CZ"/>
              </w:rPr>
              <w:t xml:space="preserve">Suma dávok (mil. </w:t>
            </w:r>
            <w:r w:rsidR="000860E9" w:rsidRPr="004C5551">
              <w:rPr>
                <w:b/>
                <w:color w:val="FFFFFF" w:themeColor="background1"/>
                <w:szCs w:val="18"/>
                <w:lang w:eastAsia="cs-CZ"/>
              </w:rPr>
              <w:t>€</w:t>
            </w:r>
            <w:r w:rsidRPr="004C5551">
              <w:rPr>
                <w:b/>
                <w:color w:val="FFFFFF" w:themeColor="background1"/>
                <w:szCs w:val="18"/>
                <w:lang w:eastAsia="cs-CZ"/>
              </w:rPr>
              <w:t>)</w:t>
            </w:r>
            <w:bookmarkEnd w:id="504"/>
            <w:bookmarkEnd w:id="505"/>
            <w:bookmarkEnd w:id="506"/>
            <w:bookmarkEnd w:id="507"/>
            <w:r w:rsidRPr="004C5551">
              <w:rPr>
                <w:b/>
                <w:color w:val="FFFFFF" w:themeColor="background1"/>
                <w:szCs w:val="18"/>
                <w:lang w:eastAsia="cs-CZ"/>
              </w:rPr>
              <w:t xml:space="preserve"> v roku 201</w:t>
            </w:r>
            <w:r w:rsidR="004C36A5" w:rsidRPr="004C5551">
              <w:rPr>
                <w:b/>
                <w:color w:val="FFFFFF" w:themeColor="background1"/>
                <w:szCs w:val="18"/>
                <w:lang w:eastAsia="cs-CZ"/>
              </w:rPr>
              <w:t>3</w:t>
            </w:r>
          </w:p>
        </w:tc>
        <w:tc>
          <w:tcPr>
            <w:tcW w:w="2180" w:type="dxa"/>
            <w:shd w:val="clear" w:color="auto" w:fill="BF0000" w:themeFill="accent3" w:themeFillShade="BF"/>
            <w:noWrap/>
            <w:vAlign w:val="center"/>
          </w:tcPr>
          <w:p w:rsidR="00B95152" w:rsidRPr="004C5551" w:rsidRDefault="00B95152" w:rsidP="004C36A5">
            <w:pPr>
              <w:jc w:val="center"/>
              <w:rPr>
                <w:b/>
                <w:color w:val="FFFFFF" w:themeColor="background1"/>
                <w:szCs w:val="18"/>
                <w:lang w:eastAsia="cs-CZ"/>
              </w:rPr>
            </w:pPr>
            <w:bookmarkStart w:id="508" w:name="_Toc294019988"/>
            <w:bookmarkStart w:id="509" w:name="_Toc294027321"/>
            <w:bookmarkStart w:id="510" w:name="_Toc294029560"/>
            <w:bookmarkStart w:id="511" w:name="_Toc313879051"/>
            <w:r w:rsidRPr="004C5551">
              <w:rPr>
                <w:b/>
                <w:color w:val="FFFFFF" w:themeColor="background1"/>
                <w:szCs w:val="18"/>
                <w:lang w:eastAsia="cs-CZ"/>
              </w:rPr>
              <w:t xml:space="preserve">Suma dávok (mil. </w:t>
            </w:r>
            <w:r w:rsidR="000860E9" w:rsidRPr="004C5551">
              <w:rPr>
                <w:b/>
                <w:color w:val="FFFFFF" w:themeColor="background1"/>
                <w:szCs w:val="18"/>
                <w:lang w:eastAsia="cs-CZ"/>
              </w:rPr>
              <w:t>€</w:t>
            </w:r>
            <w:r w:rsidRPr="004C5551">
              <w:rPr>
                <w:b/>
                <w:color w:val="FFFFFF" w:themeColor="background1"/>
                <w:szCs w:val="18"/>
                <w:lang w:eastAsia="cs-CZ"/>
              </w:rPr>
              <w:t>) v roku 201</w:t>
            </w:r>
            <w:bookmarkEnd w:id="508"/>
            <w:bookmarkEnd w:id="509"/>
            <w:bookmarkEnd w:id="510"/>
            <w:bookmarkEnd w:id="511"/>
            <w:r w:rsidR="004C36A5" w:rsidRPr="004C5551">
              <w:rPr>
                <w:b/>
                <w:color w:val="FFFFFF" w:themeColor="background1"/>
                <w:szCs w:val="18"/>
                <w:lang w:eastAsia="cs-CZ"/>
              </w:rPr>
              <w:t>4</w:t>
            </w:r>
          </w:p>
        </w:tc>
      </w:tr>
      <w:tr w:rsidR="004C36A5" w:rsidRPr="004C5551" w:rsidTr="00AF3FB8">
        <w:trPr>
          <w:trHeight w:val="392"/>
          <w:jc w:val="center"/>
        </w:trPr>
        <w:tc>
          <w:tcPr>
            <w:tcW w:w="3339" w:type="dxa"/>
            <w:noWrap/>
            <w:vAlign w:val="center"/>
          </w:tcPr>
          <w:p w:rsidR="004C36A5" w:rsidRPr="004C5551" w:rsidRDefault="004C36A5" w:rsidP="00014525">
            <w:pPr>
              <w:rPr>
                <w:color w:val="000000" w:themeColor="text1"/>
                <w:szCs w:val="18"/>
              </w:rPr>
            </w:pPr>
            <w:bookmarkStart w:id="512" w:name="_Toc294019989"/>
            <w:bookmarkStart w:id="513" w:name="_Toc294027322"/>
            <w:bookmarkStart w:id="514" w:name="_Toc294029561"/>
            <w:bookmarkStart w:id="515" w:name="_Toc313879052"/>
            <w:r w:rsidRPr="004C5551">
              <w:rPr>
                <w:color w:val="000000" w:themeColor="text1"/>
                <w:szCs w:val="18"/>
              </w:rPr>
              <w:t>Doplnkový starobný dôchodok</w:t>
            </w:r>
            <w:bookmarkEnd w:id="512"/>
            <w:bookmarkEnd w:id="513"/>
            <w:bookmarkEnd w:id="514"/>
            <w:bookmarkEnd w:id="515"/>
          </w:p>
        </w:tc>
        <w:tc>
          <w:tcPr>
            <w:tcW w:w="2256" w:type="dxa"/>
            <w:noWrap/>
            <w:vAlign w:val="center"/>
          </w:tcPr>
          <w:p w:rsidR="004C36A5" w:rsidRPr="004C5551" w:rsidRDefault="004C36A5" w:rsidP="00D6574F">
            <w:pPr>
              <w:ind w:right="601"/>
              <w:jc w:val="right"/>
              <w:rPr>
                <w:color w:val="000000" w:themeColor="text1"/>
                <w:szCs w:val="18"/>
              </w:rPr>
            </w:pPr>
            <w:r w:rsidRPr="004C5551">
              <w:rPr>
                <w:szCs w:val="18"/>
              </w:rPr>
              <w:t>34, 609</w:t>
            </w:r>
          </w:p>
        </w:tc>
        <w:tc>
          <w:tcPr>
            <w:tcW w:w="2180" w:type="dxa"/>
            <w:noWrap/>
            <w:vAlign w:val="center"/>
          </w:tcPr>
          <w:p w:rsidR="004C36A5" w:rsidRPr="004C5551" w:rsidRDefault="004C36A5" w:rsidP="00D6574F">
            <w:pPr>
              <w:ind w:right="601"/>
              <w:jc w:val="right"/>
              <w:rPr>
                <w:szCs w:val="18"/>
              </w:rPr>
            </w:pPr>
            <w:r w:rsidRPr="004C5551">
              <w:rPr>
                <w:szCs w:val="18"/>
              </w:rPr>
              <w:t>42,597</w:t>
            </w:r>
          </w:p>
        </w:tc>
      </w:tr>
      <w:tr w:rsidR="004C36A5" w:rsidRPr="004C5551" w:rsidTr="00AF3FB8">
        <w:trPr>
          <w:trHeight w:val="392"/>
          <w:jc w:val="center"/>
        </w:trPr>
        <w:tc>
          <w:tcPr>
            <w:tcW w:w="3339" w:type="dxa"/>
            <w:noWrap/>
            <w:vAlign w:val="center"/>
          </w:tcPr>
          <w:p w:rsidR="004C36A5" w:rsidRPr="004C5551" w:rsidRDefault="004C36A5" w:rsidP="00014525">
            <w:pPr>
              <w:rPr>
                <w:color w:val="000000" w:themeColor="text1"/>
                <w:szCs w:val="18"/>
              </w:rPr>
            </w:pPr>
            <w:bookmarkStart w:id="516" w:name="_Toc294019992"/>
            <w:bookmarkStart w:id="517" w:name="_Toc294027325"/>
            <w:bookmarkStart w:id="518" w:name="_Toc294029564"/>
            <w:bookmarkStart w:id="519" w:name="_Toc313879055"/>
            <w:r w:rsidRPr="004C5551">
              <w:rPr>
                <w:color w:val="000000" w:themeColor="text1"/>
                <w:szCs w:val="18"/>
              </w:rPr>
              <w:t>Doplnkový výsluhový dôchodok</w:t>
            </w:r>
            <w:bookmarkEnd w:id="516"/>
            <w:bookmarkEnd w:id="517"/>
            <w:bookmarkEnd w:id="518"/>
            <w:bookmarkEnd w:id="519"/>
          </w:p>
        </w:tc>
        <w:tc>
          <w:tcPr>
            <w:tcW w:w="2256" w:type="dxa"/>
            <w:noWrap/>
            <w:vAlign w:val="center"/>
          </w:tcPr>
          <w:p w:rsidR="004C36A5" w:rsidRPr="004C5551" w:rsidRDefault="004C36A5" w:rsidP="00D6574F">
            <w:pPr>
              <w:ind w:right="601"/>
              <w:jc w:val="right"/>
              <w:rPr>
                <w:color w:val="000000" w:themeColor="text1"/>
                <w:szCs w:val="18"/>
              </w:rPr>
            </w:pPr>
            <w:r w:rsidRPr="004C5551">
              <w:rPr>
                <w:szCs w:val="18"/>
              </w:rPr>
              <w:t>0,047</w:t>
            </w:r>
          </w:p>
        </w:tc>
        <w:tc>
          <w:tcPr>
            <w:tcW w:w="2180" w:type="dxa"/>
            <w:noWrap/>
            <w:vAlign w:val="center"/>
          </w:tcPr>
          <w:p w:rsidR="004C36A5" w:rsidRPr="004C5551" w:rsidRDefault="004C36A5" w:rsidP="00D6574F">
            <w:pPr>
              <w:ind w:right="601"/>
              <w:jc w:val="right"/>
              <w:rPr>
                <w:szCs w:val="18"/>
              </w:rPr>
            </w:pPr>
            <w:r w:rsidRPr="004C5551">
              <w:rPr>
                <w:szCs w:val="18"/>
              </w:rPr>
              <w:t>0,0429</w:t>
            </w:r>
          </w:p>
        </w:tc>
      </w:tr>
      <w:tr w:rsidR="004C36A5" w:rsidRPr="004C5551" w:rsidTr="00AF3FB8">
        <w:trPr>
          <w:trHeight w:val="392"/>
          <w:jc w:val="center"/>
        </w:trPr>
        <w:tc>
          <w:tcPr>
            <w:tcW w:w="3339" w:type="dxa"/>
            <w:noWrap/>
            <w:vAlign w:val="center"/>
          </w:tcPr>
          <w:p w:rsidR="004C36A5" w:rsidRPr="004C5551" w:rsidRDefault="004C36A5" w:rsidP="00014525">
            <w:pPr>
              <w:rPr>
                <w:color w:val="000000" w:themeColor="text1"/>
                <w:szCs w:val="18"/>
              </w:rPr>
            </w:pPr>
            <w:bookmarkStart w:id="520" w:name="_Toc294019995"/>
            <w:bookmarkStart w:id="521" w:name="_Toc294027328"/>
            <w:bookmarkStart w:id="522" w:name="_Toc294029567"/>
            <w:bookmarkStart w:id="523" w:name="_Toc313879058"/>
            <w:r w:rsidRPr="004C5551">
              <w:rPr>
                <w:color w:val="000000" w:themeColor="text1"/>
                <w:szCs w:val="18"/>
              </w:rPr>
              <w:t>Odstupné</w:t>
            </w:r>
            <w:bookmarkEnd w:id="520"/>
            <w:bookmarkEnd w:id="521"/>
            <w:bookmarkEnd w:id="522"/>
            <w:bookmarkEnd w:id="523"/>
          </w:p>
        </w:tc>
        <w:tc>
          <w:tcPr>
            <w:tcW w:w="2256" w:type="dxa"/>
            <w:noWrap/>
            <w:vAlign w:val="center"/>
          </w:tcPr>
          <w:p w:rsidR="004C36A5" w:rsidRPr="004C5551" w:rsidRDefault="004C36A5" w:rsidP="00D6574F">
            <w:pPr>
              <w:ind w:right="601"/>
              <w:jc w:val="right"/>
              <w:rPr>
                <w:color w:val="000000" w:themeColor="text1"/>
                <w:szCs w:val="18"/>
              </w:rPr>
            </w:pPr>
            <w:r w:rsidRPr="004C5551">
              <w:rPr>
                <w:szCs w:val="18"/>
              </w:rPr>
              <w:t>64,638</w:t>
            </w:r>
          </w:p>
        </w:tc>
        <w:tc>
          <w:tcPr>
            <w:tcW w:w="2180" w:type="dxa"/>
            <w:noWrap/>
            <w:vAlign w:val="center"/>
          </w:tcPr>
          <w:p w:rsidR="004C36A5" w:rsidRPr="004C5551" w:rsidRDefault="004C36A5" w:rsidP="00D6574F">
            <w:pPr>
              <w:ind w:right="601"/>
              <w:jc w:val="right"/>
              <w:rPr>
                <w:szCs w:val="18"/>
              </w:rPr>
            </w:pPr>
            <w:r w:rsidRPr="004C5551">
              <w:rPr>
                <w:szCs w:val="18"/>
              </w:rPr>
              <w:t>32,909</w:t>
            </w:r>
          </w:p>
        </w:tc>
      </w:tr>
      <w:tr w:rsidR="004C36A5" w:rsidRPr="004C5551" w:rsidTr="00AF3FB8">
        <w:trPr>
          <w:trHeight w:val="392"/>
          <w:jc w:val="center"/>
        </w:trPr>
        <w:tc>
          <w:tcPr>
            <w:tcW w:w="3339" w:type="dxa"/>
            <w:noWrap/>
            <w:vAlign w:val="center"/>
          </w:tcPr>
          <w:p w:rsidR="004C36A5" w:rsidRPr="004C5551" w:rsidRDefault="004C36A5" w:rsidP="00014525">
            <w:pPr>
              <w:rPr>
                <w:color w:val="000000" w:themeColor="text1"/>
                <w:szCs w:val="18"/>
              </w:rPr>
            </w:pPr>
            <w:r w:rsidRPr="004C5551">
              <w:rPr>
                <w:color w:val="000000" w:themeColor="text1"/>
                <w:szCs w:val="18"/>
              </w:rPr>
              <w:t>Predčasný výber</w:t>
            </w:r>
          </w:p>
        </w:tc>
        <w:tc>
          <w:tcPr>
            <w:tcW w:w="2256" w:type="dxa"/>
            <w:noWrap/>
            <w:vAlign w:val="center"/>
          </w:tcPr>
          <w:p w:rsidR="004C36A5" w:rsidRPr="004C5551" w:rsidRDefault="004C36A5" w:rsidP="00D6574F">
            <w:pPr>
              <w:ind w:right="601"/>
              <w:jc w:val="right"/>
              <w:rPr>
                <w:szCs w:val="18"/>
              </w:rPr>
            </w:pPr>
            <w:r w:rsidRPr="004C5551">
              <w:rPr>
                <w:szCs w:val="18"/>
              </w:rPr>
              <w:t>0,000</w:t>
            </w:r>
          </w:p>
        </w:tc>
        <w:tc>
          <w:tcPr>
            <w:tcW w:w="2180" w:type="dxa"/>
            <w:noWrap/>
            <w:vAlign w:val="center"/>
          </w:tcPr>
          <w:p w:rsidR="004C36A5" w:rsidRPr="004C5551" w:rsidRDefault="004C36A5" w:rsidP="00D6574F">
            <w:pPr>
              <w:ind w:right="601"/>
              <w:jc w:val="right"/>
              <w:rPr>
                <w:szCs w:val="18"/>
              </w:rPr>
            </w:pPr>
            <w:r w:rsidRPr="004C5551">
              <w:rPr>
                <w:szCs w:val="18"/>
              </w:rPr>
              <w:t>4,556</w:t>
            </w:r>
          </w:p>
        </w:tc>
      </w:tr>
      <w:tr w:rsidR="004C36A5" w:rsidRPr="004C5551" w:rsidTr="00AF3FB8">
        <w:trPr>
          <w:trHeight w:val="392"/>
          <w:jc w:val="center"/>
        </w:trPr>
        <w:tc>
          <w:tcPr>
            <w:tcW w:w="3339" w:type="dxa"/>
            <w:noWrap/>
            <w:vAlign w:val="center"/>
          </w:tcPr>
          <w:p w:rsidR="004C36A5" w:rsidRPr="004C5551" w:rsidRDefault="004C36A5" w:rsidP="00014525">
            <w:pPr>
              <w:rPr>
                <w:color w:val="000000" w:themeColor="text1"/>
                <w:szCs w:val="18"/>
              </w:rPr>
            </w:pPr>
            <w:bookmarkStart w:id="524" w:name="_Toc294019998"/>
            <w:bookmarkStart w:id="525" w:name="_Toc294027331"/>
            <w:bookmarkStart w:id="526" w:name="_Toc294029570"/>
            <w:bookmarkStart w:id="527" w:name="_Toc313879061"/>
            <w:r w:rsidRPr="004C5551">
              <w:rPr>
                <w:color w:val="000000" w:themeColor="text1"/>
                <w:szCs w:val="18"/>
              </w:rPr>
              <w:t>Jednorazové vyrovnanie</w:t>
            </w:r>
            <w:bookmarkEnd w:id="524"/>
            <w:bookmarkEnd w:id="525"/>
            <w:bookmarkEnd w:id="526"/>
            <w:bookmarkEnd w:id="527"/>
          </w:p>
        </w:tc>
        <w:tc>
          <w:tcPr>
            <w:tcW w:w="2256" w:type="dxa"/>
            <w:noWrap/>
            <w:vAlign w:val="center"/>
          </w:tcPr>
          <w:p w:rsidR="004C36A5" w:rsidRPr="004C5551" w:rsidRDefault="004C36A5" w:rsidP="00D6574F">
            <w:pPr>
              <w:ind w:right="601"/>
              <w:jc w:val="right"/>
              <w:rPr>
                <w:color w:val="000000" w:themeColor="text1"/>
                <w:szCs w:val="18"/>
              </w:rPr>
            </w:pPr>
            <w:r w:rsidRPr="004C5551">
              <w:rPr>
                <w:szCs w:val="18"/>
              </w:rPr>
              <w:t>60,676</w:t>
            </w:r>
          </w:p>
        </w:tc>
        <w:tc>
          <w:tcPr>
            <w:tcW w:w="2180" w:type="dxa"/>
            <w:noWrap/>
            <w:vAlign w:val="center"/>
          </w:tcPr>
          <w:p w:rsidR="004C36A5" w:rsidRPr="004C5551" w:rsidRDefault="004C36A5" w:rsidP="00D6574F">
            <w:pPr>
              <w:ind w:right="601"/>
              <w:jc w:val="right"/>
              <w:rPr>
                <w:szCs w:val="18"/>
              </w:rPr>
            </w:pPr>
            <w:r w:rsidRPr="004C5551">
              <w:rPr>
                <w:szCs w:val="18"/>
              </w:rPr>
              <w:t>52,311</w:t>
            </w:r>
          </w:p>
        </w:tc>
      </w:tr>
    </w:tbl>
    <w:p w:rsidR="00B95152" w:rsidRPr="004C5551" w:rsidRDefault="00B95152" w:rsidP="00FB16A5">
      <w:pPr>
        <w:pStyle w:val="zdroj"/>
      </w:pPr>
      <w:r w:rsidRPr="004C5551">
        <w:t>Zdroj: Asociácia doplnkových dôchodkových spoločností</w:t>
      </w:r>
    </w:p>
    <w:p w:rsidR="00B95152" w:rsidRPr="004C5551" w:rsidRDefault="00B95152" w:rsidP="001206CF">
      <w:pPr>
        <w:ind w:firstLine="431"/>
      </w:pPr>
      <w:bookmarkStart w:id="528" w:name="_Toc313879022"/>
      <w:bookmarkStart w:id="529" w:name="_Toc294029531"/>
      <w:bookmarkStart w:id="530" w:name="_Toc294027292"/>
      <w:bookmarkStart w:id="531" w:name="_Toc325438181"/>
      <w:bookmarkStart w:id="532" w:name="_Toc325440950"/>
      <w:bookmarkStart w:id="533" w:name="_Toc356482692"/>
      <w:r w:rsidRPr="004C5551">
        <w:t>Čistá hodnota spravovaného majetku v doplnkových dôchodkových fondoch sa oproti roku 2013 zvýšila o približne 9</w:t>
      </w:r>
      <w:r w:rsidR="009425AA" w:rsidRPr="004C5551">
        <w:t> %</w:t>
      </w:r>
      <w:r w:rsidRPr="004C5551">
        <w:t xml:space="preserve"> na 1,47 mld. </w:t>
      </w:r>
      <w:r w:rsidR="000860E9" w:rsidRPr="004C5551">
        <w:t>eur</w:t>
      </w:r>
      <w:r w:rsidRPr="004C5551">
        <w:t xml:space="preserve">. Jedným z dôvodov atraktivity účasti na doplnkovom dôchodkovom sporení bola a je participácia zamestnávateľov na doplnkovom dôchodkovom sporení ich zamestnancov; </w:t>
      </w:r>
      <w:r w:rsidR="00350A9B" w:rsidRPr="004C5551">
        <w:t>od 1. januára 2014 do 31. decembra 2014 prispeli zamestnávatelia na doplnkové dôchodkové sporenie aspoň jedným príspevkom</w:t>
      </w:r>
      <w:r w:rsidR="003D4864" w:rsidRPr="004C5551">
        <w:t xml:space="preserve"> </w:t>
      </w:r>
      <w:r w:rsidR="00350A9B" w:rsidRPr="004C5551">
        <w:t xml:space="preserve">445 tisícom účastníkov oproti 56 tisícom účastníkov, ktorým zamestnávatelia v roku 2014 neprispeli na doplnkové dôchodkové sporenie, ale účastníci si napriek tomu na doplnkové dôchodkové sporenie prispeli aspoň jedným príspevkom sami. Účastníkov s nenulovými zmluvami, ktorí ostali v roku 2014 bez svojho príspevku a príspevku od zamestnávateľa </w:t>
      </w:r>
      <w:r w:rsidR="00814116" w:rsidRPr="004C5551">
        <w:t xml:space="preserve">k 31. decembru 2014 </w:t>
      </w:r>
      <w:r w:rsidR="00350A9B" w:rsidRPr="004C5551">
        <w:t>bolo 181 tisíc</w:t>
      </w:r>
      <w:r w:rsidRPr="004C5551">
        <w:t>.</w:t>
      </w:r>
    </w:p>
    <w:p w:rsidR="00B95152" w:rsidRPr="004C5551" w:rsidRDefault="00B95152" w:rsidP="001206CF">
      <w:pPr>
        <w:ind w:firstLine="431"/>
      </w:pPr>
      <w:r w:rsidRPr="004C5551">
        <w:t>Doplnkové dôchodkové fondy zaznamenali oproti roku 2013 lepšie výsledky pri zhodnocovaní prostriedkov (tabuľka 3.13). Výkonnosť jednotlivých príspevkových doplnkových dôchodkových fondov dosiahla ročnú úroveň vo výške od 0,1</w:t>
      </w:r>
      <w:r w:rsidR="009425AA" w:rsidRPr="004C5551">
        <w:t> %</w:t>
      </w:r>
      <w:r w:rsidRPr="004C5551">
        <w:t xml:space="preserve"> do 9,5</w:t>
      </w:r>
      <w:r w:rsidR="009425AA" w:rsidRPr="004C5551">
        <w:t> %</w:t>
      </w:r>
      <w:r w:rsidRPr="004C5551">
        <w:t>. Priemerné ročné zhodnotenie doplnkových dôchodkových fondov v roku 2014 dosiahlo 3,6</w:t>
      </w:r>
      <w:r w:rsidR="009425AA" w:rsidRPr="004C5551">
        <w:t> %</w:t>
      </w:r>
      <w:r w:rsidRPr="004C5551">
        <w:t xml:space="preserve"> oproti 1,6</w:t>
      </w:r>
      <w:r w:rsidR="009425AA" w:rsidRPr="004C5551">
        <w:t> %</w:t>
      </w:r>
      <w:r w:rsidRPr="004C5551">
        <w:t xml:space="preserve"> v roku 2013.</w:t>
      </w:r>
    </w:p>
    <w:bookmarkEnd w:id="528"/>
    <w:bookmarkEnd w:id="529"/>
    <w:bookmarkEnd w:id="530"/>
    <w:bookmarkEnd w:id="531"/>
    <w:bookmarkEnd w:id="532"/>
    <w:bookmarkEnd w:id="533"/>
    <w:p w:rsidR="00B95152" w:rsidRPr="004C5551" w:rsidRDefault="00B95152" w:rsidP="00FB16A5">
      <w:pPr>
        <w:pStyle w:val="Nadpis7"/>
      </w:pPr>
      <w:r w:rsidRPr="004C5551">
        <w:t>Tabuľka 3.13 Prehľad údajov o doplnkových dôchodkových fondoch k 31. decembru 2014</w:t>
      </w:r>
    </w:p>
    <w:tbl>
      <w:tblPr>
        <w:tblW w:w="832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480"/>
        <w:gridCol w:w="1487"/>
        <w:gridCol w:w="1418"/>
        <w:gridCol w:w="1366"/>
        <w:gridCol w:w="1570"/>
      </w:tblGrid>
      <w:tr w:rsidR="00B95152" w:rsidRPr="004C5551" w:rsidTr="000860E9">
        <w:trPr>
          <w:trHeight w:val="428"/>
          <w:jc w:val="center"/>
        </w:trPr>
        <w:tc>
          <w:tcPr>
            <w:tcW w:w="2480"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B95152" w:rsidRPr="004C5551" w:rsidRDefault="00B95152" w:rsidP="00014525">
            <w:pPr>
              <w:jc w:val="center"/>
              <w:rPr>
                <w:color w:val="FFFFFF" w:themeColor="background1"/>
                <w:sz w:val="20"/>
                <w:szCs w:val="18"/>
              </w:rPr>
            </w:pPr>
          </w:p>
        </w:tc>
        <w:tc>
          <w:tcPr>
            <w:tcW w:w="4271" w:type="dxa"/>
            <w:gridSpan w:val="3"/>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B95152" w:rsidRPr="004C5551" w:rsidRDefault="00B95152" w:rsidP="00014525">
            <w:pPr>
              <w:jc w:val="center"/>
              <w:rPr>
                <w:b/>
                <w:bCs/>
                <w:iCs/>
                <w:color w:val="FFFFFF" w:themeColor="background1"/>
                <w:sz w:val="20"/>
                <w:szCs w:val="18"/>
                <w:lang w:eastAsia="cs-CZ"/>
              </w:rPr>
            </w:pPr>
            <w:bookmarkStart w:id="534" w:name="_Toc294019961"/>
            <w:bookmarkStart w:id="535" w:name="_Toc294027293"/>
            <w:bookmarkStart w:id="536" w:name="_Toc294029532"/>
            <w:bookmarkStart w:id="537" w:name="_Toc313879023"/>
            <w:r w:rsidRPr="004C5551">
              <w:rPr>
                <w:b/>
                <w:bCs/>
                <w:iCs/>
                <w:color w:val="FFFFFF" w:themeColor="background1"/>
                <w:sz w:val="20"/>
                <w:szCs w:val="18"/>
                <w:lang w:eastAsia="cs-CZ"/>
              </w:rPr>
              <w:t>Čistá hodnota majetku v doplnkových dôchodkových fondoch</w:t>
            </w:r>
            <w:bookmarkEnd w:id="534"/>
            <w:bookmarkEnd w:id="535"/>
            <w:bookmarkEnd w:id="536"/>
            <w:bookmarkEnd w:id="537"/>
          </w:p>
        </w:tc>
        <w:tc>
          <w:tcPr>
            <w:tcW w:w="1570" w:type="dxa"/>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bottom"/>
          </w:tcPr>
          <w:p w:rsidR="00B95152" w:rsidRPr="004C5551" w:rsidRDefault="00B95152" w:rsidP="00014525">
            <w:pPr>
              <w:jc w:val="center"/>
              <w:rPr>
                <w:b/>
                <w:bCs/>
                <w:iCs/>
                <w:color w:val="FFFFFF" w:themeColor="background1"/>
                <w:sz w:val="20"/>
                <w:szCs w:val="18"/>
                <w:lang w:eastAsia="cs-CZ"/>
              </w:rPr>
            </w:pPr>
            <w:bookmarkStart w:id="538" w:name="_Toc294019962"/>
            <w:bookmarkStart w:id="539" w:name="_Toc294027294"/>
            <w:bookmarkStart w:id="540" w:name="_Toc294029533"/>
            <w:bookmarkStart w:id="541" w:name="_Toc313879024"/>
            <w:r w:rsidRPr="004C5551">
              <w:rPr>
                <w:b/>
                <w:bCs/>
                <w:iCs/>
                <w:color w:val="FFFFFF" w:themeColor="background1"/>
                <w:sz w:val="20"/>
                <w:szCs w:val="18"/>
                <w:lang w:eastAsia="cs-CZ"/>
              </w:rPr>
              <w:t>Ročné zhodnotenie doplnkových dôchodkových fondov</w:t>
            </w:r>
            <w:bookmarkEnd w:id="538"/>
            <w:bookmarkEnd w:id="539"/>
            <w:bookmarkEnd w:id="540"/>
            <w:bookmarkEnd w:id="541"/>
          </w:p>
        </w:tc>
      </w:tr>
      <w:tr w:rsidR="00B95152" w:rsidRPr="004C5551" w:rsidTr="000860E9">
        <w:trPr>
          <w:trHeight w:val="839"/>
          <w:jc w:val="center"/>
        </w:trPr>
        <w:tc>
          <w:tcPr>
            <w:tcW w:w="248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B95152" w:rsidRPr="004C5551" w:rsidRDefault="00B95152" w:rsidP="00014525">
            <w:pPr>
              <w:jc w:val="center"/>
              <w:rPr>
                <w:b/>
                <w:bCs/>
                <w:iCs/>
                <w:color w:val="FFFFFF" w:themeColor="background1"/>
                <w:sz w:val="20"/>
                <w:szCs w:val="18"/>
                <w:lang w:eastAsia="cs-CZ"/>
              </w:rPr>
            </w:pPr>
            <w:bookmarkStart w:id="542" w:name="_Toc294019963"/>
            <w:bookmarkStart w:id="543" w:name="_Toc294027295"/>
            <w:bookmarkStart w:id="544" w:name="_Toc294029534"/>
            <w:bookmarkStart w:id="545" w:name="_Toc313879025"/>
            <w:r w:rsidRPr="004C5551">
              <w:rPr>
                <w:b/>
                <w:bCs/>
                <w:iCs/>
                <w:color w:val="FFFFFF" w:themeColor="background1"/>
                <w:sz w:val="20"/>
                <w:szCs w:val="18"/>
                <w:lang w:eastAsia="cs-CZ"/>
              </w:rPr>
              <w:t>Spoločnosť</w:t>
            </w:r>
            <w:bookmarkEnd w:id="542"/>
            <w:bookmarkEnd w:id="543"/>
            <w:bookmarkEnd w:id="544"/>
            <w:bookmarkEnd w:id="545"/>
          </w:p>
        </w:tc>
        <w:tc>
          <w:tcPr>
            <w:tcW w:w="1487"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B95152" w:rsidRPr="004C5551" w:rsidRDefault="00B95152" w:rsidP="000860E9">
            <w:pPr>
              <w:jc w:val="center"/>
              <w:rPr>
                <w:b/>
                <w:bCs/>
                <w:iCs/>
                <w:color w:val="FFFFFF" w:themeColor="background1"/>
                <w:sz w:val="20"/>
                <w:szCs w:val="18"/>
                <w:lang w:eastAsia="cs-CZ"/>
              </w:rPr>
            </w:pPr>
            <w:bookmarkStart w:id="546" w:name="_Toc294019964"/>
            <w:bookmarkStart w:id="547" w:name="_Toc294027296"/>
            <w:bookmarkStart w:id="548" w:name="_Toc294029535"/>
            <w:bookmarkStart w:id="549" w:name="_Toc313879026"/>
            <w:r w:rsidRPr="004C5551">
              <w:rPr>
                <w:b/>
                <w:bCs/>
                <w:iCs/>
                <w:color w:val="FFFFFF" w:themeColor="background1"/>
                <w:sz w:val="20"/>
                <w:szCs w:val="18"/>
                <w:lang w:eastAsia="cs-CZ"/>
              </w:rPr>
              <w:t xml:space="preserve">Príspevkové doplnkové dôchodkové fondy (mil. </w:t>
            </w:r>
            <w:r w:rsidR="000860E9" w:rsidRPr="004C5551">
              <w:rPr>
                <w:b/>
                <w:bCs/>
                <w:iCs/>
                <w:color w:val="FFFFFF" w:themeColor="background1"/>
                <w:sz w:val="20"/>
                <w:szCs w:val="18"/>
                <w:lang w:eastAsia="cs-CZ"/>
              </w:rPr>
              <w:t>€</w:t>
            </w:r>
            <w:r w:rsidRPr="004C5551">
              <w:rPr>
                <w:b/>
                <w:bCs/>
                <w:iCs/>
                <w:color w:val="FFFFFF" w:themeColor="background1"/>
                <w:sz w:val="20"/>
                <w:szCs w:val="18"/>
                <w:lang w:eastAsia="cs-CZ"/>
              </w:rPr>
              <w:t>)</w:t>
            </w:r>
            <w:bookmarkEnd w:id="546"/>
            <w:bookmarkEnd w:id="547"/>
            <w:bookmarkEnd w:id="548"/>
            <w:bookmarkEnd w:id="549"/>
          </w:p>
        </w:tc>
        <w:tc>
          <w:tcPr>
            <w:tcW w:w="1418"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B95152" w:rsidRPr="004C5551" w:rsidRDefault="00B95152" w:rsidP="000860E9">
            <w:pPr>
              <w:jc w:val="center"/>
              <w:rPr>
                <w:b/>
                <w:bCs/>
                <w:iCs/>
                <w:color w:val="FFFFFF" w:themeColor="background1"/>
                <w:sz w:val="20"/>
                <w:szCs w:val="18"/>
                <w:lang w:eastAsia="cs-CZ"/>
              </w:rPr>
            </w:pPr>
            <w:bookmarkStart w:id="550" w:name="_Toc294019965"/>
            <w:bookmarkStart w:id="551" w:name="_Toc294027297"/>
            <w:bookmarkStart w:id="552" w:name="_Toc294029536"/>
            <w:bookmarkStart w:id="553" w:name="_Toc313879027"/>
            <w:r w:rsidRPr="004C5551">
              <w:rPr>
                <w:b/>
                <w:bCs/>
                <w:iCs/>
                <w:color w:val="FFFFFF" w:themeColor="background1"/>
                <w:sz w:val="20"/>
                <w:szCs w:val="18"/>
                <w:lang w:eastAsia="cs-CZ"/>
              </w:rPr>
              <w:t xml:space="preserve">Výplatné doplnkové dôchodkové fondy (mil. </w:t>
            </w:r>
            <w:r w:rsidR="000860E9" w:rsidRPr="004C5551">
              <w:rPr>
                <w:b/>
                <w:bCs/>
                <w:iCs/>
                <w:color w:val="FFFFFF" w:themeColor="background1"/>
                <w:sz w:val="20"/>
                <w:szCs w:val="18"/>
                <w:lang w:eastAsia="cs-CZ"/>
              </w:rPr>
              <w:t>€</w:t>
            </w:r>
            <w:r w:rsidRPr="004C5551">
              <w:rPr>
                <w:b/>
                <w:bCs/>
                <w:iCs/>
                <w:color w:val="FFFFFF" w:themeColor="background1"/>
                <w:sz w:val="20"/>
                <w:szCs w:val="18"/>
                <w:lang w:eastAsia="cs-CZ"/>
              </w:rPr>
              <w:t>)</w:t>
            </w:r>
            <w:bookmarkEnd w:id="550"/>
            <w:bookmarkEnd w:id="551"/>
            <w:bookmarkEnd w:id="552"/>
            <w:bookmarkEnd w:id="553"/>
          </w:p>
        </w:tc>
        <w:tc>
          <w:tcPr>
            <w:tcW w:w="1366"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B95152" w:rsidRPr="004C5551" w:rsidRDefault="00B95152" w:rsidP="000860E9">
            <w:pPr>
              <w:jc w:val="center"/>
              <w:rPr>
                <w:b/>
                <w:bCs/>
                <w:iCs/>
                <w:color w:val="FFFFFF" w:themeColor="background1"/>
                <w:sz w:val="20"/>
                <w:szCs w:val="18"/>
                <w:lang w:eastAsia="cs-CZ"/>
              </w:rPr>
            </w:pPr>
            <w:bookmarkStart w:id="554" w:name="_Toc294019966"/>
            <w:bookmarkStart w:id="555" w:name="_Toc294027298"/>
            <w:bookmarkStart w:id="556" w:name="_Toc294029537"/>
            <w:bookmarkStart w:id="557" w:name="_Toc313879028"/>
            <w:r w:rsidRPr="004C5551">
              <w:rPr>
                <w:b/>
                <w:bCs/>
                <w:iCs/>
                <w:color w:val="FFFFFF" w:themeColor="background1"/>
                <w:sz w:val="20"/>
                <w:szCs w:val="18"/>
                <w:lang w:eastAsia="cs-CZ"/>
              </w:rPr>
              <w:t xml:space="preserve">Spolu doplnkové dôchodkové fondy (mil. </w:t>
            </w:r>
            <w:r w:rsidR="000860E9" w:rsidRPr="004C5551">
              <w:rPr>
                <w:b/>
                <w:bCs/>
                <w:iCs/>
                <w:color w:val="FFFFFF" w:themeColor="background1"/>
                <w:sz w:val="20"/>
                <w:szCs w:val="18"/>
                <w:lang w:eastAsia="cs-CZ"/>
              </w:rPr>
              <w:t>€</w:t>
            </w:r>
            <w:r w:rsidRPr="004C5551">
              <w:rPr>
                <w:b/>
                <w:bCs/>
                <w:iCs/>
                <w:color w:val="FFFFFF" w:themeColor="background1"/>
                <w:sz w:val="20"/>
                <w:szCs w:val="18"/>
                <w:lang w:eastAsia="cs-CZ"/>
              </w:rPr>
              <w:t>)</w:t>
            </w:r>
            <w:bookmarkEnd w:id="554"/>
            <w:bookmarkEnd w:id="555"/>
            <w:bookmarkEnd w:id="556"/>
            <w:bookmarkEnd w:id="557"/>
          </w:p>
        </w:tc>
        <w:tc>
          <w:tcPr>
            <w:tcW w:w="1570" w:type="dxa"/>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B95152" w:rsidRPr="004C5551" w:rsidRDefault="00B95152" w:rsidP="00014525">
            <w:pPr>
              <w:jc w:val="center"/>
              <w:rPr>
                <w:b/>
                <w:bCs/>
                <w:iCs/>
                <w:color w:val="FFFFFF" w:themeColor="background1"/>
                <w:sz w:val="20"/>
                <w:szCs w:val="18"/>
                <w:lang w:eastAsia="cs-CZ"/>
              </w:rPr>
            </w:pPr>
          </w:p>
        </w:tc>
      </w:tr>
      <w:tr w:rsidR="00B95152" w:rsidRPr="004C5551" w:rsidTr="000860E9">
        <w:trPr>
          <w:trHeight w:val="360"/>
          <w:jc w:val="center"/>
        </w:trPr>
        <w:tc>
          <w:tcPr>
            <w:tcW w:w="2480" w:type="dxa"/>
            <w:tcBorders>
              <w:top w:val="single" w:sz="6" w:space="0" w:color="BF0000" w:themeColor="accent3" w:themeShade="BF"/>
            </w:tcBorders>
            <w:noWrap/>
            <w:vAlign w:val="center"/>
          </w:tcPr>
          <w:p w:rsidR="00B95152" w:rsidRPr="004C5551" w:rsidRDefault="00B95152" w:rsidP="00014525">
            <w:pPr>
              <w:rPr>
                <w:bCs/>
                <w:sz w:val="20"/>
                <w:szCs w:val="18"/>
              </w:rPr>
            </w:pPr>
            <w:bookmarkStart w:id="558" w:name="_Toc294019974"/>
            <w:bookmarkStart w:id="559" w:name="_Toc294027306"/>
            <w:bookmarkStart w:id="560" w:name="_Toc294029545"/>
            <w:bookmarkStart w:id="561" w:name="_Toc313879036"/>
            <w:proofErr w:type="spellStart"/>
            <w:r w:rsidRPr="004C5551">
              <w:rPr>
                <w:bCs/>
                <w:sz w:val="20"/>
                <w:szCs w:val="18"/>
              </w:rPr>
              <w:t>Axa</w:t>
            </w:r>
            <w:proofErr w:type="spellEnd"/>
            <w:r w:rsidRPr="004C5551">
              <w:rPr>
                <w:bCs/>
                <w:sz w:val="20"/>
                <w:szCs w:val="18"/>
              </w:rPr>
              <w:t xml:space="preserve"> </w:t>
            </w:r>
            <w:proofErr w:type="spellStart"/>
            <w:r w:rsidRPr="004C5551">
              <w:rPr>
                <w:bCs/>
                <w:sz w:val="20"/>
                <w:szCs w:val="18"/>
              </w:rPr>
              <w:t>d.d.s</w:t>
            </w:r>
            <w:proofErr w:type="spellEnd"/>
            <w:r w:rsidRPr="004C5551">
              <w:rPr>
                <w:bCs/>
                <w:sz w:val="20"/>
                <w:szCs w:val="18"/>
              </w:rPr>
              <w:t>., a.s.</w:t>
            </w:r>
            <w:bookmarkEnd w:id="558"/>
            <w:bookmarkEnd w:id="559"/>
            <w:bookmarkEnd w:id="560"/>
            <w:bookmarkEnd w:id="561"/>
          </w:p>
        </w:tc>
        <w:tc>
          <w:tcPr>
            <w:tcW w:w="1487" w:type="dxa"/>
            <w:tcBorders>
              <w:top w:val="single" w:sz="6" w:space="0" w:color="BF0000" w:themeColor="accent3" w:themeShade="BF"/>
            </w:tcBorders>
            <w:noWrap/>
            <w:vAlign w:val="center"/>
          </w:tcPr>
          <w:p w:rsidR="00B95152" w:rsidRPr="004C5551" w:rsidRDefault="00B95152" w:rsidP="000860E9">
            <w:pPr>
              <w:ind w:right="303"/>
              <w:jc w:val="right"/>
              <w:rPr>
                <w:sz w:val="20"/>
                <w:szCs w:val="18"/>
              </w:rPr>
            </w:pPr>
            <w:r w:rsidRPr="004C5551">
              <w:rPr>
                <w:sz w:val="20"/>
                <w:szCs w:val="18"/>
              </w:rPr>
              <w:t>187,0</w:t>
            </w:r>
          </w:p>
        </w:tc>
        <w:tc>
          <w:tcPr>
            <w:tcW w:w="1418" w:type="dxa"/>
            <w:tcBorders>
              <w:top w:val="single" w:sz="6" w:space="0" w:color="BF0000" w:themeColor="accent3" w:themeShade="BF"/>
            </w:tcBorders>
            <w:noWrap/>
            <w:vAlign w:val="center"/>
          </w:tcPr>
          <w:p w:rsidR="00B95152" w:rsidRPr="004C5551" w:rsidRDefault="00B95152" w:rsidP="000860E9">
            <w:pPr>
              <w:ind w:right="303"/>
              <w:jc w:val="right"/>
              <w:rPr>
                <w:sz w:val="20"/>
                <w:szCs w:val="18"/>
              </w:rPr>
            </w:pPr>
            <w:r w:rsidRPr="004C5551">
              <w:rPr>
                <w:sz w:val="20"/>
                <w:szCs w:val="18"/>
              </w:rPr>
              <w:t>1,6</w:t>
            </w:r>
          </w:p>
        </w:tc>
        <w:tc>
          <w:tcPr>
            <w:tcW w:w="1366" w:type="dxa"/>
            <w:tcBorders>
              <w:top w:val="single" w:sz="6" w:space="0" w:color="BF0000" w:themeColor="accent3" w:themeShade="BF"/>
            </w:tcBorders>
            <w:noWrap/>
            <w:vAlign w:val="center"/>
          </w:tcPr>
          <w:p w:rsidR="00B95152" w:rsidRPr="004C5551" w:rsidRDefault="00B95152" w:rsidP="000860E9">
            <w:pPr>
              <w:ind w:right="303"/>
              <w:jc w:val="right"/>
              <w:rPr>
                <w:sz w:val="20"/>
                <w:szCs w:val="18"/>
              </w:rPr>
            </w:pPr>
            <w:r w:rsidRPr="004C5551">
              <w:rPr>
                <w:sz w:val="20"/>
                <w:szCs w:val="18"/>
              </w:rPr>
              <w:t>188,6</w:t>
            </w:r>
          </w:p>
        </w:tc>
        <w:tc>
          <w:tcPr>
            <w:tcW w:w="1570" w:type="dxa"/>
            <w:tcBorders>
              <w:top w:val="single" w:sz="6" w:space="0" w:color="BF0000" w:themeColor="accent3" w:themeShade="BF"/>
            </w:tcBorders>
            <w:noWrap/>
            <w:vAlign w:val="center"/>
          </w:tcPr>
          <w:p w:rsidR="00B95152" w:rsidRPr="004C5551" w:rsidRDefault="00B95152" w:rsidP="000860E9">
            <w:pPr>
              <w:ind w:right="303"/>
              <w:jc w:val="right"/>
              <w:rPr>
                <w:sz w:val="20"/>
                <w:szCs w:val="18"/>
              </w:rPr>
            </w:pPr>
            <w:r w:rsidRPr="004C5551">
              <w:rPr>
                <w:color w:val="000000"/>
                <w:sz w:val="20"/>
                <w:szCs w:val="18"/>
              </w:rPr>
              <w:t>5,3</w:t>
            </w:r>
            <w:r w:rsidR="00875D86" w:rsidRPr="004C5551">
              <w:rPr>
                <w:color w:val="000000"/>
                <w:sz w:val="20"/>
                <w:szCs w:val="18"/>
              </w:rPr>
              <w:t> </w:t>
            </w:r>
            <w:r w:rsidRPr="004C5551">
              <w:rPr>
                <w:color w:val="000000"/>
                <w:sz w:val="20"/>
                <w:szCs w:val="18"/>
              </w:rPr>
              <w:t>%</w:t>
            </w:r>
          </w:p>
        </w:tc>
      </w:tr>
      <w:tr w:rsidR="00B95152" w:rsidRPr="004C5551" w:rsidTr="000860E9">
        <w:trPr>
          <w:trHeight w:val="360"/>
          <w:jc w:val="center"/>
        </w:trPr>
        <w:tc>
          <w:tcPr>
            <w:tcW w:w="2480" w:type="dxa"/>
            <w:vAlign w:val="center"/>
          </w:tcPr>
          <w:p w:rsidR="00B95152" w:rsidRPr="004C5551" w:rsidRDefault="00B95152" w:rsidP="00014525">
            <w:pPr>
              <w:rPr>
                <w:bCs/>
                <w:sz w:val="20"/>
                <w:szCs w:val="18"/>
              </w:rPr>
            </w:pPr>
            <w:bookmarkStart w:id="562" w:name="_Toc294019980"/>
            <w:bookmarkStart w:id="563" w:name="_Toc294027312"/>
            <w:bookmarkStart w:id="564" w:name="_Toc294029551"/>
            <w:bookmarkStart w:id="565" w:name="_Toc313879042"/>
            <w:r w:rsidRPr="004C5551">
              <w:rPr>
                <w:bCs/>
                <w:sz w:val="20"/>
                <w:szCs w:val="18"/>
              </w:rPr>
              <w:t>DDS Tatra banky, a.s.</w:t>
            </w:r>
            <w:bookmarkEnd w:id="562"/>
            <w:bookmarkEnd w:id="563"/>
            <w:bookmarkEnd w:id="564"/>
            <w:bookmarkEnd w:id="565"/>
          </w:p>
        </w:tc>
        <w:tc>
          <w:tcPr>
            <w:tcW w:w="1487" w:type="dxa"/>
            <w:noWrap/>
            <w:vAlign w:val="center"/>
          </w:tcPr>
          <w:p w:rsidR="00B95152" w:rsidRPr="004C5551" w:rsidRDefault="00B95152" w:rsidP="000860E9">
            <w:pPr>
              <w:ind w:right="303"/>
              <w:jc w:val="right"/>
              <w:rPr>
                <w:sz w:val="20"/>
                <w:szCs w:val="18"/>
              </w:rPr>
            </w:pPr>
            <w:r w:rsidRPr="004C5551">
              <w:rPr>
                <w:sz w:val="20"/>
                <w:szCs w:val="18"/>
              </w:rPr>
              <w:t>438,0</w:t>
            </w:r>
          </w:p>
        </w:tc>
        <w:tc>
          <w:tcPr>
            <w:tcW w:w="1418" w:type="dxa"/>
            <w:noWrap/>
            <w:vAlign w:val="center"/>
          </w:tcPr>
          <w:p w:rsidR="00B95152" w:rsidRPr="004C5551" w:rsidRDefault="00B95152" w:rsidP="000860E9">
            <w:pPr>
              <w:ind w:right="303"/>
              <w:jc w:val="right"/>
              <w:rPr>
                <w:sz w:val="20"/>
                <w:szCs w:val="18"/>
              </w:rPr>
            </w:pPr>
            <w:r w:rsidRPr="004C5551">
              <w:rPr>
                <w:sz w:val="20"/>
                <w:szCs w:val="18"/>
              </w:rPr>
              <w:t>18,1</w:t>
            </w:r>
          </w:p>
        </w:tc>
        <w:tc>
          <w:tcPr>
            <w:tcW w:w="1366" w:type="dxa"/>
            <w:noWrap/>
            <w:vAlign w:val="center"/>
          </w:tcPr>
          <w:p w:rsidR="00B95152" w:rsidRPr="004C5551" w:rsidRDefault="00B95152" w:rsidP="000860E9">
            <w:pPr>
              <w:ind w:right="303"/>
              <w:jc w:val="right"/>
              <w:rPr>
                <w:sz w:val="20"/>
                <w:szCs w:val="18"/>
              </w:rPr>
            </w:pPr>
            <w:r w:rsidRPr="004C5551">
              <w:rPr>
                <w:sz w:val="20"/>
                <w:szCs w:val="18"/>
              </w:rPr>
              <w:t>456,1</w:t>
            </w:r>
          </w:p>
        </w:tc>
        <w:tc>
          <w:tcPr>
            <w:tcW w:w="1570" w:type="dxa"/>
            <w:noWrap/>
            <w:vAlign w:val="center"/>
          </w:tcPr>
          <w:p w:rsidR="00B95152" w:rsidRPr="004C5551" w:rsidRDefault="00B95152" w:rsidP="000860E9">
            <w:pPr>
              <w:ind w:right="303"/>
              <w:jc w:val="right"/>
              <w:rPr>
                <w:sz w:val="20"/>
                <w:szCs w:val="18"/>
              </w:rPr>
            </w:pPr>
            <w:r w:rsidRPr="004C5551">
              <w:rPr>
                <w:color w:val="000000"/>
                <w:sz w:val="20"/>
                <w:szCs w:val="18"/>
              </w:rPr>
              <w:t>3,3</w:t>
            </w:r>
            <w:r w:rsidR="00875D86" w:rsidRPr="004C5551">
              <w:rPr>
                <w:color w:val="000000"/>
                <w:sz w:val="20"/>
                <w:szCs w:val="18"/>
              </w:rPr>
              <w:t> </w:t>
            </w:r>
            <w:r w:rsidRPr="004C5551">
              <w:rPr>
                <w:color w:val="000000"/>
                <w:sz w:val="20"/>
                <w:szCs w:val="18"/>
              </w:rPr>
              <w:t>%</w:t>
            </w:r>
          </w:p>
        </w:tc>
      </w:tr>
      <w:tr w:rsidR="00B95152" w:rsidRPr="004C5551" w:rsidTr="00BB1867">
        <w:trPr>
          <w:trHeight w:val="510"/>
          <w:jc w:val="center"/>
        </w:trPr>
        <w:tc>
          <w:tcPr>
            <w:tcW w:w="2480" w:type="dxa"/>
            <w:noWrap/>
            <w:vAlign w:val="center"/>
          </w:tcPr>
          <w:p w:rsidR="00B95152" w:rsidRPr="004C5551" w:rsidRDefault="00B95152" w:rsidP="00014525">
            <w:pPr>
              <w:rPr>
                <w:sz w:val="20"/>
                <w:szCs w:val="18"/>
              </w:rPr>
            </w:pPr>
            <w:r w:rsidRPr="004C5551">
              <w:rPr>
                <w:sz w:val="20"/>
                <w:szCs w:val="18"/>
              </w:rPr>
              <w:t xml:space="preserve">ING Tatry - Sympatia, </w:t>
            </w:r>
          </w:p>
          <w:p w:rsidR="00B95152" w:rsidRPr="004C5551" w:rsidRDefault="00B95152" w:rsidP="00014525">
            <w:pPr>
              <w:rPr>
                <w:sz w:val="20"/>
                <w:szCs w:val="18"/>
              </w:rPr>
            </w:pPr>
            <w:proofErr w:type="spellStart"/>
            <w:r w:rsidRPr="004C5551">
              <w:rPr>
                <w:sz w:val="20"/>
                <w:szCs w:val="18"/>
              </w:rPr>
              <w:t>d.d.s</w:t>
            </w:r>
            <w:proofErr w:type="spellEnd"/>
            <w:r w:rsidRPr="004C5551">
              <w:rPr>
                <w:sz w:val="20"/>
                <w:szCs w:val="18"/>
              </w:rPr>
              <w:t>., a.s.</w:t>
            </w:r>
          </w:p>
        </w:tc>
        <w:tc>
          <w:tcPr>
            <w:tcW w:w="1487" w:type="dxa"/>
            <w:noWrap/>
            <w:vAlign w:val="center"/>
          </w:tcPr>
          <w:p w:rsidR="00B95152" w:rsidRPr="004C5551" w:rsidRDefault="00B95152" w:rsidP="000860E9">
            <w:pPr>
              <w:ind w:right="303"/>
              <w:jc w:val="right"/>
              <w:rPr>
                <w:sz w:val="20"/>
                <w:szCs w:val="18"/>
              </w:rPr>
            </w:pPr>
            <w:r w:rsidRPr="004C5551">
              <w:rPr>
                <w:sz w:val="20"/>
                <w:szCs w:val="18"/>
              </w:rPr>
              <w:t>534,7</w:t>
            </w:r>
          </w:p>
        </w:tc>
        <w:tc>
          <w:tcPr>
            <w:tcW w:w="1418" w:type="dxa"/>
            <w:noWrap/>
            <w:vAlign w:val="center"/>
          </w:tcPr>
          <w:p w:rsidR="00B95152" w:rsidRPr="004C5551" w:rsidRDefault="00B95152" w:rsidP="000860E9">
            <w:pPr>
              <w:ind w:right="303"/>
              <w:jc w:val="right"/>
              <w:rPr>
                <w:sz w:val="20"/>
                <w:szCs w:val="18"/>
              </w:rPr>
            </w:pPr>
            <w:r w:rsidRPr="004C5551">
              <w:rPr>
                <w:sz w:val="20"/>
                <w:szCs w:val="18"/>
              </w:rPr>
              <w:t>14,1</w:t>
            </w:r>
          </w:p>
        </w:tc>
        <w:tc>
          <w:tcPr>
            <w:tcW w:w="1366" w:type="dxa"/>
            <w:noWrap/>
            <w:vAlign w:val="center"/>
          </w:tcPr>
          <w:p w:rsidR="00B95152" w:rsidRPr="004C5551" w:rsidRDefault="00B95152" w:rsidP="000860E9">
            <w:pPr>
              <w:ind w:right="303"/>
              <w:jc w:val="right"/>
              <w:rPr>
                <w:sz w:val="20"/>
                <w:szCs w:val="18"/>
              </w:rPr>
            </w:pPr>
            <w:r w:rsidRPr="004C5551">
              <w:rPr>
                <w:sz w:val="20"/>
                <w:szCs w:val="18"/>
              </w:rPr>
              <w:t>548,9</w:t>
            </w:r>
          </w:p>
        </w:tc>
        <w:tc>
          <w:tcPr>
            <w:tcW w:w="1570" w:type="dxa"/>
            <w:noWrap/>
            <w:vAlign w:val="center"/>
          </w:tcPr>
          <w:p w:rsidR="00B95152" w:rsidRPr="004C5551" w:rsidRDefault="00B95152" w:rsidP="000860E9">
            <w:pPr>
              <w:ind w:right="303"/>
              <w:jc w:val="right"/>
              <w:rPr>
                <w:sz w:val="20"/>
                <w:szCs w:val="18"/>
              </w:rPr>
            </w:pPr>
            <w:r w:rsidRPr="004C5551">
              <w:rPr>
                <w:color w:val="000000"/>
                <w:sz w:val="20"/>
                <w:szCs w:val="18"/>
              </w:rPr>
              <w:t>3,0</w:t>
            </w:r>
            <w:r w:rsidR="00875D86" w:rsidRPr="004C5551">
              <w:rPr>
                <w:color w:val="000000"/>
                <w:sz w:val="20"/>
                <w:szCs w:val="18"/>
              </w:rPr>
              <w:t> </w:t>
            </w:r>
            <w:r w:rsidRPr="004C5551">
              <w:rPr>
                <w:color w:val="000000"/>
                <w:sz w:val="20"/>
                <w:szCs w:val="18"/>
              </w:rPr>
              <w:t>%</w:t>
            </w:r>
          </w:p>
        </w:tc>
      </w:tr>
      <w:tr w:rsidR="00B95152" w:rsidRPr="004C5551" w:rsidTr="00BB1867">
        <w:trPr>
          <w:trHeight w:val="363"/>
          <w:jc w:val="center"/>
        </w:trPr>
        <w:tc>
          <w:tcPr>
            <w:tcW w:w="2480" w:type="dxa"/>
            <w:noWrap/>
            <w:vAlign w:val="center"/>
          </w:tcPr>
          <w:p w:rsidR="00B95152" w:rsidRPr="004C5551" w:rsidRDefault="00B95152" w:rsidP="00014525">
            <w:pPr>
              <w:rPr>
                <w:sz w:val="20"/>
                <w:szCs w:val="18"/>
              </w:rPr>
            </w:pPr>
            <w:r w:rsidRPr="004C5551">
              <w:rPr>
                <w:sz w:val="20"/>
                <w:szCs w:val="18"/>
              </w:rPr>
              <w:t xml:space="preserve">Stabilita, </w:t>
            </w:r>
            <w:proofErr w:type="spellStart"/>
            <w:r w:rsidRPr="004C5551">
              <w:rPr>
                <w:sz w:val="20"/>
                <w:szCs w:val="18"/>
              </w:rPr>
              <w:t>d.d.s</w:t>
            </w:r>
            <w:proofErr w:type="spellEnd"/>
            <w:r w:rsidRPr="004C5551">
              <w:rPr>
                <w:sz w:val="20"/>
                <w:szCs w:val="18"/>
              </w:rPr>
              <w:t>., a.s.</w:t>
            </w:r>
          </w:p>
        </w:tc>
        <w:tc>
          <w:tcPr>
            <w:tcW w:w="1487" w:type="dxa"/>
            <w:noWrap/>
            <w:vAlign w:val="center"/>
          </w:tcPr>
          <w:p w:rsidR="00B95152" w:rsidRPr="004C5551" w:rsidRDefault="00B95152" w:rsidP="000860E9">
            <w:pPr>
              <w:ind w:right="303"/>
              <w:jc w:val="right"/>
              <w:rPr>
                <w:sz w:val="20"/>
                <w:szCs w:val="18"/>
              </w:rPr>
            </w:pPr>
            <w:r w:rsidRPr="004C5551">
              <w:rPr>
                <w:sz w:val="20"/>
                <w:szCs w:val="18"/>
              </w:rPr>
              <w:t>241,7</w:t>
            </w:r>
          </w:p>
        </w:tc>
        <w:tc>
          <w:tcPr>
            <w:tcW w:w="1418" w:type="dxa"/>
            <w:noWrap/>
            <w:vAlign w:val="center"/>
          </w:tcPr>
          <w:p w:rsidR="00B95152" w:rsidRPr="004C5551" w:rsidRDefault="00B95152" w:rsidP="000860E9">
            <w:pPr>
              <w:ind w:right="303"/>
              <w:jc w:val="right"/>
              <w:rPr>
                <w:sz w:val="20"/>
                <w:szCs w:val="18"/>
              </w:rPr>
            </w:pPr>
            <w:r w:rsidRPr="004C5551">
              <w:rPr>
                <w:sz w:val="20"/>
                <w:szCs w:val="18"/>
              </w:rPr>
              <w:t>32,8</w:t>
            </w:r>
          </w:p>
        </w:tc>
        <w:tc>
          <w:tcPr>
            <w:tcW w:w="1366" w:type="dxa"/>
            <w:noWrap/>
            <w:vAlign w:val="center"/>
          </w:tcPr>
          <w:p w:rsidR="00B95152" w:rsidRPr="004C5551" w:rsidRDefault="00B95152" w:rsidP="000860E9">
            <w:pPr>
              <w:ind w:right="303"/>
              <w:jc w:val="right"/>
              <w:rPr>
                <w:sz w:val="20"/>
                <w:szCs w:val="18"/>
              </w:rPr>
            </w:pPr>
            <w:r w:rsidRPr="004C5551">
              <w:rPr>
                <w:sz w:val="20"/>
                <w:szCs w:val="18"/>
              </w:rPr>
              <w:t>274,4</w:t>
            </w:r>
          </w:p>
        </w:tc>
        <w:tc>
          <w:tcPr>
            <w:tcW w:w="1570" w:type="dxa"/>
            <w:noWrap/>
            <w:vAlign w:val="center"/>
          </w:tcPr>
          <w:p w:rsidR="00B95152" w:rsidRPr="004C5551" w:rsidRDefault="00B95152" w:rsidP="000860E9">
            <w:pPr>
              <w:ind w:right="303"/>
              <w:jc w:val="right"/>
              <w:rPr>
                <w:sz w:val="20"/>
                <w:szCs w:val="18"/>
              </w:rPr>
            </w:pPr>
            <w:r w:rsidRPr="004C5551">
              <w:rPr>
                <w:color w:val="000000"/>
                <w:sz w:val="20"/>
                <w:szCs w:val="18"/>
              </w:rPr>
              <w:t>4,3</w:t>
            </w:r>
            <w:r w:rsidR="00875D86" w:rsidRPr="004C5551">
              <w:rPr>
                <w:color w:val="000000"/>
                <w:sz w:val="20"/>
                <w:szCs w:val="18"/>
              </w:rPr>
              <w:t> </w:t>
            </w:r>
            <w:r w:rsidRPr="004C5551">
              <w:rPr>
                <w:color w:val="000000"/>
                <w:sz w:val="20"/>
                <w:szCs w:val="18"/>
              </w:rPr>
              <w:t>%</w:t>
            </w:r>
          </w:p>
        </w:tc>
      </w:tr>
      <w:tr w:rsidR="00B95152" w:rsidRPr="004C5551" w:rsidTr="00BB1867">
        <w:trPr>
          <w:trHeight w:val="363"/>
          <w:jc w:val="center"/>
        </w:trPr>
        <w:tc>
          <w:tcPr>
            <w:tcW w:w="2480" w:type="dxa"/>
            <w:noWrap/>
            <w:vAlign w:val="center"/>
          </w:tcPr>
          <w:p w:rsidR="00B95152" w:rsidRPr="004C5551" w:rsidRDefault="00B95152" w:rsidP="00014525">
            <w:pPr>
              <w:rPr>
                <w:b/>
                <w:sz w:val="20"/>
                <w:szCs w:val="18"/>
              </w:rPr>
            </w:pPr>
            <w:r w:rsidRPr="004C5551">
              <w:rPr>
                <w:b/>
                <w:sz w:val="20"/>
                <w:szCs w:val="18"/>
              </w:rPr>
              <w:t>Spolu</w:t>
            </w:r>
          </w:p>
        </w:tc>
        <w:tc>
          <w:tcPr>
            <w:tcW w:w="1487" w:type="dxa"/>
            <w:noWrap/>
            <w:vAlign w:val="center"/>
          </w:tcPr>
          <w:p w:rsidR="00B95152" w:rsidRPr="004C5551" w:rsidRDefault="00B95152" w:rsidP="000860E9">
            <w:pPr>
              <w:ind w:right="303"/>
              <w:jc w:val="right"/>
              <w:rPr>
                <w:b/>
                <w:sz w:val="20"/>
                <w:szCs w:val="18"/>
              </w:rPr>
            </w:pPr>
            <w:r w:rsidRPr="004C5551">
              <w:rPr>
                <w:b/>
                <w:sz w:val="20"/>
                <w:szCs w:val="18"/>
              </w:rPr>
              <w:t>1 401,4</w:t>
            </w:r>
          </w:p>
        </w:tc>
        <w:tc>
          <w:tcPr>
            <w:tcW w:w="1418" w:type="dxa"/>
            <w:noWrap/>
            <w:vAlign w:val="center"/>
          </w:tcPr>
          <w:p w:rsidR="00B95152" w:rsidRPr="004C5551" w:rsidRDefault="00B95152" w:rsidP="000860E9">
            <w:pPr>
              <w:ind w:right="303"/>
              <w:jc w:val="right"/>
              <w:rPr>
                <w:b/>
                <w:sz w:val="20"/>
                <w:szCs w:val="18"/>
              </w:rPr>
            </w:pPr>
            <w:r w:rsidRPr="004C5551">
              <w:rPr>
                <w:b/>
                <w:sz w:val="20"/>
                <w:szCs w:val="18"/>
              </w:rPr>
              <w:t>66,6</w:t>
            </w:r>
          </w:p>
        </w:tc>
        <w:tc>
          <w:tcPr>
            <w:tcW w:w="1366" w:type="dxa"/>
            <w:noWrap/>
            <w:vAlign w:val="center"/>
          </w:tcPr>
          <w:p w:rsidR="00B95152" w:rsidRPr="004C5551" w:rsidRDefault="00B95152" w:rsidP="000860E9">
            <w:pPr>
              <w:ind w:right="303"/>
              <w:jc w:val="right"/>
              <w:rPr>
                <w:b/>
                <w:sz w:val="20"/>
                <w:szCs w:val="18"/>
              </w:rPr>
            </w:pPr>
            <w:r w:rsidRPr="004C5551">
              <w:rPr>
                <w:b/>
                <w:sz w:val="20"/>
                <w:szCs w:val="18"/>
              </w:rPr>
              <w:t>1 468,0</w:t>
            </w:r>
          </w:p>
        </w:tc>
        <w:tc>
          <w:tcPr>
            <w:tcW w:w="1570" w:type="dxa"/>
            <w:noWrap/>
            <w:vAlign w:val="center"/>
          </w:tcPr>
          <w:p w:rsidR="00B95152" w:rsidRPr="004C5551" w:rsidRDefault="00B95152" w:rsidP="000860E9">
            <w:pPr>
              <w:ind w:right="303"/>
              <w:jc w:val="right"/>
              <w:rPr>
                <w:b/>
                <w:sz w:val="20"/>
                <w:szCs w:val="18"/>
              </w:rPr>
            </w:pPr>
            <w:r w:rsidRPr="004C5551">
              <w:rPr>
                <w:b/>
                <w:color w:val="000000"/>
                <w:sz w:val="20"/>
                <w:szCs w:val="18"/>
              </w:rPr>
              <w:t>3,6</w:t>
            </w:r>
            <w:r w:rsidR="00875D86" w:rsidRPr="004C5551">
              <w:rPr>
                <w:b/>
                <w:color w:val="000000"/>
                <w:sz w:val="20"/>
                <w:szCs w:val="18"/>
              </w:rPr>
              <w:t> </w:t>
            </w:r>
            <w:r w:rsidRPr="004C5551">
              <w:rPr>
                <w:b/>
                <w:color w:val="000000"/>
                <w:sz w:val="20"/>
                <w:szCs w:val="18"/>
              </w:rPr>
              <w:t>%</w:t>
            </w:r>
          </w:p>
        </w:tc>
      </w:tr>
    </w:tbl>
    <w:p w:rsidR="00B95152" w:rsidRPr="004C5551" w:rsidRDefault="00B95152" w:rsidP="00FB16A5">
      <w:pPr>
        <w:pStyle w:val="zdroj"/>
      </w:pPr>
      <w:r w:rsidRPr="004C5551">
        <w:t>Zdroj: Národná banka Slovenska, výpočet: MPSVR SR</w:t>
      </w:r>
    </w:p>
    <w:p w:rsidR="005B1474" w:rsidRPr="004C5551" w:rsidRDefault="005B1474">
      <w:pPr>
        <w:jc w:val="left"/>
        <w:rPr>
          <w:rFonts w:ascii="Times New Roman Bold" w:hAnsi="Times New Roman Bold"/>
          <w:b/>
          <w:bCs/>
          <w:iCs/>
          <w:color w:val="365F91"/>
          <w:sz w:val="28"/>
          <w:szCs w:val="22"/>
          <w:lang w:eastAsia="cs-CZ"/>
        </w:rPr>
      </w:pPr>
      <w:r w:rsidRPr="004C5551">
        <w:br w:type="page"/>
      </w:r>
    </w:p>
    <w:p w:rsidR="00D84256" w:rsidRPr="004C5551" w:rsidRDefault="00D84256" w:rsidP="00ED16E0">
      <w:pPr>
        <w:pStyle w:val="nadpis2"/>
      </w:pPr>
      <w:bookmarkStart w:id="566" w:name="_Toc422233423"/>
      <w:r w:rsidRPr="004C5551">
        <w:t>Štátna sociálna podpora</w:t>
      </w:r>
      <w:bookmarkEnd w:id="566"/>
      <w:r w:rsidRPr="004C5551">
        <w:t xml:space="preserve"> </w:t>
      </w:r>
      <w:bookmarkEnd w:id="105"/>
      <w:bookmarkEnd w:id="106"/>
    </w:p>
    <w:p w:rsidR="00014525" w:rsidRPr="004C5551" w:rsidRDefault="00014525" w:rsidP="001206CF">
      <w:pPr>
        <w:pStyle w:val="AAAodstavecsprava"/>
        <w:spacing w:after="0"/>
        <w:ind w:firstLine="431"/>
        <w:rPr>
          <w:sz w:val="22"/>
          <w:szCs w:val="22"/>
        </w:rPr>
      </w:pPr>
      <w:r w:rsidRPr="004C5551">
        <w:rPr>
          <w:rStyle w:val="Siln"/>
          <w:sz w:val="22"/>
          <w:szCs w:val="22"/>
        </w:rPr>
        <w:t>Podpora štátu rodinám</w:t>
      </w:r>
      <w:r w:rsidRPr="004C5551">
        <w:rPr>
          <w:sz w:val="22"/>
          <w:szCs w:val="22"/>
        </w:rPr>
        <w:t xml:space="preserve"> sa uskutočňuje predovšetkým prostredníctvom systému </w:t>
      </w:r>
      <w:r w:rsidRPr="004C5551">
        <w:rPr>
          <w:rStyle w:val="Siln"/>
          <w:sz w:val="22"/>
          <w:szCs w:val="22"/>
        </w:rPr>
        <w:t>štátnych sociálnych dávok</w:t>
      </w:r>
      <w:r w:rsidRPr="004C5551">
        <w:rPr>
          <w:sz w:val="22"/>
          <w:szCs w:val="22"/>
        </w:rPr>
        <w:t>, predstavujúcich súbor peňažných plnení, ktorými sa štát podieľa na zvládnutí viacerých životných situácií, najmä u rodín s nezaopatrenými deťmi</w:t>
      </w:r>
      <w:r w:rsidRPr="004C5551">
        <w:rPr>
          <w:rStyle w:val="Odkaznapoznmkupodiarou"/>
          <w:sz w:val="22"/>
          <w:szCs w:val="22"/>
        </w:rPr>
        <w:footnoteReference w:id="30"/>
      </w:r>
      <w:r w:rsidRPr="004C5551">
        <w:rPr>
          <w:sz w:val="22"/>
          <w:szCs w:val="22"/>
        </w:rPr>
        <w:t xml:space="preserve">. Štátne sociálne dávky prispievajú na krytie nákladov na výživu a iné osobné potreby detí a tiež nákladov, spojených s ďalšími sociálnymi udalosťami. </w:t>
      </w:r>
    </w:p>
    <w:p w:rsidR="00D84256" w:rsidRPr="004C5551" w:rsidRDefault="00D84256" w:rsidP="001206CF">
      <w:pPr>
        <w:ind w:firstLine="431"/>
      </w:pPr>
      <w:r w:rsidRPr="004C5551">
        <w:t>Systém štátnej sociálnej podpory pozostával v roku 201</w:t>
      </w:r>
      <w:r w:rsidR="00F10A63" w:rsidRPr="004C5551">
        <w:t>4</w:t>
      </w:r>
      <w:r w:rsidRPr="004C5551">
        <w:t xml:space="preserve"> z nasledujúcich jednorazových a</w:t>
      </w:r>
      <w:r w:rsidR="00795A62" w:rsidRPr="004C5551">
        <w:t> </w:t>
      </w:r>
      <w:r w:rsidRPr="004C5551">
        <w:t>opakovaných dávok:</w:t>
      </w:r>
    </w:p>
    <w:p w:rsidR="00D84256" w:rsidRPr="004C5551" w:rsidRDefault="00D84256" w:rsidP="001E34BC">
      <w:pPr>
        <w:pStyle w:val="Odsekzoznamu"/>
        <w:rPr>
          <w:lang w:eastAsia="cs-CZ"/>
        </w:rPr>
      </w:pPr>
      <w:r w:rsidRPr="004C5551">
        <w:rPr>
          <w:lang w:eastAsia="cs-CZ"/>
        </w:rPr>
        <w:t>prídavok na dieťa</w:t>
      </w:r>
      <w:r w:rsidR="00F10A63" w:rsidRPr="004C5551">
        <w:rPr>
          <w:lang w:eastAsia="cs-CZ"/>
        </w:rPr>
        <w:t>,</w:t>
      </w:r>
    </w:p>
    <w:p w:rsidR="00D84256" w:rsidRPr="004C5551" w:rsidRDefault="00D84256" w:rsidP="001E34BC">
      <w:pPr>
        <w:pStyle w:val="Odsekzoznamu"/>
        <w:rPr>
          <w:lang w:eastAsia="cs-CZ"/>
        </w:rPr>
      </w:pPr>
      <w:r w:rsidRPr="004C5551">
        <w:rPr>
          <w:lang w:eastAsia="cs-CZ"/>
        </w:rPr>
        <w:t>príplatok k prídavku na dieťa</w:t>
      </w:r>
      <w:r w:rsidR="00F10A63" w:rsidRPr="004C5551">
        <w:rPr>
          <w:lang w:eastAsia="cs-CZ"/>
        </w:rPr>
        <w:t>,</w:t>
      </w:r>
    </w:p>
    <w:p w:rsidR="00D84256" w:rsidRPr="004C5551" w:rsidRDefault="00D84256" w:rsidP="00913863">
      <w:pPr>
        <w:pStyle w:val="Odsekzoznamu"/>
        <w:rPr>
          <w:lang w:eastAsia="cs-CZ"/>
        </w:rPr>
      </w:pPr>
      <w:r w:rsidRPr="004C5551">
        <w:rPr>
          <w:lang w:eastAsia="cs-CZ"/>
        </w:rPr>
        <w:t>rodičovský príspevok</w:t>
      </w:r>
      <w:r w:rsidR="00F10A63" w:rsidRPr="004C5551">
        <w:rPr>
          <w:lang w:eastAsia="cs-CZ"/>
        </w:rPr>
        <w:t>,</w:t>
      </w:r>
    </w:p>
    <w:p w:rsidR="00D84256" w:rsidRPr="004C5551" w:rsidRDefault="00D84256" w:rsidP="00913863">
      <w:pPr>
        <w:pStyle w:val="Odsekzoznamu"/>
        <w:rPr>
          <w:lang w:eastAsia="cs-CZ"/>
        </w:rPr>
      </w:pPr>
      <w:r w:rsidRPr="004C5551">
        <w:rPr>
          <w:lang w:eastAsia="cs-CZ"/>
        </w:rPr>
        <w:t>príspevok na starostlivosť o</w:t>
      </w:r>
      <w:r w:rsidR="00F10A63" w:rsidRPr="004C5551">
        <w:rPr>
          <w:lang w:eastAsia="cs-CZ"/>
        </w:rPr>
        <w:t> </w:t>
      </w:r>
      <w:r w:rsidRPr="004C5551">
        <w:rPr>
          <w:lang w:eastAsia="cs-CZ"/>
        </w:rPr>
        <w:t>dieťa</w:t>
      </w:r>
      <w:r w:rsidR="00F10A63" w:rsidRPr="004C5551">
        <w:rPr>
          <w:lang w:eastAsia="cs-CZ"/>
        </w:rPr>
        <w:t>,</w:t>
      </w:r>
    </w:p>
    <w:p w:rsidR="00D84256" w:rsidRPr="004C5551" w:rsidRDefault="00D84256" w:rsidP="00913863">
      <w:pPr>
        <w:pStyle w:val="Odsekzoznamu"/>
        <w:rPr>
          <w:lang w:eastAsia="cs-CZ"/>
        </w:rPr>
      </w:pPr>
      <w:r w:rsidRPr="004C5551">
        <w:rPr>
          <w:lang w:eastAsia="cs-CZ"/>
        </w:rPr>
        <w:t>príspevok pri narodení dieťaťa</w:t>
      </w:r>
      <w:r w:rsidR="00F10A63" w:rsidRPr="004C5551">
        <w:rPr>
          <w:lang w:eastAsia="cs-CZ"/>
        </w:rPr>
        <w:t>,</w:t>
      </w:r>
    </w:p>
    <w:p w:rsidR="00014525" w:rsidRPr="004C5551" w:rsidRDefault="00014525" w:rsidP="00014525">
      <w:pPr>
        <w:pStyle w:val="Odsekzoznamu"/>
        <w:rPr>
          <w:lang w:eastAsia="cs-CZ"/>
        </w:rPr>
      </w:pPr>
      <w:r w:rsidRPr="004C5551">
        <w:rPr>
          <w:lang w:eastAsia="cs-CZ"/>
        </w:rPr>
        <w:t>príspevok na viac súčasne narodených detí</w:t>
      </w:r>
      <w:r w:rsidR="00F10A63" w:rsidRPr="004C5551">
        <w:rPr>
          <w:lang w:eastAsia="cs-CZ"/>
        </w:rPr>
        <w:t>,</w:t>
      </w:r>
      <w:r w:rsidRPr="004C5551">
        <w:rPr>
          <w:lang w:eastAsia="cs-CZ"/>
        </w:rPr>
        <w:t xml:space="preserve"> </w:t>
      </w:r>
    </w:p>
    <w:p w:rsidR="00014525" w:rsidRPr="004C5551" w:rsidRDefault="00014525" w:rsidP="00014525">
      <w:pPr>
        <w:pStyle w:val="Odsekzoznamu"/>
        <w:rPr>
          <w:lang w:eastAsia="cs-CZ"/>
        </w:rPr>
      </w:pPr>
      <w:r w:rsidRPr="004C5551">
        <w:rPr>
          <w:lang w:eastAsia="cs-CZ"/>
        </w:rPr>
        <w:t>príspevok na pohreb</w:t>
      </w:r>
      <w:r w:rsidR="00F10A63" w:rsidRPr="004C5551">
        <w:rPr>
          <w:lang w:eastAsia="cs-CZ"/>
        </w:rPr>
        <w:t>.</w:t>
      </w:r>
    </w:p>
    <w:p w:rsidR="00D84256" w:rsidRPr="004C5551" w:rsidRDefault="00D84256" w:rsidP="00D84256">
      <w:pPr>
        <w:pStyle w:val="AAAodstavecsprava"/>
        <w:spacing w:after="0"/>
        <w:ind w:firstLine="0"/>
        <w:rPr>
          <w:b/>
          <w:bCs/>
          <w:color w:val="000000" w:themeColor="text1"/>
          <w:sz w:val="22"/>
          <w:szCs w:val="22"/>
        </w:rPr>
      </w:pPr>
    </w:p>
    <w:p w:rsidR="00D84256" w:rsidRPr="004C5551" w:rsidRDefault="00D84256" w:rsidP="00ED16E0">
      <w:pPr>
        <w:pStyle w:val="Nadpis6"/>
      </w:pPr>
      <w:bookmarkStart w:id="567" w:name="_Toc356482696"/>
      <w:bookmarkStart w:id="568" w:name="_Toc422233424"/>
      <w:r w:rsidRPr="004C5551">
        <w:t>Prídavok na dieťa</w:t>
      </w:r>
      <w:bookmarkEnd w:id="567"/>
      <w:bookmarkEnd w:id="568"/>
      <w:r w:rsidRPr="004C5551">
        <w:t xml:space="preserve"> </w:t>
      </w:r>
    </w:p>
    <w:p w:rsidR="00014525" w:rsidRPr="004C5551" w:rsidRDefault="00014525" w:rsidP="001206CF">
      <w:pPr>
        <w:pStyle w:val="AAAodstavecsprava"/>
        <w:spacing w:after="0"/>
        <w:ind w:firstLine="431"/>
        <w:rPr>
          <w:color w:val="000000"/>
          <w:sz w:val="22"/>
          <w:szCs w:val="24"/>
          <w:lang w:eastAsia="sk-SK"/>
        </w:rPr>
      </w:pPr>
      <w:r w:rsidRPr="004C5551">
        <w:rPr>
          <w:color w:val="000000"/>
          <w:sz w:val="22"/>
          <w:szCs w:val="24"/>
          <w:lang w:eastAsia="sk-SK"/>
        </w:rPr>
        <w:t xml:space="preserve">Z hľadiska počtu poberateľov a objemu vyplatených finančných prostriedkov je prídavok na dieťa najrozsiahlejšou dávkou štátnej sociálnej podpory. Prijatím zákona č. 600/2003 Z. z. o prídavku na dieťa a o zmene a doplnení zákona č. 461/2003 Z. z. o sociálnom poistení sa zaviedlo s účinnosťou od 1. januára 2004 paušálne poskytovanie prídavku na dieťa </w:t>
      </w:r>
      <w:r w:rsidRPr="004C5551">
        <w:rPr>
          <w:b/>
          <w:color w:val="000000"/>
          <w:sz w:val="22"/>
          <w:szCs w:val="24"/>
          <w:lang w:eastAsia="sk-SK"/>
        </w:rPr>
        <w:t>mesačne na každé nezaopatrené dieťa</w:t>
      </w:r>
      <w:r w:rsidRPr="004C5551">
        <w:rPr>
          <w:color w:val="000000"/>
          <w:sz w:val="22"/>
          <w:szCs w:val="24"/>
          <w:lang w:eastAsia="sk-SK"/>
        </w:rPr>
        <w:t xml:space="preserve"> do 25 rokov veku dieťaťa bez ohľadu na príjem rodičov. Zároveň sa týmto zákonom s účinnosťou od 1. apríla 2004 zaviedlo vyplácanie prídavku na dieťa jediným platiteľom – úradmi práce, sociálnych vecí a rodiny. </w:t>
      </w:r>
    </w:p>
    <w:p w:rsidR="0094212E" w:rsidRPr="004C5551" w:rsidRDefault="00167ED9" w:rsidP="001206CF">
      <w:pPr>
        <w:pStyle w:val="AAAodstavecsprava"/>
        <w:ind w:firstLine="431"/>
        <w:rPr>
          <w:sz w:val="22"/>
        </w:rPr>
      </w:pPr>
      <w:bookmarkStart w:id="569" w:name="_Toc313878850"/>
      <w:bookmarkStart w:id="570" w:name="_Toc294029359"/>
      <w:bookmarkStart w:id="571" w:name="_Toc294027120"/>
      <w:bookmarkStart w:id="572" w:name="_Toc325438173"/>
      <w:bookmarkStart w:id="573" w:name="_Toc325440942"/>
      <w:bookmarkStart w:id="574" w:name="_Toc356482697"/>
      <w:r w:rsidRPr="004C5551">
        <w:rPr>
          <w:sz w:val="22"/>
        </w:rPr>
        <w:t>Opatrením MPSVR SR č. 450/2013 Z.</w:t>
      </w:r>
      <w:r w:rsidR="00090370" w:rsidRPr="004C5551">
        <w:rPr>
          <w:sz w:val="22"/>
        </w:rPr>
        <w:t> </w:t>
      </w:r>
      <w:r w:rsidRPr="004C5551">
        <w:rPr>
          <w:sz w:val="22"/>
        </w:rPr>
        <w:t>z. o úprave s</w:t>
      </w:r>
      <w:r w:rsidR="00390DE0" w:rsidRPr="004C5551">
        <w:rPr>
          <w:sz w:val="22"/>
        </w:rPr>
        <w:t>úm</w:t>
      </w:r>
      <w:r w:rsidRPr="004C5551">
        <w:rPr>
          <w:sz w:val="22"/>
        </w:rPr>
        <w:t xml:space="preserve"> </w:t>
      </w:r>
      <w:r w:rsidR="00390DE0" w:rsidRPr="004C5551">
        <w:rPr>
          <w:sz w:val="22"/>
        </w:rPr>
        <w:t>prídavku na dieťa a príplatku k prídavku na dieťa</w:t>
      </w:r>
      <w:r w:rsidR="00073D95" w:rsidRPr="004C5551">
        <w:rPr>
          <w:sz w:val="22"/>
        </w:rPr>
        <w:t xml:space="preserve"> </w:t>
      </w:r>
      <w:r w:rsidR="0010656F" w:rsidRPr="004C5551">
        <w:rPr>
          <w:sz w:val="22"/>
        </w:rPr>
        <w:t>sa</w:t>
      </w:r>
      <w:r w:rsidRPr="004C5551">
        <w:rPr>
          <w:sz w:val="22"/>
        </w:rPr>
        <w:t xml:space="preserve"> v dôsledku valorizácie životného minima</w:t>
      </w:r>
      <w:r w:rsidR="00FB07A5" w:rsidRPr="004C5551">
        <w:rPr>
          <w:sz w:val="22"/>
        </w:rPr>
        <w:t xml:space="preserve"> s účinnosťou od 1.1.2014</w:t>
      </w:r>
      <w:r w:rsidRPr="004C5551">
        <w:rPr>
          <w:sz w:val="22"/>
        </w:rPr>
        <w:t xml:space="preserve"> upravila suma</w:t>
      </w:r>
      <w:r w:rsidR="0010656F" w:rsidRPr="004C5551">
        <w:rPr>
          <w:sz w:val="22"/>
        </w:rPr>
        <w:t xml:space="preserve"> prídavku na dieťa </w:t>
      </w:r>
      <w:r w:rsidR="00FB07A5" w:rsidRPr="004C5551">
        <w:rPr>
          <w:sz w:val="22"/>
        </w:rPr>
        <w:t>z</w:t>
      </w:r>
      <w:r w:rsidRPr="004C5551">
        <w:rPr>
          <w:sz w:val="22"/>
        </w:rPr>
        <w:t xml:space="preserve">o sumy </w:t>
      </w:r>
      <w:r w:rsidR="00974A8C" w:rsidRPr="004C5551">
        <w:rPr>
          <w:sz w:val="22"/>
        </w:rPr>
        <w:t>23,10</w:t>
      </w:r>
      <w:r w:rsidRPr="004C5551">
        <w:rPr>
          <w:sz w:val="22"/>
        </w:rPr>
        <w:t xml:space="preserve"> </w:t>
      </w:r>
      <w:r w:rsidR="002926E5" w:rsidRPr="004C5551">
        <w:rPr>
          <w:sz w:val="22"/>
        </w:rPr>
        <w:t>eura</w:t>
      </w:r>
      <w:r w:rsidR="00073D95" w:rsidRPr="004C5551">
        <w:rPr>
          <w:sz w:val="22"/>
        </w:rPr>
        <w:t xml:space="preserve"> </w:t>
      </w:r>
      <w:r w:rsidRPr="004C5551">
        <w:rPr>
          <w:sz w:val="22"/>
        </w:rPr>
        <w:t>na sumu 2</w:t>
      </w:r>
      <w:r w:rsidR="00974A8C" w:rsidRPr="004C5551">
        <w:rPr>
          <w:sz w:val="22"/>
        </w:rPr>
        <w:t>3</w:t>
      </w:r>
      <w:r w:rsidRPr="004C5551">
        <w:rPr>
          <w:sz w:val="22"/>
        </w:rPr>
        <w:t>,</w:t>
      </w:r>
      <w:r w:rsidR="00974A8C" w:rsidRPr="004C5551">
        <w:rPr>
          <w:sz w:val="22"/>
        </w:rPr>
        <w:t>52</w:t>
      </w:r>
      <w:r w:rsidRPr="004C5551">
        <w:rPr>
          <w:sz w:val="22"/>
        </w:rPr>
        <w:t xml:space="preserve"> </w:t>
      </w:r>
      <w:r w:rsidR="002926E5" w:rsidRPr="004C5551">
        <w:rPr>
          <w:sz w:val="22"/>
        </w:rPr>
        <w:t>eura</w:t>
      </w:r>
      <w:r w:rsidR="00974A8C" w:rsidRPr="004C5551">
        <w:rPr>
          <w:sz w:val="22"/>
        </w:rPr>
        <w:t xml:space="preserve"> a suma príplatku k prídavku na dieťa zo sumy 10,</w:t>
      </w:r>
      <w:r w:rsidR="00381844" w:rsidRPr="004C5551">
        <w:rPr>
          <w:sz w:val="22"/>
        </w:rPr>
        <w:t>83 </w:t>
      </w:r>
      <w:r w:rsidR="002926E5" w:rsidRPr="004C5551">
        <w:rPr>
          <w:sz w:val="22"/>
        </w:rPr>
        <w:t>eura</w:t>
      </w:r>
      <w:r w:rsidR="0094212E" w:rsidRPr="004C5551">
        <w:rPr>
          <w:sz w:val="22"/>
        </w:rPr>
        <w:t xml:space="preserve"> na sumu 11,20 </w:t>
      </w:r>
      <w:r w:rsidR="002926E5" w:rsidRPr="004C5551">
        <w:rPr>
          <w:sz w:val="22"/>
        </w:rPr>
        <w:t>eura</w:t>
      </w:r>
      <w:r w:rsidR="0094212E" w:rsidRPr="004C5551">
        <w:rPr>
          <w:sz w:val="22"/>
        </w:rPr>
        <w:t>.</w:t>
      </w:r>
    </w:p>
    <w:p w:rsidR="00822DFF" w:rsidRPr="004C5551" w:rsidRDefault="00EE0DB2" w:rsidP="00FB16A5">
      <w:pPr>
        <w:pStyle w:val="Nadpis7"/>
      </w:pPr>
      <w:r w:rsidRPr="004C5551">
        <w:t>Tabuľka</w:t>
      </w:r>
      <w:r w:rsidR="00304A2A" w:rsidRPr="004C5551">
        <w:t xml:space="preserve"> </w:t>
      </w:r>
      <w:r w:rsidR="0000594D" w:rsidRPr="004C5551">
        <w:t>3.</w:t>
      </w:r>
      <w:bookmarkEnd w:id="569"/>
      <w:bookmarkEnd w:id="570"/>
      <w:bookmarkEnd w:id="571"/>
      <w:bookmarkEnd w:id="572"/>
      <w:bookmarkEnd w:id="573"/>
      <w:r w:rsidR="00A35E96" w:rsidRPr="004C5551">
        <w:t>1</w:t>
      </w:r>
      <w:r w:rsidR="00927A83" w:rsidRPr="004C5551">
        <w:t>4</w:t>
      </w:r>
      <w:r w:rsidR="00A35E96" w:rsidRPr="004C5551">
        <w:t xml:space="preserve"> </w:t>
      </w:r>
      <w:r w:rsidR="00822DFF" w:rsidRPr="004C5551">
        <w:t>Prídavok na dieťa</w:t>
      </w:r>
      <w:bookmarkEnd w:id="574"/>
    </w:p>
    <w:tbl>
      <w:tblPr>
        <w:tblStyle w:val="LightList-Accent11"/>
        <w:tblW w:w="721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4A0" w:firstRow="1" w:lastRow="0" w:firstColumn="1" w:lastColumn="0" w:noHBand="0" w:noVBand="1"/>
      </w:tblPr>
      <w:tblGrid>
        <w:gridCol w:w="766"/>
        <w:gridCol w:w="3318"/>
        <w:gridCol w:w="3133"/>
      </w:tblGrid>
      <w:tr w:rsidR="00822DFF" w:rsidRPr="004C5551" w:rsidTr="00FB16A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0000" w:themeFill="accent3" w:themeFillShade="BF"/>
            <w:vAlign w:val="center"/>
          </w:tcPr>
          <w:p w:rsidR="00822DFF" w:rsidRPr="004C5551" w:rsidRDefault="00822DFF" w:rsidP="007A32CE">
            <w:pPr>
              <w:jc w:val="center"/>
            </w:pPr>
            <w:r w:rsidRPr="004C5551">
              <w:t>rok</w:t>
            </w:r>
          </w:p>
        </w:tc>
        <w:tc>
          <w:tcPr>
            <w:tcW w:w="3320" w:type="dxa"/>
            <w:shd w:val="clear" w:color="auto" w:fill="BF0000" w:themeFill="accent3" w:themeFillShade="BF"/>
            <w:vAlign w:val="center"/>
          </w:tcPr>
          <w:p w:rsidR="00822DFF" w:rsidRPr="004C5551"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4C5551">
              <w:t>p</w:t>
            </w:r>
            <w:r w:rsidR="00822DFF" w:rsidRPr="004C5551">
              <w:t>riemerný mesačný počet poberateľov prídavku na dieťa</w:t>
            </w:r>
          </w:p>
        </w:tc>
        <w:tc>
          <w:tcPr>
            <w:tcW w:w="3134" w:type="dxa"/>
            <w:shd w:val="clear" w:color="auto" w:fill="BF0000" w:themeFill="accent3" w:themeFillShade="BF"/>
            <w:vAlign w:val="center"/>
          </w:tcPr>
          <w:p w:rsidR="00822DFF" w:rsidRPr="004C5551"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4C5551">
              <w:t>p</w:t>
            </w:r>
            <w:r w:rsidR="00822DFF" w:rsidRPr="004C5551">
              <w:t>riemerný mesačný počet nezaopatrených detí</w:t>
            </w:r>
          </w:p>
        </w:tc>
      </w:tr>
      <w:tr w:rsidR="0013667E" w:rsidRPr="004C5551" w:rsidTr="00FB16A5">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13667E" w:rsidRPr="004C5551" w:rsidRDefault="0013667E" w:rsidP="0013667E">
            <w:pPr>
              <w:rPr>
                <w:color w:val="000000" w:themeColor="text1"/>
              </w:rPr>
            </w:pPr>
            <w:r w:rsidRPr="004C5551">
              <w:rPr>
                <w:color w:val="000000" w:themeColor="text1"/>
              </w:rPr>
              <w:t>2013</w:t>
            </w:r>
          </w:p>
        </w:tc>
        <w:tc>
          <w:tcPr>
            <w:tcW w:w="0" w:type="auto"/>
            <w:tcBorders>
              <w:top w:val="none" w:sz="0" w:space="0" w:color="auto"/>
              <w:bottom w:val="none" w:sz="0" w:space="0" w:color="auto"/>
            </w:tcBorders>
          </w:tcPr>
          <w:p w:rsidR="0013667E" w:rsidRPr="004C5551" w:rsidRDefault="0013667E" w:rsidP="0013667E">
            <w:pPr>
              <w:ind w:right="725"/>
              <w:jc w:val="right"/>
              <w:cnfStyle w:val="000000100000" w:firstRow="0" w:lastRow="0" w:firstColumn="0" w:lastColumn="0" w:oddVBand="0" w:evenVBand="0" w:oddHBand="1" w:evenHBand="0" w:firstRowFirstColumn="0" w:firstRowLastColumn="0" w:lastRowFirstColumn="0" w:lastRowLastColumn="0"/>
            </w:pPr>
            <w:r w:rsidRPr="004C5551">
              <w:rPr>
                <w:szCs w:val="22"/>
              </w:rPr>
              <w:t>677 328</w:t>
            </w:r>
          </w:p>
        </w:tc>
        <w:tc>
          <w:tcPr>
            <w:tcW w:w="0" w:type="auto"/>
            <w:tcBorders>
              <w:top w:val="none" w:sz="0" w:space="0" w:color="auto"/>
              <w:bottom w:val="none" w:sz="0" w:space="0" w:color="auto"/>
              <w:right w:val="none" w:sz="0" w:space="0" w:color="auto"/>
            </w:tcBorders>
          </w:tcPr>
          <w:p w:rsidR="0013667E" w:rsidRPr="004C5551" w:rsidRDefault="0013667E" w:rsidP="00FB16A5">
            <w:pPr>
              <w:ind w:right="725"/>
              <w:jc w:val="right"/>
              <w:cnfStyle w:val="000000100000" w:firstRow="0" w:lastRow="0" w:firstColumn="0" w:lastColumn="0" w:oddVBand="0" w:evenVBand="0" w:oddHBand="1" w:evenHBand="0" w:firstRowFirstColumn="0" w:firstRowLastColumn="0" w:lastRowFirstColumn="0" w:lastRowLastColumn="0"/>
            </w:pPr>
            <w:r w:rsidRPr="004C5551">
              <w:rPr>
                <w:szCs w:val="22"/>
              </w:rPr>
              <w:t>1 134 431</w:t>
            </w:r>
          </w:p>
        </w:tc>
      </w:tr>
      <w:tr w:rsidR="0013667E" w:rsidRPr="004C5551" w:rsidTr="00FB16A5">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13667E" w:rsidRPr="004C5551" w:rsidRDefault="0013667E" w:rsidP="0013667E">
            <w:pPr>
              <w:rPr>
                <w:color w:val="000000" w:themeColor="text1"/>
              </w:rPr>
            </w:pPr>
            <w:r w:rsidRPr="004C5551">
              <w:rPr>
                <w:color w:val="000000" w:themeColor="text1"/>
              </w:rPr>
              <w:t>2014</w:t>
            </w:r>
            <w:r w:rsidR="00C379F6" w:rsidRPr="004C5551">
              <w:rPr>
                <w:color w:val="000000" w:themeColor="text1"/>
              </w:rPr>
              <w:t>*</w:t>
            </w:r>
          </w:p>
        </w:tc>
        <w:tc>
          <w:tcPr>
            <w:tcW w:w="0" w:type="auto"/>
          </w:tcPr>
          <w:p w:rsidR="0013667E" w:rsidRPr="004C5551" w:rsidRDefault="0013667E" w:rsidP="0013667E">
            <w:pPr>
              <w:ind w:right="725"/>
              <w:jc w:val="right"/>
              <w:cnfStyle w:val="000000000000" w:firstRow="0" w:lastRow="0" w:firstColumn="0" w:lastColumn="0" w:oddVBand="0" w:evenVBand="0" w:oddHBand="0" w:evenHBand="0" w:firstRowFirstColumn="0" w:firstRowLastColumn="0" w:lastRowFirstColumn="0" w:lastRowLastColumn="0"/>
            </w:pPr>
            <w:r w:rsidRPr="004C5551">
              <w:rPr>
                <w:szCs w:val="22"/>
              </w:rPr>
              <w:t>668 393</w:t>
            </w:r>
          </w:p>
        </w:tc>
        <w:tc>
          <w:tcPr>
            <w:tcW w:w="0" w:type="auto"/>
          </w:tcPr>
          <w:p w:rsidR="0013667E" w:rsidRPr="004C5551" w:rsidRDefault="0013667E" w:rsidP="00073D95">
            <w:pPr>
              <w:ind w:right="725"/>
              <w:jc w:val="right"/>
              <w:cnfStyle w:val="000000000000" w:firstRow="0" w:lastRow="0" w:firstColumn="0" w:lastColumn="0" w:oddVBand="0" w:evenVBand="0" w:oddHBand="0" w:evenHBand="0" w:firstRowFirstColumn="0" w:firstRowLastColumn="0" w:lastRowFirstColumn="0" w:lastRowLastColumn="0"/>
            </w:pPr>
            <w:r w:rsidRPr="004C5551">
              <w:rPr>
                <w:szCs w:val="22"/>
              </w:rPr>
              <w:t>1</w:t>
            </w:r>
            <w:r w:rsidR="00073D95" w:rsidRPr="004C5551">
              <w:rPr>
                <w:szCs w:val="22"/>
              </w:rPr>
              <w:t> </w:t>
            </w:r>
            <w:r w:rsidRPr="004C5551">
              <w:rPr>
                <w:szCs w:val="22"/>
              </w:rPr>
              <w:t>116</w:t>
            </w:r>
            <w:r w:rsidR="00073D95" w:rsidRPr="004C5551">
              <w:rPr>
                <w:szCs w:val="22"/>
              </w:rPr>
              <w:t xml:space="preserve"> </w:t>
            </w:r>
            <w:r w:rsidRPr="004C5551">
              <w:rPr>
                <w:szCs w:val="22"/>
              </w:rPr>
              <w:t>955</w:t>
            </w:r>
          </w:p>
        </w:tc>
      </w:tr>
    </w:tbl>
    <w:p w:rsidR="00460DEB" w:rsidRPr="004C5551" w:rsidRDefault="00822DFF" w:rsidP="00460DEB">
      <w:pPr>
        <w:pStyle w:val="zdroj"/>
        <w:spacing w:after="0"/>
        <w:ind w:firstLine="1134"/>
      </w:pPr>
      <w:r w:rsidRPr="004C5551">
        <w:t xml:space="preserve">Zdroj: </w:t>
      </w:r>
      <w:r w:rsidR="00FA45A1" w:rsidRPr="004C5551">
        <w:t>RSD MIS</w:t>
      </w:r>
    </w:p>
    <w:p w:rsidR="00460DEB" w:rsidRPr="004C5551" w:rsidRDefault="00C379F6" w:rsidP="00460DEB">
      <w:pPr>
        <w:pStyle w:val="zdroj"/>
        <w:spacing w:before="0"/>
        <w:ind w:firstLine="1134"/>
      </w:pPr>
      <w:r w:rsidRPr="004C5551">
        <w:t>*vrátane prídavkov vyplácaných do cudziny</w:t>
      </w:r>
    </w:p>
    <w:p w:rsidR="00014525" w:rsidRPr="004C5551" w:rsidRDefault="00014525" w:rsidP="00014525">
      <w:pPr>
        <w:rPr>
          <w:color w:val="000000"/>
          <w:lang w:eastAsia="cs-CZ"/>
        </w:rPr>
      </w:pPr>
    </w:p>
    <w:p w:rsidR="00971944" w:rsidRPr="004C5551" w:rsidRDefault="00014525" w:rsidP="001206CF">
      <w:pPr>
        <w:ind w:firstLine="431"/>
        <w:rPr>
          <w:color w:val="000000"/>
          <w:szCs w:val="22"/>
        </w:rPr>
      </w:pPr>
      <w:bookmarkStart w:id="575" w:name="_Toc356482698"/>
      <w:r w:rsidRPr="004C5551">
        <w:t>V roku 2014 bol počet poberateľov prídavku na dieťa v priemernom mesačnom vyjadrení 66</w:t>
      </w:r>
      <w:r w:rsidR="002E3F83" w:rsidRPr="004C5551">
        <w:t>8</w:t>
      </w:r>
      <w:r w:rsidRPr="004C5551">
        <w:t> </w:t>
      </w:r>
      <w:r w:rsidR="002E3F83" w:rsidRPr="004C5551">
        <w:t>393</w:t>
      </w:r>
      <w:r w:rsidRPr="004C5551">
        <w:t xml:space="preserve"> poberateľov na 1 11</w:t>
      </w:r>
      <w:r w:rsidR="002E3F83" w:rsidRPr="004C5551">
        <w:t>6</w:t>
      </w:r>
      <w:r w:rsidRPr="004C5551">
        <w:t xml:space="preserve"> </w:t>
      </w:r>
      <w:r w:rsidR="002E3F83" w:rsidRPr="004C5551">
        <w:t>955</w:t>
      </w:r>
      <w:r w:rsidRPr="004C5551">
        <w:t xml:space="preserve"> nezaopatrených detí. Priemerný mesačný počet poberateľov medziročne poklesol o</w:t>
      </w:r>
      <w:r w:rsidR="003126C9" w:rsidRPr="004C5551">
        <w:t> 8</w:t>
      </w:r>
      <w:r w:rsidR="00073D95" w:rsidRPr="004C5551">
        <w:t> </w:t>
      </w:r>
      <w:r w:rsidR="003126C9" w:rsidRPr="004C5551">
        <w:t>935</w:t>
      </w:r>
      <w:r w:rsidR="00073D95" w:rsidRPr="004C5551">
        <w:t xml:space="preserve"> </w:t>
      </w:r>
      <w:r w:rsidRPr="004C5551">
        <w:t>a priemerný mesačný počet nezaopatrených detí medziročne poklesol o</w:t>
      </w:r>
      <w:r w:rsidR="003126C9" w:rsidRPr="004C5551">
        <w:t> 17 476</w:t>
      </w:r>
      <w:r w:rsidRPr="004C5551">
        <w:t xml:space="preserve"> detí. </w:t>
      </w:r>
      <w:r w:rsidR="00971944" w:rsidRPr="004C5551">
        <w:rPr>
          <w:color w:val="000000"/>
          <w:szCs w:val="22"/>
        </w:rPr>
        <w:t xml:space="preserve">Počet poberateľov celkovo poklesol medziročne o 1,32 %, počet detí medziročne poklesol o 1,54 %, pričom tento pokles </w:t>
      </w:r>
      <w:r w:rsidR="007D10FF" w:rsidRPr="004C5551">
        <w:rPr>
          <w:color w:val="000000"/>
          <w:szCs w:val="22"/>
        </w:rPr>
        <w:t xml:space="preserve">je </w:t>
      </w:r>
      <w:r w:rsidR="00971944" w:rsidRPr="004C5551">
        <w:rPr>
          <w:color w:val="000000"/>
          <w:szCs w:val="22"/>
        </w:rPr>
        <w:t xml:space="preserve">spôsobený demografickým vývojom na Slovensku a štruktúrou rodín. </w:t>
      </w:r>
    </w:p>
    <w:p w:rsidR="00014525" w:rsidRPr="004C5551" w:rsidRDefault="00014525" w:rsidP="001206CF">
      <w:pPr>
        <w:ind w:firstLine="431"/>
      </w:pPr>
      <w:r w:rsidRPr="004C5551">
        <w:t>Suma vyplatená na prídavok na dieťa a príplatok k prídavku na dieťa v roku 2014 predstavovala 31</w:t>
      </w:r>
      <w:r w:rsidR="00466AA9" w:rsidRPr="004C5551">
        <w:t>9 006 214</w:t>
      </w:r>
      <w:r w:rsidRPr="004C5551">
        <w:t xml:space="preserve"> </w:t>
      </w:r>
      <w:r w:rsidR="000860E9" w:rsidRPr="004C5551">
        <w:t>eur</w:t>
      </w:r>
      <w:r w:rsidRPr="004C5551">
        <w:t>, čo predstavuje oproti roku 2013 nárast o 5</w:t>
      </w:r>
      <w:r w:rsidR="00466AA9" w:rsidRPr="004C5551">
        <w:t>57</w:t>
      </w:r>
      <w:r w:rsidRPr="004C5551">
        <w:t>,</w:t>
      </w:r>
      <w:r w:rsidR="0029155C" w:rsidRPr="004C5551">
        <w:t>1</w:t>
      </w:r>
      <w:r w:rsidRPr="004C5551">
        <w:t xml:space="preserve"> tis. </w:t>
      </w:r>
      <w:r w:rsidR="000860E9" w:rsidRPr="004C5551">
        <w:t>eur</w:t>
      </w:r>
      <w:r w:rsidRPr="004C5551">
        <w:t>.</w:t>
      </w:r>
    </w:p>
    <w:p w:rsidR="00E16466" w:rsidRPr="004C5551" w:rsidRDefault="00E16466" w:rsidP="00014525">
      <w:pPr>
        <w:ind w:firstLine="567"/>
        <w:rPr>
          <w:color w:val="000000"/>
          <w:szCs w:val="22"/>
        </w:rPr>
      </w:pPr>
    </w:p>
    <w:bookmarkEnd w:id="575"/>
    <w:p w:rsidR="00014525" w:rsidRPr="004C5551" w:rsidRDefault="00014525" w:rsidP="00FB16A5">
      <w:pPr>
        <w:pStyle w:val="Nadpis7"/>
        <w:rPr>
          <w:lang w:eastAsia="cs-CZ"/>
        </w:rPr>
      </w:pPr>
      <w:r w:rsidRPr="004C5551">
        <w:rPr>
          <w:lang w:eastAsia="cs-CZ"/>
        </w:rPr>
        <w:t xml:space="preserve">Graf 3.2 Priemerný mesačný </w:t>
      </w:r>
      <w:r w:rsidRPr="004C5551">
        <w:t>počet</w:t>
      </w:r>
      <w:r w:rsidRPr="004C5551">
        <w:rPr>
          <w:lang w:eastAsia="cs-CZ"/>
        </w:rPr>
        <w:t xml:space="preserve"> poberateľov prídavku na dieťa</w:t>
      </w:r>
      <w:r w:rsidR="00C2171B" w:rsidRPr="004C5551">
        <w:rPr>
          <w:lang w:eastAsia="cs-CZ"/>
        </w:rPr>
        <w:t>, priemerný mesačný počet detí a celková vyplatená suma</w:t>
      </w:r>
      <w:r w:rsidRPr="004C5551">
        <w:rPr>
          <w:lang w:eastAsia="cs-CZ"/>
        </w:rPr>
        <w:t xml:space="preserve"> </w:t>
      </w:r>
      <w:r w:rsidR="00C2171B" w:rsidRPr="004C5551">
        <w:rPr>
          <w:lang w:eastAsia="cs-CZ"/>
        </w:rPr>
        <w:t xml:space="preserve">finančných prostriedkov </w:t>
      </w:r>
      <w:r w:rsidR="00C2171B" w:rsidRPr="004C5551">
        <w:rPr>
          <w:lang w:eastAsia="cs-CZ"/>
        </w:rPr>
        <w:br/>
      </w:r>
      <w:r w:rsidRPr="004C5551">
        <w:rPr>
          <w:lang w:eastAsia="cs-CZ"/>
        </w:rPr>
        <w:t>v jednotlivých krajoch SR v roku 2014</w:t>
      </w:r>
    </w:p>
    <w:p w:rsidR="00014525" w:rsidRPr="004C5551" w:rsidRDefault="00C2171B" w:rsidP="00014525">
      <w:pPr>
        <w:rPr>
          <w:lang w:eastAsia="cs-CZ"/>
        </w:rPr>
      </w:pPr>
      <w:r w:rsidRPr="004C5551">
        <w:rPr>
          <w:noProof/>
        </w:rPr>
        <w:drawing>
          <wp:inline distT="0" distB="0" distL="0" distR="0" wp14:anchorId="3629A622" wp14:editId="76D72FA1">
            <wp:extent cx="5760720" cy="2481654"/>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4525" w:rsidRPr="004C5551" w:rsidRDefault="00014525" w:rsidP="00014525">
      <w:pPr>
        <w:ind w:firstLine="284"/>
        <w:jc w:val="center"/>
        <w:rPr>
          <w:color w:val="FF0000"/>
        </w:rPr>
      </w:pPr>
    </w:p>
    <w:p w:rsidR="00014525" w:rsidRPr="004C5551" w:rsidRDefault="00014525" w:rsidP="00FB16A5">
      <w:pPr>
        <w:pStyle w:val="zdroj"/>
      </w:pPr>
      <w:r w:rsidRPr="004C5551">
        <w:t xml:space="preserve">Zdroj: </w:t>
      </w:r>
      <w:r w:rsidR="00E74F1F" w:rsidRPr="004C5551">
        <w:t>RSD MIS</w:t>
      </w:r>
    </w:p>
    <w:p w:rsidR="008C7882" w:rsidRPr="004C5551" w:rsidRDefault="005700D9" w:rsidP="001206CF">
      <w:pPr>
        <w:ind w:firstLine="431"/>
        <w:rPr>
          <w:color w:val="000000" w:themeColor="text1"/>
        </w:rPr>
      </w:pPr>
      <w:r w:rsidRPr="004C5551">
        <w:rPr>
          <w:color w:val="000000"/>
          <w:szCs w:val="22"/>
        </w:rPr>
        <w:t>Najvyšší počet poberateľov je už tradične dosahovaný v Prešovskom, Košickom a Žilinskom kraji</w:t>
      </w:r>
      <w:r w:rsidR="00C241B6" w:rsidRPr="004C5551">
        <w:rPr>
          <w:color w:val="000000"/>
          <w:szCs w:val="22"/>
        </w:rPr>
        <w:t xml:space="preserve"> (čo súvisí aj s celkovým počtom obyvateľov jednotlivých krajov)</w:t>
      </w:r>
      <w:r w:rsidRPr="004C5551">
        <w:rPr>
          <w:color w:val="000000"/>
          <w:szCs w:val="22"/>
        </w:rPr>
        <w:t>, rovnako tak aj počet detí a nadväzne aj najvyššie čerpané finančné prostriedky. V týchto troch krajoch pripadá priemerne na</w:t>
      </w:r>
      <w:r w:rsidR="00AF3FB8" w:rsidRPr="004C5551">
        <w:rPr>
          <w:color w:val="000000"/>
          <w:szCs w:val="22"/>
        </w:rPr>
        <w:t> </w:t>
      </w:r>
      <w:r w:rsidRPr="004C5551">
        <w:rPr>
          <w:color w:val="000000"/>
          <w:szCs w:val="22"/>
        </w:rPr>
        <w:t xml:space="preserve">jedného žiadateľa najvyšší počet detí, kým v Bratislavskom a Trnavskom kraji najnižší. </w:t>
      </w:r>
      <w:r w:rsidR="006F050B" w:rsidRPr="004C5551">
        <w:rPr>
          <w:color w:val="000000"/>
        </w:rPr>
        <w:t xml:space="preserve">Najpočetnejšou skupinou boli poberatelia, ktorým sa poskytoval prídavok na jedno nezaopatrené dieťa a </w:t>
      </w:r>
      <w:r w:rsidR="00492DAA" w:rsidRPr="004C5551">
        <w:rPr>
          <w:color w:val="000000"/>
        </w:rPr>
        <w:t>ktor</w:t>
      </w:r>
      <w:r w:rsidR="006F050B" w:rsidRPr="004C5551">
        <w:rPr>
          <w:color w:val="000000"/>
        </w:rPr>
        <w:t>í</w:t>
      </w:r>
      <w:r w:rsidR="00492DAA" w:rsidRPr="004C5551">
        <w:rPr>
          <w:color w:val="000000"/>
        </w:rPr>
        <w:t xml:space="preserve"> tvorili 50,8</w:t>
      </w:r>
      <w:r w:rsidR="009425AA" w:rsidRPr="004C5551">
        <w:rPr>
          <w:color w:val="000000"/>
        </w:rPr>
        <w:t> %</w:t>
      </w:r>
      <w:r w:rsidR="00492DAA" w:rsidRPr="004C5551">
        <w:rPr>
          <w:color w:val="000000"/>
        </w:rPr>
        <w:t xml:space="preserve"> z celkového počtu </w:t>
      </w:r>
      <w:r w:rsidR="006F050B" w:rsidRPr="004C5551">
        <w:rPr>
          <w:color w:val="000000"/>
        </w:rPr>
        <w:t>poberateľov</w:t>
      </w:r>
      <w:r w:rsidR="00492DAA" w:rsidRPr="004C5551">
        <w:rPr>
          <w:color w:val="000000"/>
        </w:rPr>
        <w:t xml:space="preserve">. Podiel </w:t>
      </w:r>
      <w:r w:rsidR="006F050B" w:rsidRPr="004C5551">
        <w:rPr>
          <w:color w:val="000000"/>
        </w:rPr>
        <w:t>týchto poberateľov</w:t>
      </w:r>
      <w:r w:rsidR="00492DAA" w:rsidRPr="004C5551">
        <w:rPr>
          <w:color w:val="000000"/>
        </w:rPr>
        <w:t xml:space="preserve"> pomaly, ale dlhodobo stúpa na úkor všetkých ostatných typov </w:t>
      </w:r>
      <w:r w:rsidR="006F050B" w:rsidRPr="004C5551">
        <w:rPr>
          <w:color w:val="000000"/>
        </w:rPr>
        <w:t>poberateľov</w:t>
      </w:r>
      <w:r w:rsidR="00492DAA" w:rsidRPr="004C5551">
        <w:rPr>
          <w:color w:val="000000"/>
        </w:rPr>
        <w:t>.</w:t>
      </w:r>
      <w:r w:rsidR="00C379F6" w:rsidRPr="004C5551">
        <w:rPr>
          <w:color w:val="000000"/>
        </w:rPr>
        <w:t xml:space="preserve"> </w:t>
      </w:r>
      <w:r w:rsidR="006F050B" w:rsidRPr="004C5551">
        <w:rPr>
          <w:color w:val="000000"/>
        </w:rPr>
        <w:t>Celkovo sa š</w:t>
      </w:r>
      <w:r w:rsidR="00C379F6" w:rsidRPr="004C5551">
        <w:rPr>
          <w:color w:val="000000"/>
        </w:rPr>
        <w:t>truktúra poberateľov medziročne takmer nezmenila</w:t>
      </w:r>
      <w:r w:rsidR="00D3361F" w:rsidRPr="004C5551">
        <w:rPr>
          <w:color w:val="000000" w:themeColor="text1"/>
        </w:rPr>
        <w:t>.</w:t>
      </w:r>
    </w:p>
    <w:p w:rsidR="00720D30" w:rsidRPr="004C5551" w:rsidRDefault="00927A83" w:rsidP="00EE5A42">
      <w:pPr>
        <w:pStyle w:val="Nadpis7"/>
      </w:pPr>
      <w:r w:rsidRPr="004C5551">
        <w:t>Tabuľka 3.15</w:t>
      </w:r>
      <w:r w:rsidR="00720D30" w:rsidRPr="004C5551">
        <w:t xml:space="preserve"> </w:t>
      </w:r>
      <w:r w:rsidR="00E02E1A" w:rsidRPr="004C5551">
        <w:t>Poberatelia,</w:t>
      </w:r>
      <w:r w:rsidR="00720D30" w:rsidRPr="004C5551">
        <w:t xml:space="preserve"> ktorým sa poskytoval prídavok na dieťa podľa počtu detí</w:t>
      </w:r>
    </w:p>
    <w:tbl>
      <w:tblPr>
        <w:tblW w:w="0" w:type="auto"/>
        <w:jc w:val="center"/>
        <w:tblInd w:w="-31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ayout w:type="fixed"/>
        <w:tblLook w:val="04A0" w:firstRow="1" w:lastRow="0" w:firstColumn="1" w:lastColumn="0" w:noHBand="0" w:noVBand="1"/>
      </w:tblPr>
      <w:tblGrid>
        <w:gridCol w:w="1645"/>
        <w:gridCol w:w="1191"/>
        <w:gridCol w:w="1191"/>
      </w:tblGrid>
      <w:tr w:rsidR="00492DAA" w:rsidRPr="004C5551" w:rsidTr="00AF3FB8">
        <w:trPr>
          <w:jc w:val="center"/>
        </w:trPr>
        <w:tc>
          <w:tcPr>
            <w:tcW w:w="1645" w:type="dxa"/>
            <w:shd w:val="clear" w:color="auto" w:fill="BF0000" w:themeFill="accent3" w:themeFillShade="BF"/>
          </w:tcPr>
          <w:p w:rsidR="00492DAA" w:rsidRPr="004C5551" w:rsidRDefault="00492DAA" w:rsidP="00AD1708">
            <w:pPr>
              <w:jc w:val="center"/>
              <w:rPr>
                <w:b/>
                <w:bCs/>
                <w:color w:val="FFFFFF"/>
                <w:szCs w:val="22"/>
              </w:rPr>
            </w:pPr>
            <w:r w:rsidRPr="004C5551">
              <w:rPr>
                <w:b/>
                <w:bCs/>
                <w:color w:val="FFFFFF"/>
                <w:szCs w:val="22"/>
              </w:rPr>
              <w:t>rok/počet</w:t>
            </w:r>
          </w:p>
        </w:tc>
        <w:tc>
          <w:tcPr>
            <w:tcW w:w="1191" w:type="dxa"/>
            <w:shd w:val="clear" w:color="auto" w:fill="BF0000" w:themeFill="accent3" w:themeFillShade="BF"/>
          </w:tcPr>
          <w:p w:rsidR="00492DAA" w:rsidRPr="004C5551" w:rsidRDefault="00492DAA" w:rsidP="00AD1708">
            <w:pPr>
              <w:jc w:val="center"/>
              <w:rPr>
                <w:b/>
                <w:bCs/>
                <w:color w:val="FFFFFF"/>
                <w:szCs w:val="22"/>
              </w:rPr>
            </w:pPr>
            <w:r w:rsidRPr="004C5551">
              <w:rPr>
                <w:b/>
                <w:bCs/>
                <w:color w:val="FFFFFF"/>
                <w:szCs w:val="22"/>
              </w:rPr>
              <w:t>2013</w:t>
            </w:r>
          </w:p>
        </w:tc>
        <w:tc>
          <w:tcPr>
            <w:tcW w:w="1191" w:type="dxa"/>
            <w:shd w:val="clear" w:color="auto" w:fill="BF0000" w:themeFill="accent3" w:themeFillShade="BF"/>
          </w:tcPr>
          <w:p w:rsidR="00492DAA" w:rsidRPr="004C5551" w:rsidRDefault="00492DAA" w:rsidP="00AD1708">
            <w:pPr>
              <w:jc w:val="center"/>
              <w:rPr>
                <w:b/>
                <w:bCs/>
                <w:color w:val="FFFFFF"/>
                <w:szCs w:val="22"/>
              </w:rPr>
            </w:pPr>
            <w:r w:rsidRPr="004C5551">
              <w:rPr>
                <w:b/>
                <w:bCs/>
                <w:color w:val="FFFFFF"/>
                <w:szCs w:val="22"/>
              </w:rPr>
              <w:t>2014</w:t>
            </w:r>
          </w:p>
        </w:tc>
      </w:tr>
      <w:tr w:rsidR="00492DAA" w:rsidRPr="004C5551" w:rsidTr="00AF3FB8">
        <w:trPr>
          <w:jc w:val="center"/>
        </w:trPr>
        <w:tc>
          <w:tcPr>
            <w:tcW w:w="1645" w:type="dxa"/>
            <w:vMerge w:val="restart"/>
            <w:shd w:val="clear" w:color="auto" w:fill="auto"/>
          </w:tcPr>
          <w:p w:rsidR="00492DAA" w:rsidRPr="004C5551" w:rsidRDefault="0063442F" w:rsidP="00AD1708">
            <w:pPr>
              <w:pStyle w:val="tabulka"/>
              <w:rPr>
                <w:b/>
                <w:bCs w:val="0"/>
                <w:sz w:val="22"/>
                <w:szCs w:val="22"/>
              </w:rPr>
            </w:pPr>
            <w:r w:rsidRPr="004C5551">
              <w:rPr>
                <w:b/>
                <w:bCs w:val="0"/>
                <w:sz w:val="22"/>
                <w:szCs w:val="22"/>
              </w:rPr>
              <w:t>na jedno dieťa</w:t>
            </w:r>
          </w:p>
        </w:tc>
        <w:tc>
          <w:tcPr>
            <w:tcW w:w="1191" w:type="dxa"/>
            <w:shd w:val="clear" w:color="auto" w:fill="auto"/>
            <w:vAlign w:val="center"/>
          </w:tcPr>
          <w:p w:rsidR="00492DAA" w:rsidRPr="004C5551" w:rsidRDefault="00492DAA" w:rsidP="00AF3FB8">
            <w:pPr>
              <w:jc w:val="right"/>
              <w:rPr>
                <w:szCs w:val="22"/>
              </w:rPr>
            </w:pPr>
            <w:r w:rsidRPr="004C5551">
              <w:rPr>
                <w:szCs w:val="22"/>
              </w:rPr>
              <w:t>342 406</w:t>
            </w:r>
          </w:p>
        </w:tc>
        <w:tc>
          <w:tcPr>
            <w:tcW w:w="1191" w:type="dxa"/>
            <w:shd w:val="clear" w:color="auto" w:fill="auto"/>
            <w:vAlign w:val="center"/>
          </w:tcPr>
          <w:p w:rsidR="00492DAA" w:rsidRPr="004C5551" w:rsidRDefault="00492DAA" w:rsidP="00AF3FB8">
            <w:pPr>
              <w:jc w:val="right"/>
              <w:rPr>
                <w:szCs w:val="22"/>
              </w:rPr>
            </w:pPr>
            <w:r w:rsidRPr="004C5551">
              <w:rPr>
                <w:szCs w:val="22"/>
              </w:rPr>
              <w:t>338 845</w:t>
            </w:r>
          </w:p>
        </w:tc>
      </w:tr>
      <w:tr w:rsidR="00492DAA" w:rsidRPr="004C5551" w:rsidTr="00AF3FB8">
        <w:trPr>
          <w:jc w:val="center"/>
        </w:trPr>
        <w:tc>
          <w:tcPr>
            <w:tcW w:w="1645" w:type="dxa"/>
            <w:vMerge/>
            <w:shd w:val="clear" w:color="auto" w:fill="auto"/>
          </w:tcPr>
          <w:p w:rsidR="00492DAA" w:rsidRPr="004C5551" w:rsidRDefault="00492DAA" w:rsidP="00AD1708">
            <w:pPr>
              <w:pStyle w:val="tabulka"/>
              <w:rPr>
                <w:b/>
                <w:bCs w:val="0"/>
                <w:sz w:val="22"/>
                <w:szCs w:val="22"/>
              </w:rPr>
            </w:pPr>
          </w:p>
        </w:tc>
        <w:tc>
          <w:tcPr>
            <w:tcW w:w="1191" w:type="dxa"/>
            <w:shd w:val="clear" w:color="auto" w:fill="auto"/>
            <w:vAlign w:val="center"/>
          </w:tcPr>
          <w:p w:rsidR="00492DAA" w:rsidRPr="004C5551" w:rsidRDefault="00492DAA" w:rsidP="00AF3FB8">
            <w:pPr>
              <w:jc w:val="right"/>
              <w:rPr>
                <w:szCs w:val="22"/>
              </w:rPr>
            </w:pPr>
            <w:r w:rsidRPr="004C5551">
              <w:rPr>
                <w:szCs w:val="22"/>
              </w:rPr>
              <w:t>50,6</w:t>
            </w:r>
            <w:r w:rsidR="009425AA" w:rsidRPr="004C5551">
              <w:rPr>
                <w:szCs w:val="22"/>
              </w:rPr>
              <w:t> %</w:t>
            </w:r>
          </w:p>
        </w:tc>
        <w:tc>
          <w:tcPr>
            <w:tcW w:w="1191" w:type="dxa"/>
            <w:shd w:val="clear" w:color="auto" w:fill="auto"/>
            <w:vAlign w:val="center"/>
          </w:tcPr>
          <w:p w:rsidR="00492DAA" w:rsidRPr="004C5551" w:rsidRDefault="00492DAA" w:rsidP="00AF3FB8">
            <w:pPr>
              <w:jc w:val="right"/>
              <w:rPr>
                <w:szCs w:val="22"/>
              </w:rPr>
            </w:pPr>
            <w:r w:rsidRPr="004C5551">
              <w:rPr>
                <w:szCs w:val="22"/>
              </w:rPr>
              <w:t>50,8</w:t>
            </w:r>
            <w:r w:rsidR="009425AA" w:rsidRPr="004C5551">
              <w:rPr>
                <w:szCs w:val="22"/>
              </w:rPr>
              <w:t> %</w:t>
            </w:r>
          </w:p>
        </w:tc>
      </w:tr>
      <w:tr w:rsidR="00492DAA" w:rsidRPr="004C5551" w:rsidTr="00AF3FB8">
        <w:trPr>
          <w:jc w:val="center"/>
        </w:trPr>
        <w:tc>
          <w:tcPr>
            <w:tcW w:w="1645" w:type="dxa"/>
            <w:vMerge w:val="restart"/>
            <w:shd w:val="clear" w:color="auto" w:fill="auto"/>
          </w:tcPr>
          <w:p w:rsidR="00492DAA" w:rsidRPr="004C5551" w:rsidRDefault="0063442F" w:rsidP="00AD1708">
            <w:pPr>
              <w:pStyle w:val="tabulka"/>
              <w:rPr>
                <w:b/>
                <w:bCs w:val="0"/>
                <w:sz w:val="22"/>
                <w:szCs w:val="22"/>
              </w:rPr>
            </w:pPr>
            <w:r w:rsidRPr="004C5551">
              <w:rPr>
                <w:b/>
                <w:bCs w:val="0"/>
                <w:sz w:val="22"/>
                <w:szCs w:val="22"/>
              </w:rPr>
              <w:t>na dve deti</w:t>
            </w:r>
          </w:p>
        </w:tc>
        <w:tc>
          <w:tcPr>
            <w:tcW w:w="1191" w:type="dxa"/>
            <w:shd w:val="clear" w:color="auto" w:fill="auto"/>
            <w:vAlign w:val="center"/>
          </w:tcPr>
          <w:p w:rsidR="00492DAA" w:rsidRPr="004C5551" w:rsidRDefault="00492DAA" w:rsidP="00AF3FB8">
            <w:pPr>
              <w:jc w:val="right"/>
              <w:rPr>
                <w:szCs w:val="22"/>
              </w:rPr>
            </w:pPr>
            <w:r w:rsidRPr="004C5551">
              <w:rPr>
                <w:szCs w:val="22"/>
              </w:rPr>
              <w:t>254 272</w:t>
            </w:r>
          </w:p>
        </w:tc>
        <w:tc>
          <w:tcPr>
            <w:tcW w:w="1191" w:type="dxa"/>
            <w:shd w:val="clear" w:color="auto" w:fill="auto"/>
            <w:vAlign w:val="center"/>
          </w:tcPr>
          <w:p w:rsidR="00492DAA" w:rsidRPr="004C5551" w:rsidRDefault="00492DAA" w:rsidP="00AF3FB8">
            <w:pPr>
              <w:jc w:val="right"/>
              <w:rPr>
                <w:szCs w:val="22"/>
              </w:rPr>
            </w:pPr>
            <w:r w:rsidRPr="004C5551">
              <w:rPr>
                <w:szCs w:val="22"/>
              </w:rPr>
              <w:t>249 880</w:t>
            </w:r>
          </w:p>
        </w:tc>
      </w:tr>
      <w:tr w:rsidR="00492DAA" w:rsidRPr="004C5551" w:rsidTr="00AF3FB8">
        <w:trPr>
          <w:jc w:val="center"/>
        </w:trPr>
        <w:tc>
          <w:tcPr>
            <w:tcW w:w="1645" w:type="dxa"/>
            <w:vMerge/>
            <w:shd w:val="clear" w:color="auto" w:fill="auto"/>
          </w:tcPr>
          <w:p w:rsidR="00492DAA" w:rsidRPr="004C5551" w:rsidRDefault="00492DAA" w:rsidP="00AD1708">
            <w:pPr>
              <w:pStyle w:val="tabulka"/>
              <w:rPr>
                <w:b/>
                <w:bCs w:val="0"/>
                <w:sz w:val="22"/>
                <w:szCs w:val="22"/>
              </w:rPr>
            </w:pPr>
          </w:p>
        </w:tc>
        <w:tc>
          <w:tcPr>
            <w:tcW w:w="1191" w:type="dxa"/>
            <w:shd w:val="clear" w:color="auto" w:fill="auto"/>
            <w:vAlign w:val="center"/>
          </w:tcPr>
          <w:p w:rsidR="00492DAA" w:rsidRPr="004C5551" w:rsidRDefault="00492DAA" w:rsidP="00AF3FB8">
            <w:pPr>
              <w:jc w:val="right"/>
              <w:rPr>
                <w:szCs w:val="22"/>
              </w:rPr>
            </w:pPr>
            <w:r w:rsidRPr="004C5551">
              <w:rPr>
                <w:szCs w:val="22"/>
              </w:rPr>
              <w:t>37,6</w:t>
            </w:r>
            <w:r w:rsidR="009425AA" w:rsidRPr="004C5551">
              <w:rPr>
                <w:szCs w:val="22"/>
              </w:rPr>
              <w:t> %</w:t>
            </w:r>
          </w:p>
        </w:tc>
        <w:tc>
          <w:tcPr>
            <w:tcW w:w="1191" w:type="dxa"/>
            <w:shd w:val="clear" w:color="auto" w:fill="auto"/>
            <w:vAlign w:val="center"/>
          </w:tcPr>
          <w:p w:rsidR="00492DAA" w:rsidRPr="004C5551" w:rsidRDefault="00492DAA" w:rsidP="00AF3FB8">
            <w:pPr>
              <w:jc w:val="right"/>
              <w:rPr>
                <w:szCs w:val="22"/>
              </w:rPr>
            </w:pPr>
            <w:r w:rsidRPr="004C5551">
              <w:rPr>
                <w:szCs w:val="22"/>
              </w:rPr>
              <w:t>37,4</w:t>
            </w:r>
            <w:r w:rsidR="009425AA" w:rsidRPr="004C5551">
              <w:rPr>
                <w:szCs w:val="22"/>
              </w:rPr>
              <w:t> %</w:t>
            </w:r>
          </w:p>
        </w:tc>
      </w:tr>
      <w:tr w:rsidR="00492DAA" w:rsidRPr="004C5551" w:rsidTr="00AF3FB8">
        <w:trPr>
          <w:jc w:val="center"/>
        </w:trPr>
        <w:tc>
          <w:tcPr>
            <w:tcW w:w="1645" w:type="dxa"/>
            <w:vMerge w:val="restart"/>
            <w:shd w:val="clear" w:color="auto" w:fill="auto"/>
          </w:tcPr>
          <w:p w:rsidR="00492DAA" w:rsidRPr="004C5551" w:rsidRDefault="00EC004B" w:rsidP="0063442F">
            <w:pPr>
              <w:pStyle w:val="tabulka"/>
              <w:rPr>
                <w:b/>
                <w:bCs w:val="0"/>
                <w:sz w:val="22"/>
                <w:szCs w:val="22"/>
              </w:rPr>
            </w:pPr>
            <w:r w:rsidRPr="004C5551">
              <w:rPr>
                <w:b/>
                <w:bCs w:val="0"/>
                <w:sz w:val="22"/>
                <w:szCs w:val="22"/>
              </w:rPr>
              <w:t xml:space="preserve">na </w:t>
            </w:r>
            <w:r w:rsidR="0063442F" w:rsidRPr="004C5551">
              <w:rPr>
                <w:b/>
                <w:bCs w:val="0"/>
                <w:sz w:val="22"/>
                <w:szCs w:val="22"/>
              </w:rPr>
              <w:t>tri deti</w:t>
            </w:r>
          </w:p>
        </w:tc>
        <w:tc>
          <w:tcPr>
            <w:tcW w:w="1191" w:type="dxa"/>
            <w:shd w:val="clear" w:color="auto" w:fill="auto"/>
            <w:vAlign w:val="center"/>
          </w:tcPr>
          <w:p w:rsidR="00492DAA" w:rsidRPr="004C5551" w:rsidRDefault="00492DAA" w:rsidP="00AF3FB8">
            <w:pPr>
              <w:jc w:val="right"/>
              <w:rPr>
                <w:szCs w:val="22"/>
              </w:rPr>
            </w:pPr>
            <w:r w:rsidRPr="004C5551">
              <w:rPr>
                <w:szCs w:val="22"/>
              </w:rPr>
              <w:t>57 621</w:t>
            </w:r>
          </w:p>
        </w:tc>
        <w:tc>
          <w:tcPr>
            <w:tcW w:w="1191" w:type="dxa"/>
            <w:shd w:val="clear" w:color="auto" w:fill="auto"/>
            <w:vAlign w:val="center"/>
          </w:tcPr>
          <w:p w:rsidR="00492DAA" w:rsidRPr="004C5551" w:rsidRDefault="00492DAA" w:rsidP="00AF3FB8">
            <w:pPr>
              <w:jc w:val="right"/>
              <w:rPr>
                <w:szCs w:val="22"/>
              </w:rPr>
            </w:pPr>
            <w:r w:rsidRPr="004C5551">
              <w:rPr>
                <w:szCs w:val="22"/>
              </w:rPr>
              <w:t>56 335</w:t>
            </w:r>
          </w:p>
        </w:tc>
      </w:tr>
      <w:tr w:rsidR="00492DAA" w:rsidRPr="004C5551" w:rsidTr="00AF3FB8">
        <w:trPr>
          <w:jc w:val="center"/>
        </w:trPr>
        <w:tc>
          <w:tcPr>
            <w:tcW w:w="1645" w:type="dxa"/>
            <w:vMerge/>
            <w:shd w:val="clear" w:color="auto" w:fill="auto"/>
          </w:tcPr>
          <w:p w:rsidR="00492DAA" w:rsidRPr="004C5551" w:rsidRDefault="00492DAA" w:rsidP="00AD1708">
            <w:pPr>
              <w:pStyle w:val="tabulka"/>
              <w:rPr>
                <w:b/>
                <w:bCs w:val="0"/>
                <w:sz w:val="22"/>
                <w:szCs w:val="22"/>
              </w:rPr>
            </w:pPr>
          </w:p>
        </w:tc>
        <w:tc>
          <w:tcPr>
            <w:tcW w:w="1191" w:type="dxa"/>
            <w:shd w:val="clear" w:color="auto" w:fill="auto"/>
            <w:vAlign w:val="center"/>
          </w:tcPr>
          <w:p w:rsidR="00492DAA" w:rsidRPr="004C5551" w:rsidRDefault="00492DAA" w:rsidP="00AF3FB8">
            <w:pPr>
              <w:jc w:val="right"/>
              <w:rPr>
                <w:szCs w:val="22"/>
              </w:rPr>
            </w:pPr>
            <w:r w:rsidRPr="004C5551">
              <w:rPr>
                <w:szCs w:val="22"/>
              </w:rPr>
              <w:t>8,5</w:t>
            </w:r>
            <w:r w:rsidR="009425AA" w:rsidRPr="004C5551">
              <w:rPr>
                <w:szCs w:val="22"/>
              </w:rPr>
              <w:t> %</w:t>
            </w:r>
          </w:p>
        </w:tc>
        <w:tc>
          <w:tcPr>
            <w:tcW w:w="1191" w:type="dxa"/>
            <w:shd w:val="clear" w:color="auto" w:fill="auto"/>
            <w:vAlign w:val="center"/>
          </w:tcPr>
          <w:p w:rsidR="00492DAA" w:rsidRPr="004C5551" w:rsidRDefault="00492DAA" w:rsidP="00AF3FB8">
            <w:pPr>
              <w:jc w:val="right"/>
              <w:rPr>
                <w:szCs w:val="22"/>
              </w:rPr>
            </w:pPr>
            <w:r w:rsidRPr="004C5551">
              <w:rPr>
                <w:szCs w:val="22"/>
              </w:rPr>
              <w:t>8,4</w:t>
            </w:r>
            <w:r w:rsidR="009425AA" w:rsidRPr="004C5551">
              <w:rPr>
                <w:szCs w:val="22"/>
              </w:rPr>
              <w:t> %</w:t>
            </w:r>
          </w:p>
        </w:tc>
      </w:tr>
      <w:tr w:rsidR="00492DAA" w:rsidRPr="004C5551" w:rsidTr="00AF3FB8">
        <w:trPr>
          <w:jc w:val="center"/>
        </w:trPr>
        <w:tc>
          <w:tcPr>
            <w:tcW w:w="1645" w:type="dxa"/>
            <w:vMerge w:val="restart"/>
            <w:shd w:val="clear" w:color="auto" w:fill="auto"/>
          </w:tcPr>
          <w:p w:rsidR="00492DAA" w:rsidRPr="004C5551" w:rsidRDefault="00EC004B" w:rsidP="00AD1708">
            <w:pPr>
              <w:pStyle w:val="tabulka"/>
              <w:rPr>
                <w:b/>
                <w:bCs w:val="0"/>
                <w:sz w:val="22"/>
                <w:szCs w:val="22"/>
              </w:rPr>
            </w:pPr>
            <w:r w:rsidRPr="004C5551">
              <w:rPr>
                <w:b/>
                <w:bCs w:val="0"/>
                <w:sz w:val="22"/>
                <w:szCs w:val="22"/>
              </w:rPr>
              <w:t>na</w:t>
            </w:r>
            <w:r w:rsidR="00AF3FB8" w:rsidRPr="004C5551">
              <w:rPr>
                <w:b/>
                <w:bCs w:val="0"/>
                <w:sz w:val="22"/>
                <w:szCs w:val="22"/>
              </w:rPr>
              <w:t xml:space="preserve"> </w:t>
            </w:r>
            <w:r w:rsidR="0063442F" w:rsidRPr="004C5551">
              <w:rPr>
                <w:b/>
                <w:bCs w:val="0"/>
                <w:sz w:val="22"/>
                <w:szCs w:val="22"/>
              </w:rPr>
              <w:t>štyri a viac detí</w:t>
            </w:r>
          </w:p>
        </w:tc>
        <w:tc>
          <w:tcPr>
            <w:tcW w:w="1191" w:type="dxa"/>
            <w:shd w:val="clear" w:color="auto" w:fill="auto"/>
            <w:vAlign w:val="center"/>
          </w:tcPr>
          <w:p w:rsidR="00492DAA" w:rsidRPr="004C5551" w:rsidRDefault="00492DAA" w:rsidP="00AF3FB8">
            <w:pPr>
              <w:jc w:val="right"/>
              <w:rPr>
                <w:szCs w:val="22"/>
              </w:rPr>
            </w:pPr>
            <w:r w:rsidRPr="004C5551">
              <w:rPr>
                <w:szCs w:val="22"/>
              </w:rPr>
              <w:t>23 082</w:t>
            </w:r>
          </w:p>
        </w:tc>
        <w:tc>
          <w:tcPr>
            <w:tcW w:w="1191" w:type="dxa"/>
            <w:shd w:val="clear" w:color="auto" w:fill="auto"/>
            <w:vAlign w:val="center"/>
          </w:tcPr>
          <w:p w:rsidR="00492DAA" w:rsidRPr="004C5551" w:rsidRDefault="00492DAA" w:rsidP="00AF3FB8">
            <w:pPr>
              <w:jc w:val="right"/>
              <w:rPr>
                <w:szCs w:val="22"/>
              </w:rPr>
            </w:pPr>
            <w:r w:rsidRPr="004C5551">
              <w:rPr>
                <w:szCs w:val="22"/>
              </w:rPr>
              <w:t>22 300</w:t>
            </w:r>
          </w:p>
        </w:tc>
      </w:tr>
      <w:tr w:rsidR="00492DAA" w:rsidRPr="004C5551" w:rsidTr="00AF3FB8">
        <w:trPr>
          <w:jc w:val="center"/>
        </w:trPr>
        <w:tc>
          <w:tcPr>
            <w:tcW w:w="1645" w:type="dxa"/>
            <w:vMerge/>
            <w:shd w:val="clear" w:color="auto" w:fill="auto"/>
          </w:tcPr>
          <w:p w:rsidR="00492DAA" w:rsidRPr="004C5551" w:rsidRDefault="00492DAA" w:rsidP="00AD1708">
            <w:pPr>
              <w:pStyle w:val="tabulka"/>
              <w:rPr>
                <w:b/>
                <w:bCs w:val="0"/>
                <w:sz w:val="22"/>
                <w:szCs w:val="22"/>
              </w:rPr>
            </w:pPr>
          </w:p>
        </w:tc>
        <w:tc>
          <w:tcPr>
            <w:tcW w:w="1191" w:type="dxa"/>
            <w:shd w:val="clear" w:color="auto" w:fill="auto"/>
            <w:vAlign w:val="center"/>
          </w:tcPr>
          <w:p w:rsidR="00492DAA" w:rsidRPr="004C5551" w:rsidRDefault="00492DAA" w:rsidP="00AF3FB8">
            <w:pPr>
              <w:jc w:val="right"/>
              <w:rPr>
                <w:szCs w:val="22"/>
              </w:rPr>
            </w:pPr>
            <w:r w:rsidRPr="004C5551">
              <w:rPr>
                <w:szCs w:val="22"/>
              </w:rPr>
              <w:t>3,3</w:t>
            </w:r>
            <w:r w:rsidR="009425AA" w:rsidRPr="004C5551">
              <w:rPr>
                <w:szCs w:val="22"/>
              </w:rPr>
              <w:t> %</w:t>
            </w:r>
          </w:p>
        </w:tc>
        <w:tc>
          <w:tcPr>
            <w:tcW w:w="1191" w:type="dxa"/>
            <w:shd w:val="clear" w:color="auto" w:fill="auto"/>
            <w:vAlign w:val="center"/>
          </w:tcPr>
          <w:p w:rsidR="00492DAA" w:rsidRPr="004C5551" w:rsidRDefault="00492DAA" w:rsidP="00AF3FB8">
            <w:pPr>
              <w:jc w:val="right"/>
              <w:rPr>
                <w:szCs w:val="22"/>
              </w:rPr>
            </w:pPr>
            <w:r w:rsidRPr="004C5551">
              <w:rPr>
                <w:szCs w:val="22"/>
              </w:rPr>
              <w:t>3,3</w:t>
            </w:r>
            <w:r w:rsidR="009425AA" w:rsidRPr="004C5551">
              <w:rPr>
                <w:szCs w:val="22"/>
              </w:rPr>
              <w:t> %</w:t>
            </w:r>
          </w:p>
        </w:tc>
      </w:tr>
    </w:tbl>
    <w:p w:rsidR="00492DAA" w:rsidRPr="004C5551" w:rsidRDefault="00492DAA" w:rsidP="00EE5A42">
      <w:pPr>
        <w:pStyle w:val="zdroj"/>
        <w:ind w:firstLine="2694"/>
      </w:pPr>
      <w:r w:rsidRPr="004C5551">
        <w:t>Zdroj: RSD MIS</w:t>
      </w:r>
    </w:p>
    <w:p w:rsidR="00C03721" w:rsidRPr="004C5551" w:rsidRDefault="00C03721">
      <w:pPr>
        <w:jc w:val="left"/>
        <w:rPr>
          <w:b/>
          <w:color w:val="000000" w:themeColor="text1"/>
          <w:lang w:eastAsia="cs-CZ"/>
        </w:rPr>
      </w:pPr>
      <w:bookmarkStart w:id="576" w:name="_Toc356482699"/>
    </w:p>
    <w:p w:rsidR="00D84256" w:rsidRPr="004C5551" w:rsidRDefault="00D84256" w:rsidP="00ED16E0">
      <w:pPr>
        <w:pStyle w:val="Nadpis6"/>
      </w:pPr>
      <w:bookmarkStart w:id="577" w:name="_Toc356482700"/>
      <w:bookmarkStart w:id="578" w:name="_Toc422233425"/>
      <w:bookmarkEnd w:id="576"/>
      <w:r w:rsidRPr="004C5551">
        <w:t>Príplatok k prídavku na dieťa</w:t>
      </w:r>
      <w:bookmarkEnd w:id="577"/>
      <w:bookmarkEnd w:id="578"/>
    </w:p>
    <w:p w:rsidR="00492DAA" w:rsidRPr="004C5551" w:rsidRDefault="00492DAA" w:rsidP="001206CF">
      <w:pPr>
        <w:ind w:firstLine="431"/>
      </w:pPr>
      <w:bookmarkStart w:id="579" w:name="_Toc356482701"/>
      <w:r w:rsidRPr="004C5551">
        <w:t>Zákon č. 532/2007 Z. z., ktorým sa mení a dopĺňa zákon č. 600/2003 Z. z. o prídavku na dieťa a o zmene a doplnení zákona č. 461/2003 Z. z. o sociálnom poistení a o zmene a doplnení zákona č. 599/2003 Z. z. o pomoci v hmotnej núdzi a o zmene a doplnení niektorých zákonov v znení neskorších predpisov, s účinnosťou od 1. 1. 2008 zaviedol do praxe príplatok k prídavku na dieťa, priznan</w:t>
      </w:r>
      <w:r w:rsidR="006F050B" w:rsidRPr="004C5551">
        <w:t>ý</w:t>
      </w:r>
      <w:r w:rsidRPr="004C5551">
        <w:t xml:space="preserve"> rodičom, ktorí poberajú starobný dôchodok, predčasný starobný dôchodok, invalidný dôchodok pri percentuálnom poklese schopnosti vykonávať zárobkovú činnosť o viac ako 70</w:t>
      </w:r>
      <w:r w:rsidR="009425AA" w:rsidRPr="004C5551">
        <w:t> %</w:t>
      </w:r>
      <w:r w:rsidRPr="004C5551">
        <w:t>, alebo výsluhový dôchodok po dovŕšení veku na nárok na starobný dôchodok (62 rokov),</w:t>
      </w:r>
      <w:r w:rsidR="00672D64" w:rsidRPr="004C5551">
        <w:t xml:space="preserve"> peňažný príspevok na opatrovanie,</w:t>
      </w:r>
      <w:r w:rsidRPr="004C5551">
        <w:t xml:space="preserve"> nevykonávajú zárobkovú činnosť a nebol im priznaný daňový bonus.</w:t>
      </w:r>
    </w:p>
    <w:p w:rsidR="00492DAA" w:rsidRPr="004C5551" w:rsidRDefault="00492DAA" w:rsidP="001206CF">
      <w:pPr>
        <w:ind w:firstLine="431"/>
      </w:pPr>
      <w:r w:rsidRPr="004C5551">
        <w:t>Za oprávnenú osobu na uplatnenie nároku na príplatok k prídavku na dieťa sa považuje rodič dieťaťa alebo osoba, ktorej bolo nezaopatrené dieťa zverené do náhradnej starostlivosti.</w:t>
      </w:r>
    </w:p>
    <w:p w:rsidR="00492DAA" w:rsidRPr="004C5551" w:rsidRDefault="00492DAA" w:rsidP="001206CF">
      <w:pPr>
        <w:ind w:firstLine="431"/>
      </w:pPr>
      <w:r w:rsidRPr="004C5551">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rsidR="00492DAA" w:rsidRPr="004C5551" w:rsidRDefault="00492DAA" w:rsidP="001206CF">
      <w:pPr>
        <w:ind w:firstLine="431"/>
      </w:pPr>
      <w:r w:rsidRPr="004C5551">
        <w:t xml:space="preserve">Výška príplatku v roku 2013 bola 10,83 </w:t>
      </w:r>
      <w:r w:rsidR="002926E5" w:rsidRPr="004C5551">
        <w:t>eura</w:t>
      </w:r>
      <w:r w:rsidRPr="004C5551">
        <w:t xml:space="preserve">, v roku 2014 sa zvýšila koeficientom rastu životného minima o 0,19 </w:t>
      </w:r>
      <w:r w:rsidR="002926E5" w:rsidRPr="004C5551">
        <w:t>eura</w:t>
      </w:r>
      <w:r w:rsidR="00850799" w:rsidRPr="004C5551">
        <w:t xml:space="preserve"> na 11,02 </w:t>
      </w:r>
      <w:r w:rsidR="002926E5" w:rsidRPr="004C5551">
        <w:t>eura</w:t>
      </w:r>
      <w:r w:rsidRPr="004C5551">
        <w:t xml:space="preserve">. Priemerný mesačný počet poberateľov príplatku k prídavku na dieťa bol </w:t>
      </w:r>
      <w:r w:rsidR="00DC235D" w:rsidRPr="004C5551">
        <w:t>2 797</w:t>
      </w:r>
      <w:r w:rsidR="0046720A" w:rsidRPr="004C5551">
        <w:t>,</w:t>
      </w:r>
      <w:r w:rsidR="00073D95" w:rsidRPr="004C5551">
        <w:t xml:space="preserve"> </w:t>
      </w:r>
      <w:r w:rsidRPr="004C5551">
        <w:t xml:space="preserve">čo je oproti roku 2013 </w:t>
      </w:r>
      <w:r w:rsidR="00DC235D" w:rsidRPr="004C5551">
        <w:t>pokles</w:t>
      </w:r>
      <w:r w:rsidRPr="004C5551">
        <w:t xml:space="preserve"> priemerne mesačne o </w:t>
      </w:r>
      <w:r w:rsidR="00DC235D" w:rsidRPr="004C5551">
        <w:t>105</w:t>
      </w:r>
      <w:r w:rsidRPr="004C5551">
        <w:t xml:space="preserve"> poberateľov</w:t>
      </w:r>
      <w:r w:rsidR="00DC235D" w:rsidRPr="004C5551">
        <w:t xml:space="preserve"> (t.j. </w:t>
      </w:r>
      <w:r w:rsidR="006F050B" w:rsidRPr="004C5551">
        <w:t>3,6</w:t>
      </w:r>
      <w:r w:rsidR="00DC235D" w:rsidRPr="004C5551">
        <w:t>2</w:t>
      </w:r>
      <w:r w:rsidR="006F050B" w:rsidRPr="004C5551">
        <w:t> %)</w:t>
      </w:r>
      <w:r w:rsidRPr="004C5551">
        <w:t>.</w:t>
      </w:r>
      <w:r w:rsidR="00DC235D" w:rsidRPr="004C5551">
        <w:t xml:space="preserve"> Priemerný mesačný počet detí, </w:t>
      </w:r>
      <w:r w:rsidR="00B365E9" w:rsidRPr="004C5551">
        <w:t>n</w:t>
      </w:r>
      <w:r w:rsidR="00DC235D" w:rsidRPr="004C5551">
        <w:t>a ktoré bol poberaný príplatok</w:t>
      </w:r>
      <w:r w:rsidR="00B365E9" w:rsidRPr="004C5551">
        <w:t>,</w:t>
      </w:r>
      <w:r w:rsidR="00DC235D" w:rsidRPr="004C5551">
        <w:t xml:space="preserve"> sa medziročne znížil</w:t>
      </w:r>
      <w:r w:rsidR="00AF3FB8" w:rsidRPr="004C5551">
        <w:t xml:space="preserve"> </w:t>
      </w:r>
      <w:r w:rsidR="005E11DC" w:rsidRPr="004C5551">
        <w:t>o</w:t>
      </w:r>
      <w:r w:rsidR="00AF3FB8" w:rsidRPr="004C5551">
        <w:t> </w:t>
      </w:r>
      <w:r w:rsidR="00DC235D" w:rsidRPr="004C5551">
        <w:t>105 detí na 3 493 (t.j. 2,92 %)</w:t>
      </w:r>
      <w:r w:rsidR="0063442F" w:rsidRPr="004C5551">
        <w:t>.</w:t>
      </w:r>
    </w:p>
    <w:p w:rsidR="00D84256" w:rsidRPr="004C5551" w:rsidRDefault="00D84256" w:rsidP="00ED16E0">
      <w:pPr>
        <w:pStyle w:val="Nadpis6"/>
      </w:pPr>
      <w:bookmarkStart w:id="580" w:name="_Toc422233426"/>
      <w:r w:rsidRPr="004C5551">
        <w:t>Rodičovský príspevok</w:t>
      </w:r>
      <w:bookmarkEnd w:id="579"/>
      <w:bookmarkEnd w:id="580"/>
    </w:p>
    <w:p w:rsidR="00492DAA" w:rsidRPr="004C5551" w:rsidRDefault="00F12B23" w:rsidP="001206CF">
      <w:pPr>
        <w:ind w:firstLine="431"/>
      </w:pPr>
      <w:bookmarkStart w:id="581" w:name="_Toc356482702"/>
      <w:r w:rsidRPr="004C5551">
        <w:t>Rodičovský príspevok je štátna sociálna dávka, ktorou štát prispieva oprávnenej osobe na</w:t>
      </w:r>
      <w:r w:rsidR="00AF3FB8" w:rsidRPr="004C5551">
        <w:t> </w:t>
      </w:r>
      <w:r w:rsidRPr="004C5551">
        <w:t>zabezpečenie riadnej starostlivosti o dieťa do troch rokov veku alebo do šesť rokov veku, ak má dieťa dlhodobo nepriaznivý zdravotný stav.</w:t>
      </w:r>
    </w:p>
    <w:p w:rsidR="00F12B23" w:rsidRPr="004C5551" w:rsidRDefault="00F12B23" w:rsidP="00F12B23">
      <w:pPr>
        <w:ind w:firstLine="431"/>
      </w:pPr>
      <w:r w:rsidRPr="004C5551">
        <w:t>Na rodičovský príspevok má nárok oprávnená osoba, ak zabezpečuje riadnu starostlivosť o dieťa (osobne alebo inou plnoletou fyzickou alebo právnickou osobou), teda</w:t>
      </w:r>
      <w:r w:rsidR="00492DAA" w:rsidRPr="004C5551">
        <w:t xml:space="preserve"> rodičom </w:t>
      </w:r>
      <w:r w:rsidRPr="004C5551">
        <w:t xml:space="preserve">je umožnené </w:t>
      </w:r>
      <w:r w:rsidR="00492DAA" w:rsidRPr="004C5551">
        <w:t xml:space="preserve">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 </w:t>
      </w:r>
    </w:p>
    <w:p w:rsidR="00492DAA" w:rsidRPr="004C5551" w:rsidRDefault="00542CD8" w:rsidP="001206CF">
      <w:pPr>
        <w:ind w:firstLine="431"/>
      </w:pPr>
      <w:r w:rsidRPr="004C5551">
        <w:t>Opatrením MPSVR SR č. 451/2013 Z.</w:t>
      </w:r>
      <w:r w:rsidR="00090370" w:rsidRPr="004C5551">
        <w:t> </w:t>
      </w:r>
      <w:r w:rsidRPr="004C5551">
        <w:t xml:space="preserve">z. o úprave sumy rodičovského príspevku sa v dôsledku valorizácie životného minima upravila suma rodičovského príspevku mesačne </w:t>
      </w:r>
      <w:r w:rsidR="00121E32" w:rsidRPr="004C5551">
        <w:t xml:space="preserve">zo sumy 199,60 </w:t>
      </w:r>
      <w:r w:rsidR="002926E5" w:rsidRPr="004C5551">
        <w:t>eura</w:t>
      </w:r>
      <w:r w:rsidR="00121E32" w:rsidRPr="004C5551">
        <w:t xml:space="preserve"> </w:t>
      </w:r>
      <w:r w:rsidR="006F7531" w:rsidRPr="004C5551">
        <w:t>v roku 2013</w:t>
      </w:r>
      <w:r w:rsidR="00121E32" w:rsidRPr="004C5551">
        <w:t xml:space="preserve"> na sumu 203,20 </w:t>
      </w:r>
      <w:r w:rsidR="002926E5" w:rsidRPr="004C5551">
        <w:t>eura</w:t>
      </w:r>
      <w:r w:rsidR="006F7531" w:rsidRPr="004C5551">
        <w:t xml:space="preserve"> mesačne v roku 2014</w:t>
      </w:r>
      <w:r w:rsidR="00823CAA" w:rsidRPr="004C5551">
        <w:t>.</w:t>
      </w:r>
      <w:r w:rsidR="00F12B23" w:rsidRPr="004C5551">
        <w:t xml:space="preserve"> V</w:t>
      </w:r>
      <w:r w:rsidR="00492DAA" w:rsidRPr="004C5551">
        <w:t> prípade, ak sa rodičom narodia súčasne dve a viac detí</w:t>
      </w:r>
      <w:r w:rsidR="00F12B23" w:rsidRPr="004C5551">
        <w:t>, r</w:t>
      </w:r>
      <w:r w:rsidR="00492DAA" w:rsidRPr="004C5551">
        <w:t>odičovský príspevok sa zvyšuje o 25</w:t>
      </w:r>
      <w:r w:rsidR="009425AA" w:rsidRPr="004C5551">
        <w:t> %</w:t>
      </w:r>
      <w:r w:rsidR="00492DAA" w:rsidRPr="004C5551">
        <w:t xml:space="preserve"> na každé ďalšie dieťa, ktoré sa narodilo súčasne. </w:t>
      </w:r>
    </w:p>
    <w:p w:rsidR="00FB3919" w:rsidRPr="004C5551" w:rsidRDefault="00F12B23" w:rsidP="001206CF">
      <w:pPr>
        <w:ind w:firstLine="431"/>
      </w:pPr>
      <w:r w:rsidRPr="004C5551">
        <w:t>A</w:t>
      </w:r>
      <w:r w:rsidR="00492DAA" w:rsidRPr="004C5551">
        <w:t>k staršie dieťa v starostlivosti rodiča zanedbáva plnenie povinnej školskej dochádzky, t. j. v mesiaci vymešká viac ako 15 neospravedlnených vyučovacích hodín najmenej tri po sebe nasledujúce kalendárne mesiace</w:t>
      </w:r>
      <w:r w:rsidR="00E43BFB" w:rsidRPr="004C5551">
        <w:t>,</w:t>
      </w:r>
      <w:r w:rsidRPr="004C5551">
        <w:t xml:space="preserve"> suma rodičovského príspevku</w:t>
      </w:r>
      <w:r w:rsidR="00E43BFB" w:rsidRPr="004C5551">
        <w:t xml:space="preserve"> </w:t>
      </w:r>
      <w:r w:rsidRPr="004C5551">
        <w:t>sa znižuje na 50 %</w:t>
      </w:r>
      <w:r w:rsidR="00492DAA" w:rsidRPr="004C5551">
        <w:t xml:space="preserve">. Znížený rodičovský príspevok sa vypláca rodičovi počas troch kalendárnych mesiacov. </w:t>
      </w:r>
    </w:p>
    <w:p w:rsidR="00492DAA" w:rsidRPr="004C5551" w:rsidRDefault="00492DAA" w:rsidP="001206CF">
      <w:pPr>
        <w:ind w:firstLine="431"/>
      </w:pPr>
      <w:r w:rsidRPr="004C5551">
        <w:t>Vývoj celkového počtu poberateľov rodičovského príspevku v SR v rokoch 2013 a 2014 uvádza nasledujúci graf.</w:t>
      </w:r>
    </w:p>
    <w:p w:rsidR="00492DAA" w:rsidRPr="004C5551" w:rsidRDefault="008C614B" w:rsidP="00EE5A42">
      <w:pPr>
        <w:pStyle w:val="Nadpis7"/>
      </w:pPr>
      <w:r w:rsidRPr="004C5551">
        <w:t>Graf 3.</w:t>
      </w:r>
      <w:r w:rsidR="00EE15FD" w:rsidRPr="004C5551">
        <w:t>3</w:t>
      </w:r>
      <w:r w:rsidR="00A35E96" w:rsidRPr="004C5551">
        <w:t xml:space="preserve"> </w:t>
      </w:r>
      <w:r w:rsidRPr="004C5551">
        <w:t>Počet poberateľov rodičovského príspevku</w:t>
      </w:r>
      <w:bookmarkEnd w:id="581"/>
    </w:p>
    <w:p w:rsidR="00492DAA" w:rsidRPr="004C5551" w:rsidRDefault="00463E2C" w:rsidP="00A67054">
      <w:pPr>
        <w:pStyle w:val="zdroj"/>
        <w:ind w:firstLine="0"/>
      </w:pPr>
      <w:r w:rsidRPr="004C5551">
        <w:rPr>
          <w:noProof/>
        </w:rPr>
        <w:drawing>
          <wp:inline distT="0" distB="0" distL="0" distR="0" wp14:anchorId="384B260E" wp14:editId="35FFB696">
            <wp:extent cx="5507666" cy="2169042"/>
            <wp:effectExtent l="0" t="0" r="0" b="317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92DAA" w:rsidRPr="004C5551">
        <w:t xml:space="preserve">Zdroj: </w:t>
      </w:r>
      <w:r w:rsidR="00823CAA" w:rsidRPr="004C5551">
        <w:t>RSD MIS</w:t>
      </w:r>
    </w:p>
    <w:p w:rsidR="00492DAA" w:rsidRPr="004C5551" w:rsidRDefault="00492DAA" w:rsidP="001206CF">
      <w:pPr>
        <w:ind w:firstLine="431"/>
      </w:pPr>
      <w:r w:rsidRPr="004C5551">
        <w:t>V roku 2014 bol rodičovský príspevok poskytnutý priemerne 143 181 poberateľom mesačne, čo je oproti roku 2013 nárast v priemernom mesačnom počte o 277 poberateľov</w:t>
      </w:r>
      <w:r w:rsidR="00FB3919" w:rsidRPr="004C5551">
        <w:t xml:space="preserve"> (t.j. o 0,19 %)</w:t>
      </w:r>
      <w:r w:rsidRPr="004C5551">
        <w:t xml:space="preserve">. </w:t>
      </w:r>
    </w:p>
    <w:p w:rsidR="00460DEB" w:rsidRPr="004C5551" w:rsidRDefault="00492DAA" w:rsidP="00460DEB">
      <w:pPr>
        <w:spacing w:after="120"/>
        <w:ind w:firstLine="431"/>
        <w:rPr>
          <w:szCs w:val="22"/>
        </w:rPr>
      </w:pPr>
      <w:r w:rsidRPr="004C5551">
        <w:t>V roku 2014 bolo na rodičovský príspevok vyplatených spolu 3</w:t>
      </w:r>
      <w:r w:rsidR="008C7FC5" w:rsidRPr="004C5551">
        <w:t>56</w:t>
      </w:r>
      <w:r w:rsidR="00702FFB" w:rsidRPr="004C5551">
        <w:t> </w:t>
      </w:r>
      <w:r w:rsidR="008C7FC5" w:rsidRPr="004C5551">
        <w:t>000</w:t>
      </w:r>
      <w:r w:rsidR="00702FFB" w:rsidRPr="004C5551">
        <w:t xml:space="preserve"> </w:t>
      </w:r>
      <w:r w:rsidR="008C7FC5" w:rsidRPr="004C5551">
        <w:t>893</w:t>
      </w:r>
      <w:r w:rsidRPr="004C5551">
        <w:t xml:space="preserve"> </w:t>
      </w:r>
      <w:r w:rsidR="000860E9" w:rsidRPr="004C5551">
        <w:t>eur</w:t>
      </w:r>
      <w:r w:rsidRPr="004C5551">
        <w:t xml:space="preserve"> (medziročný nárast o 6</w:t>
      </w:r>
      <w:r w:rsidR="002A3244" w:rsidRPr="004C5551">
        <w:t> 684 525</w:t>
      </w:r>
      <w:r w:rsidRPr="004C5551">
        <w:t xml:space="preserve"> </w:t>
      </w:r>
      <w:r w:rsidR="000860E9" w:rsidRPr="004C5551">
        <w:t>eur</w:t>
      </w:r>
      <w:r w:rsidR="00FB3919" w:rsidRPr="004C5551">
        <w:t>, t.j. o 1,87 %</w:t>
      </w:r>
      <w:r w:rsidRPr="004C5551">
        <w:t xml:space="preserve">). </w:t>
      </w:r>
    </w:p>
    <w:p w:rsidR="00D84256" w:rsidRPr="004C5551" w:rsidRDefault="00D84256" w:rsidP="00ED16E0">
      <w:pPr>
        <w:pStyle w:val="Nadpis6"/>
      </w:pPr>
      <w:r w:rsidRPr="004C5551">
        <w:t xml:space="preserve"> </w:t>
      </w:r>
      <w:bookmarkStart w:id="582" w:name="_Toc356482703"/>
      <w:bookmarkStart w:id="583" w:name="_Toc422233427"/>
      <w:r w:rsidRPr="004C5551">
        <w:t>Príspevok na starostlivosť o dieťa</w:t>
      </w:r>
      <w:bookmarkEnd w:id="582"/>
      <w:bookmarkEnd w:id="583"/>
    </w:p>
    <w:p w:rsidR="008932E3" w:rsidRPr="004C5551" w:rsidRDefault="008932E3" w:rsidP="001206CF">
      <w:pPr>
        <w:spacing w:before="60"/>
        <w:ind w:firstLine="431"/>
      </w:pPr>
      <w:r w:rsidRPr="004C5551">
        <w:t xml:space="preserve">Ide o sociálnu dávku určenú rodičom, ktorí začnú vykonávať </w:t>
      </w:r>
      <w:r w:rsidRPr="004C5551">
        <w:rPr>
          <w:b/>
          <w:bCs/>
        </w:rPr>
        <w:t>zárobkovú činnosť</w:t>
      </w:r>
      <w:r w:rsidRPr="004C5551">
        <w:t xml:space="preserve"> alebo sa vrátia späť do práce skôr, ako dieťa dovŕši vek tri roky, resp. šesť rokov, ak ide o dieťa s dlhodobo nepriaznivým zdravotným stavom a v čase výkonu pracovnej činnosti zabezpečia starostlivosť o svoje dieťa inou právnickou osobou alebo fyzickou osobou, napr. umiestením dieťaťa v zariadení (detské jasle, materská škola). Štát prispieva rodičom na výdavky za túto starostlivosť na každé dieťa vo výške preukázaných výdavkov, najviac však </w:t>
      </w:r>
      <w:r w:rsidRPr="004C5551">
        <w:rPr>
          <w:b/>
          <w:bCs/>
        </w:rPr>
        <w:t xml:space="preserve">v sume 230 </w:t>
      </w:r>
      <w:r w:rsidR="000860E9" w:rsidRPr="004C5551">
        <w:rPr>
          <w:b/>
          <w:bCs/>
        </w:rPr>
        <w:t>eur</w:t>
      </w:r>
      <w:r w:rsidRPr="004C5551">
        <w:rPr>
          <w:b/>
          <w:bCs/>
        </w:rPr>
        <w:t xml:space="preserve"> mesačne</w:t>
      </w:r>
      <w:r w:rsidRPr="004C5551">
        <w:t>. Ak starostlivosť o dieťa zabezpečuje fyzická osoba bez živnostenského oprávnenia, napr. príbuzný rodiča dieťaťa, výška príspevku na</w:t>
      </w:r>
      <w:r w:rsidR="00AF3FB8" w:rsidRPr="004C5551">
        <w:t> </w:t>
      </w:r>
      <w:r w:rsidRPr="004C5551">
        <w:t xml:space="preserve">starostlivosť o dieťa je </w:t>
      </w:r>
      <w:r w:rsidRPr="004C5551">
        <w:rPr>
          <w:b/>
          <w:bCs/>
        </w:rPr>
        <w:t xml:space="preserve">41,10 </w:t>
      </w:r>
      <w:r w:rsidR="002926E5" w:rsidRPr="004C5551">
        <w:rPr>
          <w:b/>
          <w:bCs/>
        </w:rPr>
        <w:t>eura</w:t>
      </w:r>
      <w:r w:rsidRPr="004C5551">
        <w:rPr>
          <w:b/>
          <w:bCs/>
        </w:rPr>
        <w:t xml:space="preserve"> mesačne</w:t>
      </w:r>
      <w:r w:rsidRPr="004C5551">
        <w:t xml:space="preserve"> bez preukazovania výdavkov. Výšku príspevku na</w:t>
      </w:r>
      <w:r w:rsidR="00AF3FB8" w:rsidRPr="004C5551">
        <w:t> </w:t>
      </w:r>
      <w:r w:rsidRPr="004C5551">
        <w:t xml:space="preserve">starostlivosť o dieťa môže vláda SR upraviť k 1. januáru kalendárneho roka nariadením. </w:t>
      </w:r>
    </w:p>
    <w:p w:rsidR="00FB3919" w:rsidRPr="004C5551" w:rsidRDefault="00FB3919" w:rsidP="001206CF">
      <w:pPr>
        <w:spacing w:before="60"/>
        <w:ind w:firstLine="431"/>
      </w:pPr>
      <w:r w:rsidRPr="004C5551">
        <w:t>Rozdelenie poberateľov a detí podľa jednotlivých typov poskytovateľov starostlivosti uvádza nasledujúci graf.</w:t>
      </w:r>
    </w:p>
    <w:p w:rsidR="000D1E98" w:rsidRPr="004C5551" w:rsidRDefault="000D1E98" w:rsidP="000D1E98">
      <w:pPr>
        <w:pStyle w:val="Nadpis7"/>
      </w:pPr>
      <w:r w:rsidRPr="004C5551">
        <w:t xml:space="preserve">Graf 3.4 Prehľad počtu poberateľov, detí a finančných prostriedkov čerpaných na príspevok </w:t>
      </w:r>
      <w:r w:rsidR="00D5685D" w:rsidRPr="004C5551">
        <w:br/>
      </w:r>
      <w:r w:rsidRPr="004C5551">
        <w:t>na starostlivosť o dieťa podľa poskytovateľa starostlivosti</w:t>
      </w:r>
    </w:p>
    <w:p w:rsidR="000D1E98" w:rsidRPr="004C5551" w:rsidRDefault="004B3AED" w:rsidP="008932E3">
      <w:pPr>
        <w:spacing w:before="60"/>
        <w:ind w:firstLine="567"/>
      </w:pPr>
      <w:r w:rsidRPr="004C5551">
        <w:rPr>
          <w:noProof/>
        </w:rPr>
        <w:t xml:space="preserve"> </w:t>
      </w:r>
      <w:r w:rsidRPr="004C5551">
        <w:rPr>
          <w:noProof/>
        </w:rPr>
        <w:drawing>
          <wp:inline distT="0" distB="0" distL="0" distR="0" wp14:anchorId="2E0C679E" wp14:editId="2CEFEB0C">
            <wp:extent cx="5167223" cy="2449902"/>
            <wp:effectExtent l="0" t="0" r="0" b="762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1E98" w:rsidRPr="004C5551" w:rsidRDefault="000D1E98" w:rsidP="000D1E98">
      <w:pPr>
        <w:pStyle w:val="zdroj"/>
      </w:pPr>
      <w:r w:rsidRPr="004C5551">
        <w:t>Zdroj: RSD MIS</w:t>
      </w:r>
    </w:p>
    <w:p w:rsidR="008932E3" w:rsidRPr="004C5551" w:rsidRDefault="008932E3" w:rsidP="001206CF">
      <w:pPr>
        <w:ind w:firstLine="431"/>
      </w:pPr>
      <w:r w:rsidRPr="004C5551">
        <w:t>Rodič, ktorý zabezpečuje starostlivosť o dieťa do troch rokov veku a ktorý sa rozhodne vrátiť späť do práce skôr, ako dieťa dovŕši vek tri roky sa teda môže rozhodnúť, či bude poberať rodičovský príspevok alebo požiada o príspevok na starostlivosť o dieťa, ktorý je výhodnejší v tých prípadoch, ak má rodič viac detí do troch rokov veku a ak starostlivosť o dieťa zabezpečuje prostredníctvom zariadení (napr. súkromné alebo mestské detské jasle), v ktorých mesačné poplatky presahujú 203</w:t>
      </w:r>
      <w:r w:rsidR="00393B87" w:rsidRPr="004C5551">
        <w:t>,2</w:t>
      </w:r>
      <w:r w:rsidR="00FB3919" w:rsidRPr="004C5551">
        <w:t>0</w:t>
      </w:r>
      <w:r w:rsidRPr="004C5551">
        <w:t> </w:t>
      </w:r>
      <w:r w:rsidR="000860E9" w:rsidRPr="004C5551">
        <w:t>eur</w:t>
      </w:r>
      <w:r w:rsidRPr="004C5551">
        <w:t xml:space="preserve">. </w:t>
      </w:r>
    </w:p>
    <w:p w:rsidR="008932E3" w:rsidRPr="004C5551" w:rsidRDefault="008932E3" w:rsidP="00FB3919">
      <w:pPr>
        <w:ind w:firstLine="431"/>
      </w:pPr>
      <w:r w:rsidRPr="004C5551">
        <w:t>V roku 2014 bol príspevok na starostlivosť o dieťa poskytnutý priemerne mesačne 1 94</w:t>
      </w:r>
      <w:r w:rsidR="00697AB8" w:rsidRPr="004C5551">
        <w:t>9</w:t>
      </w:r>
      <w:r w:rsidRPr="004C5551">
        <w:t> poberateľom (nárast priemerne o 1</w:t>
      </w:r>
      <w:r w:rsidR="0013235B" w:rsidRPr="004C5551">
        <w:t>41</w:t>
      </w:r>
      <w:r w:rsidRPr="004C5551">
        <w:t xml:space="preserve"> poberateľov mesačne oproti roku 2013</w:t>
      </w:r>
      <w:r w:rsidR="00FB3919" w:rsidRPr="004C5551">
        <w:t>, t.j. o 7,80 %</w:t>
      </w:r>
      <w:r w:rsidRPr="004C5551">
        <w:t>) a spolu naň bolo vyplatených 5 50</w:t>
      </w:r>
      <w:r w:rsidR="0013235B" w:rsidRPr="004C5551">
        <w:t>2</w:t>
      </w:r>
      <w:r w:rsidRPr="004C5551">
        <w:t xml:space="preserve"> </w:t>
      </w:r>
      <w:r w:rsidR="0013235B" w:rsidRPr="004C5551">
        <w:t>189</w:t>
      </w:r>
      <w:r w:rsidRPr="004C5551">
        <w:t xml:space="preserve"> </w:t>
      </w:r>
      <w:r w:rsidR="000860E9" w:rsidRPr="004C5551">
        <w:t>eur</w:t>
      </w:r>
      <w:r w:rsidR="00FB3919" w:rsidRPr="004C5551">
        <w:t xml:space="preserve"> (nárast čerpania o 4,77 %)</w:t>
      </w:r>
      <w:r w:rsidRPr="004C5551">
        <w:t xml:space="preserve">. </w:t>
      </w:r>
    </w:p>
    <w:p w:rsidR="00D84256" w:rsidRPr="004C5551" w:rsidRDefault="00D84256" w:rsidP="00D84256">
      <w:pPr>
        <w:pStyle w:val="AAAodstavecsprava"/>
        <w:spacing w:after="0"/>
        <w:ind w:firstLine="567"/>
        <w:rPr>
          <w:color w:val="00B050"/>
          <w:sz w:val="22"/>
          <w:szCs w:val="22"/>
        </w:rPr>
      </w:pPr>
    </w:p>
    <w:p w:rsidR="00AF3FB8" w:rsidRPr="004C5551" w:rsidRDefault="00AF3FB8">
      <w:pPr>
        <w:jc w:val="left"/>
        <w:rPr>
          <w:rFonts w:ascii="Times New Roman Bold" w:hAnsi="Times New Roman Bold"/>
          <w:b/>
          <w:color w:val="D83E2C" w:themeColor="accent2"/>
          <w:sz w:val="24"/>
          <w:szCs w:val="20"/>
          <w:lang w:eastAsia="cs-CZ"/>
        </w:rPr>
      </w:pPr>
      <w:bookmarkStart w:id="584" w:name="_Toc356482704"/>
      <w:r w:rsidRPr="004C5551">
        <w:br w:type="page"/>
      </w:r>
    </w:p>
    <w:p w:rsidR="00D84256" w:rsidRPr="004C5551" w:rsidRDefault="00D84256" w:rsidP="00ED16E0">
      <w:pPr>
        <w:pStyle w:val="Nadpis6"/>
      </w:pPr>
      <w:bookmarkStart w:id="585" w:name="_Toc422233428"/>
      <w:r w:rsidRPr="004C5551">
        <w:t>Príspevok pri narodení dieťaťa</w:t>
      </w:r>
      <w:bookmarkEnd w:id="584"/>
      <w:bookmarkEnd w:id="585"/>
    </w:p>
    <w:p w:rsidR="008932E3" w:rsidRPr="004C5551" w:rsidRDefault="008932E3" w:rsidP="001206CF">
      <w:pPr>
        <w:ind w:firstLine="431"/>
      </w:pPr>
      <w:bookmarkStart w:id="586" w:name="_Toc356482705"/>
      <w:r w:rsidRPr="004C5551">
        <w:t>K 1.1.2014 nadobudol účinnosť nový zákon č. 383/2013 Z.</w:t>
      </w:r>
      <w:r w:rsidR="00090370" w:rsidRPr="004C5551">
        <w:t> </w:t>
      </w:r>
      <w:r w:rsidRPr="004C5551">
        <w:t xml:space="preserve">z. o príspevku pri narodení dieťaťa a príspevku na viac súčasne narodených detí. Najzásadnejšou zmenou bolo zlúčenie príspevku pri narodení dieťaťa a príplatku k príspevku pri narodení dieťaťa do jednej dávky </w:t>
      </w:r>
      <w:r w:rsidR="00106028" w:rsidRPr="004C5551">
        <w:t>–</w:t>
      </w:r>
      <w:r w:rsidRPr="004C5551">
        <w:t xml:space="preserve"> príspevok pri narodení dieťaťa. Výška celkového</w:t>
      </w:r>
      <w:r w:rsidR="00073D95" w:rsidRPr="004C5551">
        <w:t xml:space="preserve"> </w:t>
      </w:r>
      <w:r w:rsidRPr="004C5551">
        <w:t xml:space="preserve">príspevku sa nezmenila a závisí na poradí pôrodu – pri prvom až treťom pôrode sa vypláca suma 829,86 </w:t>
      </w:r>
      <w:r w:rsidR="002926E5" w:rsidRPr="004C5551">
        <w:t>eura</w:t>
      </w:r>
      <w:r w:rsidRPr="004C5551">
        <w:t xml:space="preserve"> a pri štvrtom a ďalšom 151,37 </w:t>
      </w:r>
      <w:r w:rsidR="002926E5" w:rsidRPr="004C5551">
        <w:t>eura</w:t>
      </w:r>
      <w:r w:rsidRPr="004C5551">
        <w:t>.</w:t>
      </w:r>
    </w:p>
    <w:p w:rsidR="008932E3" w:rsidRPr="004C5551" w:rsidRDefault="008932E3" w:rsidP="001206CF">
      <w:pPr>
        <w:spacing w:before="150"/>
      </w:pPr>
      <w:r w:rsidRPr="004C5551">
        <w:t>Sprísnili sa aj podmienky nároku na príspevok pri narodení dieťaťa. Ide o:</w:t>
      </w:r>
    </w:p>
    <w:p w:rsidR="008932E3" w:rsidRPr="004C5551" w:rsidRDefault="008932E3" w:rsidP="009C55E3">
      <w:pPr>
        <w:numPr>
          <w:ilvl w:val="0"/>
          <w:numId w:val="30"/>
        </w:numPr>
        <w:spacing w:after="100" w:afterAutospacing="1"/>
        <w:ind w:left="714" w:hanging="357"/>
      </w:pPr>
      <w:r w:rsidRPr="004C5551">
        <w:t xml:space="preserve">absolvovanie pravidelných mesačných preventívnych lekárskych prehliadok od štvrtého mesiaca tehotenstva do pôrodu, </w:t>
      </w:r>
    </w:p>
    <w:p w:rsidR="008932E3" w:rsidRPr="004C5551" w:rsidRDefault="008932E3" w:rsidP="009C55E3">
      <w:pPr>
        <w:numPr>
          <w:ilvl w:val="0"/>
          <w:numId w:val="30"/>
        </w:numPr>
        <w:spacing w:before="100" w:beforeAutospacing="1" w:after="100" w:afterAutospacing="1"/>
      </w:pPr>
      <w:r w:rsidRPr="004C5551">
        <w:t>uzatvorenie dohody o poskytovaní všeobecnej ambulantnej starostlivosti pre dieťa a</w:t>
      </w:r>
    </w:p>
    <w:p w:rsidR="00673F6C" w:rsidRPr="004C5551" w:rsidRDefault="008932E3" w:rsidP="009C55E3">
      <w:pPr>
        <w:numPr>
          <w:ilvl w:val="0"/>
          <w:numId w:val="30"/>
        </w:numPr>
        <w:spacing w:before="100" w:beforeAutospacing="1" w:after="100" w:afterAutospacing="1"/>
      </w:pPr>
      <w:r w:rsidRPr="004C5551">
        <w:t xml:space="preserve">bydlisko oprávnenej osoby na území Slovenskej republiky. </w:t>
      </w:r>
    </w:p>
    <w:p w:rsidR="008932E3" w:rsidRPr="004C5551" w:rsidRDefault="008932E3" w:rsidP="001206CF">
      <w:pPr>
        <w:ind w:firstLine="431"/>
      </w:pPr>
      <w:r w:rsidRPr="004C5551">
        <w:t>Ak nebude splnená niektorá z</w:t>
      </w:r>
      <w:r w:rsidR="00EE5A42" w:rsidRPr="004C5551">
        <w:t> </w:t>
      </w:r>
      <w:r w:rsidRPr="004C5551">
        <w:t>uvedených podmienok, oprávnenej osobe nevznikne nárok na</w:t>
      </w:r>
      <w:r w:rsidR="00673F6C" w:rsidRPr="004C5551">
        <w:t> </w:t>
      </w:r>
      <w:r w:rsidRPr="004C5551">
        <w:t>príspevok pri narodení dieťaťa. K otázke bydliska je potrebné uviesť, že ide o skutočné bydlisko na</w:t>
      </w:r>
      <w:r w:rsidR="00673F6C" w:rsidRPr="004C5551">
        <w:t> </w:t>
      </w:r>
      <w:r w:rsidRPr="004C5551">
        <w:t xml:space="preserve">území Slovenskej republiky, nielen registrovaný trvalý pobyt. Bydliskom sa podľa nového zákona myslí miesto, kde má oprávnená osoba a dieťa sústredené najdôležitejšie záujmy, napríklad miesto vykonávania zárobkovej činnosti a podobne. </w:t>
      </w:r>
    </w:p>
    <w:p w:rsidR="00822DFF" w:rsidRPr="004C5551" w:rsidRDefault="00EE0DB2" w:rsidP="00EE5A42">
      <w:pPr>
        <w:pStyle w:val="Nadpis7"/>
      </w:pPr>
      <w:r w:rsidRPr="004C5551">
        <w:t xml:space="preserve">Tabuľka </w:t>
      </w:r>
      <w:r w:rsidR="0000594D" w:rsidRPr="004C5551">
        <w:t>3.</w:t>
      </w:r>
      <w:r w:rsidR="00A35E96" w:rsidRPr="004C5551">
        <w:t>1</w:t>
      </w:r>
      <w:r w:rsidR="00927A83" w:rsidRPr="004C5551">
        <w:t>6</w:t>
      </w:r>
      <w:r w:rsidR="00A35E96" w:rsidRPr="004C5551">
        <w:t xml:space="preserve"> </w:t>
      </w:r>
      <w:r w:rsidR="00822DFF" w:rsidRPr="004C5551">
        <w:t xml:space="preserve">Príspevok pri narodení dieťaťa v roku </w:t>
      </w:r>
      <w:r w:rsidR="00E43BFB" w:rsidRPr="004C5551">
        <w:t xml:space="preserve">2013 </w:t>
      </w:r>
      <w:r w:rsidR="00822DFF" w:rsidRPr="004C5551">
        <w:t>a </w:t>
      </w:r>
      <w:bookmarkEnd w:id="586"/>
      <w:r w:rsidR="00E43BFB" w:rsidRPr="004C5551">
        <w:t>2014</w:t>
      </w:r>
    </w:p>
    <w:tbl>
      <w:tblPr>
        <w:tblStyle w:val="LightList-Accent11"/>
        <w:tblW w:w="0" w:type="auto"/>
        <w:jc w:val="center"/>
        <w:tblInd w:w="2376"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ook w:val="04A0" w:firstRow="1" w:lastRow="0" w:firstColumn="1" w:lastColumn="0" w:noHBand="0" w:noVBand="1"/>
      </w:tblPr>
      <w:tblGrid>
        <w:gridCol w:w="754"/>
        <w:gridCol w:w="2173"/>
        <w:gridCol w:w="2176"/>
      </w:tblGrid>
      <w:tr w:rsidR="00822DFF" w:rsidRPr="004C5551" w:rsidTr="00EE5A42">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822DFF" w:rsidRPr="004C5551" w:rsidRDefault="00D72351" w:rsidP="00D55378">
            <w:pPr>
              <w:jc w:val="center"/>
              <w:rPr>
                <w:color w:val="FFFFFF" w:themeColor="background1"/>
              </w:rPr>
            </w:pPr>
            <w:r w:rsidRPr="004C5551">
              <w:rPr>
                <w:color w:val="FFFFFF" w:themeColor="background1"/>
              </w:rPr>
              <w:t>r</w:t>
            </w:r>
            <w:r w:rsidR="00822DFF" w:rsidRPr="004C5551">
              <w:rPr>
                <w:color w:val="FFFFFF" w:themeColor="background1"/>
              </w:rPr>
              <w:t>ok</w:t>
            </w:r>
          </w:p>
        </w:tc>
        <w:tc>
          <w:tcPr>
            <w:tcW w:w="2173"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822DFF" w:rsidRPr="004C5551"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C5551">
              <w:rPr>
                <w:color w:val="FFFFFF" w:themeColor="background1"/>
              </w:rPr>
              <w:t>p</w:t>
            </w:r>
            <w:r w:rsidR="00822DFF" w:rsidRPr="004C5551">
              <w:rPr>
                <w:color w:val="FFFFFF" w:themeColor="background1"/>
              </w:rPr>
              <w:t>očet poberateľov príspevku pri narodení dieťaťa</w:t>
            </w:r>
          </w:p>
        </w:tc>
        <w:tc>
          <w:tcPr>
            <w:tcW w:w="2176"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822DFF" w:rsidRPr="004C5551"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C5551">
              <w:rPr>
                <w:color w:val="FFFFFF" w:themeColor="background1"/>
              </w:rPr>
              <w:t>p</w:t>
            </w:r>
            <w:r w:rsidR="00822DFF" w:rsidRPr="004C5551">
              <w:rPr>
                <w:color w:val="FFFFFF" w:themeColor="background1"/>
              </w:rPr>
              <w:t>očet poberateľov zvýšeného príspevku</w:t>
            </w:r>
          </w:p>
        </w:tc>
      </w:tr>
      <w:tr w:rsidR="00F43C9E" w:rsidRPr="004C5551" w:rsidTr="00EE5A42">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6" w:space="0" w:color="BF0000" w:themeColor="accent3" w:themeShade="BF"/>
              <w:left w:val="none" w:sz="0" w:space="0" w:color="auto"/>
              <w:bottom w:val="none" w:sz="0" w:space="0" w:color="auto"/>
            </w:tcBorders>
          </w:tcPr>
          <w:p w:rsidR="00F43C9E" w:rsidRPr="004C5551" w:rsidRDefault="00F43C9E" w:rsidP="001408B7">
            <w:pPr>
              <w:spacing w:line="226" w:lineRule="atLeast"/>
            </w:pPr>
            <w:r w:rsidRPr="004C5551">
              <w:rPr>
                <w:b w:val="0"/>
                <w:bCs w:val="0"/>
              </w:rPr>
              <w:t>2013</w:t>
            </w:r>
          </w:p>
        </w:tc>
        <w:tc>
          <w:tcPr>
            <w:tcW w:w="2173" w:type="dxa"/>
            <w:tcBorders>
              <w:top w:val="single" w:sz="6" w:space="0" w:color="BF0000" w:themeColor="accent3" w:themeShade="BF"/>
              <w:bottom w:val="none" w:sz="0" w:space="0" w:color="auto"/>
            </w:tcBorders>
          </w:tcPr>
          <w:p w:rsidR="00F43C9E" w:rsidRPr="004C5551" w:rsidRDefault="00F43C9E" w:rsidP="001408B7">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4C5551">
              <w:t>57 901</w:t>
            </w:r>
          </w:p>
        </w:tc>
        <w:tc>
          <w:tcPr>
            <w:tcW w:w="2176" w:type="dxa"/>
            <w:tcBorders>
              <w:top w:val="single" w:sz="6" w:space="0" w:color="BF0000" w:themeColor="accent3" w:themeShade="BF"/>
              <w:bottom w:val="none" w:sz="0" w:space="0" w:color="auto"/>
              <w:right w:val="none" w:sz="0" w:space="0" w:color="auto"/>
            </w:tcBorders>
          </w:tcPr>
          <w:p w:rsidR="00F43C9E" w:rsidRPr="004C5551" w:rsidRDefault="00F43C9E" w:rsidP="001408B7">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4C5551">
              <w:t>772</w:t>
            </w:r>
          </w:p>
        </w:tc>
      </w:tr>
      <w:tr w:rsidR="00F43C9E" w:rsidRPr="004C5551" w:rsidTr="00EE5A42">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Pr>
          <w:p w:rsidR="00F43C9E" w:rsidRPr="004C5551" w:rsidRDefault="00F43C9E" w:rsidP="00F43C9E">
            <w:pPr>
              <w:spacing w:line="226" w:lineRule="atLeast"/>
            </w:pPr>
            <w:r w:rsidRPr="004C5551">
              <w:rPr>
                <w:b w:val="0"/>
                <w:bCs w:val="0"/>
              </w:rPr>
              <w:t>2014</w:t>
            </w:r>
          </w:p>
        </w:tc>
        <w:tc>
          <w:tcPr>
            <w:tcW w:w="2173" w:type="dxa"/>
          </w:tcPr>
          <w:p w:rsidR="00F43C9E" w:rsidRPr="004C5551" w:rsidRDefault="00454342" w:rsidP="00C20DF9">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4C5551">
              <w:t>50 483</w:t>
            </w:r>
          </w:p>
        </w:tc>
        <w:tc>
          <w:tcPr>
            <w:tcW w:w="2176" w:type="dxa"/>
          </w:tcPr>
          <w:p w:rsidR="00F43C9E" w:rsidRPr="004C5551" w:rsidRDefault="00454342" w:rsidP="00591FAE">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4C5551">
              <w:t>627</w:t>
            </w:r>
          </w:p>
        </w:tc>
      </w:tr>
    </w:tbl>
    <w:p w:rsidR="00AD4243" w:rsidRPr="004C5551" w:rsidRDefault="007A6FA8" w:rsidP="00EE5A42">
      <w:pPr>
        <w:pStyle w:val="zdroj"/>
        <w:ind w:left="1701"/>
      </w:pPr>
      <w:r w:rsidRPr="004C5551">
        <w:t xml:space="preserve">Zdroj: </w:t>
      </w:r>
      <w:r w:rsidR="00FA45A1" w:rsidRPr="004C5551">
        <w:t>RSD MIS</w:t>
      </w:r>
    </w:p>
    <w:p w:rsidR="008932E3" w:rsidRPr="004C5551" w:rsidRDefault="008932E3" w:rsidP="001206CF">
      <w:pPr>
        <w:pStyle w:val="AAAodstavecsprava"/>
        <w:spacing w:after="0"/>
        <w:ind w:firstLine="431"/>
        <w:rPr>
          <w:sz w:val="22"/>
          <w:szCs w:val="24"/>
          <w:lang w:eastAsia="sk-SK"/>
        </w:rPr>
      </w:pPr>
      <w:bookmarkStart w:id="587" w:name="_Toc356482706"/>
      <w:r w:rsidRPr="004C5551">
        <w:rPr>
          <w:sz w:val="22"/>
          <w:szCs w:val="24"/>
          <w:lang w:eastAsia="sk-SK"/>
        </w:rPr>
        <w:t>V roku 2014 bol príspevok pri narodení dieťaťa poskytnutý 50</w:t>
      </w:r>
      <w:r w:rsidR="00AF3FB8" w:rsidRPr="004C5551">
        <w:rPr>
          <w:sz w:val="22"/>
          <w:szCs w:val="24"/>
          <w:lang w:eastAsia="sk-SK"/>
        </w:rPr>
        <w:t> </w:t>
      </w:r>
      <w:r w:rsidRPr="004C5551">
        <w:rPr>
          <w:sz w:val="22"/>
          <w:szCs w:val="24"/>
          <w:lang w:eastAsia="sk-SK"/>
        </w:rPr>
        <w:t>483 poberateľom</w:t>
      </w:r>
      <w:r w:rsidR="00534902" w:rsidRPr="004C5551">
        <w:rPr>
          <w:sz w:val="22"/>
          <w:szCs w:val="24"/>
          <w:lang w:eastAsia="sk-SK"/>
        </w:rPr>
        <w:t xml:space="preserve"> </w:t>
      </w:r>
      <w:r w:rsidR="00AF3FB8" w:rsidRPr="004C5551">
        <w:rPr>
          <w:sz w:val="22"/>
          <w:szCs w:val="24"/>
          <w:lang w:eastAsia="sk-SK"/>
        </w:rPr>
        <w:br/>
      </w:r>
      <w:r w:rsidR="00534902" w:rsidRPr="004C5551">
        <w:rPr>
          <w:sz w:val="22"/>
          <w:szCs w:val="24"/>
          <w:lang w:eastAsia="sk-SK"/>
        </w:rPr>
        <w:t>(z toho 46 751 poberateľom vo vyššej sume)</w:t>
      </w:r>
      <w:r w:rsidRPr="004C5551">
        <w:rPr>
          <w:sz w:val="22"/>
          <w:szCs w:val="24"/>
          <w:lang w:eastAsia="sk-SK"/>
        </w:rPr>
        <w:t>, čo je o 7 226 poberateľov menej ako v roku 2013</w:t>
      </w:r>
      <w:r w:rsidR="00393B87" w:rsidRPr="004C5551">
        <w:rPr>
          <w:sz w:val="22"/>
          <w:szCs w:val="24"/>
          <w:lang w:eastAsia="sk-SK"/>
        </w:rPr>
        <w:t xml:space="preserve"> (pokles poberateľov o 12,81 %)</w:t>
      </w:r>
      <w:r w:rsidRPr="004C5551">
        <w:rPr>
          <w:sz w:val="22"/>
          <w:szCs w:val="24"/>
          <w:lang w:eastAsia="sk-SK"/>
        </w:rPr>
        <w:t xml:space="preserve">. Finančné prostriedky vyplatené na príspevok pri narodení dieťaťa a zvýšený príspevok pri narodení dieťaťa dosiahli sumu približne </w:t>
      </w:r>
      <w:r w:rsidR="003A55EF" w:rsidRPr="004C5551">
        <w:rPr>
          <w:sz w:val="22"/>
          <w:szCs w:val="24"/>
          <w:lang w:eastAsia="sk-SK"/>
        </w:rPr>
        <w:t>42 078 554</w:t>
      </w:r>
      <w:r w:rsidRPr="004C5551">
        <w:rPr>
          <w:sz w:val="22"/>
          <w:szCs w:val="24"/>
          <w:lang w:eastAsia="sk-SK"/>
        </w:rPr>
        <w:t xml:space="preserve"> </w:t>
      </w:r>
      <w:r w:rsidR="000860E9" w:rsidRPr="004C5551">
        <w:rPr>
          <w:sz w:val="22"/>
          <w:szCs w:val="24"/>
          <w:lang w:eastAsia="sk-SK"/>
        </w:rPr>
        <w:t>eur</w:t>
      </w:r>
      <w:r w:rsidR="003A55EF" w:rsidRPr="004C5551">
        <w:rPr>
          <w:sz w:val="22"/>
          <w:szCs w:val="24"/>
          <w:lang w:eastAsia="sk-SK"/>
        </w:rPr>
        <w:t>, čo je o</w:t>
      </w:r>
      <w:r w:rsidR="000056D0" w:rsidRPr="004C5551">
        <w:rPr>
          <w:sz w:val="22"/>
          <w:szCs w:val="24"/>
          <w:lang w:eastAsia="sk-SK"/>
        </w:rPr>
        <w:t> 3 226</w:t>
      </w:r>
      <w:r w:rsidR="00AF3FB8" w:rsidRPr="004C5551">
        <w:rPr>
          <w:sz w:val="22"/>
          <w:szCs w:val="24"/>
          <w:lang w:eastAsia="sk-SK"/>
        </w:rPr>
        <w:t> </w:t>
      </w:r>
      <w:r w:rsidR="000056D0" w:rsidRPr="004C5551">
        <w:rPr>
          <w:sz w:val="22"/>
          <w:szCs w:val="24"/>
          <w:lang w:eastAsia="sk-SK"/>
        </w:rPr>
        <w:t>411</w:t>
      </w:r>
      <w:r w:rsidR="00AF3FB8" w:rsidRPr="004C5551">
        <w:rPr>
          <w:sz w:val="22"/>
          <w:szCs w:val="24"/>
          <w:lang w:eastAsia="sk-SK"/>
        </w:rPr>
        <w:t> </w:t>
      </w:r>
      <w:r w:rsidR="000860E9" w:rsidRPr="004C5551">
        <w:rPr>
          <w:sz w:val="22"/>
          <w:szCs w:val="24"/>
          <w:lang w:eastAsia="sk-SK"/>
        </w:rPr>
        <w:t>eur</w:t>
      </w:r>
      <w:r w:rsidR="000056D0" w:rsidRPr="004C5551">
        <w:rPr>
          <w:sz w:val="22"/>
          <w:szCs w:val="24"/>
          <w:lang w:eastAsia="sk-SK"/>
        </w:rPr>
        <w:t xml:space="preserve"> menej ako v roku 2013</w:t>
      </w:r>
      <w:r w:rsidR="00393B87" w:rsidRPr="004C5551">
        <w:rPr>
          <w:sz w:val="22"/>
          <w:szCs w:val="24"/>
          <w:lang w:eastAsia="sk-SK"/>
        </w:rPr>
        <w:t xml:space="preserve"> (pokles o 7,12 %)</w:t>
      </w:r>
      <w:r w:rsidR="000056D0" w:rsidRPr="004C5551">
        <w:rPr>
          <w:sz w:val="22"/>
          <w:szCs w:val="24"/>
          <w:lang w:eastAsia="sk-SK"/>
        </w:rPr>
        <w:t>.</w:t>
      </w:r>
    </w:p>
    <w:p w:rsidR="00460DEB" w:rsidRPr="004C5551" w:rsidRDefault="008742A8" w:rsidP="00AF3FB8">
      <w:pPr>
        <w:pStyle w:val="Nadpis6"/>
      </w:pPr>
      <w:bookmarkStart w:id="588" w:name="_Toc422233429"/>
      <w:bookmarkStart w:id="589" w:name="_Toc356482707"/>
      <w:bookmarkEnd w:id="587"/>
      <w:r w:rsidRPr="004C5551">
        <w:t>Príspevok na viac súčasne narodených detí</w:t>
      </w:r>
      <w:bookmarkEnd w:id="588"/>
    </w:p>
    <w:p w:rsidR="008742A8" w:rsidRPr="004C5551" w:rsidRDefault="008742A8" w:rsidP="001206CF">
      <w:pPr>
        <w:pStyle w:val="AAAodstavecsprava"/>
        <w:spacing w:after="0"/>
        <w:ind w:firstLine="431"/>
        <w:rPr>
          <w:sz w:val="22"/>
          <w:szCs w:val="22"/>
          <w:lang w:eastAsia="sk-SK"/>
        </w:rPr>
      </w:pPr>
      <w:r w:rsidRPr="004C5551">
        <w:rPr>
          <w:sz w:val="22"/>
          <w:szCs w:val="22"/>
          <w:lang w:eastAsia="sk-SK"/>
        </w:rPr>
        <w:t>Príspevok rodičom, ktorým sa súčasne narodili tri deti alebo viac detí alebo ktorým sa v priebehu dvoch rokov opakovane narodili dvojčatá, je dávka štátnej sociálnej podpory, ktorou štát prispieva raz za rok rodičom alebo oprávneným osobám na zvýšené výdavky spojené so starostlivosťou o súčasne narodené 3 deti alebo viac detí alebo o opakovane narodené dvojčatá alebo viac detí súčasne v</w:t>
      </w:r>
      <w:r w:rsidR="00AF3FB8" w:rsidRPr="004C5551">
        <w:rPr>
          <w:sz w:val="22"/>
          <w:szCs w:val="22"/>
          <w:lang w:eastAsia="sk-SK"/>
        </w:rPr>
        <w:t> </w:t>
      </w:r>
      <w:r w:rsidRPr="004C5551">
        <w:rPr>
          <w:sz w:val="22"/>
          <w:szCs w:val="22"/>
          <w:lang w:eastAsia="sk-SK"/>
        </w:rPr>
        <w:t>priebehu dvoch rokov.</w:t>
      </w:r>
    </w:p>
    <w:p w:rsidR="008742A8" w:rsidRPr="004C5551" w:rsidRDefault="008742A8" w:rsidP="001206CF">
      <w:pPr>
        <w:pStyle w:val="AAAodstavecsprava"/>
        <w:spacing w:after="0"/>
        <w:ind w:firstLine="431"/>
        <w:rPr>
          <w:sz w:val="22"/>
          <w:szCs w:val="22"/>
          <w:lang w:eastAsia="sk-SK"/>
        </w:rPr>
      </w:pPr>
      <w:r w:rsidRPr="004C5551">
        <w:rPr>
          <w:sz w:val="22"/>
          <w:szCs w:val="22"/>
          <w:lang w:eastAsia="sk-SK"/>
        </w:rPr>
        <w:t>Zákonom č. 383/2013 Z.</w:t>
      </w:r>
      <w:r w:rsidR="00090370" w:rsidRPr="004C5551">
        <w:rPr>
          <w:sz w:val="22"/>
          <w:szCs w:val="22"/>
          <w:lang w:eastAsia="sk-SK"/>
        </w:rPr>
        <w:t> </w:t>
      </w:r>
      <w:r w:rsidRPr="004C5551">
        <w:rPr>
          <w:sz w:val="22"/>
          <w:szCs w:val="22"/>
          <w:lang w:eastAsia="sk-SK"/>
        </w:rPr>
        <w:t>z. o príspevku pri narodení dieťaťa a príspevku na viac súčasne narodených detí sa s účinnosťou od 1. januára 2014</w:t>
      </w:r>
      <w:r w:rsidR="00073D95" w:rsidRPr="004C5551">
        <w:rPr>
          <w:sz w:val="22"/>
          <w:szCs w:val="22"/>
          <w:lang w:eastAsia="sk-SK"/>
        </w:rPr>
        <w:t xml:space="preserve"> </w:t>
      </w:r>
      <w:r w:rsidRPr="004C5551">
        <w:rPr>
          <w:sz w:val="22"/>
          <w:szCs w:val="22"/>
          <w:lang w:eastAsia="sk-SK"/>
        </w:rPr>
        <w:t>upravila suma príspevku</w:t>
      </w:r>
      <w:r w:rsidR="00073D95" w:rsidRPr="004C5551">
        <w:rPr>
          <w:sz w:val="22"/>
          <w:szCs w:val="22"/>
          <w:lang w:eastAsia="sk-SK"/>
        </w:rPr>
        <w:t xml:space="preserve"> </w:t>
      </w:r>
      <w:r w:rsidRPr="004C5551">
        <w:rPr>
          <w:sz w:val="22"/>
          <w:szCs w:val="22"/>
          <w:lang w:eastAsia="sk-SK"/>
        </w:rPr>
        <w:t xml:space="preserve">bez ohľadu na vek detí, a to na výšku 110,36 </w:t>
      </w:r>
      <w:r w:rsidR="002926E5" w:rsidRPr="004C5551">
        <w:rPr>
          <w:sz w:val="22"/>
          <w:szCs w:val="22"/>
          <w:lang w:eastAsia="sk-SK"/>
        </w:rPr>
        <w:t>eura</w:t>
      </w:r>
      <w:r w:rsidRPr="004C5551">
        <w:rPr>
          <w:sz w:val="22"/>
          <w:szCs w:val="22"/>
          <w:lang w:eastAsia="sk-SK"/>
        </w:rPr>
        <w:t xml:space="preserve"> na každé dieťa.</w:t>
      </w:r>
      <w:r w:rsidR="00BC0FE1" w:rsidRPr="004C5551">
        <w:rPr>
          <w:sz w:val="22"/>
          <w:szCs w:val="22"/>
          <w:lang w:eastAsia="sk-SK"/>
        </w:rPr>
        <w:t xml:space="preserve"> </w:t>
      </w:r>
      <w:r w:rsidR="00393B87" w:rsidRPr="004C5551">
        <w:rPr>
          <w:sz w:val="22"/>
          <w:szCs w:val="22"/>
          <w:lang w:eastAsia="sk-SK"/>
        </w:rPr>
        <w:t>Najmenej tri z detí však musia byť vo veku najviac 15 rokov, pritom sa sleduje veková hranica detí, ktoré sa narodili prvé v poradí.</w:t>
      </w:r>
    </w:p>
    <w:p w:rsidR="008742A8" w:rsidRPr="004C5551" w:rsidRDefault="008742A8" w:rsidP="001206CF">
      <w:pPr>
        <w:ind w:firstLine="431"/>
        <w:rPr>
          <w:szCs w:val="22"/>
        </w:rPr>
      </w:pPr>
      <w:r w:rsidRPr="004C5551">
        <w:rPr>
          <w:szCs w:val="22"/>
        </w:rPr>
        <w:t xml:space="preserve">V roku 2014 bolo 139 poberateľov tohto príspevku, čo oproti roku 2013 predstavuje pokles o 2 poberateľov. Spolu bolo na príspevok vynaložených 46 502 </w:t>
      </w:r>
      <w:r w:rsidR="000860E9" w:rsidRPr="004C5551">
        <w:rPr>
          <w:szCs w:val="22"/>
        </w:rPr>
        <w:t>eur</w:t>
      </w:r>
      <w:r w:rsidRPr="004C5551">
        <w:rPr>
          <w:szCs w:val="22"/>
        </w:rPr>
        <w:t>.</w:t>
      </w:r>
    </w:p>
    <w:p w:rsidR="00D84256" w:rsidRPr="004C5551" w:rsidRDefault="00D84256" w:rsidP="00ED16E0">
      <w:pPr>
        <w:pStyle w:val="Nadpis6"/>
      </w:pPr>
      <w:bookmarkStart w:id="590" w:name="_Toc356482708"/>
      <w:bookmarkStart w:id="591" w:name="_Toc422233430"/>
      <w:bookmarkEnd w:id="589"/>
      <w:r w:rsidRPr="004C5551">
        <w:t>Príspevok na pohreb</w:t>
      </w:r>
      <w:bookmarkEnd w:id="590"/>
      <w:bookmarkEnd w:id="591"/>
      <w:r w:rsidRPr="004C5551">
        <w:t xml:space="preserve"> </w:t>
      </w:r>
    </w:p>
    <w:p w:rsidR="00831899" w:rsidRPr="004C5551" w:rsidRDefault="00831899" w:rsidP="001206CF">
      <w:pPr>
        <w:ind w:firstLine="431"/>
      </w:pPr>
      <w:bookmarkStart w:id="592" w:name="_Toc356482709"/>
      <w:bookmarkStart w:id="593" w:name="_Toc356482817"/>
      <w:r w:rsidRPr="004C5551">
        <w:t xml:space="preserve">Príspevok na pohreb je s účinnosťou od 1. januára 1999 </w:t>
      </w:r>
      <w:r w:rsidRPr="004C5551">
        <w:rPr>
          <w:i/>
        </w:rPr>
        <w:t xml:space="preserve">jednorazová </w:t>
      </w:r>
      <w:r w:rsidRPr="004C5551">
        <w:t>dávka štátnej sociálnej podpory, legislatívne upravená zákonom č.238/1998 Z. z. o príspevku na pohreb. Uvedenou dávkou štát finančne prispieva na úhradu výdavkov spojených so zabezpečením pohrebu zomrelého.</w:t>
      </w:r>
    </w:p>
    <w:p w:rsidR="00831899" w:rsidRPr="004C5551" w:rsidRDefault="00831899" w:rsidP="001206CF">
      <w:pPr>
        <w:ind w:firstLine="431"/>
      </w:pPr>
      <w:r w:rsidRPr="004C5551">
        <w:t xml:space="preserve">V roku 2014 ostala výška príspevku na pohreb nezmenená, a to </w:t>
      </w:r>
      <w:r w:rsidRPr="004C5551">
        <w:rPr>
          <w:b/>
          <w:bCs/>
        </w:rPr>
        <w:t xml:space="preserve">79,67 </w:t>
      </w:r>
      <w:r w:rsidR="002926E5" w:rsidRPr="004C5551">
        <w:rPr>
          <w:b/>
          <w:bCs/>
        </w:rPr>
        <w:t>eura</w:t>
      </w:r>
      <w:r w:rsidRPr="004C5551">
        <w:t>. Príspevok bol v roku 2014 vyplatený spolu 48</w:t>
      </w:r>
      <w:r w:rsidR="004F51C7" w:rsidRPr="004C5551">
        <w:t> </w:t>
      </w:r>
      <w:r w:rsidR="00E511EC" w:rsidRPr="004C5551">
        <w:t>703</w:t>
      </w:r>
      <w:r w:rsidR="004F51C7" w:rsidRPr="004C5551">
        <w:t xml:space="preserve"> </w:t>
      </w:r>
      <w:r w:rsidRPr="004C5551">
        <w:t>občanom, čo je o 1 </w:t>
      </w:r>
      <w:r w:rsidR="002A69D6" w:rsidRPr="004C5551">
        <w:t>216</w:t>
      </w:r>
      <w:r w:rsidRPr="004C5551">
        <w:t xml:space="preserve"> poberateľov menej ako v roku 2013</w:t>
      </w:r>
      <w:r w:rsidR="00393B87" w:rsidRPr="004C5551">
        <w:t xml:space="preserve"> (pokles o 2,44 %)</w:t>
      </w:r>
      <w:r w:rsidRPr="004C5551">
        <w:t xml:space="preserve">. </w:t>
      </w:r>
    </w:p>
    <w:p w:rsidR="00831899" w:rsidRPr="004C5551" w:rsidRDefault="00831899" w:rsidP="001206CF">
      <w:pPr>
        <w:ind w:firstLine="431"/>
      </w:pPr>
      <w:r w:rsidRPr="004C5551">
        <w:t>Finančné prostriedky vyplatené na tento príspevok dosiahli sumu približne 3 900 tis. </w:t>
      </w:r>
      <w:r w:rsidR="000860E9" w:rsidRPr="004C5551">
        <w:t>eur</w:t>
      </w:r>
      <w:r w:rsidRPr="004C5551">
        <w:t xml:space="preserve"> </w:t>
      </w:r>
      <w:r w:rsidRPr="004C5551">
        <w:rPr>
          <w:szCs w:val="22"/>
        </w:rPr>
        <w:t xml:space="preserve">(medziročný </w:t>
      </w:r>
      <w:r w:rsidR="00393B87" w:rsidRPr="004C5551">
        <w:rPr>
          <w:szCs w:val="22"/>
        </w:rPr>
        <w:t>pokles</w:t>
      </w:r>
      <w:r w:rsidRPr="004C5551">
        <w:rPr>
          <w:szCs w:val="22"/>
        </w:rPr>
        <w:t xml:space="preserve"> </w:t>
      </w:r>
      <w:r w:rsidR="00393B87" w:rsidRPr="004C5551">
        <w:rPr>
          <w:szCs w:val="22"/>
        </w:rPr>
        <w:t xml:space="preserve">približne </w:t>
      </w:r>
      <w:r w:rsidRPr="004C5551">
        <w:rPr>
          <w:szCs w:val="22"/>
        </w:rPr>
        <w:t>o </w:t>
      </w:r>
      <w:r w:rsidR="00DB597B" w:rsidRPr="004C5551">
        <w:rPr>
          <w:szCs w:val="22"/>
        </w:rPr>
        <w:t>100</w:t>
      </w:r>
      <w:r w:rsidRPr="004C5551">
        <w:rPr>
          <w:szCs w:val="22"/>
        </w:rPr>
        <w:t xml:space="preserve"> tis. </w:t>
      </w:r>
      <w:r w:rsidR="000860E9" w:rsidRPr="004C5551">
        <w:rPr>
          <w:szCs w:val="22"/>
        </w:rPr>
        <w:t>eur</w:t>
      </w:r>
      <w:r w:rsidR="00393B87" w:rsidRPr="004C5551">
        <w:rPr>
          <w:szCs w:val="22"/>
        </w:rPr>
        <w:t>, t.j. 2,5 %</w:t>
      </w:r>
      <w:r w:rsidRPr="004C5551">
        <w:rPr>
          <w:szCs w:val="22"/>
        </w:rPr>
        <w:t>)</w:t>
      </w:r>
      <w:r w:rsidRPr="004C5551">
        <w:t>. Počet poberateľov príspevku je ovplyvnený len demografickým ukazovateľom – úmrtnosťou obyvateľov, ktorí majú na území Slovenskej republiky trvalý alebo prechodný pobyt.</w:t>
      </w:r>
    </w:p>
    <w:p w:rsidR="0042129B" w:rsidRPr="004C5551" w:rsidRDefault="0042129B">
      <w:pPr>
        <w:jc w:val="left"/>
        <w:rPr>
          <w:rFonts w:ascii="Times New Roman Bold" w:hAnsi="Times New Roman Bold"/>
          <w:b/>
          <w:bCs/>
          <w:iCs/>
          <w:color w:val="365F91"/>
          <w:sz w:val="28"/>
          <w:szCs w:val="22"/>
          <w:lang w:eastAsia="cs-CZ"/>
        </w:rPr>
      </w:pPr>
      <w:r w:rsidRPr="004C5551">
        <w:br w:type="page"/>
      </w:r>
    </w:p>
    <w:p w:rsidR="00156B84" w:rsidRPr="004C5551" w:rsidRDefault="00156B84" w:rsidP="00C27C1E">
      <w:pPr>
        <w:pStyle w:val="nadpis2"/>
      </w:pPr>
      <w:bookmarkStart w:id="594" w:name="_Toc326217040"/>
      <w:bookmarkStart w:id="595" w:name="_Toc422233431"/>
      <w:bookmarkStart w:id="596" w:name="_Toc294027393"/>
      <w:bookmarkStart w:id="597" w:name="_Toc294029632"/>
      <w:bookmarkStart w:id="598" w:name="_Toc313879123"/>
      <w:bookmarkStart w:id="599" w:name="_Toc325438199"/>
      <w:bookmarkStart w:id="600" w:name="_Toc325440968"/>
      <w:bookmarkStart w:id="601" w:name="_Toc325626781"/>
      <w:bookmarkStart w:id="602" w:name="_Toc326217042"/>
      <w:bookmarkEnd w:id="592"/>
      <w:bookmarkEnd w:id="593"/>
      <w:r w:rsidRPr="004C5551">
        <w:t>Sociálna pomoc</w:t>
      </w:r>
      <w:bookmarkEnd w:id="594"/>
      <w:bookmarkEnd w:id="595"/>
      <w:r w:rsidRPr="004C5551">
        <w:t xml:space="preserve"> </w:t>
      </w:r>
    </w:p>
    <w:p w:rsidR="00BD28BD" w:rsidRPr="004C5551" w:rsidRDefault="00BD28BD" w:rsidP="001206CF">
      <w:pPr>
        <w:ind w:firstLine="431"/>
        <w:rPr>
          <w:lang w:eastAsia="en-US"/>
        </w:rPr>
      </w:pPr>
      <w:r w:rsidRPr="004C5551">
        <w:rPr>
          <w:lang w:eastAsia="en-US"/>
        </w:rPr>
        <w:t xml:space="preserve">Nasledujúca kapitola obsahuje prehľad o poskytovaní sociálnej pomoci prostredníctvom pomoci v hmotnej núdzi, kompenzácií sociálnych dôsledkov ťažkého zdravotného postihnutia, podpory náhradnej starostlivosti o deti pod., ako aj výdavkov vynaložených na jej zabezpečenie v rámci rozpočtovej kapitoly MPSVR SR, (viď tabuľka </w:t>
      </w:r>
      <w:r w:rsidR="00CA61C8" w:rsidRPr="004C5551">
        <w:rPr>
          <w:lang w:eastAsia="en-US"/>
        </w:rPr>
        <w:t>3</w:t>
      </w:r>
      <w:r w:rsidR="00DA6CD1" w:rsidRPr="004C5551">
        <w:rPr>
          <w:lang w:eastAsia="en-US"/>
        </w:rPr>
        <w:t>7</w:t>
      </w:r>
      <w:r w:rsidRPr="004C5551">
        <w:rPr>
          <w:lang w:eastAsia="en-US"/>
        </w:rPr>
        <w:t xml:space="preserve">, príloha ku kapitole 3). </w:t>
      </w:r>
    </w:p>
    <w:p w:rsidR="00BD28BD" w:rsidRPr="004C5551" w:rsidRDefault="00BD28BD" w:rsidP="001206CF">
      <w:pPr>
        <w:ind w:firstLine="431"/>
        <w:rPr>
          <w:lang w:eastAsia="en-US"/>
        </w:rPr>
      </w:pPr>
      <w:r w:rsidRPr="004C5551">
        <w:rPr>
          <w:lang w:eastAsia="en-US"/>
        </w:rPr>
        <w:t xml:space="preserve">Vplyv na vývoj situácie v rámci systému sociálnej pomoci, pozostávajúceho z vyššie uvedených oblastí, ale aj štátnych sociálnych dávok, má aj úprava súm životného minima v zmysle zákona č. 601/2003 Z. z. o životnom minime a o zmene a doplnení niektorých zákonov v znení neskorších predpisov. Vzhľadom na vývoj indexov, ktorými sa upravujú sumy životného minima podľa taxatívne vymedzených pravidiel daných citovaným zákonom, bola s účinnosťou </w:t>
      </w:r>
      <w:r w:rsidR="00381844" w:rsidRPr="004C5551">
        <w:rPr>
          <w:lang w:eastAsia="en-US"/>
        </w:rPr>
        <w:t>od </w:t>
      </w:r>
      <w:r w:rsidRPr="004C5551">
        <w:rPr>
          <w:lang w:eastAsia="en-US"/>
        </w:rPr>
        <w:t xml:space="preserve">1. júla 2014 prijatá úprava mechanizmu valorizácie súm životného minima. Systém valorizácie súm životného minima </w:t>
      </w:r>
      <w:r w:rsidR="00D772D6" w:rsidRPr="004C5551">
        <w:rPr>
          <w:lang w:eastAsia="en-US"/>
        </w:rPr>
        <w:t>bol nastavený</w:t>
      </w:r>
      <w:r w:rsidRPr="004C5551">
        <w:rPr>
          <w:lang w:eastAsia="en-US"/>
        </w:rPr>
        <w:t xml:space="preserve"> tak, aby nedošlo k zníženiu životnej úrovne obyvateľstva, predovšetkým poberateľov jednotlivých dávok v rámci sociálnej pomoci, ako aj štátnych sociálnych dávok, či iných systémových opatrení dotýkajúcich sa širokej skupiny obyvateľstva. </w:t>
      </w:r>
    </w:p>
    <w:p w:rsidR="00156B84" w:rsidRPr="004C5551" w:rsidRDefault="00156B84" w:rsidP="00C27C1E">
      <w:pPr>
        <w:pStyle w:val="Nadpis6"/>
      </w:pPr>
      <w:bookmarkStart w:id="603" w:name="_Toc422233432"/>
      <w:r w:rsidRPr="004C5551">
        <w:t>Pomoc v hmotnej núdzi</w:t>
      </w:r>
      <w:bookmarkEnd w:id="603"/>
      <w:r w:rsidRPr="004C5551">
        <w:t xml:space="preserve"> </w:t>
      </w:r>
    </w:p>
    <w:p w:rsidR="00BD28BD" w:rsidRPr="004C5551" w:rsidRDefault="00BD28BD" w:rsidP="001206CF">
      <w:pPr>
        <w:ind w:firstLine="431"/>
        <w:rPr>
          <w:rStyle w:val="Textzstupnhosymbolu"/>
          <w:color w:val="000000"/>
        </w:rPr>
      </w:pPr>
      <w:bookmarkStart w:id="604" w:name="_Toc356482722"/>
      <w:bookmarkEnd w:id="596"/>
      <w:bookmarkEnd w:id="597"/>
      <w:bookmarkEnd w:id="598"/>
      <w:bookmarkEnd w:id="599"/>
      <w:bookmarkEnd w:id="600"/>
      <w:bookmarkEnd w:id="601"/>
      <w:bookmarkEnd w:id="602"/>
      <w:r w:rsidRPr="004C5551">
        <w:t xml:space="preserve">S účinnosťou od 1. januára 2014 sa pomoc v hmotnej núdzi upravuje zákonom č. 417/2013 Z. z. o pomoci v hmotnej núdzi a o zmene a doplnení niektorých zákonov v znení neskorších predpisov. Zákon vychádza z filozofie motivácie a aktívnej účasti členov domácností </w:t>
      </w:r>
      <w:r w:rsidR="00381844" w:rsidRPr="004C5551">
        <w:t>na </w:t>
      </w:r>
      <w:r w:rsidRPr="004C5551">
        <w:t>riešení svojej nepriaznivej sociálnej situácie. Cieľom zákona je zabezpečiť adresnosť, zásluhovosť ako aj ochranu tých, ktorí si vlastným pričinením nemôžu alebo nevedia zabezpečiť, alebo zvýšiť príjem vlastnou prácou,</w:t>
      </w:r>
      <w:r w:rsidRPr="004C5551">
        <w:rPr>
          <w:rStyle w:val="Textzstupnhosymbolu"/>
          <w:color w:val="000000"/>
        </w:rPr>
        <w:t xml:space="preserve"> pričom sa vychádza z ústavnej garancie zabezpečenia základných životných podmienok.</w:t>
      </w:r>
      <w:r w:rsidR="005F5232" w:rsidRPr="004C5551">
        <w:rPr>
          <w:rStyle w:val="Textzstupnhosymbolu"/>
          <w:color w:val="000000"/>
        </w:rPr>
        <w:t xml:space="preserve"> Paralelným cieľom </w:t>
      </w:r>
      <w:r w:rsidR="00D44A84" w:rsidRPr="004C5551">
        <w:rPr>
          <w:rStyle w:val="Textzstupnhosymbolu"/>
          <w:color w:val="000000"/>
        </w:rPr>
        <w:t xml:space="preserve">je </w:t>
      </w:r>
      <w:r w:rsidR="005F5232" w:rsidRPr="004C5551">
        <w:rPr>
          <w:rStyle w:val="Textzstupnhosymbolu"/>
          <w:color w:val="000000"/>
        </w:rPr>
        <w:t>aj motivovať dlhodobo nezamestnané osoby, ktorým sa poskytuje pomoc v</w:t>
      </w:r>
      <w:r w:rsidR="00AF3FB8" w:rsidRPr="004C5551">
        <w:rPr>
          <w:rStyle w:val="Textzstupnhosymbolu"/>
          <w:color w:val="000000"/>
        </w:rPr>
        <w:t> </w:t>
      </w:r>
      <w:r w:rsidR="005F5232" w:rsidRPr="004C5551">
        <w:rPr>
          <w:rStyle w:val="Textzstupnhosymbolu"/>
          <w:color w:val="000000"/>
        </w:rPr>
        <w:t>hmotnej núdzi, uplatniť sa na trhu práce resp. zamestnať sa aj za nižšiu mzdu.</w:t>
      </w:r>
      <w:r w:rsidR="003D4864" w:rsidRPr="004C5551">
        <w:rPr>
          <w:rStyle w:val="Textzstupnhosymbolu"/>
          <w:color w:val="000000"/>
        </w:rPr>
        <w:t xml:space="preserve"> </w:t>
      </w:r>
      <w:r w:rsidR="005F5232" w:rsidRPr="004C5551">
        <w:rPr>
          <w:rStyle w:val="Textzstupnhosymbolu"/>
          <w:color w:val="000000"/>
        </w:rPr>
        <w:t>Novým zákonom sa zároveň zjednodušil systém poskytovania pomoci v hmotnej núdzi.</w:t>
      </w:r>
      <w:r w:rsidRPr="004C5551">
        <w:rPr>
          <w:rStyle w:val="Textzstupnhosymbolu"/>
          <w:color w:val="000000"/>
        </w:rPr>
        <w:t xml:space="preserve"> </w:t>
      </w:r>
    </w:p>
    <w:p w:rsidR="005F5232" w:rsidRPr="004C5551" w:rsidRDefault="00EF6A9C" w:rsidP="00EF6A9C">
      <w:pPr>
        <w:ind w:firstLine="431"/>
      </w:pPr>
      <w:r w:rsidRPr="004C5551">
        <w:t xml:space="preserve">Zásluhovosť v novom zákone </w:t>
      </w:r>
      <w:r w:rsidR="00EB337E" w:rsidRPr="004C5551">
        <w:t xml:space="preserve">konkrétne </w:t>
      </w:r>
      <w:r w:rsidRPr="004C5551">
        <w:t>spočíva</w:t>
      </w:r>
      <w:r w:rsidR="00920B91" w:rsidRPr="004C5551">
        <w:t xml:space="preserve"> </w:t>
      </w:r>
      <w:r w:rsidRPr="004C5551">
        <w:t>v zavedení povinnosti plnoletej práceschopnej osobe zúčastniť sa a vykonávať činnosti (menších obecných</w:t>
      </w:r>
      <w:r w:rsidR="003D4864" w:rsidRPr="004C5551">
        <w:t xml:space="preserve"> </w:t>
      </w:r>
      <w:r w:rsidRPr="004C5551">
        <w:t>služieb pre obec alebo rozpočtových a príspevkových organizácií, ktorých zriaďovateľom je obec, dobrovoľníckej činnosti alebo prác na</w:t>
      </w:r>
      <w:r w:rsidR="00AF3FB8" w:rsidRPr="004C5551">
        <w:t> </w:t>
      </w:r>
      <w:r w:rsidRPr="004C5551">
        <w:t>predchádzanie mimoriadnej situácie), a</w:t>
      </w:r>
      <w:r w:rsidR="003D4864" w:rsidRPr="004C5551">
        <w:t> </w:t>
      </w:r>
      <w:r w:rsidRPr="004C5551">
        <w:t>to</w:t>
      </w:r>
      <w:r w:rsidR="003D4864" w:rsidRPr="004C5551">
        <w:t xml:space="preserve"> </w:t>
      </w:r>
      <w:r w:rsidRPr="004C5551">
        <w:t xml:space="preserve">minimálne 32 hodín mesačne, za podmienky, že činnosť </w:t>
      </w:r>
      <w:r w:rsidR="00EB337E" w:rsidRPr="004C5551">
        <w:t xml:space="preserve">bude </w:t>
      </w:r>
      <w:r w:rsidRPr="004C5551">
        <w:t xml:space="preserve">fyzickej osobe ponúknutá. Nový zákon rozširuje poskytovanie príspevku na bývanie </w:t>
      </w:r>
      <w:r w:rsidR="00BC0FE1" w:rsidRPr="004C5551">
        <w:t>širšiemu</w:t>
      </w:r>
      <w:r w:rsidRPr="004C5551">
        <w:t xml:space="preserve"> okruhu osôb v hmotnej núdzi</w:t>
      </w:r>
      <w:r w:rsidR="00920B91" w:rsidRPr="004C5551">
        <w:t xml:space="preserve"> (napr. do zariadení sociálnych služieb ako napr. do útulku, domovov na</w:t>
      </w:r>
      <w:r w:rsidR="00AF3FB8" w:rsidRPr="004C5551">
        <w:t> </w:t>
      </w:r>
      <w:r w:rsidR="00920B91" w:rsidRPr="004C5551">
        <w:t>pol ceste</w:t>
      </w:r>
      <w:r w:rsidR="00920B91" w:rsidRPr="004C5551" w:rsidDel="00EF6A9C">
        <w:t xml:space="preserve"> </w:t>
      </w:r>
      <w:r w:rsidR="00920B91" w:rsidRPr="004C5551">
        <w:t>alebo do zariadení sociálno-právnej ochrany detí a sociálnej kurately napr. krízového strediska). Upravili sa podmienky nároku na aktivačný príspevok</w:t>
      </w:r>
      <w:r w:rsidR="00890CAD" w:rsidRPr="004C5551">
        <w:t xml:space="preserve">, pričom sa rozšírila možnosť jeho poberania aj pre pracujúcich s nízkymi mzdami (minimálne na úrovni minimálnej mzdy). </w:t>
      </w:r>
      <w:r w:rsidR="005F5232" w:rsidRPr="004C5551">
        <w:t xml:space="preserve">Ďalšie zmeny sa týkali </w:t>
      </w:r>
      <w:r w:rsidR="00890CAD" w:rsidRPr="004C5551">
        <w:t xml:space="preserve">úpravy ochranného príspevku a jeho rozšírenia aj pre tehotné ženy a rodičov </w:t>
      </w:r>
      <w:r w:rsidR="005F5232" w:rsidRPr="004C5551">
        <w:t xml:space="preserve">dieťaťa do </w:t>
      </w:r>
      <w:r w:rsidR="00890CAD" w:rsidRPr="004C5551">
        <w:t>jedného roka</w:t>
      </w:r>
      <w:r w:rsidR="005F5232" w:rsidRPr="004C5551">
        <w:t xml:space="preserve">, </w:t>
      </w:r>
      <w:r w:rsidR="007A4121" w:rsidRPr="004C5551">
        <w:t>ktorým sa pôvodne poskytovala zvýšená dávka. Zaviedol sa príspevok na</w:t>
      </w:r>
      <w:r w:rsidR="00AF3FB8" w:rsidRPr="004C5551">
        <w:t> </w:t>
      </w:r>
      <w:r w:rsidR="007A4121" w:rsidRPr="004C5551">
        <w:t xml:space="preserve">nezaopatrené dieťa, ktorý nahrádza dávku </w:t>
      </w:r>
      <w:r w:rsidR="005F5232" w:rsidRPr="004C5551">
        <w:t>pre dieťa, ktoré</w:t>
      </w:r>
      <w:r w:rsidR="00FC220F" w:rsidRPr="004C5551">
        <w:t xml:space="preserve"> si</w:t>
      </w:r>
      <w:r w:rsidR="005F5232" w:rsidRPr="004C5551">
        <w:t xml:space="preserve"> plní povinnú školskú dochádzku. </w:t>
      </w:r>
      <w:r w:rsidR="00EB337E" w:rsidRPr="004C5551">
        <w:t xml:space="preserve">Zrušenie príspevku na zdravotnú starostlivosť bolo sprevádzané zvýšením súm dávky v hmotnej núdzi. </w:t>
      </w:r>
      <w:r w:rsidR="005F5232" w:rsidRPr="004C5551">
        <w:t xml:space="preserve">Zároveň sa zaviedol osobitný príspevok, ktorý </w:t>
      </w:r>
      <w:r w:rsidR="007A4121" w:rsidRPr="004C5551">
        <w:t>je zameraný na podporu uplatnenia sa na trhu práce, a to priamo na začlenenie sa do pracovného pomeru alebo obdobného pracovného vzťahu pre tých, ktorí sú dlhodobo nezamestnaní v produktívnom veku v systéme pomoci v hmotnej núdzi.</w:t>
      </w:r>
      <w:r w:rsidR="003D4864" w:rsidRPr="004C5551">
        <w:t xml:space="preserve"> </w:t>
      </w:r>
    </w:p>
    <w:p w:rsidR="00BE4E77" w:rsidRPr="004C5551" w:rsidRDefault="00BD28BD" w:rsidP="007A4121">
      <w:pPr>
        <w:ind w:firstLine="431"/>
      </w:pPr>
      <w:r w:rsidRPr="004C5551">
        <w:t xml:space="preserve">Pomoc v hmotnej núdzi je </w:t>
      </w:r>
      <w:r w:rsidR="00B02F12" w:rsidRPr="004C5551">
        <w:t xml:space="preserve">dávka v hmotnej núdzi </w:t>
      </w:r>
      <w:r w:rsidRPr="004C5551">
        <w:t xml:space="preserve">stanovená na šiestich úrovniach, ochranný príspevok, aktivačný príspevok, </w:t>
      </w:r>
      <w:r w:rsidR="00B02F12" w:rsidRPr="004C5551">
        <w:t>príspevok na nezaopatrené dieťa a</w:t>
      </w:r>
      <w:r w:rsidRPr="004C5551">
        <w:t xml:space="preserve"> príspevok na bývanie. Poskytuje sa domácnosti v hmotnej núdzi za taxatívne vymedzených podmienok v citovanom zákone o pomoci v hmotnej núdzi. </w:t>
      </w:r>
      <w:r w:rsidR="005F5232" w:rsidRPr="004C5551">
        <w:t>S účinnosťou od 1. januára 2014 sa prijatím nového zákona upravili aj sumy dávky v</w:t>
      </w:r>
      <w:r w:rsidR="00AF3FB8" w:rsidRPr="004C5551">
        <w:t> </w:t>
      </w:r>
      <w:r w:rsidR="005F5232" w:rsidRPr="004C5551">
        <w:t>hmotnej núdzi.</w:t>
      </w:r>
    </w:p>
    <w:p w:rsidR="00AF3FB8" w:rsidRPr="004C5551" w:rsidRDefault="00AF3FB8">
      <w:pPr>
        <w:jc w:val="left"/>
        <w:rPr>
          <w:b/>
          <w:i/>
        </w:rPr>
      </w:pPr>
      <w:r w:rsidRPr="004C5551">
        <w:rPr>
          <w:i/>
        </w:rPr>
        <w:br w:type="page"/>
      </w:r>
    </w:p>
    <w:p w:rsidR="00BD28BD" w:rsidRPr="004C5551" w:rsidRDefault="00BD28BD" w:rsidP="00673F6C">
      <w:pPr>
        <w:pStyle w:val="Nadpis7"/>
        <w:rPr>
          <w:i/>
        </w:rPr>
      </w:pPr>
      <w:r w:rsidRPr="004C5551">
        <w:rPr>
          <w:i/>
        </w:rPr>
        <w:t>Sumy pomoci v hmotnej núdzi a osobitného príspevku platné v roku 2014</w:t>
      </w:r>
    </w:p>
    <w:tbl>
      <w:tblPr>
        <w:tblStyle w:val="Mriekatabuky"/>
        <w:tblW w:w="0" w:type="auto"/>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none" w:sz="0" w:space="0" w:color="auto"/>
        </w:tblBorders>
        <w:tblLook w:val="04A0" w:firstRow="1" w:lastRow="0" w:firstColumn="1" w:lastColumn="0" w:noHBand="0" w:noVBand="1"/>
      </w:tblPr>
      <w:tblGrid>
        <w:gridCol w:w="7792"/>
        <w:gridCol w:w="1270"/>
      </w:tblGrid>
      <w:tr w:rsidR="008B4FD9" w:rsidRPr="004C5551" w:rsidTr="00490821">
        <w:tc>
          <w:tcPr>
            <w:tcW w:w="7792" w:type="dxa"/>
            <w:shd w:val="clear" w:color="auto" w:fill="BF0000" w:themeFill="accent3" w:themeFillShade="BF"/>
          </w:tcPr>
          <w:p w:rsidR="008B4FD9" w:rsidRPr="004C5551" w:rsidRDefault="008B4FD9" w:rsidP="00490821">
            <w:pPr>
              <w:ind w:firstLine="0"/>
              <w:jc w:val="left"/>
            </w:pPr>
            <w:r w:rsidRPr="004C5551">
              <w:rPr>
                <w:b/>
                <w:color w:val="FFFFFF" w:themeColor="background1"/>
              </w:rPr>
              <w:t>DÁVKA V HMOTNEJ NÚDZI</w:t>
            </w:r>
            <w:r w:rsidRPr="004C5551">
              <w:rPr>
                <w:color w:val="FFFFFF" w:themeColor="background1"/>
              </w:rPr>
              <w:t>:</w:t>
            </w:r>
          </w:p>
        </w:tc>
        <w:tc>
          <w:tcPr>
            <w:tcW w:w="1270" w:type="dxa"/>
            <w:shd w:val="clear" w:color="auto" w:fill="BF0000" w:themeFill="accent3" w:themeFillShade="BF"/>
          </w:tcPr>
          <w:p w:rsidR="008B4FD9" w:rsidRPr="004C5551" w:rsidRDefault="008B4FD9" w:rsidP="00490821">
            <w:pPr>
              <w:rPr>
                <w:i/>
              </w:rPr>
            </w:pP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jednotlivec</w:t>
            </w:r>
          </w:p>
        </w:tc>
        <w:tc>
          <w:tcPr>
            <w:tcW w:w="1270" w:type="dxa"/>
            <w:shd w:val="clear" w:color="auto" w:fill="auto"/>
          </w:tcPr>
          <w:p w:rsidR="008B4FD9" w:rsidRPr="004C5551" w:rsidRDefault="008B4FD9" w:rsidP="00490821">
            <w:pPr>
              <w:jc w:val="right"/>
            </w:pPr>
            <w:r w:rsidRPr="004C5551">
              <w:t>61,60 €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jednotlivec s dieťaťom alebo najviac so štyrmi deťmi</w:t>
            </w:r>
          </w:p>
        </w:tc>
        <w:tc>
          <w:tcPr>
            <w:tcW w:w="1270" w:type="dxa"/>
            <w:shd w:val="clear" w:color="auto" w:fill="auto"/>
          </w:tcPr>
          <w:p w:rsidR="008B4FD9" w:rsidRPr="004C5551" w:rsidRDefault="008B4FD9" w:rsidP="00490821">
            <w:pPr>
              <w:jc w:val="center"/>
            </w:pPr>
            <w:r w:rsidRPr="004C5551">
              <w:t>117,20 €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jednotlivec s viac ako štyrmi deťmi</w:t>
            </w:r>
          </w:p>
        </w:tc>
        <w:tc>
          <w:tcPr>
            <w:tcW w:w="1270" w:type="dxa"/>
            <w:shd w:val="clear" w:color="auto" w:fill="auto"/>
          </w:tcPr>
          <w:p w:rsidR="008B4FD9" w:rsidRPr="004C5551" w:rsidRDefault="008B4FD9" w:rsidP="00490821">
            <w:pPr>
              <w:jc w:val="center"/>
            </w:pPr>
            <w:r w:rsidRPr="004C5551">
              <w:t>171,20 €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dvojica bez detí</w:t>
            </w:r>
          </w:p>
        </w:tc>
        <w:tc>
          <w:tcPr>
            <w:tcW w:w="1270" w:type="dxa"/>
            <w:shd w:val="clear" w:color="auto" w:fill="auto"/>
          </w:tcPr>
          <w:p w:rsidR="008B4FD9" w:rsidRPr="004C5551" w:rsidRDefault="008B4FD9" w:rsidP="00490821">
            <w:pPr>
              <w:jc w:val="center"/>
            </w:pPr>
            <w:r w:rsidRPr="004C5551">
              <w:t>107,10 €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dvojica s dieťaťom alebo najviac so štyrmi deťmi</w:t>
            </w:r>
          </w:p>
        </w:tc>
        <w:tc>
          <w:tcPr>
            <w:tcW w:w="1270" w:type="dxa"/>
            <w:shd w:val="clear" w:color="auto" w:fill="auto"/>
          </w:tcPr>
          <w:p w:rsidR="008B4FD9" w:rsidRPr="004C5551" w:rsidRDefault="008B4FD9" w:rsidP="00490821">
            <w:pPr>
              <w:jc w:val="center"/>
            </w:pPr>
            <w:r w:rsidRPr="004C5551">
              <w:t>160,40 €</w:t>
            </w:r>
          </w:p>
        </w:tc>
      </w:tr>
      <w:tr w:rsidR="008B4FD9" w:rsidRPr="004C5551" w:rsidTr="00490821">
        <w:tc>
          <w:tcPr>
            <w:tcW w:w="7792" w:type="dxa"/>
            <w:tcBorders>
              <w:bottom w:val="single" w:sz="8" w:space="0" w:color="BF0000" w:themeColor="accent3" w:themeShade="BF"/>
            </w:tcBorders>
            <w:shd w:val="clear" w:color="auto" w:fill="auto"/>
          </w:tcPr>
          <w:p w:rsidR="008B4FD9" w:rsidRPr="004C5551" w:rsidRDefault="008B4FD9" w:rsidP="00490821">
            <w:pPr>
              <w:pStyle w:val="Odsekzoznamu"/>
              <w:numPr>
                <w:ilvl w:val="0"/>
                <w:numId w:val="14"/>
              </w:numPr>
              <w:ind w:left="142" w:hanging="142"/>
              <w:contextualSpacing/>
            </w:pPr>
            <w:r w:rsidRPr="004C5551">
              <w:t>dvojica s viac ako štyrmi deťmi</w:t>
            </w:r>
          </w:p>
        </w:tc>
        <w:tc>
          <w:tcPr>
            <w:tcW w:w="1270" w:type="dxa"/>
            <w:tcBorders>
              <w:bottom w:val="single" w:sz="8" w:space="0" w:color="BF0000" w:themeColor="accent3" w:themeShade="BF"/>
            </w:tcBorders>
            <w:shd w:val="clear" w:color="auto" w:fill="auto"/>
          </w:tcPr>
          <w:p w:rsidR="008B4FD9" w:rsidRPr="004C5551" w:rsidRDefault="008B4FD9" w:rsidP="00490821">
            <w:pPr>
              <w:jc w:val="center"/>
            </w:pPr>
            <w:r w:rsidRPr="004C5551">
              <w:t>216,10 €</w:t>
            </w:r>
          </w:p>
        </w:tc>
      </w:tr>
      <w:tr w:rsidR="008B4FD9" w:rsidRPr="004C5551" w:rsidTr="00490821">
        <w:trPr>
          <w:trHeight w:val="270"/>
        </w:trPr>
        <w:tc>
          <w:tcPr>
            <w:tcW w:w="7792" w:type="dxa"/>
            <w:shd w:val="clear" w:color="auto" w:fill="BF0000" w:themeFill="accent3" w:themeFillShade="BF"/>
          </w:tcPr>
          <w:p w:rsidR="008B4FD9" w:rsidRPr="004C5551" w:rsidRDefault="008B4FD9" w:rsidP="00490821">
            <w:pPr>
              <w:ind w:firstLine="0"/>
              <w:jc w:val="left"/>
              <w:rPr>
                <w:b/>
                <w:color w:val="FFFFFF" w:themeColor="background1"/>
              </w:rPr>
            </w:pPr>
            <w:r w:rsidRPr="004C5551">
              <w:rPr>
                <w:b/>
                <w:color w:val="FFFFFF" w:themeColor="background1"/>
              </w:rPr>
              <w:t>PRÍSPEVKY K DÁVKE V HMOTNEJ NÚDZI</w:t>
            </w:r>
          </w:p>
        </w:tc>
        <w:tc>
          <w:tcPr>
            <w:tcW w:w="1270" w:type="dxa"/>
            <w:shd w:val="clear" w:color="auto" w:fill="BF0000" w:themeFill="accent3" w:themeFillShade="BF"/>
          </w:tcPr>
          <w:p w:rsidR="008B4FD9" w:rsidRPr="004C5551" w:rsidRDefault="008B4FD9" w:rsidP="00490821">
            <w:pPr>
              <w:ind w:firstLine="0"/>
              <w:jc w:val="left"/>
              <w:rPr>
                <w:b/>
                <w:color w:val="FFFFFF" w:themeColor="background1"/>
              </w:rPr>
            </w:pPr>
          </w:p>
        </w:tc>
      </w:tr>
      <w:tr w:rsidR="008B4FD9" w:rsidRPr="004C5551" w:rsidTr="00490821">
        <w:trPr>
          <w:trHeight w:val="270"/>
        </w:trPr>
        <w:tc>
          <w:tcPr>
            <w:tcW w:w="7792" w:type="dxa"/>
            <w:shd w:val="clear" w:color="auto" w:fill="auto"/>
          </w:tcPr>
          <w:p w:rsidR="008B4FD9" w:rsidRPr="004C5551" w:rsidRDefault="008B4FD9" w:rsidP="00490821">
            <w:pPr>
              <w:ind w:firstLine="0"/>
              <w:rPr>
                <w:i/>
              </w:rPr>
            </w:pPr>
            <w:r w:rsidRPr="004C5551">
              <w:rPr>
                <w:i/>
              </w:rPr>
              <w:t>OCHRANNÝ PRÍSPEVOK:</w:t>
            </w:r>
          </w:p>
        </w:tc>
        <w:tc>
          <w:tcPr>
            <w:tcW w:w="1270" w:type="dxa"/>
            <w:shd w:val="clear" w:color="auto" w:fill="auto"/>
          </w:tcPr>
          <w:p w:rsidR="008B4FD9" w:rsidRPr="004C5551" w:rsidRDefault="008B4FD9" w:rsidP="00490821">
            <w:pPr>
              <w:rPr>
                <w:i/>
              </w:rPr>
            </w:pP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rPr>
                <w:i/>
              </w:rPr>
            </w:pPr>
            <w:r w:rsidRPr="004C5551">
              <w:t xml:space="preserve">pre člena domácnosti podľa § 7 ods. 2 písm. a), b), d) až f) </w:t>
            </w:r>
          </w:p>
        </w:tc>
        <w:tc>
          <w:tcPr>
            <w:tcW w:w="1270" w:type="dxa"/>
            <w:shd w:val="clear" w:color="auto" w:fill="auto"/>
          </w:tcPr>
          <w:p w:rsidR="008B4FD9" w:rsidRPr="004C5551" w:rsidRDefault="008B4FD9" w:rsidP="00490821">
            <w:pPr>
              <w:jc w:val="center"/>
              <w:rPr>
                <w:i/>
              </w:rPr>
            </w:pPr>
            <w:r w:rsidRPr="004C5551">
              <w:rPr>
                <w:i/>
              </w:rPr>
              <w:t>63,07 €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pre člena domácnosti podľa § 7 ods. 2 písm. h) – (nepriaznivý zdravotný stav)</w:t>
            </w:r>
          </w:p>
        </w:tc>
        <w:tc>
          <w:tcPr>
            <w:tcW w:w="1270" w:type="dxa"/>
            <w:shd w:val="clear" w:color="auto" w:fill="auto"/>
          </w:tcPr>
          <w:p w:rsidR="008B4FD9" w:rsidRPr="004C5551" w:rsidRDefault="008B4FD9" w:rsidP="00490821">
            <w:pPr>
              <w:jc w:val="center"/>
              <w:rPr>
                <w:i/>
              </w:rPr>
            </w:pPr>
            <w:r w:rsidRPr="004C5551">
              <w:rPr>
                <w:i/>
              </w:rPr>
              <w:t>34,69 €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 xml:space="preserve">pre člena domácnosti, ktorým je tehotná žena </w:t>
            </w:r>
          </w:p>
        </w:tc>
        <w:tc>
          <w:tcPr>
            <w:tcW w:w="1270" w:type="dxa"/>
            <w:shd w:val="clear" w:color="auto" w:fill="auto"/>
          </w:tcPr>
          <w:p w:rsidR="008B4FD9" w:rsidRPr="004C5551" w:rsidRDefault="008B4FD9" w:rsidP="00490821">
            <w:pPr>
              <w:jc w:val="center"/>
              <w:rPr>
                <w:i/>
              </w:rPr>
            </w:pPr>
            <w:r w:rsidRPr="004C5551">
              <w:rPr>
                <w:i/>
              </w:rPr>
              <w:t>13,50 €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pre člena domácnosti, ktorým je rodič dieťaťa do jedného roku veku</w:t>
            </w:r>
          </w:p>
        </w:tc>
        <w:tc>
          <w:tcPr>
            <w:tcW w:w="1270" w:type="dxa"/>
            <w:shd w:val="clear" w:color="auto" w:fill="auto"/>
          </w:tcPr>
          <w:p w:rsidR="008B4FD9" w:rsidRPr="004C5551" w:rsidRDefault="008B4FD9" w:rsidP="00490821">
            <w:pPr>
              <w:jc w:val="center"/>
              <w:rPr>
                <w:i/>
              </w:rPr>
            </w:pPr>
            <w:r w:rsidRPr="004C5551">
              <w:rPr>
                <w:i/>
              </w:rPr>
              <w:t>13,50 €</w:t>
            </w:r>
          </w:p>
        </w:tc>
      </w:tr>
      <w:tr w:rsidR="008B4FD9" w:rsidRPr="004C5551" w:rsidTr="00490821">
        <w:tc>
          <w:tcPr>
            <w:tcW w:w="7792" w:type="dxa"/>
            <w:shd w:val="clear" w:color="auto" w:fill="auto"/>
          </w:tcPr>
          <w:p w:rsidR="008B4FD9" w:rsidRPr="004C5551" w:rsidRDefault="008B4FD9" w:rsidP="00490821">
            <w:pPr>
              <w:ind w:firstLine="0"/>
              <w:rPr>
                <w:i/>
              </w:rPr>
            </w:pPr>
            <w:r w:rsidRPr="004C5551">
              <w:rPr>
                <w:i/>
              </w:rPr>
              <w:t>AKTIVAČNÝ PRÍSPEVOK</w:t>
            </w:r>
          </w:p>
        </w:tc>
        <w:tc>
          <w:tcPr>
            <w:tcW w:w="1270" w:type="dxa"/>
            <w:shd w:val="clear" w:color="auto" w:fill="auto"/>
          </w:tcPr>
          <w:p w:rsidR="008B4FD9" w:rsidRPr="004C5551" w:rsidRDefault="008B4FD9" w:rsidP="00490821">
            <w:pPr>
              <w:jc w:val="center"/>
              <w:rPr>
                <w:i/>
              </w:rPr>
            </w:pPr>
            <w:r w:rsidRPr="004C5551">
              <w:rPr>
                <w:i/>
              </w:rPr>
              <w:t>63,07 €</w:t>
            </w:r>
          </w:p>
        </w:tc>
      </w:tr>
      <w:tr w:rsidR="008B4FD9" w:rsidRPr="004C5551" w:rsidTr="00490821">
        <w:tc>
          <w:tcPr>
            <w:tcW w:w="7792" w:type="dxa"/>
            <w:shd w:val="clear" w:color="auto" w:fill="auto"/>
          </w:tcPr>
          <w:p w:rsidR="008B4FD9" w:rsidRPr="004C5551" w:rsidRDefault="008B4FD9" w:rsidP="00490821">
            <w:pPr>
              <w:ind w:firstLine="0"/>
              <w:rPr>
                <w:i/>
              </w:rPr>
            </w:pPr>
            <w:r w:rsidRPr="004C5551">
              <w:rPr>
                <w:i/>
              </w:rPr>
              <w:t>PRÍSPEVOK NA NEZAOPATRENÉ DIEŤA</w:t>
            </w:r>
          </w:p>
        </w:tc>
        <w:tc>
          <w:tcPr>
            <w:tcW w:w="1270" w:type="dxa"/>
            <w:shd w:val="clear" w:color="auto" w:fill="auto"/>
          </w:tcPr>
          <w:p w:rsidR="008B4FD9" w:rsidRPr="004C5551" w:rsidRDefault="008B4FD9" w:rsidP="00490821">
            <w:pPr>
              <w:jc w:val="center"/>
              <w:rPr>
                <w:i/>
              </w:rPr>
            </w:pPr>
            <w:r w:rsidRPr="004C5551">
              <w:rPr>
                <w:i/>
              </w:rPr>
              <w:t>17,20 €</w:t>
            </w:r>
          </w:p>
        </w:tc>
      </w:tr>
      <w:tr w:rsidR="008B4FD9" w:rsidRPr="004C5551" w:rsidTr="00490821">
        <w:tc>
          <w:tcPr>
            <w:tcW w:w="7792" w:type="dxa"/>
            <w:shd w:val="clear" w:color="auto" w:fill="auto"/>
          </w:tcPr>
          <w:p w:rsidR="008B4FD9" w:rsidRPr="004C5551" w:rsidRDefault="008B4FD9" w:rsidP="00490821">
            <w:pPr>
              <w:ind w:firstLine="0"/>
              <w:rPr>
                <w:i/>
              </w:rPr>
            </w:pPr>
            <w:r w:rsidRPr="004C5551">
              <w:rPr>
                <w:i/>
              </w:rPr>
              <w:t>PRÍSPEVOK NA BÝVANIE</w:t>
            </w:r>
          </w:p>
        </w:tc>
        <w:tc>
          <w:tcPr>
            <w:tcW w:w="1270" w:type="dxa"/>
            <w:shd w:val="clear" w:color="auto" w:fill="auto"/>
          </w:tcPr>
          <w:p w:rsidR="008B4FD9" w:rsidRPr="004C5551" w:rsidRDefault="008B4FD9" w:rsidP="00490821">
            <w:pPr>
              <w:jc w:val="center"/>
              <w:rPr>
                <w:i/>
              </w:rPr>
            </w:pP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 xml:space="preserve">jednočlenná domácnosť </w:t>
            </w:r>
          </w:p>
        </w:tc>
        <w:tc>
          <w:tcPr>
            <w:tcW w:w="1270" w:type="dxa"/>
            <w:shd w:val="clear" w:color="auto" w:fill="auto"/>
          </w:tcPr>
          <w:p w:rsidR="008B4FD9" w:rsidRPr="004C5551" w:rsidRDefault="008B4FD9" w:rsidP="00490821">
            <w:pPr>
              <w:jc w:val="center"/>
              <w:rPr>
                <w:i/>
              </w:rPr>
            </w:pPr>
            <w:r w:rsidRPr="004C5551">
              <w:rPr>
                <w:i/>
              </w:rPr>
              <w:t xml:space="preserve">55,80€ </w:t>
            </w:r>
          </w:p>
        </w:tc>
      </w:tr>
      <w:tr w:rsidR="008B4FD9" w:rsidRPr="004C5551" w:rsidTr="00490821">
        <w:tc>
          <w:tcPr>
            <w:tcW w:w="7792" w:type="dxa"/>
            <w:shd w:val="clear" w:color="auto" w:fill="auto"/>
          </w:tcPr>
          <w:p w:rsidR="008B4FD9" w:rsidRPr="004C5551" w:rsidRDefault="008B4FD9" w:rsidP="00490821">
            <w:pPr>
              <w:pStyle w:val="Odsekzoznamu"/>
              <w:numPr>
                <w:ilvl w:val="0"/>
                <w:numId w:val="14"/>
              </w:numPr>
              <w:ind w:left="142" w:hanging="142"/>
              <w:contextualSpacing/>
            </w:pPr>
            <w:r w:rsidRPr="004C5551">
              <w:t>viacčlenná domácnosť</w:t>
            </w:r>
          </w:p>
        </w:tc>
        <w:tc>
          <w:tcPr>
            <w:tcW w:w="1270" w:type="dxa"/>
            <w:shd w:val="clear" w:color="auto" w:fill="auto"/>
          </w:tcPr>
          <w:p w:rsidR="008B4FD9" w:rsidRPr="004C5551" w:rsidRDefault="008B4FD9" w:rsidP="00490821">
            <w:pPr>
              <w:jc w:val="center"/>
              <w:rPr>
                <w:i/>
              </w:rPr>
            </w:pPr>
            <w:r w:rsidRPr="004C5551">
              <w:rPr>
                <w:i/>
              </w:rPr>
              <w:t>89,20 €</w:t>
            </w:r>
          </w:p>
        </w:tc>
      </w:tr>
      <w:tr w:rsidR="008B4FD9" w:rsidRPr="004C5551" w:rsidTr="00490821">
        <w:tc>
          <w:tcPr>
            <w:tcW w:w="7792" w:type="dxa"/>
            <w:shd w:val="clear" w:color="auto" w:fill="auto"/>
          </w:tcPr>
          <w:p w:rsidR="008B4FD9" w:rsidRPr="004C5551" w:rsidRDefault="008B4FD9" w:rsidP="00490821">
            <w:pPr>
              <w:ind w:firstLine="0"/>
            </w:pPr>
            <w:r w:rsidRPr="004C5551">
              <w:rPr>
                <w:i/>
              </w:rPr>
              <w:t>OSOBITNÝ PRÍSPEVOK</w:t>
            </w:r>
          </w:p>
        </w:tc>
        <w:tc>
          <w:tcPr>
            <w:tcW w:w="1270" w:type="dxa"/>
            <w:shd w:val="clear" w:color="auto" w:fill="auto"/>
          </w:tcPr>
          <w:p w:rsidR="008B4FD9" w:rsidRPr="004C5551" w:rsidRDefault="008B4FD9" w:rsidP="00490821">
            <w:pPr>
              <w:jc w:val="center"/>
              <w:rPr>
                <w:i/>
              </w:rPr>
            </w:pPr>
            <w:r w:rsidRPr="004C5551">
              <w:rPr>
                <w:i/>
              </w:rPr>
              <w:t>63,07 €</w:t>
            </w:r>
          </w:p>
        </w:tc>
      </w:tr>
    </w:tbl>
    <w:p w:rsidR="00EB380E" w:rsidRPr="004C5551" w:rsidRDefault="00EB380E" w:rsidP="003D4864">
      <w:pPr>
        <w:pStyle w:val="zdroj"/>
        <w:ind w:firstLine="431"/>
      </w:pPr>
      <w:r w:rsidRPr="004C5551">
        <w:t xml:space="preserve">Zdroj: </w:t>
      </w:r>
      <w:r w:rsidR="00DF7D91" w:rsidRPr="004C5551">
        <w:t>MPSVR SR</w:t>
      </w:r>
    </w:p>
    <w:p w:rsidR="00BD28BD" w:rsidRPr="004C5551" w:rsidRDefault="00BD28BD" w:rsidP="001206CF">
      <w:pPr>
        <w:ind w:firstLine="431"/>
      </w:pPr>
      <w:r w:rsidRPr="004C5551">
        <w:t>V roku 2014 bolo priemerne mesačne evidovaných 162 904 poberateľov pomoci v hmotnej núdzi, čo v porovnaní s rokom 2013 predstavuje pokles o 11,9</w:t>
      </w:r>
      <w:r w:rsidR="009425AA" w:rsidRPr="004C5551">
        <w:t> %</w:t>
      </w:r>
      <w:r w:rsidRPr="004C5551">
        <w:t xml:space="preserve">, v absolútnom vyjadrení išlo priemerne mesačne o 21 982 poberateľov. Na základe administratívnych údajov boli na pomoc v hmotnej núdzi v roku 2014 poskytnuté finančné prostriedky vo výške 245 903 547 </w:t>
      </w:r>
      <w:r w:rsidR="002926E5" w:rsidRPr="004C5551">
        <w:t>eur</w:t>
      </w:r>
      <w:r w:rsidRPr="004C5551">
        <w:t>. V porovnaní s rokom 2013 bol zaznamenaný pokles finančných prostriedkov o 24 675 240 </w:t>
      </w:r>
      <w:r w:rsidR="002926E5" w:rsidRPr="004C5551">
        <w:t>eur</w:t>
      </w:r>
      <w:r w:rsidRPr="004C5551">
        <w:t>, t. j. o 9,12</w:t>
      </w:r>
      <w:r w:rsidR="00875D86" w:rsidRPr="004C5551">
        <w:t> </w:t>
      </w:r>
      <w:r w:rsidRPr="004C5551">
        <w:t xml:space="preserve">%. </w:t>
      </w:r>
      <w:r w:rsidRPr="004C5551">
        <w:rPr>
          <w:b/>
        </w:rPr>
        <w:t>Priemerná mesačná výška</w:t>
      </w:r>
      <w:r w:rsidRPr="004C5551">
        <w:t xml:space="preserve"> pomoci v hmotnej núdzi v roku 2014 dosiahla výšku </w:t>
      </w:r>
      <w:r w:rsidRPr="004C5551">
        <w:rPr>
          <w:b/>
        </w:rPr>
        <w:t xml:space="preserve">124,99 </w:t>
      </w:r>
      <w:r w:rsidR="002926E5" w:rsidRPr="004C5551">
        <w:rPr>
          <w:b/>
        </w:rPr>
        <w:t>eura</w:t>
      </w:r>
      <w:r w:rsidRPr="004C5551">
        <w:rPr>
          <w:b/>
        </w:rPr>
        <w:t>,</w:t>
      </w:r>
      <w:r w:rsidRPr="004C5551">
        <w:t xml:space="preserve"> čo v porovnaní s rokom 2013 predstavuje nárast o 3,26 </w:t>
      </w:r>
      <w:r w:rsidR="002926E5" w:rsidRPr="004C5551">
        <w:t>eura</w:t>
      </w:r>
      <w:r w:rsidRPr="004C5551">
        <w:t>. Významný vplyv na vývoj počtu poberateľov pomoci v hmotnej núdzi, ako aj čerpanie finančných prostriedkov, mala zmena štruktúry systému pomoci v hmotnej núdzi, predovšetkým zdôraznenie princípov, ako je adresnosť, zásluhovosť, ochrana a aktívna participácia dotknutých osôb na riešení svojej nepriaznivej sociálnej situácie.</w:t>
      </w:r>
    </w:p>
    <w:p w:rsidR="008B4FD9" w:rsidRPr="004C5551" w:rsidRDefault="00BD28BD" w:rsidP="008B4FD9">
      <w:pPr>
        <w:pStyle w:val="Normlnysozarkami12"/>
        <w:ind w:firstLine="431"/>
      </w:pPr>
      <w:r w:rsidRPr="004C5551">
        <w:t xml:space="preserve">V roku 2014 bolo v systéme pomoci v hmotnej núdzi priemerne mesačne evidovaných </w:t>
      </w:r>
      <w:r w:rsidR="00AF3FB8" w:rsidRPr="004C5551">
        <w:br/>
      </w:r>
      <w:r w:rsidRPr="004C5551">
        <w:t>114 482 poberateľov pomoci v hmotnej núdzi, ktorí boli súčasne v evidencii uchádzačov o zamest</w:t>
      </w:r>
      <w:r w:rsidR="00AF3FB8" w:rsidRPr="004C5551">
        <w:softHyphen/>
      </w:r>
      <w:r w:rsidRPr="004C5551">
        <w:t>nanie, čo tvorilo 70,3</w:t>
      </w:r>
      <w:r w:rsidR="00875D86" w:rsidRPr="004C5551">
        <w:t> </w:t>
      </w:r>
      <w:r w:rsidRPr="004C5551">
        <w:t>% z celkového počtu poberateľov pomoci v hmotnej núdzi. V porovnaní s rokom 2013 bol zaznamenaný výrazný pokles v priemernom mesačnom počte o 22 164 poberateľov (pokles o 16,2</w:t>
      </w:r>
      <w:r w:rsidR="009425AA" w:rsidRPr="004C5551">
        <w:t> %</w:t>
      </w:r>
      <w:r w:rsidRPr="004C5551">
        <w:t>)</w:t>
      </w:r>
      <w:r w:rsidR="00FB419E" w:rsidRPr="004C5551">
        <w:t xml:space="preserve">. </w:t>
      </w:r>
      <w:r w:rsidR="00A4347E" w:rsidRPr="004C5551">
        <w:t xml:space="preserve">Z celkového počtu spoločne posudzovaných členov domácností v hmotnej núdzi, ktorých </w:t>
      </w:r>
      <w:r w:rsidR="000055C2" w:rsidRPr="004C5551">
        <w:t xml:space="preserve">v roku 2014 </w:t>
      </w:r>
      <w:r w:rsidR="00A4347E" w:rsidRPr="004C5551">
        <w:t xml:space="preserve">bolo </w:t>
      </w:r>
      <w:r w:rsidR="0028246C" w:rsidRPr="004C5551">
        <w:t>323 223</w:t>
      </w:r>
      <w:r w:rsidR="00A4347E" w:rsidRPr="004C5551">
        <w:t>, bolo v evidencii uchádzačov o</w:t>
      </w:r>
      <w:r w:rsidR="00AF3FB8" w:rsidRPr="004C5551">
        <w:t> </w:t>
      </w:r>
      <w:r w:rsidR="00A4347E" w:rsidRPr="004C5551">
        <w:t>zamestnanie 151 700 osôb</w:t>
      </w:r>
      <w:r w:rsidR="00FB419E" w:rsidRPr="004C5551">
        <w:t>,</w:t>
      </w:r>
      <w:r w:rsidR="00A4347E" w:rsidRPr="004C5551">
        <w:t xml:space="preserve"> t. j. 46,93 %. Oproti roku 2013 sa tento počet tiež výrazne znížil, a to o 20 085 osôb (o 11,69 %). </w:t>
      </w:r>
    </w:p>
    <w:p w:rsidR="00BD28BD" w:rsidRPr="004C5551" w:rsidRDefault="00BD28BD" w:rsidP="009B7B4B">
      <w:pPr>
        <w:pStyle w:val="Nadpis7"/>
      </w:pPr>
      <w:r w:rsidRPr="004C5551">
        <w:t>Tab</w:t>
      </w:r>
      <w:r w:rsidR="005F2A7C" w:rsidRPr="004C5551">
        <w:t>uľka</w:t>
      </w:r>
      <w:r w:rsidR="003D4864" w:rsidRPr="004C5551">
        <w:t xml:space="preserve"> </w:t>
      </w:r>
      <w:r w:rsidRPr="004C5551">
        <w:t>3.1</w:t>
      </w:r>
      <w:r w:rsidR="005F2A7C" w:rsidRPr="004C5551">
        <w:t>7</w:t>
      </w:r>
      <w:r w:rsidRPr="004C5551">
        <w:t xml:space="preserve"> Priemerný mesačný </w:t>
      </w:r>
      <w:r w:rsidR="009B1744" w:rsidRPr="004C5551">
        <w:t xml:space="preserve">počet </w:t>
      </w:r>
      <w:r w:rsidRPr="004C5551">
        <w:t xml:space="preserve">poberateľov pomoci v hmotnej núdzi, ročné čerpanie finančných prostriedkov v rokoch 2013 </w:t>
      </w:r>
      <w:r w:rsidR="00106028" w:rsidRPr="004C5551">
        <w:t>–</w:t>
      </w:r>
      <w:r w:rsidRPr="004C5551">
        <w:t xml:space="preserve"> 2014</w:t>
      </w:r>
    </w:p>
    <w:tbl>
      <w:tblPr>
        <w:tblW w:w="4183"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4677"/>
        <w:gridCol w:w="1582"/>
        <w:gridCol w:w="1511"/>
      </w:tblGrid>
      <w:tr w:rsidR="00BD28BD" w:rsidRPr="004C5551" w:rsidTr="00133D90">
        <w:trPr>
          <w:trHeight w:val="246"/>
          <w:jc w:val="center"/>
        </w:trPr>
        <w:tc>
          <w:tcPr>
            <w:tcW w:w="2996" w:type="pct"/>
            <w:shd w:val="clear" w:color="auto" w:fill="BF0000" w:themeFill="accent3" w:themeFillShade="BF"/>
            <w:noWrap/>
            <w:vAlign w:val="center"/>
            <w:hideMark/>
          </w:tcPr>
          <w:p w:rsidR="00BD28BD" w:rsidRPr="004C5551" w:rsidRDefault="00BD28BD" w:rsidP="00BD494D">
            <w:pPr>
              <w:rPr>
                <w:lang w:eastAsia="cs-CZ"/>
              </w:rPr>
            </w:pPr>
          </w:p>
        </w:tc>
        <w:tc>
          <w:tcPr>
            <w:tcW w:w="1025" w:type="pct"/>
            <w:shd w:val="clear" w:color="auto" w:fill="BF0000" w:themeFill="accent3" w:themeFillShade="BF"/>
            <w:noWrap/>
            <w:vAlign w:val="center"/>
            <w:hideMark/>
          </w:tcPr>
          <w:p w:rsidR="00BD28BD" w:rsidRPr="004C5551" w:rsidRDefault="00BD28BD" w:rsidP="00BD494D">
            <w:pPr>
              <w:jc w:val="center"/>
              <w:rPr>
                <w:b/>
                <w:lang w:eastAsia="cs-CZ"/>
              </w:rPr>
            </w:pPr>
            <w:r w:rsidRPr="004C5551">
              <w:rPr>
                <w:b/>
                <w:lang w:eastAsia="cs-CZ"/>
              </w:rPr>
              <w:t>2013</w:t>
            </w:r>
          </w:p>
        </w:tc>
        <w:tc>
          <w:tcPr>
            <w:tcW w:w="979" w:type="pct"/>
            <w:shd w:val="clear" w:color="auto" w:fill="BF0000" w:themeFill="accent3" w:themeFillShade="BF"/>
            <w:noWrap/>
            <w:vAlign w:val="center"/>
            <w:hideMark/>
          </w:tcPr>
          <w:p w:rsidR="00BD28BD" w:rsidRPr="004C5551" w:rsidRDefault="00BD28BD" w:rsidP="00BD494D">
            <w:pPr>
              <w:jc w:val="center"/>
              <w:rPr>
                <w:b/>
                <w:lang w:eastAsia="cs-CZ"/>
              </w:rPr>
            </w:pPr>
            <w:r w:rsidRPr="004C5551">
              <w:rPr>
                <w:b/>
                <w:lang w:eastAsia="cs-CZ"/>
              </w:rPr>
              <w:t>2014</w:t>
            </w:r>
          </w:p>
        </w:tc>
      </w:tr>
      <w:tr w:rsidR="00BD28BD" w:rsidRPr="004C5551" w:rsidTr="00133D90">
        <w:trPr>
          <w:trHeight w:val="300"/>
          <w:jc w:val="center"/>
        </w:trPr>
        <w:tc>
          <w:tcPr>
            <w:tcW w:w="2996" w:type="pct"/>
            <w:noWrap/>
            <w:vAlign w:val="center"/>
            <w:hideMark/>
          </w:tcPr>
          <w:p w:rsidR="00BD28BD" w:rsidRPr="004C5551" w:rsidRDefault="00BD28BD" w:rsidP="00BD494D">
            <w:r w:rsidRPr="004C5551">
              <w:t>Počet poberateľov celkom</w:t>
            </w:r>
          </w:p>
        </w:tc>
        <w:tc>
          <w:tcPr>
            <w:tcW w:w="1025" w:type="pct"/>
            <w:noWrap/>
            <w:vAlign w:val="center"/>
            <w:hideMark/>
          </w:tcPr>
          <w:p w:rsidR="00BD28BD" w:rsidRPr="004C5551" w:rsidRDefault="00BD28BD" w:rsidP="00BD494D">
            <w:pPr>
              <w:ind w:right="169"/>
              <w:jc w:val="right"/>
            </w:pPr>
            <w:r w:rsidRPr="004C5551">
              <w:t>184 886</w:t>
            </w:r>
          </w:p>
        </w:tc>
        <w:tc>
          <w:tcPr>
            <w:tcW w:w="979" w:type="pct"/>
            <w:noWrap/>
            <w:vAlign w:val="center"/>
            <w:hideMark/>
          </w:tcPr>
          <w:p w:rsidR="00BD28BD" w:rsidRPr="004C5551" w:rsidRDefault="00BD28BD" w:rsidP="00BD494D">
            <w:pPr>
              <w:ind w:right="169"/>
              <w:jc w:val="right"/>
            </w:pPr>
            <w:r w:rsidRPr="004C5551">
              <w:t>162 904</w:t>
            </w:r>
          </w:p>
        </w:tc>
      </w:tr>
      <w:tr w:rsidR="00BD28BD" w:rsidRPr="004C5551" w:rsidTr="00133D90">
        <w:trPr>
          <w:trHeight w:val="300"/>
          <w:jc w:val="center"/>
        </w:trPr>
        <w:tc>
          <w:tcPr>
            <w:tcW w:w="2996" w:type="pct"/>
            <w:noWrap/>
            <w:vAlign w:val="center"/>
            <w:hideMark/>
          </w:tcPr>
          <w:p w:rsidR="00BD28BD" w:rsidRPr="004C5551" w:rsidRDefault="00BD28BD" w:rsidP="005308FD">
            <w:r w:rsidRPr="004C5551">
              <w:t xml:space="preserve">z toho </w:t>
            </w:r>
            <w:proofErr w:type="spellStart"/>
            <w:r w:rsidRPr="004C5551">
              <w:t>UoZ</w:t>
            </w:r>
            <w:proofErr w:type="spellEnd"/>
          </w:p>
        </w:tc>
        <w:tc>
          <w:tcPr>
            <w:tcW w:w="1025" w:type="pct"/>
            <w:noWrap/>
            <w:vAlign w:val="center"/>
            <w:hideMark/>
          </w:tcPr>
          <w:p w:rsidR="00BD28BD" w:rsidRPr="004C5551" w:rsidRDefault="00BD28BD" w:rsidP="00BD494D">
            <w:pPr>
              <w:ind w:right="169"/>
              <w:jc w:val="right"/>
            </w:pPr>
            <w:r w:rsidRPr="004C5551">
              <w:t>136 646</w:t>
            </w:r>
          </w:p>
        </w:tc>
        <w:tc>
          <w:tcPr>
            <w:tcW w:w="979" w:type="pct"/>
            <w:noWrap/>
            <w:vAlign w:val="center"/>
            <w:hideMark/>
          </w:tcPr>
          <w:p w:rsidR="00BD28BD" w:rsidRPr="004C5551" w:rsidRDefault="00BD28BD" w:rsidP="00BD494D">
            <w:pPr>
              <w:ind w:right="169"/>
              <w:jc w:val="right"/>
            </w:pPr>
            <w:r w:rsidRPr="004C5551">
              <w:t>114 482</w:t>
            </w:r>
          </w:p>
        </w:tc>
      </w:tr>
      <w:tr w:rsidR="008F497F" w:rsidRPr="004C5551" w:rsidTr="00133D90">
        <w:trPr>
          <w:trHeight w:val="300"/>
          <w:jc w:val="center"/>
        </w:trPr>
        <w:tc>
          <w:tcPr>
            <w:tcW w:w="2996" w:type="pct"/>
            <w:noWrap/>
            <w:vAlign w:val="center"/>
          </w:tcPr>
          <w:p w:rsidR="008F497F" w:rsidRPr="004C5551" w:rsidRDefault="008F497F" w:rsidP="007F5498">
            <w:r w:rsidRPr="004C5551">
              <w:t xml:space="preserve">Počet spoločne posudzovaných </w:t>
            </w:r>
            <w:r w:rsidR="007F5498" w:rsidRPr="004C5551">
              <w:t>členov domácnosti</w:t>
            </w:r>
          </w:p>
        </w:tc>
        <w:tc>
          <w:tcPr>
            <w:tcW w:w="1025" w:type="pct"/>
            <w:noWrap/>
            <w:vAlign w:val="center"/>
          </w:tcPr>
          <w:p w:rsidR="008F497F" w:rsidRPr="004C5551" w:rsidRDefault="006D6B1D" w:rsidP="00BD494D">
            <w:pPr>
              <w:ind w:right="169"/>
              <w:jc w:val="right"/>
            </w:pPr>
            <w:r w:rsidRPr="004C5551">
              <w:t>359 632</w:t>
            </w:r>
          </w:p>
        </w:tc>
        <w:tc>
          <w:tcPr>
            <w:tcW w:w="979" w:type="pct"/>
            <w:noWrap/>
            <w:vAlign w:val="center"/>
          </w:tcPr>
          <w:p w:rsidR="008F497F" w:rsidRPr="004C5551" w:rsidRDefault="006D6B1D" w:rsidP="00BD494D">
            <w:pPr>
              <w:ind w:right="169"/>
              <w:jc w:val="right"/>
            </w:pPr>
            <w:r w:rsidRPr="004C5551">
              <w:t>323 223</w:t>
            </w:r>
          </w:p>
        </w:tc>
      </w:tr>
      <w:tr w:rsidR="008F497F" w:rsidRPr="004C5551" w:rsidTr="00133D90">
        <w:trPr>
          <w:trHeight w:val="300"/>
          <w:jc w:val="center"/>
        </w:trPr>
        <w:tc>
          <w:tcPr>
            <w:tcW w:w="2996" w:type="pct"/>
            <w:noWrap/>
            <w:vAlign w:val="center"/>
          </w:tcPr>
          <w:p w:rsidR="008F497F" w:rsidRPr="004C5551" w:rsidRDefault="008F497F" w:rsidP="008F497F">
            <w:r w:rsidRPr="004C5551">
              <w:t xml:space="preserve"> z toho </w:t>
            </w:r>
            <w:proofErr w:type="spellStart"/>
            <w:r w:rsidRPr="004C5551">
              <w:t>UoZ</w:t>
            </w:r>
            <w:proofErr w:type="spellEnd"/>
          </w:p>
        </w:tc>
        <w:tc>
          <w:tcPr>
            <w:tcW w:w="1025" w:type="pct"/>
            <w:shd w:val="clear" w:color="auto" w:fill="auto"/>
            <w:noWrap/>
            <w:vAlign w:val="center"/>
          </w:tcPr>
          <w:p w:rsidR="008F497F" w:rsidRPr="004C5551" w:rsidRDefault="006D6B1D" w:rsidP="00BD494D">
            <w:pPr>
              <w:ind w:right="169"/>
              <w:jc w:val="right"/>
              <w:rPr>
                <w:color w:val="000000" w:themeColor="text1"/>
              </w:rPr>
            </w:pPr>
            <w:r w:rsidRPr="004C5551">
              <w:rPr>
                <w:color w:val="000000" w:themeColor="text1"/>
              </w:rPr>
              <w:t>171 785</w:t>
            </w:r>
          </w:p>
        </w:tc>
        <w:tc>
          <w:tcPr>
            <w:tcW w:w="979" w:type="pct"/>
            <w:shd w:val="clear" w:color="auto" w:fill="auto"/>
            <w:noWrap/>
            <w:vAlign w:val="center"/>
          </w:tcPr>
          <w:p w:rsidR="008F497F" w:rsidRPr="004C5551" w:rsidRDefault="006D6B1D" w:rsidP="00BD494D">
            <w:pPr>
              <w:ind w:right="169"/>
              <w:jc w:val="right"/>
              <w:rPr>
                <w:color w:val="000000" w:themeColor="text1"/>
              </w:rPr>
            </w:pPr>
            <w:r w:rsidRPr="004C5551">
              <w:rPr>
                <w:color w:val="000000" w:themeColor="text1"/>
              </w:rPr>
              <w:t>151 700</w:t>
            </w:r>
          </w:p>
        </w:tc>
      </w:tr>
      <w:tr w:rsidR="00BD28BD" w:rsidRPr="004C5551" w:rsidTr="00133D90">
        <w:trPr>
          <w:trHeight w:val="300"/>
          <w:jc w:val="center"/>
        </w:trPr>
        <w:tc>
          <w:tcPr>
            <w:tcW w:w="2996" w:type="pct"/>
            <w:noWrap/>
            <w:vAlign w:val="center"/>
            <w:hideMark/>
          </w:tcPr>
          <w:p w:rsidR="00BD28BD" w:rsidRPr="004C5551" w:rsidRDefault="00BD28BD" w:rsidP="00BD494D">
            <w:r w:rsidRPr="004C5551">
              <w:t>Poskytnuté finančné prostriedky celkom v €</w:t>
            </w:r>
          </w:p>
        </w:tc>
        <w:tc>
          <w:tcPr>
            <w:tcW w:w="1025" w:type="pct"/>
            <w:shd w:val="clear" w:color="auto" w:fill="auto"/>
            <w:noWrap/>
            <w:vAlign w:val="center"/>
            <w:hideMark/>
          </w:tcPr>
          <w:p w:rsidR="00BD28BD" w:rsidRPr="004C5551" w:rsidRDefault="00BD28BD" w:rsidP="00BD494D">
            <w:pPr>
              <w:ind w:right="169"/>
              <w:jc w:val="right"/>
              <w:rPr>
                <w:color w:val="000000" w:themeColor="text1"/>
              </w:rPr>
            </w:pPr>
            <w:r w:rsidRPr="004C5551">
              <w:rPr>
                <w:color w:val="000000" w:themeColor="text1"/>
              </w:rPr>
              <w:t>270 578 787</w:t>
            </w:r>
          </w:p>
        </w:tc>
        <w:tc>
          <w:tcPr>
            <w:tcW w:w="979" w:type="pct"/>
            <w:shd w:val="clear" w:color="auto" w:fill="auto"/>
            <w:noWrap/>
            <w:vAlign w:val="center"/>
          </w:tcPr>
          <w:p w:rsidR="00BD28BD" w:rsidRPr="004C5551" w:rsidRDefault="00BD28BD" w:rsidP="00BD494D">
            <w:pPr>
              <w:ind w:right="169"/>
              <w:jc w:val="right"/>
              <w:rPr>
                <w:color w:val="000000" w:themeColor="text1"/>
              </w:rPr>
            </w:pPr>
            <w:r w:rsidRPr="004C5551">
              <w:rPr>
                <w:color w:val="000000" w:themeColor="text1"/>
              </w:rPr>
              <w:t>245 903 547</w:t>
            </w:r>
          </w:p>
        </w:tc>
      </w:tr>
      <w:tr w:rsidR="00BD28BD" w:rsidRPr="004C5551" w:rsidTr="00133D90">
        <w:trPr>
          <w:trHeight w:val="300"/>
          <w:jc w:val="center"/>
        </w:trPr>
        <w:tc>
          <w:tcPr>
            <w:tcW w:w="2996" w:type="pct"/>
            <w:noWrap/>
            <w:vAlign w:val="center"/>
            <w:hideMark/>
          </w:tcPr>
          <w:p w:rsidR="00BD28BD" w:rsidRPr="004C5551" w:rsidRDefault="00BD28BD" w:rsidP="00BD494D">
            <w:r w:rsidRPr="004C5551">
              <w:t>Priemerná výška dávky a príspevkov k dávke v €</w:t>
            </w:r>
          </w:p>
        </w:tc>
        <w:tc>
          <w:tcPr>
            <w:tcW w:w="1025" w:type="pct"/>
            <w:shd w:val="clear" w:color="auto" w:fill="auto"/>
            <w:noWrap/>
            <w:vAlign w:val="center"/>
            <w:hideMark/>
          </w:tcPr>
          <w:p w:rsidR="00BD28BD" w:rsidRPr="004C5551" w:rsidRDefault="00BD28BD" w:rsidP="00BD494D">
            <w:pPr>
              <w:ind w:right="169"/>
              <w:jc w:val="right"/>
              <w:rPr>
                <w:color w:val="000000" w:themeColor="text1"/>
              </w:rPr>
            </w:pPr>
            <w:r w:rsidRPr="004C5551">
              <w:rPr>
                <w:color w:val="000000" w:themeColor="text1"/>
              </w:rPr>
              <w:t>121,73</w:t>
            </w:r>
          </w:p>
        </w:tc>
        <w:tc>
          <w:tcPr>
            <w:tcW w:w="979" w:type="pct"/>
            <w:shd w:val="clear" w:color="auto" w:fill="auto"/>
            <w:noWrap/>
            <w:vAlign w:val="center"/>
          </w:tcPr>
          <w:p w:rsidR="00BD28BD" w:rsidRPr="004C5551" w:rsidRDefault="00BD28BD" w:rsidP="00BD494D">
            <w:pPr>
              <w:ind w:right="169"/>
              <w:jc w:val="right"/>
              <w:rPr>
                <w:color w:val="000000" w:themeColor="text1"/>
              </w:rPr>
            </w:pPr>
            <w:r w:rsidRPr="004C5551">
              <w:rPr>
                <w:color w:val="000000" w:themeColor="text1"/>
              </w:rPr>
              <w:t>124,99</w:t>
            </w:r>
          </w:p>
        </w:tc>
      </w:tr>
    </w:tbl>
    <w:p w:rsidR="00BD28BD" w:rsidRPr="004C5551" w:rsidRDefault="00BD28BD" w:rsidP="003D4864">
      <w:pPr>
        <w:pStyle w:val="zdroj"/>
        <w:ind w:left="567"/>
      </w:pPr>
      <w:r w:rsidRPr="004C5551">
        <w:t>Zdroj: RSD MIS</w:t>
      </w:r>
    </w:p>
    <w:p w:rsidR="00BD28BD" w:rsidRPr="004C5551" w:rsidRDefault="00BD28BD" w:rsidP="00A15FA6">
      <w:r w:rsidRPr="004C5551">
        <w:t xml:space="preserve">Z nižšie uvedeného grafického znázornenia je zrejmé, že vývoj počtu poberateľov pomoci v hmotnej núdzi v priebehu </w:t>
      </w:r>
      <w:r w:rsidR="007F5498" w:rsidRPr="004C5551">
        <w:t xml:space="preserve">roka </w:t>
      </w:r>
      <w:r w:rsidRPr="004C5551">
        <w:t>2014 mal klesajúci trend. Výraznejšie zmeny zaznamen</w:t>
      </w:r>
      <w:r w:rsidR="00D772D6" w:rsidRPr="004C5551">
        <w:t>ávame</w:t>
      </w:r>
      <w:r w:rsidRPr="004C5551">
        <w:t xml:space="preserve"> vždy začiatkom roka v dôsledku valorizácie dôchodkových dávok</w:t>
      </w:r>
      <w:r w:rsidR="007A2143" w:rsidRPr="004C5551">
        <w:t xml:space="preserve"> a </w:t>
      </w:r>
      <w:r w:rsidR="00623627" w:rsidRPr="004C5551">
        <w:t>zmien</w:t>
      </w:r>
      <w:r w:rsidR="007A2143" w:rsidRPr="004C5551">
        <w:t xml:space="preserve"> v príjmovej situáci</w:t>
      </w:r>
      <w:r w:rsidR="009B1744" w:rsidRPr="004C5551">
        <w:t>i</w:t>
      </w:r>
      <w:r w:rsidR="007A2143" w:rsidRPr="004C5551">
        <w:t xml:space="preserve"> dôchodcov</w:t>
      </w:r>
      <w:r w:rsidR="00623627" w:rsidRPr="004C5551">
        <w:t xml:space="preserve"> v hmotnej núdzi</w:t>
      </w:r>
      <w:r w:rsidRPr="004C5551">
        <w:t xml:space="preserve">, čo sa najvýraznejšie </w:t>
      </w:r>
      <w:r w:rsidR="00D772D6" w:rsidRPr="004C5551">
        <w:t>p</w:t>
      </w:r>
      <w:r w:rsidRPr="004C5551">
        <w:t>rejaví v mesiaci febru</w:t>
      </w:r>
      <w:r w:rsidR="00D772D6" w:rsidRPr="004C5551">
        <w:t>ár</w:t>
      </w:r>
      <w:r w:rsidR="007A2143" w:rsidRPr="004C5551">
        <w:t xml:space="preserve"> v podobe zníženia počtu poberateľov</w:t>
      </w:r>
      <w:r w:rsidR="00D772D6" w:rsidRPr="004C5551">
        <w:t xml:space="preserve">. </w:t>
      </w:r>
      <w:r w:rsidR="00A15FA6" w:rsidRPr="004C5551">
        <w:t xml:space="preserve">Následne dochádza k prehodnocovaniu príjmovej situácie dôchodcov, a tak sa časti z nich môže znova obnoviť výplata pomoci v hmotnej núdzi. </w:t>
      </w:r>
      <w:r w:rsidR="00541191" w:rsidRPr="004C5551">
        <w:t>Pokles poberateľov pomoci v hmotnej núdzi v</w:t>
      </w:r>
      <w:r w:rsidR="00D772D6" w:rsidRPr="004C5551">
        <w:t xml:space="preserve"> roku 2014 </w:t>
      </w:r>
      <w:r w:rsidR="00541191" w:rsidRPr="004C5551">
        <w:t>súvisel so</w:t>
      </w:r>
      <w:r w:rsidR="00AF3FB8" w:rsidRPr="004C5551">
        <w:t> </w:t>
      </w:r>
      <w:r w:rsidRPr="004C5551">
        <w:t>zmenou štruktúry poberateľov pomoci v hmotnej núdzi, a</w:t>
      </w:r>
      <w:r w:rsidR="00541191" w:rsidRPr="004C5551">
        <w:t> </w:t>
      </w:r>
      <w:r w:rsidRPr="004C5551">
        <w:t>to</w:t>
      </w:r>
      <w:r w:rsidR="00541191" w:rsidRPr="004C5551">
        <w:t xml:space="preserve"> s</w:t>
      </w:r>
      <w:r w:rsidRPr="004C5551">
        <w:t xml:space="preserve"> poklesom jednotlivcov a dvojíc bez detí, a naopak, </w:t>
      </w:r>
      <w:r w:rsidR="00541191" w:rsidRPr="004C5551">
        <w:t xml:space="preserve">s </w:t>
      </w:r>
      <w:r w:rsidRPr="004C5551">
        <w:t xml:space="preserve">nárastom osamelých rodičov s viac ako štyrmi deťmi, čím sa </w:t>
      </w:r>
      <w:r w:rsidR="00623627" w:rsidRPr="004C5551">
        <w:t xml:space="preserve">mierne </w:t>
      </w:r>
      <w:r w:rsidRPr="004C5551">
        <w:t xml:space="preserve">zmenil aj pomer jednotlivých skupín v rámci systému. </w:t>
      </w:r>
      <w:r w:rsidR="0028246C" w:rsidRPr="004C5551">
        <w:t>Daný vývoj t</w:t>
      </w:r>
      <w:r w:rsidRPr="004C5551">
        <w:t xml:space="preserve">aktiež </w:t>
      </w:r>
      <w:r w:rsidR="005752B1" w:rsidRPr="004C5551">
        <w:t xml:space="preserve">ovplyvnilo </w:t>
      </w:r>
      <w:r w:rsidRPr="004C5551">
        <w:t xml:space="preserve">zavedenie motivačných prvkov v systéme za účelom aktívnej účasti občanov na riešení svojej </w:t>
      </w:r>
      <w:r w:rsidR="0041621F" w:rsidRPr="004C5551">
        <w:t>nepriaznivej sociálnej situácie</w:t>
      </w:r>
      <w:r w:rsidRPr="004C5551">
        <w:t xml:space="preserve">. </w:t>
      </w:r>
    </w:p>
    <w:p w:rsidR="00BD28BD" w:rsidRPr="004C5551" w:rsidRDefault="00BD28BD" w:rsidP="00BD28BD">
      <w:pPr>
        <w:pStyle w:val="Nadpis7"/>
      </w:pPr>
      <w:bookmarkStart w:id="605" w:name="_Toc294027408"/>
      <w:bookmarkStart w:id="606" w:name="_Toc294029647"/>
      <w:bookmarkStart w:id="607" w:name="_Toc313879138"/>
      <w:bookmarkStart w:id="608" w:name="_Toc325438200"/>
      <w:bookmarkStart w:id="609" w:name="_Toc325440969"/>
      <w:bookmarkStart w:id="610" w:name="_Toc325626782"/>
      <w:bookmarkStart w:id="611" w:name="_Toc326217043"/>
      <w:r w:rsidRPr="004C5551">
        <w:t>Graf 3.</w:t>
      </w:r>
      <w:r w:rsidR="00AB3F7F" w:rsidRPr="004C5551">
        <w:t>5</w:t>
      </w:r>
      <w:r w:rsidRPr="004C5551">
        <w:t xml:space="preserve"> Vývoj počtu poberateľov pomoci v hmotnej núdzi v priebehu rokov 2013 a 2014</w:t>
      </w:r>
    </w:p>
    <w:p w:rsidR="00BD28BD" w:rsidRPr="004C5551" w:rsidRDefault="00673F6C" w:rsidP="00BD28BD">
      <w:pPr>
        <w:jc w:val="center"/>
      </w:pPr>
      <w:r w:rsidRPr="004C5551">
        <w:rPr>
          <w:noProof/>
        </w:rPr>
        <w:drawing>
          <wp:inline distT="0" distB="0" distL="0" distR="0" wp14:anchorId="0B18EC40" wp14:editId="562C1243">
            <wp:extent cx="5146158" cy="232853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D28BD" w:rsidRPr="004C5551" w:rsidRDefault="00BD28BD" w:rsidP="00EB1679">
      <w:pPr>
        <w:pStyle w:val="zdroj"/>
        <w:ind w:firstLine="1418"/>
      </w:pPr>
      <w:r w:rsidRPr="004C5551">
        <w:t>Zdroj: RSD MIS</w:t>
      </w:r>
    </w:p>
    <w:p w:rsidR="00BD28BD" w:rsidRPr="004C5551" w:rsidRDefault="00BD28BD" w:rsidP="00381844">
      <w:pPr>
        <w:pStyle w:val="Nadpis7"/>
      </w:pPr>
      <w:r w:rsidRPr="004C5551">
        <w:t>Graf 3.</w:t>
      </w:r>
      <w:r w:rsidR="00AB3F7F" w:rsidRPr="004C5551">
        <w:t>6</w:t>
      </w:r>
      <w:r w:rsidRPr="004C5551">
        <w:t xml:space="preserve"> Percentuálne zastúpenie jednotlivých skupín poberateľov pomoci v hmotnej núdzi </w:t>
      </w:r>
      <w:r w:rsidRPr="004C5551">
        <w:br/>
        <w:t>v roku 2014</w:t>
      </w:r>
    </w:p>
    <w:p w:rsidR="00BD28BD" w:rsidRPr="004C5551" w:rsidRDefault="00D772D6" w:rsidP="00BD28BD">
      <w:pPr>
        <w:jc w:val="center"/>
      </w:pPr>
      <w:r w:rsidRPr="004C5551">
        <w:rPr>
          <w:noProof/>
        </w:rPr>
        <w:t xml:space="preserve"> </w:t>
      </w:r>
      <w:r w:rsidRPr="004C5551">
        <w:rPr>
          <w:noProof/>
        </w:rPr>
        <w:drawing>
          <wp:inline distT="0" distB="0" distL="0" distR="0" wp14:anchorId="73C58B53" wp14:editId="7C7EDA12">
            <wp:extent cx="4612193" cy="2612572"/>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D28BD" w:rsidRPr="004C5551" w:rsidRDefault="00BD28BD" w:rsidP="00BD28BD">
      <w:pPr>
        <w:jc w:val="center"/>
      </w:pPr>
    </w:p>
    <w:p w:rsidR="00BD28BD" w:rsidRPr="004C5551" w:rsidRDefault="00BD28BD" w:rsidP="00133D90">
      <w:pPr>
        <w:pStyle w:val="zdroj"/>
      </w:pPr>
      <w:r w:rsidRPr="004C5551">
        <w:t xml:space="preserve">Zdroj: UPSVR </w:t>
      </w:r>
    </w:p>
    <w:p w:rsidR="00BD28BD" w:rsidRPr="004C5551" w:rsidRDefault="00BD28BD" w:rsidP="001206CF">
      <w:pPr>
        <w:ind w:firstLine="431"/>
      </w:pPr>
      <w:bookmarkStart w:id="612" w:name="_Toc294027411"/>
      <w:bookmarkStart w:id="613" w:name="_Toc294029650"/>
      <w:bookmarkStart w:id="614" w:name="_Toc313879141"/>
      <w:bookmarkStart w:id="615" w:name="_Toc325438203"/>
      <w:bookmarkStart w:id="616" w:name="_Toc325440972"/>
      <w:bookmarkStart w:id="617" w:name="_Toc325626785"/>
      <w:bookmarkStart w:id="618" w:name="_Toc326217046"/>
      <w:bookmarkEnd w:id="605"/>
      <w:bookmarkEnd w:id="606"/>
      <w:bookmarkEnd w:id="607"/>
      <w:bookmarkEnd w:id="608"/>
      <w:bookmarkEnd w:id="609"/>
      <w:bookmarkEnd w:id="610"/>
      <w:bookmarkEnd w:id="611"/>
      <w:r w:rsidRPr="004C5551">
        <w:t xml:space="preserve">Pri porovnaní štruktúry poberateľov pomoci v hmotnej núdzi medzi rokom 2013 a 2014 bol zaznamenaný pokles </w:t>
      </w:r>
      <w:r w:rsidR="00067052" w:rsidRPr="004C5551">
        <w:t xml:space="preserve">počtu poberateľov </w:t>
      </w:r>
      <w:r w:rsidRPr="004C5551">
        <w:t xml:space="preserve">takmer u všetkých skupín domácností, okrem jednotlivcov s viac ako štyrmi deťmi, </w:t>
      </w:r>
      <w:r w:rsidR="000055C2" w:rsidRPr="004C5551">
        <w:t>kde počet poberateľov narástol o</w:t>
      </w:r>
      <w:r w:rsidR="005451E4" w:rsidRPr="004C5551">
        <w:t> 1,64</w:t>
      </w:r>
      <w:r w:rsidR="00875D86" w:rsidRPr="004C5551">
        <w:t> </w:t>
      </w:r>
      <w:r w:rsidRPr="004C5551">
        <w:t>%. Pokles bol u jednotlivcov bez detí o 13,3</w:t>
      </w:r>
      <w:r w:rsidR="009425AA" w:rsidRPr="004C5551">
        <w:t> %</w:t>
      </w:r>
      <w:r w:rsidRPr="004C5551">
        <w:t>, u jednotlivcov s jedným až štyrmi deťmi</w:t>
      </w:r>
      <w:r w:rsidR="00067052" w:rsidRPr="004C5551">
        <w:t xml:space="preserve"> o 7,9</w:t>
      </w:r>
      <w:r w:rsidR="009425AA" w:rsidRPr="004C5551">
        <w:t> %</w:t>
      </w:r>
      <w:r w:rsidRPr="004C5551">
        <w:t>, u dvojíc bez detí o 13,5</w:t>
      </w:r>
      <w:r w:rsidR="00875D86" w:rsidRPr="004C5551">
        <w:t> </w:t>
      </w:r>
      <w:r w:rsidRPr="004C5551">
        <w:t>%, u dvojíc s jedným až štyrmi deťmi o 9,7</w:t>
      </w:r>
      <w:r w:rsidR="00875D86" w:rsidRPr="004C5551">
        <w:t> </w:t>
      </w:r>
      <w:r w:rsidRPr="004C5551">
        <w:t>%, u dvojíc s päť a viac deťmi o 5,1</w:t>
      </w:r>
      <w:r w:rsidR="00875D86" w:rsidRPr="004C5551">
        <w:t> </w:t>
      </w:r>
      <w:r w:rsidRPr="004C5551">
        <w:t xml:space="preserve">%. </w:t>
      </w:r>
      <w:r w:rsidR="0051344F" w:rsidRPr="004C5551">
        <w:t>Mierna z</w:t>
      </w:r>
      <w:r w:rsidRPr="004C5551">
        <w:t>mena nastala aj v pomere jednotlivých skupín v rámci celkového počtu poberateľov pomoci v hmotnej núdzi, a to najmä u jednotlivcov bez detí, ktorí predstavujú 61,7</w:t>
      </w:r>
      <w:r w:rsidR="00875D86" w:rsidRPr="004C5551">
        <w:t> </w:t>
      </w:r>
      <w:r w:rsidRPr="004C5551">
        <w:t>% (pokles oproti predchádzajúcemu roku o</w:t>
      </w:r>
      <w:r w:rsidR="00AF3FB8" w:rsidRPr="004C5551">
        <w:t> </w:t>
      </w:r>
      <w:r w:rsidRPr="004C5551">
        <w:t>1</w:t>
      </w:r>
      <w:r w:rsidR="00AF3FB8" w:rsidRPr="004C5551">
        <w:t> </w:t>
      </w:r>
      <w:r w:rsidRPr="004C5551">
        <w:t>p. b.).</w:t>
      </w:r>
    </w:p>
    <w:p w:rsidR="00BD28BD" w:rsidRPr="004C5551" w:rsidRDefault="00BD28BD" w:rsidP="001206CF">
      <w:pPr>
        <w:ind w:firstLine="431"/>
      </w:pPr>
      <w:bookmarkStart w:id="619" w:name="_Toc294027409"/>
      <w:bookmarkStart w:id="620" w:name="_Toc294029648"/>
      <w:bookmarkStart w:id="621" w:name="_Toc313879139"/>
      <w:bookmarkStart w:id="622" w:name="_Toc325438201"/>
      <w:bookmarkStart w:id="623" w:name="_Toc325440970"/>
      <w:bookmarkStart w:id="624" w:name="_Toc325626783"/>
      <w:bookmarkStart w:id="625" w:name="_Toc326217044"/>
      <w:r w:rsidRPr="004C5551">
        <w:t xml:space="preserve">V roku 2014 bolo v systéme pomoci v hmotnej núdzi priemerne mesačne evidovaných </w:t>
      </w:r>
      <w:r w:rsidR="00AF3FB8" w:rsidRPr="004C5551">
        <w:br/>
      </w:r>
      <w:r w:rsidRPr="004C5551">
        <w:t>323 223 členov domácností, čo predstavovalo 6</w:t>
      </w:r>
      <w:r w:rsidR="005057D4" w:rsidRPr="004C5551">
        <w:t>,0</w:t>
      </w:r>
      <w:r w:rsidR="009425AA" w:rsidRPr="004C5551">
        <w:t> %</w:t>
      </w:r>
      <w:r w:rsidR="00106028" w:rsidRPr="004C5551">
        <w:t>-</w:t>
      </w:r>
      <w:proofErr w:type="spellStart"/>
      <w:r w:rsidRPr="004C5551">
        <w:t>ný</w:t>
      </w:r>
      <w:proofErr w:type="spellEnd"/>
      <w:r w:rsidRPr="004C5551">
        <w:t xml:space="preserve"> podiel na</w:t>
      </w:r>
      <w:r w:rsidR="005057D4" w:rsidRPr="004C5551">
        <w:t> </w:t>
      </w:r>
      <w:r w:rsidRPr="004C5551">
        <w:t xml:space="preserve">celkovom počte obyvateľov Slovenska. </w:t>
      </w:r>
      <w:r w:rsidR="00541191" w:rsidRPr="004C5551">
        <w:t>Tento počet oproti roku 2013 poklesol o 10,1 % t. j. o 36 409 osôb. Zároveň</w:t>
      </w:r>
      <w:r w:rsidR="00F22948" w:rsidRPr="004C5551">
        <w:t xml:space="preserve"> </w:t>
      </w:r>
      <w:r w:rsidR="00541191" w:rsidRPr="004C5551">
        <w:t>v</w:t>
      </w:r>
      <w:r w:rsidR="003D4864" w:rsidRPr="004C5551">
        <w:t xml:space="preserve"> </w:t>
      </w:r>
      <w:r w:rsidRPr="004C5551">
        <w:t>porovnaní s rokom 2013 došlo k miernemu zníženiu podielu celkového počtu členov domácností v systéme pomoci v hmotnej núdzi na celkovom počte obyvateľov.</w:t>
      </w:r>
    </w:p>
    <w:p w:rsidR="00BD28BD" w:rsidRPr="004C5551" w:rsidRDefault="00BD28BD" w:rsidP="00BD28BD">
      <w:pPr>
        <w:pStyle w:val="Nadpis7"/>
      </w:pPr>
      <w:r w:rsidRPr="004C5551">
        <w:t>Graf 3.</w:t>
      </w:r>
      <w:r w:rsidR="00AB3F7F" w:rsidRPr="004C5551">
        <w:t>7</w:t>
      </w:r>
      <w:r w:rsidRPr="004C5551">
        <w:t xml:space="preserve"> Podiel členov domácností v systéme pomoci v hmotnej núdzi z počtu obyvateľov v</w:t>
      </w:r>
      <w:r w:rsidR="009425AA" w:rsidRPr="004C5551">
        <w:t> %</w:t>
      </w:r>
      <w:r w:rsidRPr="004C5551">
        <w:t xml:space="preserve"> v jednotlivých regiónoch (ku koncu roka)</w:t>
      </w:r>
      <w:bookmarkEnd w:id="619"/>
      <w:bookmarkEnd w:id="620"/>
      <w:bookmarkEnd w:id="621"/>
      <w:bookmarkEnd w:id="622"/>
      <w:bookmarkEnd w:id="623"/>
      <w:bookmarkEnd w:id="624"/>
      <w:bookmarkEnd w:id="625"/>
    </w:p>
    <w:p w:rsidR="00BD28BD" w:rsidRPr="004C5551" w:rsidRDefault="00D02D08" w:rsidP="00BD28BD">
      <w:pPr>
        <w:jc w:val="center"/>
      </w:pPr>
      <w:r w:rsidRPr="004C5551">
        <w:rPr>
          <w:noProof/>
        </w:rPr>
        <w:t xml:space="preserve"> </w:t>
      </w:r>
      <w:r w:rsidRPr="004C5551">
        <w:rPr>
          <w:noProof/>
        </w:rPr>
        <w:drawing>
          <wp:inline distT="0" distB="0" distL="0" distR="0" wp14:anchorId="2980EC89" wp14:editId="51FF1152">
            <wp:extent cx="4572000" cy="2743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D28BD" w:rsidRPr="004C5551" w:rsidRDefault="00BD28BD" w:rsidP="00D02D08">
      <w:pPr>
        <w:pStyle w:val="zdroj"/>
      </w:pPr>
      <w:r w:rsidRPr="004C5551">
        <w:t>Zdroj: RSD MIS a Š</w:t>
      </w:r>
      <w:r w:rsidR="00BB1867" w:rsidRPr="004C5551">
        <w:t>Ú</w:t>
      </w:r>
      <w:r w:rsidRPr="004C5551">
        <w:t xml:space="preserve"> SR </w:t>
      </w:r>
    </w:p>
    <w:p w:rsidR="00BD28BD" w:rsidRPr="004C5551" w:rsidRDefault="00BD28BD" w:rsidP="001206CF">
      <w:pPr>
        <w:ind w:firstLine="431"/>
      </w:pPr>
      <w:bookmarkStart w:id="626" w:name="_Toc294027410"/>
      <w:bookmarkStart w:id="627" w:name="_Toc294029649"/>
      <w:bookmarkStart w:id="628" w:name="_Toc313879140"/>
      <w:bookmarkStart w:id="629" w:name="_Toc325438202"/>
      <w:bookmarkStart w:id="630" w:name="_Toc325440971"/>
      <w:bookmarkStart w:id="631" w:name="_Toc325626784"/>
      <w:bookmarkStart w:id="632" w:name="_Toc326217045"/>
      <w:r w:rsidRPr="004C5551">
        <w:t>Najvyšší podiel členov domácností v systéme pomoci v hmotnej núdzi za sledované obdobie (ku</w:t>
      </w:r>
      <w:r w:rsidR="00AF3FB8" w:rsidRPr="004C5551">
        <w:t> </w:t>
      </w:r>
      <w:r w:rsidRPr="004C5551">
        <w:t>koncu roka) bol v Košickom kraji (9,6</w:t>
      </w:r>
      <w:r w:rsidR="009425AA" w:rsidRPr="004C5551">
        <w:t> %</w:t>
      </w:r>
      <w:r w:rsidRPr="004C5551">
        <w:t>), v Banskobystrickom kraji (9,4</w:t>
      </w:r>
      <w:r w:rsidR="00875D86" w:rsidRPr="004C5551">
        <w:t> </w:t>
      </w:r>
      <w:r w:rsidRPr="004C5551">
        <w:t>%) a v Prešovskom kraji (9,3</w:t>
      </w:r>
      <w:r w:rsidR="00875D86" w:rsidRPr="004C5551">
        <w:t> </w:t>
      </w:r>
      <w:r w:rsidRPr="004C5551">
        <w:t>%). Najnižší podiel vykazoval Bratislavský kraj, a to 1,0</w:t>
      </w:r>
      <w:r w:rsidR="009425AA" w:rsidRPr="004C5551">
        <w:t> %</w:t>
      </w:r>
      <w:r w:rsidRPr="004C5551">
        <w:t>.</w:t>
      </w:r>
    </w:p>
    <w:bookmarkEnd w:id="626"/>
    <w:bookmarkEnd w:id="627"/>
    <w:bookmarkEnd w:id="628"/>
    <w:bookmarkEnd w:id="629"/>
    <w:bookmarkEnd w:id="630"/>
    <w:bookmarkEnd w:id="631"/>
    <w:bookmarkEnd w:id="632"/>
    <w:p w:rsidR="00D23264" w:rsidRPr="004C5551" w:rsidRDefault="00BD28BD" w:rsidP="00D23264">
      <w:pPr>
        <w:pStyle w:val="Normlnysozarkami12"/>
        <w:ind w:firstLine="431"/>
      </w:pPr>
      <w:r w:rsidRPr="004C5551">
        <w:t>Z celkového počtu členov domácností v systéme pomoci v hmotnej núdzi bolo 51,7</w:t>
      </w:r>
      <w:r w:rsidR="009425AA" w:rsidRPr="004C5551">
        <w:t> %</w:t>
      </w:r>
      <w:r w:rsidRPr="004C5551">
        <w:t xml:space="preserve"> mužov a 48,3</w:t>
      </w:r>
      <w:r w:rsidR="00875D86" w:rsidRPr="004C5551">
        <w:t> </w:t>
      </w:r>
      <w:r w:rsidRPr="004C5551">
        <w:t xml:space="preserve">% žien. V porovnaní s rokom 2013 nedošlo k zmene pomeru žien a mužov. Nasledujúci graf znázorňuje štruktúru členov domácností v systéme pomoci v hmotnej núdzi podľa veku a pohlavia. </w:t>
      </w:r>
      <w:r w:rsidR="001E3CAC" w:rsidRPr="004C5551">
        <w:t>V</w:t>
      </w:r>
      <w:r w:rsidR="00AF3FB8" w:rsidRPr="004C5551">
        <w:t> </w:t>
      </w:r>
      <w:r w:rsidR="001E3CAC" w:rsidRPr="004C5551">
        <w:t>jednotlivých vekových skupinách je</w:t>
      </w:r>
      <w:r w:rsidRPr="004C5551">
        <w:t xml:space="preserve"> vyšší podiel mužov ako žien, až na vekovú skupinu </w:t>
      </w:r>
      <w:r w:rsidR="00381844" w:rsidRPr="004C5551">
        <w:t>60 </w:t>
      </w:r>
      <w:r w:rsidRPr="004C5551">
        <w:t>a</w:t>
      </w:r>
      <w:r w:rsidR="00DC235D" w:rsidRPr="004C5551">
        <w:t> </w:t>
      </w:r>
      <w:r w:rsidRPr="004C5551">
        <w:t>viac</w:t>
      </w:r>
      <w:r w:rsidR="00DC235D" w:rsidRPr="004C5551">
        <w:t xml:space="preserve"> rokov</w:t>
      </w:r>
      <w:r w:rsidRPr="004C5551">
        <w:t>. Počet žien v danej vekovej skupine je vyšší oproti počtu mužov o 66,5</w:t>
      </w:r>
      <w:r w:rsidR="00875D86" w:rsidRPr="004C5551">
        <w:t> </w:t>
      </w:r>
      <w:r w:rsidRPr="004C5551">
        <w:t>%. Tento stav pretrváva už od roku 2006 a</w:t>
      </w:r>
      <w:r w:rsidR="000B18CC" w:rsidRPr="004C5551">
        <w:t xml:space="preserve"> okrem demografického vývoja </w:t>
      </w:r>
      <w:r w:rsidRPr="004C5551">
        <w:t xml:space="preserve">je ovplyvnený </w:t>
      </w:r>
      <w:r w:rsidR="000B18CC" w:rsidRPr="004C5551">
        <w:t xml:space="preserve">aj </w:t>
      </w:r>
      <w:r w:rsidR="001B41A5" w:rsidRPr="004C5551">
        <w:rPr>
          <w:bCs/>
        </w:rPr>
        <w:t xml:space="preserve">nižšími dôchodkami u žien, ktoré vyplývajú z nižších predchádzajúcich príjmov počas pracovnej kariéry. </w:t>
      </w:r>
      <w:r w:rsidR="001B41A5" w:rsidRPr="004C5551">
        <w:t>Daná veková skupina ľudí</w:t>
      </w:r>
      <w:r w:rsidR="007A2143" w:rsidRPr="004C5551">
        <w:t xml:space="preserve"> v hmotnej núdzi</w:t>
      </w:r>
      <w:r w:rsidR="001B41A5" w:rsidRPr="004C5551">
        <w:t xml:space="preserve"> žije predovšetkým v domácnostiach jednotlivcov</w:t>
      </w:r>
      <w:r w:rsidR="00F22948" w:rsidRPr="004C5551">
        <w:t>,</w:t>
      </w:r>
      <w:r w:rsidR="001B41A5" w:rsidRPr="004C5551">
        <w:t xml:space="preserve"> resp. v neúplných rodinách, ktoré tvoria až 83,42 % z celkového počtu poberateľov</w:t>
      </w:r>
      <w:r w:rsidR="007A2143" w:rsidRPr="004C5551">
        <w:t>, pričom ženy predstavujú 73,80 %.</w:t>
      </w:r>
    </w:p>
    <w:p w:rsidR="00AF3FB8" w:rsidRPr="004C5551" w:rsidRDefault="00AF3FB8">
      <w:pPr>
        <w:jc w:val="left"/>
        <w:rPr>
          <w:b/>
        </w:rPr>
      </w:pPr>
      <w:r w:rsidRPr="004C5551">
        <w:br w:type="page"/>
      </w:r>
    </w:p>
    <w:p w:rsidR="00BD28BD" w:rsidRPr="004C5551" w:rsidRDefault="00BD28BD" w:rsidP="00BD28BD">
      <w:pPr>
        <w:pStyle w:val="Nadpis7"/>
      </w:pPr>
      <w:r w:rsidRPr="004C5551">
        <w:t>Graf 3.</w:t>
      </w:r>
      <w:r w:rsidR="00AB3F7F" w:rsidRPr="004C5551">
        <w:t>8</w:t>
      </w:r>
      <w:r w:rsidRPr="004C5551">
        <w:t xml:space="preserve"> Členovia domácností v systéme pomoci v hmotnej núdzi v členení podľa </w:t>
      </w:r>
      <w:r w:rsidR="00AF3FB8" w:rsidRPr="004C5551">
        <w:br/>
      </w:r>
      <w:r w:rsidRPr="004C5551">
        <w:t>veku a pohlavia v roku 2014</w:t>
      </w:r>
    </w:p>
    <w:p w:rsidR="00BD28BD" w:rsidRPr="004C5551" w:rsidRDefault="00960673" w:rsidP="00BD28BD">
      <w:pPr>
        <w:jc w:val="center"/>
      </w:pPr>
      <w:r w:rsidRPr="004C5551">
        <w:rPr>
          <w:noProof/>
        </w:rPr>
        <w:t xml:space="preserve"> </w:t>
      </w:r>
      <w:r w:rsidRPr="004C5551">
        <w:rPr>
          <w:noProof/>
        </w:rPr>
        <w:drawing>
          <wp:inline distT="0" distB="0" distL="0" distR="0" wp14:anchorId="4148508E" wp14:editId="0E47224B">
            <wp:extent cx="5486400" cy="27432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D28BD" w:rsidRPr="004C5551" w:rsidRDefault="00BD28BD" w:rsidP="00D02D08">
      <w:pPr>
        <w:pStyle w:val="zdroj"/>
      </w:pPr>
      <w:bookmarkStart w:id="633" w:name="_Toc294027412"/>
      <w:bookmarkStart w:id="634" w:name="_Toc294029651"/>
      <w:bookmarkStart w:id="635" w:name="_Toc313879142"/>
      <w:bookmarkStart w:id="636" w:name="_Toc325438204"/>
      <w:bookmarkStart w:id="637" w:name="_Toc325440973"/>
      <w:bookmarkStart w:id="638" w:name="_Toc325626786"/>
      <w:bookmarkStart w:id="639" w:name="_Toc326217047"/>
      <w:bookmarkEnd w:id="612"/>
      <w:bookmarkEnd w:id="613"/>
      <w:bookmarkEnd w:id="614"/>
      <w:bookmarkEnd w:id="615"/>
      <w:bookmarkEnd w:id="616"/>
      <w:bookmarkEnd w:id="617"/>
      <w:bookmarkEnd w:id="618"/>
      <w:r w:rsidRPr="004C5551">
        <w:t xml:space="preserve">Zdroj: RSD MIS </w:t>
      </w:r>
    </w:p>
    <w:p w:rsidR="00BD28BD" w:rsidRPr="004C5551" w:rsidRDefault="00BD28BD" w:rsidP="001206CF">
      <w:pPr>
        <w:ind w:firstLine="431"/>
      </w:pPr>
      <w:r w:rsidRPr="004C5551">
        <w:rPr>
          <w:i/>
        </w:rPr>
        <w:t>Ochranný príspevok</w:t>
      </w:r>
      <w:r w:rsidRPr="004C5551">
        <w:t xml:space="preserve"> je určený na zabezpečenie osobitných výdavkov členov domácností, ktorí nemajú možnosť zabezpečiť si príjem alebo zvýšiť si príjem vlastnou prácou. Poskytuje sa na základe zákonom stanovených podmienok, a to v sume </w:t>
      </w:r>
    </w:p>
    <w:p w:rsidR="00BD28BD" w:rsidRPr="004C5551" w:rsidRDefault="00BD28BD" w:rsidP="009C55E3">
      <w:pPr>
        <w:pStyle w:val="Odsekzoznamu"/>
        <w:numPr>
          <w:ilvl w:val="0"/>
          <w:numId w:val="38"/>
        </w:numPr>
        <w:contextualSpacing/>
      </w:pPr>
      <w:r w:rsidRPr="004C5551">
        <w:t xml:space="preserve">63,07 </w:t>
      </w:r>
      <w:r w:rsidR="002926E5" w:rsidRPr="004C5551">
        <w:t>eura</w:t>
      </w:r>
      <w:r w:rsidRPr="004C5551">
        <w:t xml:space="preserve"> mesačne, ak ide o člena domácnosti, ktorý má vek potrebný na starobný dôchodok, má invaliditu z titulu poklesu schopnosti vykonávať zárobkovú činnosť o viac ako 70</w:t>
      </w:r>
      <w:r w:rsidR="009425AA" w:rsidRPr="004C5551">
        <w:t> %</w:t>
      </w:r>
      <w:r w:rsidRPr="004C5551">
        <w:t xml:space="preserve">, je osamelý rodič starajúci sa o dieťa do 31 týždňov veku, osobne sa stará o fyzickú osobu s ťažkým zdravotným postihnutím atď., </w:t>
      </w:r>
    </w:p>
    <w:p w:rsidR="00BD28BD" w:rsidRPr="004C5551" w:rsidRDefault="00BD28BD" w:rsidP="009C55E3">
      <w:pPr>
        <w:pStyle w:val="Odsekzoznamu"/>
        <w:numPr>
          <w:ilvl w:val="0"/>
          <w:numId w:val="38"/>
        </w:numPr>
        <w:contextualSpacing/>
      </w:pPr>
      <w:r w:rsidRPr="004C5551">
        <w:t xml:space="preserve">34,69 </w:t>
      </w:r>
      <w:r w:rsidR="002926E5" w:rsidRPr="004C5551">
        <w:t>eura</w:t>
      </w:r>
      <w:r w:rsidRPr="004C5551">
        <w:t xml:space="preserve"> mesačne, ak má nepriaznivý zdravotný stav, za ktorý sa považuje choroba, úraz alebo karanténne opatrenie, trvajúce viac ako 30 po sebe nasledujúcich dní,</w:t>
      </w:r>
    </w:p>
    <w:p w:rsidR="00BD28BD" w:rsidRPr="004C5551" w:rsidRDefault="00BD28BD" w:rsidP="009C55E3">
      <w:pPr>
        <w:pStyle w:val="Odsekzoznamu"/>
        <w:numPr>
          <w:ilvl w:val="0"/>
          <w:numId w:val="38"/>
        </w:numPr>
        <w:contextualSpacing/>
      </w:pPr>
      <w:r w:rsidRPr="004C5551">
        <w:t xml:space="preserve">13,50 </w:t>
      </w:r>
      <w:r w:rsidR="002926E5" w:rsidRPr="004C5551">
        <w:t>eura</w:t>
      </w:r>
      <w:r w:rsidRPr="004C5551">
        <w:t xml:space="preserve"> mesačne</w:t>
      </w:r>
      <w:r w:rsidR="00F22948" w:rsidRPr="004C5551">
        <w:t>,</w:t>
      </w:r>
      <w:r w:rsidRPr="004C5551">
        <w:t xml:space="preserve"> ak ide o tehotnú ženu alebo rodiča dieťaťa do 1 roka jeho veku.</w:t>
      </w:r>
    </w:p>
    <w:p w:rsidR="00BD28BD" w:rsidRPr="004C5551" w:rsidRDefault="00BD28BD" w:rsidP="00BD28BD">
      <w:pPr>
        <w:ind w:firstLine="567"/>
      </w:pPr>
    </w:p>
    <w:p w:rsidR="00BD28BD" w:rsidRPr="004C5551" w:rsidRDefault="00BD28BD" w:rsidP="001206CF">
      <w:pPr>
        <w:ind w:firstLine="431"/>
      </w:pPr>
      <w:r w:rsidRPr="004C5551">
        <w:t>V roku 2014 bol ochranný príspevok poskytnutý v priemere mesačne 3</w:t>
      </w:r>
      <w:r w:rsidR="004801CC" w:rsidRPr="004C5551">
        <w:t>1 936</w:t>
      </w:r>
      <w:r w:rsidRPr="004C5551">
        <w:t xml:space="preserve"> členom domácností, z toho s nárokom na sumu 63,07 </w:t>
      </w:r>
      <w:r w:rsidR="002926E5" w:rsidRPr="004C5551">
        <w:t>eura</w:t>
      </w:r>
      <w:r w:rsidRPr="004C5551">
        <w:t xml:space="preserve"> bol poskytnutý 18 030 členom domácností, s nárokom na sumu 34,69 </w:t>
      </w:r>
      <w:r w:rsidR="002926E5" w:rsidRPr="004C5551">
        <w:t>eura</w:t>
      </w:r>
      <w:r w:rsidRPr="004C5551">
        <w:t xml:space="preserve"> bol poskytnutý 10 357 členom domácností a s nárokom na sumu 13,50 </w:t>
      </w:r>
      <w:r w:rsidR="002926E5" w:rsidRPr="004C5551">
        <w:t>eura</w:t>
      </w:r>
      <w:r w:rsidRPr="004C5551">
        <w:t xml:space="preserve"> bol poskytnutý 1 482 členom domácností (tehotné ženy) a 2 068 členom domácností, t.j. rodičom starajúcim sa o dieťa do 1 roka veku V porovnaní s rokom 2013 sme zaznamenali medziročn</w:t>
      </w:r>
      <w:r w:rsidR="00C20D78" w:rsidRPr="004C5551">
        <w:t>ý</w:t>
      </w:r>
      <w:r w:rsidRPr="004C5551">
        <w:t xml:space="preserve"> pokles o 33,04</w:t>
      </w:r>
      <w:r w:rsidR="009425AA" w:rsidRPr="004C5551">
        <w:t> %</w:t>
      </w:r>
      <w:r w:rsidRPr="004C5551">
        <w:t>.</w:t>
      </w:r>
    </w:p>
    <w:p w:rsidR="00BD28BD" w:rsidRPr="004C5551" w:rsidRDefault="00BD28BD" w:rsidP="001206CF">
      <w:pPr>
        <w:ind w:firstLine="431"/>
      </w:pPr>
      <w:r w:rsidRPr="004C5551">
        <w:rPr>
          <w:i/>
        </w:rPr>
        <w:t>Aktivačný príspevok</w:t>
      </w:r>
      <w:r w:rsidRPr="004C5551">
        <w:t xml:space="preserve"> je určený na podporu získania, udržania, prehĺbenia alebo zvýšenia vedomostí, odborných zručností, praktických skúseností a pracovných návykov za účelom zvýšenia pracovného uplatnenia na trhu práce. Aktivačný príspevok patrí každému členovi domácnosti</w:t>
      </w:r>
      <w:r w:rsidR="00C20D78" w:rsidRPr="004C5551">
        <w:t>,</w:t>
      </w:r>
      <w:r w:rsidRPr="004C5551">
        <w:t xml:space="preserve"> ak je zamestnaný, vedený ako uchádzač o zamestnanie alebo je mu vyplácaný rodičovský príspevok. V prípade uchádzačov o zamestnanie dôvody poskytnutia aktivačného príspevku sú: zvyšovanie kvalifikácie, zúčastňovanie sa na vzdelávaní a príprave pre trh práce alebo vykonávanie menších obecných služieb. </w:t>
      </w:r>
    </w:p>
    <w:p w:rsidR="00BD28BD" w:rsidRPr="004C5551" w:rsidRDefault="00BD28BD" w:rsidP="001206CF">
      <w:pPr>
        <w:ind w:firstLine="431"/>
      </w:pPr>
      <w:r w:rsidRPr="004C5551">
        <w:t>V roku 2014 bol aktivačný príspevok poskytnutý v priemere mesačne 60 723 členom domácností, z toho bolo 2 326 členov domácností zamestnaných, 57 831 uchádzačov o zamestnanie a 6 na</w:t>
      </w:r>
      <w:r w:rsidR="00AF3FB8" w:rsidRPr="004C5551">
        <w:t> </w:t>
      </w:r>
      <w:r w:rsidRPr="004C5551">
        <w:t>rodičov</w:t>
      </w:r>
      <w:r w:rsidR="00AF3FB8" w:rsidRPr="004C5551">
        <w:softHyphen/>
      </w:r>
      <w:r w:rsidRPr="004C5551">
        <w:t>skom príspevku. Z celkového počtu uchádzačov o zamestnanie, ktorým bol poskytovaný aktivačný príspevok, bolo 56 807 členov domácností vykonávajúcich menšie obecné služby alebo menšie služby pre samosprávny kraj. V porovnaní s rokom 2013 sme zaznamenali medziročne pokles nárokov o 4,81</w:t>
      </w:r>
      <w:r w:rsidR="009425AA" w:rsidRPr="004C5551">
        <w:t> %</w:t>
      </w:r>
      <w:r w:rsidRPr="004C5551">
        <w:t>.</w:t>
      </w:r>
    </w:p>
    <w:p w:rsidR="00BD28BD" w:rsidRPr="004C5551" w:rsidRDefault="00BD28BD" w:rsidP="001206CF">
      <w:pPr>
        <w:ind w:firstLine="431"/>
      </w:pPr>
      <w:bookmarkStart w:id="640" w:name="_Toc294027413"/>
      <w:bookmarkStart w:id="641" w:name="_Toc294029652"/>
      <w:bookmarkStart w:id="642" w:name="_Toc313879143"/>
      <w:bookmarkStart w:id="643" w:name="_Toc325438205"/>
      <w:bookmarkStart w:id="644" w:name="_Toc325440974"/>
      <w:bookmarkStart w:id="645" w:name="_Toc325626787"/>
      <w:bookmarkStart w:id="646" w:name="_Toc326217048"/>
      <w:bookmarkEnd w:id="633"/>
      <w:bookmarkEnd w:id="634"/>
      <w:bookmarkEnd w:id="635"/>
      <w:bookmarkEnd w:id="636"/>
      <w:bookmarkEnd w:id="637"/>
      <w:bookmarkEnd w:id="638"/>
      <w:bookmarkEnd w:id="639"/>
      <w:r w:rsidRPr="004C5551">
        <w:rPr>
          <w:i/>
        </w:rPr>
        <w:t xml:space="preserve">Príspevok na nezaopatrené dieťa </w:t>
      </w:r>
      <w:r w:rsidRPr="004C5551">
        <w:t>je určený na podporu výchovy, vzdelávania a všestranného rozvoja dieťaťa v domácnosti, ktoré</w:t>
      </w:r>
      <w:r w:rsidR="00F22948" w:rsidRPr="004C5551">
        <w:t xml:space="preserve"> si </w:t>
      </w:r>
      <w:r w:rsidRPr="004C5551">
        <w:t xml:space="preserve">riadne plní povinnú školskú dochádzku. Výška príspevku je </w:t>
      </w:r>
      <w:r w:rsidR="00381844" w:rsidRPr="004C5551">
        <w:t>pre </w:t>
      </w:r>
      <w:r w:rsidRPr="004C5551">
        <w:t xml:space="preserve">každé nezaopatrené dieťa 17,20 </w:t>
      </w:r>
      <w:r w:rsidR="002926E5" w:rsidRPr="004C5551">
        <w:t>eura</w:t>
      </w:r>
      <w:r w:rsidRPr="004C5551">
        <w:t xml:space="preserve"> mesačne. V roku 2014 bol príspevok na starostlivosť o nezaopatrené dieťa poskytnutý v priemere mesačne na 61 309 nezaopatrených detí. </w:t>
      </w:r>
    </w:p>
    <w:p w:rsidR="00BD28BD" w:rsidRPr="004C5551" w:rsidRDefault="00BD28BD" w:rsidP="001206CF">
      <w:pPr>
        <w:ind w:firstLine="431"/>
      </w:pPr>
      <w:r w:rsidRPr="004C5551">
        <w:rPr>
          <w:i/>
        </w:rPr>
        <w:t xml:space="preserve">Príspevok na bývanie </w:t>
      </w:r>
      <w:r w:rsidRPr="004C5551">
        <w:t xml:space="preserve">je určený na úhradu nákladov spojených s bývaním. Poskytuje sa </w:t>
      </w:r>
      <w:r w:rsidR="00C20D78" w:rsidRPr="004C5551">
        <w:t>poberateľovi</w:t>
      </w:r>
      <w:r w:rsidR="00672D64" w:rsidRPr="004C5551">
        <w:t>,</w:t>
      </w:r>
      <w:r w:rsidRPr="004C5551">
        <w:t xml:space="preserve"> ak niektorý člen domácnosti je vlastníkom alebo spoluvlastníkom bytu, vlastníkom alebo spoluvlastníkom rodinného domu, nájomcom bytu, nájomcom rodinného domu alebo nájomcom obytnej miestnosti v zariadení určenom na trvalé bývanie</w:t>
      </w:r>
      <w:r w:rsidR="00672D64" w:rsidRPr="004C5551">
        <w:t xml:space="preserve"> alebo býva v byte alebo v rodinnom dome na</w:t>
      </w:r>
      <w:r w:rsidR="00AF3FB8" w:rsidRPr="004C5551">
        <w:t> </w:t>
      </w:r>
      <w:r w:rsidR="00672D64" w:rsidRPr="004C5551">
        <w:t>základe práva doživotného užívania</w:t>
      </w:r>
      <w:r w:rsidRPr="004C5551">
        <w:t xml:space="preserve">. Taktiež príspevok na bývanie patrí, ak domácnosť býva v zariadení podporovaného bývania, zariadení pre seniorov, domove sociálnych služieb alebo špecializovanom zariadení s celoročnou pobytovou formou, v útulku, domove na polceste, zariadení núdzového bývania alebo v krízovom stredisku. </w:t>
      </w:r>
    </w:p>
    <w:p w:rsidR="00BD28BD" w:rsidRPr="004C5551" w:rsidRDefault="00BD28BD" w:rsidP="001206CF">
      <w:pPr>
        <w:ind w:firstLine="431"/>
      </w:pPr>
      <w:r w:rsidRPr="004C5551">
        <w:t>K roku 2014 sa príspevok na bývanie poskytol priemerne mesačne 72 687 domácnostiam. V porovnaní s rokom 2013 sme zaznamenali medziročne pokles nárokov o 10,42</w:t>
      </w:r>
      <w:r w:rsidR="009425AA" w:rsidRPr="004C5551">
        <w:t> %</w:t>
      </w:r>
      <w:r w:rsidRPr="004C5551">
        <w:t>.</w:t>
      </w:r>
    </w:p>
    <w:p w:rsidR="00BD28BD" w:rsidRPr="004C5551" w:rsidRDefault="00BD28BD" w:rsidP="00BD28BD">
      <w:pPr>
        <w:ind w:firstLine="567"/>
      </w:pPr>
    </w:p>
    <w:p w:rsidR="00BD28BD" w:rsidRPr="004C5551" w:rsidRDefault="00BD28BD" w:rsidP="00BD28BD">
      <w:pPr>
        <w:rPr>
          <w:b/>
        </w:rPr>
      </w:pPr>
      <w:r w:rsidRPr="004C5551">
        <w:rPr>
          <w:b/>
        </w:rPr>
        <w:t xml:space="preserve">Osobitný príspevok </w:t>
      </w:r>
    </w:p>
    <w:p w:rsidR="00BD28BD" w:rsidRPr="004C5551" w:rsidRDefault="00BD28BD" w:rsidP="001206CF">
      <w:pPr>
        <w:ind w:firstLine="431"/>
      </w:pPr>
      <w:r w:rsidRPr="004C5551">
        <w:t xml:space="preserve">V rámci nového nastaveného systému pomoci v hmotnej núdzi boli zadefinované aj podmienky poskytovania osobitného príspevku, ktorý patrí fyzickej osobe, ktorá bola dlhodobo nezamestnaná, zamestnala sa s príjmom zo závislej činnosti najmenej na úrovni minimálnej mzdy a maximálne </w:t>
      </w:r>
      <w:r w:rsidR="00381844" w:rsidRPr="004C5551">
        <w:t>na </w:t>
      </w:r>
      <w:r w:rsidRPr="004C5551">
        <w:t xml:space="preserve">úrovni trojnásobku minimálnej mzdy a ktorá je členom domácnosti, ktorej sa prestane poskytovať pomoc v hmotnej núdzi. Osobitný príspevok sa vypláca takejto osobe v sume 63,07 </w:t>
      </w:r>
      <w:r w:rsidR="002926E5" w:rsidRPr="004C5551">
        <w:t>eura</w:t>
      </w:r>
      <w:r w:rsidRPr="004C5551">
        <w:t xml:space="preserve"> po dobu </w:t>
      </w:r>
      <w:r w:rsidRPr="004C5551">
        <w:rPr>
          <w:i/>
        </w:rPr>
        <w:t xml:space="preserve">šiestich mesiacov. </w:t>
      </w:r>
      <w:r w:rsidRPr="004C5551">
        <w:t xml:space="preserve">V roku 2014 sa osobitný príspevok poskytol priemerne mesačne 3 608 fyzickým osobám. </w:t>
      </w:r>
    </w:p>
    <w:p w:rsidR="00156B84" w:rsidRPr="004C5551" w:rsidRDefault="00156B84" w:rsidP="00C27C1E">
      <w:pPr>
        <w:pStyle w:val="Nadpis6"/>
      </w:pPr>
      <w:bookmarkStart w:id="647" w:name="_Toc422233433"/>
      <w:bookmarkEnd w:id="640"/>
      <w:bookmarkEnd w:id="641"/>
      <w:bookmarkEnd w:id="642"/>
      <w:bookmarkEnd w:id="643"/>
      <w:bookmarkEnd w:id="644"/>
      <w:bookmarkEnd w:id="645"/>
      <w:bookmarkEnd w:id="646"/>
      <w:r w:rsidRPr="004C5551">
        <w:t>Dotácie pre dieťa v hmotnej núdzi</w:t>
      </w:r>
      <w:bookmarkEnd w:id="647"/>
    </w:p>
    <w:p w:rsidR="00BD28BD" w:rsidRPr="004C5551" w:rsidRDefault="00BD28BD" w:rsidP="001206CF">
      <w:pPr>
        <w:ind w:firstLine="431"/>
      </w:pPr>
      <w:r w:rsidRPr="004C5551">
        <w:t xml:space="preserve">Ide o podporné opatrenie zamerané na zvýšenie motivácie detí z nízkopríjmových rodín k plneniu povinnej školskej dochádzky, realizované prostredníctvom dotačného programu MPSVR SR. Prostredníctvom dotačného programu MPSVR SR poskytuje dotáciu na podporu výchovy k stravovacím návykom a dotáciu na podporu výchovy k plneniu školských povinností dieťaťa, ohrozeného sociálnym vylúčením. </w:t>
      </w:r>
    </w:p>
    <w:p w:rsidR="00BD28BD" w:rsidRPr="004C5551" w:rsidRDefault="00BD28BD" w:rsidP="001206CF">
      <w:pPr>
        <w:ind w:firstLine="431"/>
      </w:pPr>
      <w:r w:rsidRPr="004C5551">
        <w:t>Poskytovanie dotácie na podporu výchovy k stravovacím návykom, ako aj dotácie na podporu výchovy k plneniu školských povinností dieťaťa ohrozeného sociálnym vylúčením je upravené zákonom č. 544/2010 Z. z. o dotáciách v pôsobnosti MPSVR SR.</w:t>
      </w:r>
    </w:p>
    <w:p w:rsidR="00C20D78" w:rsidRPr="004C5551" w:rsidRDefault="00BD28BD" w:rsidP="001206CF">
      <w:pPr>
        <w:ind w:firstLine="431"/>
      </w:pPr>
      <w:r w:rsidRPr="004C5551">
        <w:t xml:space="preserve">V roku 2014 boli vyplatené finančné prostriedky na dotáciu na podporu výchovy k stravovacím návykom v sume 11 888 398 </w:t>
      </w:r>
      <w:r w:rsidR="002926E5" w:rsidRPr="004C5551">
        <w:t>eur</w:t>
      </w:r>
      <w:r w:rsidRPr="004C5551">
        <w:t xml:space="preserve">. Priemerný mesačný počet detí, ktorým bola dotácia poskytnutá, je </w:t>
      </w:r>
      <w:r w:rsidR="002E78E0" w:rsidRPr="004C5551">
        <w:t>88</w:t>
      </w:r>
      <w:r w:rsidRPr="004C5551">
        <w:t> </w:t>
      </w:r>
      <w:r w:rsidR="002E78E0" w:rsidRPr="004C5551">
        <w:t>267</w:t>
      </w:r>
      <w:r w:rsidRPr="004C5551">
        <w:t>; v porovnaní s rokom 2013 došlo k poklesu o </w:t>
      </w:r>
      <w:r w:rsidR="002E78E0" w:rsidRPr="004C5551">
        <w:t>2</w:t>
      </w:r>
      <w:r w:rsidRPr="004C5551">
        <w:t>,</w:t>
      </w:r>
      <w:r w:rsidR="002E78E0" w:rsidRPr="004C5551">
        <w:t>72</w:t>
      </w:r>
      <w:r w:rsidR="009425AA" w:rsidRPr="004C5551">
        <w:t> %</w:t>
      </w:r>
      <w:r w:rsidRPr="004C5551">
        <w:t xml:space="preserve"> (pokles o cca 2 </w:t>
      </w:r>
      <w:r w:rsidR="002E78E0" w:rsidRPr="004C5551">
        <w:t>467</w:t>
      </w:r>
      <w:r w:rsidRPr="004C5551">
        <w:t xml:space="preserve"> detí). </w:t>
      </w:r>
    </w:p>
    <w:p w:rsidR="00BD28BD" w:rsidRPr="004C5551" w:rsidRDefault="00BD28BD" w:rsidP="001206CF">
      <w:pPr>
        <w:ind w:firstLine="431"/>
      </w:pPr>
      <w:r w:rsidRPr="004C5551">
        <w:t>Dotáci</w:t>
      </w:r>
      <w:r w:rsidR="00E53EF6" w:rsidRPr="004C5551">
        <w:t>a</w:t>
      </w:r>
      <w:r w:rsidRPr="004C5551">
        <w:t xml:space="preserve"> na podporu výchovy k plneniu školských povinností dieťaťa ohrozeného sociálnym vylúčením tvoril</w:t>
      </w:r>
      <w:r w:rsidR="00E53EF6" w:rsidRPr="004C5551">
        <w:t>a</w:t>
      </w:r>
      <w:r w:rsidRPr="004C5551">
        <w:t xml:space="preserve"> sumu 2 640 447 </w:t>
      </w:r>
      <w:r w:rsidR="002926E5" w:rsidRPr="004C5551">
        <w:t>eur</w:t>
      </w:r>
      <w:r w:rsidRPr="004C5551">
        <w:t xml:space="preserve"> a bola poskytnutá </w:t>
      </w:r>
      <w:r w:rsidR="00296761" w:rsidRPr="004C5551">
        <w:t xml:space="preserve">priemerne </w:t>
      </w:r>
      <w:r w:rsidRPr="004C5551">
        <w:t>79 243 deťom, čo predstavuje medziročný pokles o 4,3</w:t>
      </w:r>
      <w:r w:rsidR="00875D86" w:rsidRPr="004C5551">
        <w:t> </w:t>
      </w:r>
      <w:r w:rsidRPr="004C5551">
        <w:t xml:space="preserve">% (pokles oproti roku 2013 o 3 580 detí). </w:t>
      </w:r>
    </w:p>
    <w:p w:rsidR="00BD28BD" w:rsidRPr="004C5551" w:rsidRDefault="00BD28BD" w:rsidP="00BB1867">
      <w:pPr>
        <w:pStyle w:val="Nadpis7"/>
      </w:pPr>
      <w:bookmarkStart w:id="648" w:name="_Toc294027415"/>
      <w:bookmarkStart w:id="649" w:name="_Toc294029654"/>
      <w:bookmarkStart w:id="650" w:name="_Toc313879145"/>
      <w:bookmarkStart w:id="651" w:name="_Toc325438207"/>
      <w:bookmarkStart w:id="652" w:name="_Toc325440976"/>
      <w:bookmarkStart w:id="653" w:name="_Toc325626789"/>
      <w:bookmarkStart w:id="654" w:name="_Toc326217050"/>
      <w:r w:rsidRPr="004C5551">
        <w:t>Graf 3.</w:t>
      </w:r>
      <w:r w:rsidR="00AB3F7F" w:rsidRPr="004C5551">
        <w:t>9</w:t>
      </w:r>
      <w:r w:rsidRPr="004C5551">
        <w:t xml:space="preserve"> Regionálne rozdelenie detí, na ktoré sa poskytli dotačné programy </w:t>
      </w:r>
      <w:r w:rsidR="005F2A7C" w:rsidRPr="004C5551">
        <w:br/>
      </w:r>
      <w:r w:rsidRPr="004C5551">
        <w:t>na podporu výchovy k stravovacím návykom v roku 201</w:t>
      </w:r>
      <w:bookmarkEnd w:id="648"/>
      <w:bookmarkEnd w:id="649"/>
      <w:bookmarkEnd w:id="650"/>
      <w:bookmarkEnd w:id="651"/>
      <w:bookmarkEnd w:id="652"/>
      <w:bookmarkEnd w:id="653"/>
      <w:bookmarkEnd w:id="654"/>
      <w:r w:rsidRPr="004C5551">
        <w:t>4</w:t>
      </w:r>
    </w:p>
    <w:p w:rsidR="00BD28BD" w:rsidRPr="004C5551" w:rsidRDefault="002E78E0" w:rsidP="00BD28BD">
      <w:pPr>
        <w:jc w:val="center"/>
      </w:pPr>
      <w:r w:rsidRPr="004C5551">
        <w:rPr>
          <w:noProof/>
        </w:rPr>
        <w:drawing>
          <wp:inline distT="0" distB="0" distL="0" distR="0" wp14:anchorId="59FB4E64" wp14:editId="18FB468B">
            <wp:extent cx="4572000" cy="2339162"/>
            <wp:effectExtent l="0" t="0" r="0" b="444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D28BD" w:rsidRPr="004C5551" w:rsidRDefault="00BD28BD" w:rsidP="00BB1867">
      <w:pPr>
        <w:pStyle w:val="zdroj"/>
        <w:spacing w:after="0"/>
      </w:pPr>
      <w:r w:rsidRPr="004C5551">
        <w:t>Zdroj: RSD MIS</w:t>
      </w:r>
      <w:bookmarkStart w:id="655" w:name="_Toc294027416"/>
      <w:bookmarkStart w:id="656" w:name="_Toc294029655"/>
      <w:bookmarkStart w:id="657" w:name="_Toc313879146"/>
      <w:bookmarkStart w:id="658" w:name="_Toc325438208"/>
      <w:bookmarkStart w:id="659" w:name="_Toc325440977"/>
    </w:p>
    <w:p w:rsidR="00BD28BD" w:rsidRPr="004C5551" w:rsidRDefault="00BD28BD" w:rsidP="00BD28BD">
      <w:pPr>
        <w:pStyle w:val="Nadpis7"/>
        <w:spacing w:before="0" w:after="0"/>
      </w:pPr>
      <w:bookmarkStart w:id="660" w:name="_Toc325626790"/>
      <w:bookmarkStart w:id="661" w:name="_Toc326217051"/>
      <w:r w:rsidRPr="004C5551">
        <w:t>Graf 3.1</w:t>
      </w:r>
      <w:r w:rsidR="00AB3F7F" w:rsidRPr="004C5551">
        <w:t>0</w:t>
      </w:r>
      <w:r w:rsidRPr="004C5551">
        <w:t xml:space="preserve"> Regionálne rozdelenie detí, na ktoré sa poskytli dotačné programy </w:t>
      </w:r>
      <w:r w:rsidR="005F2A7C" w:rsidRPr="004C5551">
        <w:br/>
      </w:r>
      <w:r w:rsidRPr="004C5551">
        <w:t>podporu výchovy k plneniu školských povinností v roku 201</w:t>
      </w:r>
      <w:bookmarkEnd w:id="655"/>
      <w:bookmarkEnd w:id="656"/>
      <w:bookmarkEnd w:id="657"/>
      <w:bookmarkEnd w:id="658"/>
      <w:bookmarkEnd w:id="659"/>
      <w:bookmarkEnd w:id="660"/>
      <w:bookmarkEnd w:id="661"/>
      <w:r w:rsidRPr="004C5551">
        <w:t>4</w:t>
      </w:r>
    </w:p>
    <w:p w:rsidR="00BD28BD" w:rsidRPr="004C5551" w:rsidRDefault="00DC4FA5" w:rsidP="00BD28BD">
      <w:pPr>
        <w:jc w:val="center"/>
      </w:pPr>
      <w:r w:rsidRPr="004C5551">
        <w:rPr>
          <w:noProof/>
        </w:rPr>
        <w:drawing>
          <wp:inline distT="0" distB="0" distL="0" distR="0" wp14:anchorId="7ACE11C4" wp14:editId="4E8C9326">
            <wp:extent cx="4572000" cy="27432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D28BD" w:rsidRPr="004C5551" w:rsidRDefault="00BD28BD" w:rsidP="00EB1679">
      <w:pPr>
        <w:pStyle w:val="zdroj"/>
      </w:pPr>
      <w:r w:rsidRPr="004C5551">
        <w:t>Zdroj: RSD MIS</w:t>
      </w:r>
    </w:p>
    <w:p w:rsidR="00BD28BD" w:rsidRPr="004C5551" w:rsidRDefault="00BD28BD" w:rsidP="001206CF">
      <w:pPr>
        <w:ind w:firstLine="431"/>
      </w:pPr>
      <w:r w:rsidRPr="004C5551">
        <w:t xml:space="preserve">Z pohľadu regionálneho rozmiestnenia počtu detí, na ktoré boli poskytnuté dotácie podľa vyššie citovaného zákona o dotáciách v pôsobnosti MPSVR SR, je situácia zachytená v predchádzajúcich grafoch. Najvyšší objem dotácií bol poskytnutý z pohľadu regionálneho rozmiestnenia počtu detí </w:t>
      </w:r>
      <w:r w:rsidR="00381844" w:rsidRPr="004C5551">
        <w:t>pre </w:t>
      </w:r>
      <w:r w:rsidRPr="004C5551">
        <w:t>Prešovský, Košický a Banskobystrický kraj.</w:t>
      </w:r>
    </w:p>
    <w:p w:rsidR="00A241FC" w:rsidRPr="004C5551" w:rsidRDefault="00A241FC">
      <w:pPr>
        <w:jc w:val="left"/>
      </w:pPr>
      <w:r w:rsidRPr="004C5551">
        <w:br w:type="page"/>
      </w:r>
    </w:p>
    <w:p w:rsidR="006138FA" w:rsidRPr="004C5551" w:rsidRDefault="005D1EB8" w:rsidP="00C27C1E">
      <w:pPr>
        <w:pStyle w:val="Nadpis6"/>
      </w:pPr>
      <w:r w:rsidRPr="004C5551">
        <w:t xml:space="preserve"> </w:t>
      </w:r>
      <w:bookmarkStart w:id="662" w:name="_Toc422233434"/>
      <w:r w:rsidR="006138FA" w:rsidRPr="004C5551">
        <w:t>Náhradné výživné</w:t>
      </w:r>
      <w:bookmarkEnd w:id="604"/>
      <w:bookmarkEnd w:id="662"/>
      <w:r w:rsidR="006138FA" w:rsidRPr="004C5551">
        <w:t xml:space="preserve"> </w:t>
      </w:r>
    </w:p>
    <w:p w:rsidR="004B1F6A" w:rsidRPr="004C5551" w:rsidRDefault="004B1F6A" w:rsidP="001206CF">
      <w:pPr>
        <w:ind w:firstLine="431"/>
      </w:pPr>
      <w:bookmarkStart w:id="663" w:name="_Toc325438210"/>
      <w:bookmarkStart w:id="664" w:name="_Toc325440979"/>
      <w:bookmarkStart w:id="665" w:name="_Toc325626792"/>
      <w:bookmarkStart w:id="666" w:name="_Toc326217053"/>
      <w:bookmarkStart w:id="667" w:name="_Toc356482723"/>
      <w:r w:rsidRPr="004C5551">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rsidR="004B1F6A" w:rsidRPr="004C5551" w:rsidRDefault="004B1F6A" w:rsidP="001206CF">
      <w:pPr>
        <w:ind w:firstLine="431"/>
      </w:pPr>
      <w:r w:rsidRPr="004C5551">
        <w:t xml:space="preserve">Zákonom č. 201/2008 Z. z. o náhradnom výživnom a o zmene a doplnení zákona č. 36/2005 Z. 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rodine. </w:t>
      </w:r>
    </w:p>
    <w:p w:rsidR="004B1F6A" w:rsidRPr="004C5551" w:rsidRDefault="004B1F6A" w:rsidP="001206CF">
      <w:pPr>
        <w:ind w:firstLine="431"/>
      </w:pPr>
      <w:r w:rsidRPr="004C5551">
        <w:t>Vzhľadom na rozšírenie okruhu oprávnených osôb na nárok na náhradné výživné o nezaopatrené deti, ktorých sirotský dôchodok, resp. suma sirotských dôchodkov nedosahuje sumu minimálneho výživného, ustanoveného zákonom o rodine (30</w:t>
      </w:r>
      <w:r w:rsidR="009425AA" w:rsidRPr="004C5551">
        <w:t> %</w:t>
      </w:r>
      <w:r w:rsidRPr="004C5551">
        <w:t xml:space="preserve"> životného minima nezaopatreného dieťaťa) sa zvýšil počet oprávnených osôb (nezaopatrených detí).</w:t>
      </w:r>
    </w:p>
    <w:p w:rsidR="004B1F6A" w:rsidRPr="004C5551" w:rsidRDefault="004B1F6A" w:rsidP="001206CF">
      <w:pPr>
        <w:ind w:firstLine="431"/>
      </w:pPr>
      <w:r w:rsidRPr="004C5551">
        <w:t>V roku 2014 bolo evidovaných v priemere 8 922 poberateľov náhradného neplateného výživného, čo predstavuje oproti roku 2013 nárast o 130 poberateľov</w:t>
      </w:r>
      <w:r w:rsidR="00785A8C" w:rsidRPr="004C5551">
        <w:t xml:space="preserve"> (t.j. 1,48 %)</w:t>
      </w:r>
      <w:r w:rsidRPr="004C5551">
        <w:t>. Náhradné neplatené výživné bolo priemerne mesačne vyplácané 13 410 deťom, čo oproti predchádzajúcemu roku predstavuje nárast o 178 detí</w:t>
      </w:r>
      <w:r w:rsidR="00785A8C" w:rsidRPr="004C5551">
        <w:t xml:space="preserve"> (t.j. 1,35 %)</w:t>
      </w:r>
      <w:r w:rsidRPr="004C5551">
        <w:t>.</w:t>
      </w:r>
    </w:p>
    <w:p w:rsidR="00785A8C" w:rsidRPr="004C5551" w:rsidRDefault="004B1F6A" w:rsidP="001206CF">
      <w:pPr>
        <w:ind w:firstLine="431"/>
      </w:pPr>
      <w:r w:rsidRPr="004C5551">
        <w:t>Priemerný mesačný počet poberateľov náhradného výživného – sirotského v roku 2014 bol 618 poberateľov, čo je oproti roku 2013 pokles o 34 poberateľov</w:t>
      </w:r>
      <w:r w:rsidR="00785A8C" w:rsidRPr="004C5551">
        <w:t xml:space="preserve"> (t.j. 5,21 %)</w:t>
      </w:r>
      <w:r w:rsidRPr="004C5551">
        <w:t>. Náhradné výživné – sirotské bolo v roku 2014 vyplácané priemerne mesačne 1 012 deťom, čo oproti predchádzajúcemu roku predstavuje pokles o 71 detí</w:t>
      </w:r>
      <w:r w:rsidR="00785A8C" w:rsidRPr="004C5551">
        <w:t xml:space="preserve"> (t.j.4,80 %)</w:t>
      </w:r>
      <w:r w:rsidRPr="004C5551">
        <w:t xml:space="preserve">. </w:t>
      </w:r>
    </w:p>
    <w:p w:rsidR="004B1F6A" w:rsidRPr="004C5551" w:rsidRDefault="004B1F6A" w:rsidP="001206CF">
      <w:pPr>
        <w:ind w:firstLine="431"/>
      </w:pPr>
      <w:r w:rsidRPr="004C5551">
        <w:t xml:space="preserve">Na výplatu náhradného výživného boli v roku 2014 vynaložené finančné prostriedky v sume 9 529 601 </w:t>
      </w:r>
      <w:r w:rsidR="000860E9" w:rsidRPr="004C5551">
        <w:t>eur</w:t>
      </w:r>
      <w:r w:rsidRPr="004C5551">
        <w:t xml:space="preserve"> (medziročný nárast o 221 185 </w:t>
      </w:r>
      <w:r w:rsidR="000860E9" w:rsidRPr="004C5551">
        <w:t>eur</w:t>
      </w:r>
      <w:r w:rsidRPr="004C5551">
        <w:t>).</w:t>
      </w:r>
    </w:p>
    <w:p w:rsidR="004B1F6A" w:rsidRPr="004C5551" w:rsidRDefault="004B1F6A" w:rsidP="001206CF">
      <w:pPr>
        <w:ind w:firstLine="431"/>
      </w:pPr>
      <w:r w:rsidRPr="004C5551">
        <w:t xml:space="preserve">Maximálna výška náhradného výživného je podľa zákona </w:t>
      </w:r>
      <w:r w:rsidR="00256B44" w:rsidRPr="004C5551">
        <w:t>poskytovaná do výšky</w:t>
      </w:r>
      <w:r w:rsidRPr="004C5551">
        <w:t xml:space="preserve"> 1,2-násobku životného minima pre nezaopatrené dieťa. V priebehu roku 2014 bol maximálny nárok na náhradné výživné na jedno dieťa 108,50 </w:t>
      </w:r>
      <w:r w:rsidR="000860E9" w:rsidRPr="004C5551">
        <w:t>eur</w:t>
      </w:r>
      <w:r w:rsidRPr="004C5551">
        <w:t>.</w:t>
      </w:r>
    </w:p>
    <w:p w:rsidR="004B1F6A" w:rsidRPr="004C5551" w:rsidRDefault="004B1F6A" w:rsidP="004B1F6A">
      <w:pPr>
        <w:pStyle w:val="Nadpis7"/>
        <w:rPr>
          <w:color w:val="000000"/>
        </w:rPr>
      </w:pPr>
      <w:bookmarkStart w:id="668" w:name="_Toc294029658"/>
      <w:bookmarkStart w:id="669" w:name="_Toc356482724"/>
      <w:bookmarkEnd w:id="663"/>
      <w:bookmarkEnd w:id="664"/>
      <w:bookmarkEnd w:id="665"/>
      <w:bookmarkEnd w:id="666"/>
      <w:bookmarkEnd w:id="667"/>
      <w:r w:rsidRPr="004C5551">
        <w:rPr>
          <w:color w:val="000000"/>
        </w:rPr>
        <w:t>Graf 3.1</w:t>
      </w:r>
      <w:r w:rsidR="00AB3F7F" w:rsidRPr="004C5551">
        <w:rPr>
          <w:color w:val="000000"/>
        </w:rPr>
        <w:t>1</w:t>
      </w:r>
      <w:r w:rsidRPr="004C5551">
        <w:rPr>
          <w:color w:val="000000"/>
        </w:rPr>
        <w:t xml:space="preserve"> Vývoj počtu poberateľov (detí) náhradného výživného v rokoch 2013 a 2014</w:t>
      </w:r>
    </w:p>
    <w:p w:rsidR="004B1F6A" w:rsidRPr="004C5551" w:rsidRDefault="00476EDC" w:rsidP="009A5CF2">
      <w:r w:rsidRPr="004C5551">
        <w:rPr>
          <w:noProof/>
        </w:rPr>
        <w:drawing>
          <wp:inline distT="0" distB="0" distL="0" distR="0" wp14:anchorId="01F5F7E5" wp14:editId="5433AC8F">
            <wp:extent cx="5760720" cy="2658110"/>
            <wp:effectExtent l="0" t="0" r="0" b="889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B1F6A" w:rsidRPr="004C5551" w:rsidRDefault="004B1F6A" w:rsidP="004B1F6A">
      <w:pPr>
        <w:pStyle w:val="zdroj"/>
        <w:rPr>
          <w:color w:val="auto"/>
        </w:rPr>
      </w:pPr>
      <w:r w:rsidRPr="004C5551">
        <w:rPr>
          <w:color w:val="auto"/>
        </w:rPr>
        <w:t xml:space="preserve">Zdroj: </w:t>
      </w:r>
      <w:r w:rsidR="009253DF" w:rsidRPr="004C5551">
        <w:rPr>
          <w:color w:val="auto"/>
        </w:rPr>
        <w:t>RSD MIS</w:t>
      </w:r>
    </w:p>
    <w:p w:rsidR="00A241FC" w:rsidRPr="004C5551" w:rsidRDefault="00A241FC">
      <w:pPr>
        <w:jc w:val="left"/>
        <w:rPr>
          <w:i/>
          <w:sz w:val="20"/>
          <w:szCs w:val="20"/>
        </w:rPr>
      </w:pPr>
      <w:r w:rsidRPr="004C5551">
        <w:br w:type="page"/>
      </w:r>
    </w:p>
    <w:p w:rsidR="0040456A" w:rsidRPr="004C5551" w:rsidRDefault="0040456A" w:rsidP="00C27C1E">
      <w:pPr>
        <w:pStyle w:val="Nadpis6"/>
      </w:pPr>
      <w:bookmarkStart w:id="670" w:name="_Toc422233435"/>
      <w:r w:rsidRPr="004C5551">
        <w:t>Sociálnoprávna ochrana detí a sociálna kuratela</w:t>
      </w:r>
      <w:bookmarkEnd w:id="668"/>
      <w:bookmarkEnd w:id="669"/>
      <w:bookmarkEnd w:id="670"/>
    </w:p>
    <w:p w:rsidR="00F85886" w:rsidRPr="004C5551" w:rsidRDefault="00F85886" w:rsidP="001206CF">
      <w:pPr>
        <w:ind w:firstLine="431"/>
        <w:rPr>
          <w:szCs w:val="22"/>
        </w:rPr>
      </w:pPr>
      <w:r w:rsidRPr="004C5551">
        <w:rPr>
          <w:szCs w:val="22"/>
        </w:rPr>
        <w:t>Opatrenia sociálno-právnej ochrany detí a sociálnej kurately (ďalej len „</w:t>
      </w:r>
      <w:proofErr w:type="spellStart"/>
      <w:r w:rsidRPr="004C5551">
        <w:rPr>
          <w:szCs w:val="22"/>
        </w:rPr>
        <w:t>SPODaSK</w:t>
      </w:r>
      <w:proofErr w:type="spellEnd"/>
      <w:r w:rsidRPr="004C5551">
        <w:rPr>
          <w:szCs w:val="22"/>
        </w:rPr>
        <w:t>“)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F85886" w:rsidRPr="004C5551" w:rsidRDefault="00F85886" w:rsidP="001206CF">
      <w:pPr>
        <w:ind w:firstLine="431"/>
        <w:rPr>
          <w:szCs w:val="22"/>
        </w:rPr>
      </w:pPr>
      <w:r w:rsidRPr="004C5551">
        <w:rPr>
          <w:szCs w:val="22"/>
        </w:rPr>
        <w:t xml:space="preserve">V roku 2014 zabezpečovalo výkon opatrení sociálnoprávnej ochrany detí a sociálnej kurately na 46 úradoch PSVR </w:t>
      </w:r>
      <w:r w:rsidRPr="004C5551">
        <w:rPr>
          <w:color w:val="000000" w:themeColor="text1"/>
        </w:rPr>
        <w:t>–</w:t>
      </w:r>
      <w:r w:rsidRPr="004C5551">
        <w:rPr>
          <w:szCs w:val="22"/>
        </w:rPr>
        <w:t xml:space="preserve"> odboroch sociálnych vecí a rodiny, oddeleniach sociálnoprávnej ochrany detí a sociálnej kurately (orgány sociálnoprávnej ochrany detí a sociálnej kurately) 573 zamestnancov. </w:t>
      </w:r>
    </w:p>
    <w:p w:rsidR="00F85886" w:rsidRPr="004C5551" w:rsidRDefault="00F85886" w:rsidP="001206CF">
      <w:pPr>
        <w:ind w:firstLine="431"/>
        <w:rPr>
          <w:szCs w:val="22"/>
        </w:rPr>
      </w:pPr>
      <w:r w:rsidRPr="004C5551">
        <w:rPr>
          <w:szCs w:val="22"/>
        </w:rPr>
        <w:t xml:space="preserve">V priebehu roku 2014 bolo zaznamenaných 21 337 nových rodín a 30 351 nových detí, pre ktoré boli vykonávané opatrenia </w:t>
      </w:r>
      <w:proofErr w:type="spellStart"/>
      <w:r w:rsidRPr="004C5551">
        <w:rPr>
          <w:szCs w:val="22"/>
        </w:rPr>
        <w:t>SPODaSK</w:t>
      </w:r>
      <w:proofErr w:type="spellEnd"/>
      <w:r w:rsidRPr="004C5551">
        <w:rPr>
          <w:szCs w:val="22"/>
        </w:rPr>
        <w:t>.</w:t>
      </w:r>
    </w:p>
    <w:p w:rsidR="00F85886" w:rsidRPr="004C5551" w:rsidRDefault="00F85886" w:rsidP="001206CF">
      <w:pPr>
        <w:ind w:firstLine="431"/>
        <w:rPr>
          <w:szCs w:val="22"/>
        </w:rPr>
      </w:pPr>
      <w:r w:rsidRPr="004C5551">
        <w:rPr>
          <w:szCs w:val="22"/>
        </w:rPr>
        <w:t xml:space="preserve">V pôsobnosti úradov PSVR ako orgánov sociálnoprávnej ochrany detí a sociálnej kurately je okrem iného podávanie návrhov a podnetov vo veciach maloletých detí príslušným súdom. </w:t>
      </w:r>
    </w:p>
    <w:p w:rsidR="00F85886" w:rsidRPr="004C5551" w:rsidRDefault="00F85886" w:rsidP="001206CF">
      <w:pPr>
        <w:ind w:firstLine="431"/>
        <w:rPr>
          <w:szCs w:val="22"/>
        </w:rPr>
      </w:pPr>
      <w:r w:rsidRPr="004C5551">
        <w:rPr>
          <w:szCs w:val="22"/>
        </w:rPr>
        <w:t xml:space="preserve">V roku 2014 úrady PSVR podali súdom 1 029 </w:t>
      </w:r>
      <w:r w:rsidR="00472492" w:rsidRPr="004C5551">
        <w:rPr>
          <w:szCs w:val="22"/>
        </w:rPr>
        <w:t xml:space="preserve">(1276 v roku 2013) </w:t>
      </w:r>
      <w:r w:rsidRPr="004C5551">
        <w:rPr>
          <w:szCs w:val="22"/>
        </w:rPr>
        <w:t>návrhov a podnetov na</w:t>
      </w:r>
      <w:r w:rsidR="00DE38DD" w:rsidRPr="004C5551">
        <w:rPr>
          <w:szCs w:val="22"/>
        </w:rPr>
        <w:t> </w:t>
      </w:r>
      <w:r w:rsidRPr="004C5551">
        <w:rPr>
          <w:szCs w:val="22"/>
        </w:rPr>
        <w:t xml:space="preserve">vydanie predbežného opatrenia, na nariadenie ústavnej starostlivosti bolo podaných 346 </w:t>
      </w:r>
      <w:r w:rsidR="00472492" w:rsidRPr="004C5551">
        <w:rPr>
          <w:szCs w:val="22"/>
        </w:rPr>
        <w:t>(402</w:t>
      </w:r>
      <w:r w:rsidR="00DE38DD" w:rsidRPr="004C5551">
        <w:rPr>
          <w:szCs w:val="22"/>
        </w:rPr>
        <w:t> </w:t>
      </w:r>
      <w:r w:rsidR="00472492" w:rsidRPr="004C5551">
        <w:rPr>
          <w:szCs w:val="22"/>
        </w:rPr>
        <w:t xml:space="preserve">v roku 2013) </w:t>
      </w:r>
      <w:r w:rsidRPr="004C5551">
        <w:rPr>
          <w:szCs w:val="22"/>
        </w:rPr>
        <w:t xml:space="preserve">návrhov a podnetov a na zrušenie ústavnej starostlivosti 54 </w:t>
      </w:r>
      <w:r w:rsidR="00472492" w:rsidRPr="004C5551">
        <w:rPr>
          <w:szCs w:val="22"/>
        </w:rPr>
        <w:t xml:space="preserve">(98 v roku 2013) </w:t>
      </w:r>
      <w:r w:rsidRPr="004C5551">
        <w:rPr>
          <w:szCs w:val="22"/>
        </w:rPr>
        <w:t xml:space="preserve">návrhov a podnetov. V porovnaní s predchádzajúcim rokom </w:t>
      </w:r>
      <w:r w:rsidR="00460DEB" w:rsidRPr="004C5551">
        <w:rPr>
          <w:szCs w:val="22"/>
        </w:rPr>
        <w:t xml:space="preserve">ide o </w:t>
      </w:r>
      <w:r w:rsidRPr="004C5551">
        <w:rPr>
          <w:szCs w:val="22"/>
        </w:rPr>
        <w:t xml:space="preserve">zníženie </w:t>
      </w:r>
      <w:r w:rsidR="00460DEB" w:rsidRPr="004C5551">
        <w:rPr>
          <w:szCs w:val="22"/>
        </w:rPr>
        <w:t>počtu návrhov a podnetov na vyňatie dieťaťa z jeho prirodzeného prostredia</w:t>
      </w:r>
      <w:r w:rsidRPr="004C5551">
        <w:rPr>
          <w:szCs w:val="22"/>
        </w:rPr>
        <w:t xml:space="preserve">, čo možno hodnotiť ako jeden z pozitívnych dôsledkov stabilizácie počtov zamestnancov orgánov </w:t>
      </w:r>
      <w:proofErr w:type="spellStart"/>
      <w:r w:rsidRPr="004C5551">
        <w:rPr>
          <w:szCs w:val="22"/>
        </w:rPr>
        <w:t>SPODaSK</w:t>
      </w:r>
      <w:proofErr w:type="spellEnd"/>
      <w:r w:rsidRPr="004C5551">
        <w:rPr>
          <w:szCs w:val="22"/>
        </w:rPr>
        <w:t xml:space="preserve"> a podpory výkonu opatrení sociálnoprávnej ochrany detí a sociálnej kurately v prirodzenom prostredí klientov </w:t>
      </w:r>
      <w:r w:rsidR="00381844" w:rsidRPr="004C5551">
        <w:rPr>
          <w:szCs w:val="22"/>
        </w:rPr>
        <w:t>zo </w:t>
      </w:r>
      <w:r w:rsidRPr="004C5551">
        <w:rPr>
          <w:szCs w:val="22"/>
        </w:rPr>
        <w:t xml:space="preserve">zdrojov EÚ. V roku 2014 podali orgány </w:t>
      </w:r>
      <w:proofErr w:type="spellStart"/>
      <w:r w:rsidRPr="004C5551">
        <w:rPr>
          <w:szCs w:val="22"/>
        </w:rPr>
        <w:t>SPODaSK</w:t>
      </w:r>
      <w:proofErr w:type="spellEnd"/>
      <w:r w:rsidRPr="004C5551">
        <w:rPr>
          <w:szCs w:val="22"/>
        </w:rPr>
        <w:t xml:space="preserve"> súdu alebo iným štátnym orgánom 37 482 </w:t>
      </w:r>
      <w:r w:rsidR="005E7942" w:rsidRPr="004C5551">
        <w:rPr>
          <w:szCs w:val="22"/>
        </w:rPr>
        <w:t xml:space="preserve">(38 045 v roku 2013) </w:t>
      </w:r>
      <w:r w:rsidRPr="004C5551">
        <w:rPr>
          <w:szCs w:val="22"/>
        </w:rPr>
        <w:t>správ vo veciach výživy a výchovy maloletých.</w:t>
      </w:r>
    </w:p>
    <w:p w:rsidR="00F85886" w:rsidRPr="004C5551" w:rsidRDefault="00F85886" w:rsidP="001206CF">
      <w:pPr>
        <w:ind w:firstLine="431"/>
        <w:rPr>
          <w:szCs w:val="22"/>
        </w:rPr>
      </w:pPr>
      <w:r w:rsidRPr="004C5551">
        <w:rPr>
          <w:szCs w:val="22"/>
        </w:rPr>
        <w:t xml:space="preserve">Orgán </w:t>
      </w:r>
      <w:proofErr w:type="spellStart"/>
      <w:r w:rsidRPr="004C5551">
        <w:rPr>
          <w:szCs w:val="22"/>
        </w:rPr>
        <w:t>SPODaSK</w:t>
      </w:r>
      <w:proofErr w:type="spellEnd"/>
      <w:r w:rsidRPr="004C5551">
        <w:rPr>
          <w:szCs w:val="22"/>
        </w:rPr>
        <w:t xml:space="preserve"> zisťoval z vlastného podnetu, z podnetu súdu alebo inej osoby názor dieťaťa na</w:t>
      </w:r>
      <w:r w:rsidR="00DE38DD" w:rsidRPr="004C5551">
        <w:rPr>
          <w:szCs w:val="22"/>
        </w:rPr>
        <w:t> </w:t>
      </w:r>
      <w:r w:rsidRPr="004C5551">
        <w:rPr>
          <w:szCs w:val="22"/>
        </w:rPr>
        <w:t>situáciu, v ktorej sa nachádza, celkovo u 16 959 detí.</w:t>
      </w:r>
    </w:p>
    <w:p w:rsidR="00F85886" w:rsidRPr="004C5551" w:rsidRDefault="00F85886" w:rsidP="001206CF">
      <w:pPr>
        <w:ind w:firstLine="431"/>
        <w:rPr>
          <w:b/>
          <w:szCs w:val="22"/>
        </w:rPr>
      </w:pPr>
      <w:r w:rsidRPr="004C5551">
        <w:rPr>
          <w:szCs w:val="22"/>
        </w:rPr>
        <w:t xml:space="preserve">Ak je to potrebné v záujme dieťaťa, orgán </w:t>
      </w:r>
      <w:proofErr w:type="spellStart"/>
      <w:r w:rsidRPr="004C5551">
        <w:rPr>
          <w:szCs w:val="22"/>
        </w:rPr>
        <w:t>SPODaSK</w:t>
      </w:r>
      <w:proofErr w:type="spellEnd"/>
      <w:r w:rsidRPr="004C5551">
        <w:rPr>
          <w:szCs w:val="22"/>
        </w:rPr>
        <w:t xml:space="preserve"> rozhodne o uložení výchovného opatrenia, pričom v roku 2014 bolo orgánmi </w:t>
      </w:r>
      <w:proofErr w:type="spellStart"/>
      <w:r w:rsidRPr="004C5551">
        <w:rPr>
          <w:szCs w:val="22"/>
        </w:rPr>
        <w:t>SPODaSK</w:t>
      </w:r>
      <w:proofErr w:type="spellEnd"/>
      <w:r w:rsidRPr="004C5551">
        <w:rPr>
          <w:szCs w:val="22"/>
        </w:rPr>
        <w:t xml:space="preserve"> uložených spolu 448 výchovných opatrení pre 800 detí</w:t>
      </w:r>
      <w:r w:rsidRPr="004C5551">
        <w:rPr>
          <w:i/>
          <w:szCs w:val="22"/>
        </w:rPr>
        <w:t xml:space="preserve">. </w:t>
      </w:r>
      <w:r w:rsidRPr="004C5551">
        <w:rPr>
          <w:szCs w:val="22"/>
        </w:rPr>
        <w:t xml:space="preserve">Súdy nariadili v priebehu roka 2014 spolu 471 výchovných opatrení pre 709 detí. </w:t>
      </w:r>
    </w:p>
    <w:p w:rsidR="00460DEB" w:rsidRPr="004C5551" w:rsidRDefault="00460DEB" w:rsidP="00460DEB">
      <w:pPr>
        <w:ind w:firstLine="567"/>
        <w:rPr>
          <w:b/>
          <w:szCs w:val="22"/>
        </w:rPr>
      </w:pPr>
    </w:p>
    <w:p w:rsidR="00DA0800" w:rsidRPr="004C5551" w:rsidRDefault="00DA0800" w:rsidP="004A3CAA">
      <w:pPr>
        <w:rPr>
          <w:b/>
          <w:szCs w:val="22"/>
        </w:rPr>
      </w:pPr>
    </w:p>
    <w:p w:rsidR="004A3CAA" w:rsidRPr="004C5551" w:rsidRDefault="004A3CAA" w:rsidP="004A3CAA">
      <w:pPr>
        <w:rPr>
          <w:b/>
          <w:color w:val="D83E2C" w:themeColor="accent2"/>
          <w:szCs w:val="22"/>
        </w:rPr>
      </w:pPr>
      <w:r w:rsidRPr="004C5551">
        <w:rPr>
          <w:b/>
          <w:color w:val="D83E2C" w:themeColor="accent2"/>
          <w:szCs w:val="22"/>
        </w:rPr>
        <w:t xml:space="preserve">Sociálna kuratela pre deti </w:t>
      </w:r>
    </w:p>
    <w:p w:rsidR="004A3CAA" w:rsidRPr="004C5551" w:rsidRDefault="004A3CAA" w:rsidP="004A3CAA">
      <w:pPr>
        <w:rPr>
          <w:szCs w:val="22"/>
        </w:rPr>
      </w:pPr>
    </w:p>
    <w:p w:rsidR="00F85886" w:rsidRPr="004C5551" w:rsidRDefault="00F85886" w:rsidP="001206CF">
      <w:pPr>
        <w:ind w:firstLine="431"/>
        <w:rPr>
          <w:szCs w:val="22"/>
        </w:rPr>
      </w:pPr>
      <w:r w:rsidRPr="004C5551">
        <w:rPr>
          <w:szCs w:val="22"/>
        </w:rPr>
        <w:t xml:space="preserve">Výkon opatrení sociálnej kurately detí zabezpečovalo v sledovanom roku 108 zamestnancov úradov PSVR </w:t>
      </w:r>
      <w:r w:rsidRPr="004C5551">
        <w:rPr>
          <w:color w:val="000000" w:themeColor="text1"/>
        </w:rPr>
        <w:t>–</w:t>
      </w:r>
      <w:r w:rsidRPr="004C5551">
        <w:rPr>
          <w:szCs w:val="22"/>
        </w:rPr>
        <w:t xml:space="preserve"> sociálnych kurátorov pre deti, ktorí sa na túto oblasť špecializujú. Opatrenia boli v sledovanom roku vykonávané spolu pre 14 205 detí (tabuľka 3.18). Na jedného sociálneho kurátora pripadalo priemerne riešenie situácie pre 131 detí.</w:t>
      </w:r>
    </w:p>
    <w:p w:rsidR="00F85886" w:rsidRPr="004C5551" w:rsidRDefault="00F85886" w:rsidP="001206CF">
      <w:pPr>
        <w:ind w:firstLine="431"/>
        <w:rPr>
          <w:szCs w:val="22"/>
        </w:rPr>
      </w:pPr>
      <w:r w:rsidRPr="004C5551">
        <w:rPr>
          <w:szCs w:val="22"/>
        </w:rPr>
        <w:t xml:space="preserve">Z hľadiska dôvodov boli opatrenia sociálnej kurately pre deti vykonávané u 1 834 mladistvých z dôvodu spáchania trestnej činnosti a u 725 detí, ktoré spáchali čin inak trestný. </w:t>
      </w:r>
    </w:p>
    <w:p w:rsidR="00F85886" w:rsidRPr="004C5551" w:rsidRDefault="00785A8C" w:rsidP="001206CF">
      <w:pPr>
        <w:ind w:firstLine="431"/>
        <w:rPr>
          <w:szCs w:val="22"/>
        </w:rPr>
      </w:pPr>
      <w:r w:rsidRPr="004C5551">
        <w:rPr>
          <w:szCs w:val="22"/>
        </w:rPr>
        <w:t xml:space="preserve">Pomoc a ochrana v priestupkovom konaní bola </w:t>
      </w:r>
      <w:r w:rsidR="00033026" w:rsidRPr="004C5551">
        <w:rPr>
          <w:szCs w:val="22"/>
        </w:rPr>
        <w:t xml:space="preserve">v roku 2014 </w:t>
      </w:r>
      <w:r w:rsidRPr="004C5551">
        <w:rPr>
          <w:szCs w:val="22"/>
        </w:rPr>
        <w:t>poskytovaná 2 990 deťom</w:t>
      </w:r>
      <w:r w:rsidR="00F85886" w:rsidRPr="004C5551">
        <w:rPr>
          <w:szCs w:val="22"/>
        </w:rPr>
        <w:t xml:space="preserve">. </w:t>
      </w:r>
    </w:p>
    <w:p w:rsidR="00F85886" w:rsidRPr="004C5551" w:rsidRDefault="00F85886" w:rsidP="001206CF">
      <w:pPr>
        <w:ind w:firstLine="431"/>
        <w:rPr>
          <w:szCs w:val="22"/>
        </w:rPr>
      </w:pPr>
      <w:r w:rsidRPr="004C5551">
        <w:rPr>
          <w:szCs w:val="22"/>
        </w:rPr>
        <w:t xml:space="preserve">Pre 168 detí vykonávali v roku 2014 sociálni kurátori opatrenia sociálnej kurately z dôvodu experimentovania a závislosti na drogách, 33 z nich bolo vo veku do 14 rokov. Pre 30 detí boli vykonávané opatrenia z dôvodu iných, nelátkových závislostí, napr. závislosť od hazardných hier a počítačov, 6 z nich bolo vo veku do 14 rokov. </w:t>
      </w:r>
    </w:p>
    <w:p w:rsidR="00F85886" w:rsidRPr="004C5551" w:rsidRDefault="00F85886" w:rsidP="001206CF">
      <w:pPr>
        <w:ind w:firstLine="431"/>
        <w:rPr>
          <w:szCs w:val="22"/>
        </w:rPr>
      </w:pPr>
      <w:r w:rsidRPr="004C5551">
        <w:rPr>
          <w:szCs w:val="22"/>
        </w:rPr>
        <w:t>Spolu 5 598 detí bolo v starostlivosti sociálnych kurátorov z dôvodu zanedbávania školskej dochádzky. U 1 303 detí sa prejavovali poruchy vo vzťahu s inými deťmi, rodičmi alebo inými plnoletými fyzickými osobami, u 13 detí riešili sociálni kurátori úteky z domu alebo zo zariadenia.</w:t>
      </w:r>
    </w:p>
    <w:p w:rsidR="00F85886" w:rsidRPr="004C5551" w:rsidRDefault="00F85886" w:rsidP="001206CF">
      <w:pPr>
        <w:ind w:firstLine="431"/>
        <w:rPr>
          <w:szCs w:val="22"/>
        </w:rPr>
      </w:pPr>
      <w:r w:rsidRPr="004C5551">
        <w:rPr>
          <w:szCs w:val="22"/>
        </w:rPr>
        <w:t>Počet detí, pre ktoré bola vykonávaná sociálna kuratela z dôvodu, že sa stali obeťami trestných činov, klesol na 246 detí.</w:t>
      </w:r>
    </w:p>
    <w:p w:rsidR="00F85886" w:rsidRPr="004C5551" w:rsidRDefault="00F85886" w:rsidP="001206CF">
      <w:pPr>
        <w:ind w:firstLine="431"/>
        <w:rPr>
          <w:szCs w:val="22"/>
        </w:rPr>
      </w:pPr>
      <w:r w:rsidRPr="004C5551">
        <w:rPr>
          <w:szCs w:val="22"/>
        </w:rPr>
        <w:t>Opatrenia sociálnej kurately detí boli vykonávané pre 447 detí, ktoré sa stali svedkami trestného činu.</w:t>
      </w:r>
    </w:p>
    <w:p w:rsidR="00A241FC" w:rsidRPr="004C5551" w:rsidRDefault="00A241FC">
      <w:pPr>
        <w:jc w:val="left"/>
        <w:rPr>
          <w:b/>
        </w:rPr>
      </w:pPr>
      <w:r w:rsidRPr="004C5551">
        <w:br w:type="page"/>
      </w:r>
    </w:p>
    <w:p w:rsidR="004A3CAA" w:rsidRPr="004C5551" w:rsidRDefault="004A3CAA" w:rsidP="00381844">
      <w:pPr>
        <w:pStyle w:val="Nadpis7"/>
      </w:pPr>
      <w:r w:rsidRPr="004C5551">
        <w:t xml:space="preserve">Tabuľka </w:t>
      </w:r>
      <w:r w:rsidR="001247CE" w:rsidRPr="004C5551">
        <w:t>3.1</w:t>
      </w:r>
      <w:r w:rsidR="00927A83" w:rsidRPr="004C5551">
        <w:t>8</w:t>
      </w:r>
      <w:r w:rsidR="0016196A" w:rsidRPr="004C5551">
        <w:t xml:space="preserve"> </w:t>
      </w:r>
      <w:r w:rsidRPr="004C5551">
        <w:t>Počet detí, pre ktoré sa vykonávala v rokoch 201</w:t>
      </w:r>
      <w:r w:rsidR="00033026" w:rsidRPr="004C5551">
        <w:t>3</w:t>
      </w:r>
      <w:r w:rsidRPr="004C5551">
        <w:t xml:space="preserve"> a 201</w:t>
      </w:r>
      <w:r w:rsidR="00033026" w:rsidRPr="004C5551">
        <w:t>4</w:t>
      </w:r>
      <w:r w:rsidRPr="004C5551">
        <w:t xml:space="preserve"> sociálna kuratela</w:t>
      </w:r>
    </w:p>
    <w:tbl>
      <w:tblPr>
        <w:tblW w:w="868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shd w:val="clear" w:color="auto" w:fill="FFFFFF"/>
        <w:tblLayout w:type="fixed"/>
        <w:tblCellMar>
          <w:left w:w="70" w:type="dxa"/>
          <w:right w:w="70" w:type="dxa"/>
        </w:tblCellMar>
        <w:tblLook w:val="04A0" w:firstRow="1" w:lastRow="0" w:firstColumn="1" w:lastColumn="0" w:noHBand="0" w:noVBand="1"/>
      </w:tblPr>
      <w:tblGrid>
        <w:gridCol w:w="2075"/>
        <w:gridCol w:w="2043"/>
        <w:gridCol w:w="1260"/>
        <w:gridCol w:w="1011"/>
        <w:gridCol w:w="1072"/>
        <w:gridCol w:w="1224"/>
      </w:tblGrid>
      <w:tr w:rsidR="004A3CAA" w:rsidRPr="004C5551" w:rsidTr="00EE5A42">
        <w:trPr>
          <w:trHeight w:val="275"/>
          <w:jc w:val="center"/>
        </w:trPr>
        <w:tc>
          <w:tcPr>
            <w:tcW w:w="2075" w:type="dxa"/>
            <w:vMerge w:val="restart"/>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Rok</w:t>
            </w:r>
          </w:p>
        </w:tc>
        <w:tc>
          <w:tcPr>
            <w:tcW w:w="2043" w:type="dxa"/>
            <w:vMerge w:val="restart"/>
            <w:shd w:val="clear" w:color="auto" w:fill="BF0000" w:themeFill="accent3" w:themeFillShade="BF"/>
            <w:vAlign w:val="center"/>
          </w:tcPr>
          <w:p w:rsidR="004A3CAA" w:rsidRPr="004C5551" w:rsidRDefault="004A3CAA" w:rsidP="0021385F">
            <w:pPr>
              <w:spacing w:line="276" w:lineRule="auto"/>
              <w:jc w:val="center"/>
              <w:rPr>
                <w:b/>
                <w:color w:val="FFFFFF" w:themeColor="background1"/>
                <w:szCs w:val="22"/>
                <w:lang w:eastAsia="en-US"/>
              </w:rPr>
            </w:pPr>
            <w:r w:rsidRPr="004C5551">
              <w:rPr>
                <w:b/>
                <w:color w:val="FFFFFF" w:themeColor="background1"/>
                <w:szCs w:val="22"/>
                <w:lang w:eastAsia="en-US"/>
              </w:rPr>
              <w:t>Počet detí spolu</w:t>
            </w:r>
          </w:p>
        </w:tc>
        <w:tc>
          <w:tcPr>
            <w:tcW w:w="4567" w:type="dxa"/>
            <w:gridSpan w:val="4"/>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Počet detí</w:t>
            </w:r>
          </w:p>
        </w:tc>
      </w:tr>
      <w:tr w:rsidR="004A3CAA" w:rsidRPr="004C5551" w:rsidTr="00EE5A42">
        <w:trPr>
          <w:trHeight w:val="328"/>
          <w:jc w:val="center"/>
        </w:trPr>
        <w:tc>
          <w:tcPr>
            <w:tcW w:w="2075" w:type="dxa"/>
            <w:vMerge/>
            <w:shd w:val="clear" w:color="auto" w:fill="BF0000" w:themeFill="accent3" w:themeFillShade="BF"/>
            <w:vAlign w:val="center"/>
            <w:hideMark/>
          </w:tcPr>
          <w:p w:rsidR="004A3CAA" w:rsidRPr="004C5551" w:rsidRDefault="004A3CAA" w:rsidP="004A3CAA">
            <w:pPr>
              <w:jc w:val="center"/>
              <w:rPr>
                <w:b/>
                <w:color w:val="FFFFFF" w:themeColor="background1"/>
                <w:szCs w:val="22"/>
                <w:lang w:eastAsia="en-US"/>
              </w:rPr>
            </w:pPr>
          </w:p>
        </w:tc>
        <w:tc>
          <w:tcPr>
            <w:tcW w:w="2043" w:type="dxa"/>
            <w:vMerge/>
            <w:shd w:val="clear" w:color="auto" w:fill="BF0000" w:themeFill="accent3" w:themeFillShade="BF"/>
            <w:vAlign w:val="center"/>
            <w:hideMark/>
          </w:tcPr>
          <w:p w:rsidR="004A3CAA" w:rsidRPr="004C5551" w:rsidRDefault="004A3CAA" w:rsidP="004A3CAA">
            <w:pPr>
              <w:jc w:val="center"/>
              <w:rPr>
                <w:b/>
                <w:color w:val="FFFFFF" w:themeColor="background1"/>
                <w:szCs w:val="22"/>
                <w:lang w:eastAsia="en-US"/>
              </w:rPr>
            </w:pPr>
          </w:p>
        </w:tc>
        <w:tc>
          <w:tcPr>
            <w:tcW w:w="2271" w:type="dxa"/>
            <w:gridSpan w:val="2"/>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do 14 rokov</w:t>
            </w:r>
          </w:p>
        </w:tc>
        <w:tc>
          <w:tcPr>
            <w:tcW w:w="2296" w:type="dxa"/>
            <w:gridSpan w:val="2"/>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vek 15</w:t>
            </w:r>
            <w:r w:rsidR="00D818CE" w:rsidRPr="004C5551">
              <w:rPr>
                <w:b/>
                <w:color w:val="FFFFFF" w:themeColor="background1"/>
                <w:szCs w:val="22"/>
                <w:lang w:eastAsia="en-US"/>
              </w:rPr>
              <w:t xml:space="preserve"> – </w:t>
            </w:r>
            <w:r w:rsidRPr="004C5551">
              <w:rPr>
                <w:b/>
                <w:color w:val="FFFFFF" w:themeColor="background1"/>
                <w:szCs w:val="22"/>
                <w:lang w:eastAsia="en-US"/>
              </w:rPr>
              <w:t>18 rokov</w:t>
            </w:r>
          </w:p>
        </w:tc>
      </w:tr>
      <w:tr w:rsidR="004A3CAA" w:rsidRPr="004C5551" w:rsidTr="00EE5A42">
        <w:trPr>
          <w:trHeight w:val="197"/>
          <w:jc w:val="center"/>
        </w:trPr>
        <w:tc>
          <w:tcPr>
            <w:tcW w:w="2075" w:type="dxa"/>
            <w:vMerge/>
            <w:shd w:val="clear" w:color="auto" w:fill="BF0000" w:themeFill="accent3" w:themeFillShade="BF"/>
            <w:vAlign w:val="center"/>
            <w:hideMark/>
          </w:tcPr>
          <w:p w:rsidR="004A3CAA" w:rsidRPr="004C5551" w:rsidRDefault="004A3CAA" w:rsidP="004A3CAA">
            <w:pPr>
              <w:jc w:val="center"/>
              <w:rPr>
                <w:b/>
                <w:color w:val="FFFFFF" w:themeColor="background1"/>
                <w:szCs w:val="22"/>
                <w:lang w:eastAsia="en-US"/>
              </w:rPr>
            </w:pPr>
          </w:p>
        </w:tc>
        <w:tc>
          <w:tcPr>
            <w:tcW w:w="2043" w:type="dxa"/>
            <w:vMerge/>
            <w:shd w:val="clear" w:color="auto" w:fill="BF0000" w:themeFill="accent3" w:themeFillShade="BF"/>
            <w:vAlign w:val="center"/>
            <w:hideMark/>
          </w:tcPr>
          <w:p w:rsidR="004A3CAA" w:rsidRPr="004C5551" w:rsidRDefault="004A3CAA" w:rsidP="004A3CAA">
            <w:pPr>
              <w:jc w:val="center"/>
              <w:rPr>
                <w:b/>
                <w:color w:val="FFFFFF" w:themeColor="background1"/>
                <w:szCs w:val="22"/>
                <w:lang w:eastAsia="en-US"/>
              </w:rPr>
            </w:pPr>
          </w:p>
        </w:tc>
        <w:tc>
          <w:tcPr>
            <w:tcW w:w="1260" w:type="dxa"/>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chlapci</w:t>
            </w:r>
          </w:p>
        </w:tc>
        <w:tc>
          <w:tcPr>
            <w:tcW w:w="1011" w:type="dxa"/>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dievčatá</w:t>
            </w:r>
          </w:p>
        </w:tc>
        <w:tc>
          <w:tcPr>
            <w:tcW w:w="1072" w:type="dxa"/>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chlapci</w:t>
            </w:r>
          </w:p>
        </w:tc>
        <w:tc>
          <w:tcPr>
            <w:tcW w:w="1224" w:type="dxa"/>
            <w:shd w:val="clear" w:color="auto" w:fill="BF0000" w:themeFill="accent3" w:themeFillShade="BF"/>
            <w:vAlign w:val="center"/>
            <w:hideMark/>
          </w:tcPr>
          <w:p w:rsidR="004A3CAA" w:rsidRPr="004C5551" w:rsidRDefault="004A3CAA" w:rsidP="004A3CAA">
            <w:pPr>
              <w:spacing w:line="276" w:lineRule="auto"/>
              <w:jc w:val="center"/>
              <w:rPr>
                <w:b/>
                <w:color w:val="FFFFFF" w:themeColor="background1"/>
                <w:szCs w:val="22"/>
                <w:lang w:eastAsia="en-US"/>
              </w:rPr>
            </w:pPr>
            <w:r w:rsidRPr="004C5551">
              <w:rPr>
                <w:b/>
                <w:color w:val="FFFFFF" w:themeColor="background1"/>
                <w:szCs w:val="22"/>
                <w:lang w:eastAsia="en-US"/>
              </w:rPr>
              <w:t>dievčatá</w:t>
            </w:r>
          </w:p>
        </w:tc>
      </w:tr>
      <w:tr w:rsidR="00F85886" w:rsidRPr="004C5551" w:rsidTr="00EE5A42">
        <w:trPr>
          <w:trHeight w:val="454"/>
          <w:jc w:val="center"/>
        </w:trPr>
        <w:tc>
          <w:tcPr>
            <w:tcW w:w="2075" w:type="dxa"/>
            <w:shd w:val="clear" w:color="auto" w:fill="FFFFFF" w:themeFill="background1"/>
            <w:vAlign w:val="center"/>
          </w:tcPr>
          <w:p w:rsidR="00F85886" w:rsidRPr="004C5551" w:rsidRDefault="00F85886" w:rsidP="00F85886">
            <w:pPr>
              <w:spacing w:line="276" w:lineRule="auto"/>
              <w:jc w:val="center"/>
              <w:rPr>
                <w:b/>
                <w:lang w:eastAsia="en-US"/>
              </w:rPr>
            </w:pPr>
            <w:r w:rsidRPr="004C5551">
              <w:rPr>
                <w:b/>
                <w:szCs w:val="22"/>
                <w:lang w:eastAsia="en-US"/>
              </w:rPr>
              <w:t>2013</w:t>
            </w:r>
          </w:p>
        </w:tc>
        <w:tc>
          <w:tcPr>
            <w:tcW w:w="2043" w:type="dxa"/>
            <w:shd w:val="clear" w:color="auto" w:fill="FFFFFF"/>
            <w:vAlign w:val="center"/>
          </w:tcPr>
          <w:p w:rsidR="00F85886" w:rsidRPr="004C5551" w:rsidRDefault="00F85886" w:rsidP="00F85886">
            <w:pPr>
              <w:spacing w:line="276" w:lineRule="auto"/>
              <w:jc w:val="center"/>
              <w:rPr>
                <w:b/>
                <w:lang w:eastAsia="en-US"/>
              </w:rPr>
            </w:pPr>
            <w:r w:rsidRPr="004C5551">
              <w:rPr>
                <w:b/>
                <w:szCs w:val="22"/>
                <w:lang w:eastAsia="en-US"/>
              </w:rPr>
              <w:t>22 967</w:t>
            </w:r>
          </w:p>
        </w:tc>
        <w:tc>
          <w:tcPr>
            <w:tcW w:w="1260" w:type="dxa"/>
            <w:shd w:val="clear" w:color="auto" w:fill="FFFFFF"/>
            <w:vAlign w:val="center"/>
          </w:tcPr>
          <w:p w:rsidR="00F85886" w:rsidRPr="004C5551" w:rsidRDefault="00F85886" w:rsidP="00F85886">
            <w:pPr>
              <w:spacing w:line="276" w:lineRule="auto"/>
              <w:jc w:val="center"/>
              <w:rPr>
                <w:lang w:eastAsia="en-US"/>
              </w:rPr>
            </w:pPr>
            <w:r w:rsidRPr="004C5551">
              <w:rPr>
                <w:szCs w:val="22"/>
                <w:lang w:eastAsia="en-US"/>
              </w:rPr>
              <w:t>6 866</w:t>
            </w:r>
          </w:p>
        </w:tc>
        <w:tc>
          <w:tcPr>
            <w:tcW w:w="1011"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4 062</w:t>
            </w:r>
          </w:p>
        </w:tc>
        <w:tc>
          <w:tcPr>
            <w:tcW w:w="1072"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7 917</w:t>
            </w:r>
          </w:p>
        </w:tc>
        <w:tc>
          <w:tcPr>
            <w:tcW w:w="1224"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4 122</w:t>
            </w:r>
          </w:p>
        </w:tc>
      </w:tr>
      <w:tr w:rsidR="00F85886" w:rsidRPr="004C5551" w:rsidTr="00EE5A42">
        <w:trPr>
          <w:trHeight w:val="454"/>
          <w:jc w:val="center"/>
        </w:trPr>
        <w:tc>
          <w:tcPr>
            <w:tcW w:w="2075" w:type="dxa"/>
            <w:shd w:val="clear" w:color="auto" w:fill="FFFFFF" w:themeFill="background1"/>
            <w:vAlign w:val="center"/>
          </w:tcPr>
          <w:p w:rsidR="00F85886" w:rsidRPr="004C5551" w:rsidRDefault="00F85886" w:rsidP="00F85886">
            <w:pPr>
              <w:spacing w:line="276" w:lineRule="auto"/>
              <w:jc w:val="center"/>
              <w:rPr>
                <w:b/>
                <w:lang w:eastAsia="en-US"/>
              </w:rPr>
            </w:pPr>
            <w:r w:rsidRPr="004C5551">
              <w:rPr>
                <w:b/>
                <w:szCs w:val="22"/>
                <w:lang w:eastAsia="en-US"/>
              </w:rPr>
              <w:t>2014</w:t>
            </w:r>
          </w:p>
        </w:tc>
        <w:tc>
          <w:tcPr>
            <w:tcW w:w="2043" w:type="dxa"/>
            <w:shd w:val="clear" w:color="auto" w:fill="FFFFFF"/>
            <w:vAlign w:val="center"/>
          </w:tcPr>
          <w:p w:rsidR="00F85886" w:rsidRPr="004C5551" w:rsidRDefault="00F85886" w:rsidP="00F85886">
            <w:pPr>
              <w:spacing w:line="276" w:lineRule="auto"/>
              <w:jc w:val="center"/>
              <w:rPr>
                <w:b/>
                <w:lang w:eastAsia="en-US"/>
              </w:rPr>
            </w:pPr>
            <w:r w:rsidRPr="004C5551">
              <w:rPr>
                <w:b/>
                <w:szCs w:val="22"/>
                <w:lang w:eastAsia="en-US"/>
              </w:rPr>
              <w:t>14 205</w:t>
            </w:r>
          </w:p>
        </w:tc>
        <w:tc>
          <w:tcPr>
            <w:tcW w:w="1260"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4 365</w:t>
            </w:r>
          </w:p>
        </w:tc>
        <w:tc>
          <w:tcPr>
            <w:tcW w:w="1011"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2 558</w:t>
            </w:r>
          </w:p>
        </w:tc>
        <w:tc>
          <w:tcPr>
            <w:tcW w:w="1072"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4 854</w:t>
            </w:r>
          </w:p>
        </w:tc>
        <w:tc>
          <w:tcPr>
            <w:tcW w:w="1224" w:type="dxa"/>
            <w:shd w:val="clear" w:color="auto" w:fill="FFFFFF"/>
            <w:vAlign w:val="center"/>
          </w:tcPr>
          <w:p w:rsidR="00F85886" w:rsidRPr="004C5551" w:rsidRDefault="00F85886" w:rsidP="00F85886">
            <w:pPr>
              <w:spacing w:line="276" w:lineRule="auto"/>
              <w:jc w:val="center"/>
              <w:rPr>
                <w:lang w:eastAsia="en-US"/>
              </w:rPr>
            </w:pPr>
            <w:r w:rsidRPr="004C5551">
              <w:rPr>
                <w:lang w:eastAsia="en-US"/>
              </w:rPr>
              <w:t>2 428</w:t>
            </w:r>
          </w:p>
        </w:tc>
      </w:tr>
    </w:tbl>
    <w:p w:rsidR="004A3CAA" w:rsidRPr="004C5551" w:rsidRDefault="004A3CAA" w:rsidP="00EE5A42">
      <w:pPr>
        <w:pStyle w:val="zdroj"/>
      </w:pPr>
      <w:r w:rsidRPr="004C5551">
        <w:t>Zdroj: MPSVR SR</w:t>
      </w:r>
    </w:p>
    <w:p w:rsidR="004A3CAA" w:rsidRPr="004C5551" w:rsidRDefault="004A3CAA" w:rsidP="004A3CAA">
      <w:pPr>
        <w:rPr>
          <w:b/>
          <w:szCs w:val="22"/>
        </w:rPr>
      </w:pPr>
    </w:p>
    <w:p w:rsidR="004A3CAA" w:rsidRPr="004C5551" w:rsidRDefault="004A3CAA" w:rsidP="004A3CAA">
      <w:pPr>
        <w:rPr>
          <w:b/>
          <w:color w:val="D83E2C" w:themeColor="accent2"/>
          <w:szCs w:val="22"/>
        </w:rPr>
      </w:pPr>
      <w:r w:rsidRPr="004C5551">
        <w:rPr>
          <w:b/>
          <w:color w:val="D83E2C" w:themeColor="accent2"/>
          <w:szCs w:val="22"/>
        </w:rPr>
        <w:t>Sociálna kuratela pre plnoleté fyzické osoby</w:t>
      </w:r>
    </w:p>
    <w:p w:rsidR="004A3CAA" w:rsidRPr="004C5551" w:rsidRDefault="004A3CAA" w:rsidP="004A3CAA">
      <w:pPr>
        <w:rPr>
          <w:b/>
          <w:szCs w:val="22"/>
        </w:rPr>
      </w:pPr>
    </w:p>
    <w:p w:rsidR="00F85886" w:rsidRPr="004C5551" w:rsidRDefault="00F85886" w:rsidP="001206CF">
      <w:pPr>
        <w:ind w:firstLine="431"/>
        <w:rPr>
          <w:szCs w:val="22"/>
        </w:rPr>
      </w:pPr>
      <w:r w:rsidRPr="004C5551">
        <w:rPr>
          <w:szCs w:val="22"/>
        </w:rPr>
        <w:t xml:space="preserve">V roku 2014 sa opatrenia sociálnej kurately vykonávali pre 5 517 klientov </w:t>
      </w:r>
      <w:r w:rsidRPr="004C5551">
        <w:rPr>
          <w:color w:val="000000" w:themeColor="text1"/>
        </w:rPr>
        <w:t>–</w:t>
      </w:r>
      <w:r w:rsidRPr="004C5551">
        <w:rPr>
          <w:szCs w:val="22"/>
        </w:rPr>
        <w:t xml:space="preserve"> plnoletých fyzických osôb a vykonávalo ich 55 sociálnych kurátorov. V porovnaní s rokom 2013 sa celkovo znížil počet klientov o 758 osôb a znížil sa teda aj počet klientov na jedného sociálneho kurátora </w:t>
      </w:r>
      <w:r w:rsidR="00381844" w:rsidRPr="004C5551">
        <w:rPr>
          <w:szCs w:val="22"/>
        </w:rPr>
        <w:t>zo </w:t>
      </w:r>
      <w:r w:rsidRPr="004C5551">
        <w:rPr>
          <w:szCs w:val="22"/>
        </w:rPr>
        <w:t>106 klientov v roku 2013 na 100 klientov v roku 2014.</w:t>
      </w:r>
    </w:p>
    <w:p w:rsidR="00F85886" w:rsidRPr="004C5551" w:rsidRDefault="00F85886" w:rsidP="001206CF">
      <w:pPr>
        <w:ind w:firstLine="431"/>
        <w:rPr>
          <w:szCs w:val="22"/>
        </w:rPr>
      </w:pPr>
      <w:r w:rsidRPr="004C5551">
        <w:rPr>
          <w:szCs w:val="22"/>
        </w:rPr>
        <w:t>Opatrenia sociálnej kurately pre plnoletých boli vykonávané najmä pre klientov po prepustení, prípadne po podmienečnom prepustení z výkonu trestu odňatia slobody; najčastejšie bola klientom poskytnutá pomoc v súvislosti s hľadaním zamestnania a hľadaním vhodného bývania.</w:t>
      </w:r>
    </w:p>
    <w:p w:rsidR="00F85886" w:rsidRPr="004C5551" w:rsidRDefault="00F85886" w:rsidP="001206CF">
      <w:pPr>
        <w:ind w:firstLine="431"/>
        <w:rPr>
          <w:szCs w:val="22"/>
        </w:rPr>
      </w:pPr>
      <w:r w:rsidRPr="004C5551">
        <w:t xml:space="preserve">V roku 2014 sociálni kurátori poskytli resocializačný príspevok </w:t>
      </w:r>
      <w:r w:rsidR="00C3691A" w:rsidRPr="004C5551">
        <w:t>2 882</w:t>
      </w:r>
      <w:r w:rsidRPr="004C5551">
        <w:t xml:space="preserve"> osobám (príloha ku kapitole 3, tabuľky 12 a 13).</w:t>
      </w:r>
      <w:r w:rsidR="00073D95" w:rsidRPr="004C5551">
        <w:t xml:space="preserve"> </w:t>
      </w:r>
      <w:r w:rsidRPr="004C5551">
        <w:t>Finančné prostriedky vyplatené na resocializačný príspevok boli v</w:t>
      </w:r>
      <w:r w:rsidR="00EE5A42" w:rsidRPr="004C5551">
        <w:t> </w:t>
      </w:r>
      <w:r w:rsidRPr="004C5551">
        <w:t>roku 2014 v celkovej výške 1</w:t>
      </w:r>
      <w:r w:rsidR="00C3691A" w:rsidRPr="004C5551">
        <w:t>62 479</w:t>
      </w:r>
      <w:r w:rsidRPr="004C5551">
        <w:t xml:space="preserve"> eur.</w:t>
      </w:r>
    </w:p>
    <w:p w:rsidR="00927A83" w:rsidRPr="004C5551" w:rsidRDefault="00927A83">
      <w:pPr>
        <w:jc w:val="left"/>
        <w:rPr>
          <w:b/>
          <w:szCs w:val="22"/>
        </w:rPr>
      </w:pPr>
    </w:p>
    <w:p w:rsidR="004A3CAA" w:rsidRPr="004C5551" w:rsidRDefault="004A3CAA" w:rsidP="004A3CAA">
      <w:pPr>
        <w:rPr>
          <w:b/>
          <w:color w:val="D83E2C" w:themeColor="accent2"/>
          <w:szCs w:val="22"/>
        </w:rPr>
      </w:pPr>
      <w:r w:rsidRPr="004C5551">
        <w:rPr>
          <w:b/>
          <w:color w:val="D83E2C" w:themeColor="accent2"/>
          <w:szCs w:val="22"/>
        </w:rPr>
        <w:t xml:space="preserve">Násilie páchané v rodinách, týrané, zanedbávané a zneužívané deti </w:t>
      </w:r>
    </w:p>
    <w:p w:rsidR="004A3CAA" w:rsidRPr="004C5551" w:rsidRDefault="004A3CAA" w:rsidP="004A3CAA">
      <w:pPr>
        <w:rPr>
          <w:b/>
          <w:color w:val="D83E2C" w:themeColor="accent2"/>
          <w:szCs w:val="22"/>
        </w:rPr>
      </w:pPr>
    </w:p>
    <w:p w:rsidR="00F85886" w:rsidRPr="004C5551" w:rsidRDefault="00F85886" w:rsidP="001206CF">
      <w:pPr>
        <w:ind w:firstLine="431"/>
        <w:rPr>
          <w:b/>
          <w:szCs w:val="22"/>
        </w:rPr>
      </w:pPr>
      <w:r w:rsidRPr="004C5551">
        <w:rPr>
          <w:szCs w:val="22"/>
        </w:rPr>
        <w:t>V oblasti násilia páchaného v rodinách, týraných, zanedbávaných a zneužívaných detí, úrady</w:t>
      </w:r>
      <w:r w:rsidR="00F41E61" w:rsidRPr="004C5551">
        <w:rPr>
          <w:szCs w:val="22"/>
        </w:rPr>
        <w:t> </w:t>
      </w:r>
      <w:r w:rsidRPr="004C5551">
        <w:rPr>
          <w:szCs w:val="22"/>
        </w:rPr>
        <w:t xml:space="preserve">PSVR v sledovanom roku na základe dôvodného podozrenia vykonávali opatrenia </w:t>
      </w:r>
      <w:proofErr w:type="spellStart"/>
      <w:r w:rsidRPr="004C5551">
        <w:rPr>
          <w:szCs w:val="22"/>
        </w:rPr>
        <w:t>SPODaSK</w:t>
      </w:r>
      <w:proofErr w:type="spellEnd"/>
      <w:r w:rsidRPr="004C5551">
        <w:rPr>
          <w:szCs w:val="22"/>
        </w:rPr>
        <w:t xml:space="preserve"> celkom pre 424 detí.</w:t>
      </w:r>
      <w:r w:rsidR="00073D95" w:rsidRPr="004C5551">
        <w:rPr>
          <w:szCs w:val="22"/>
        </w:rPr>
        <w:t xml:space="preserve"> </w:t>
      </w:r>
      <w:r w:rsidRPr="004C5551">
        <w:rPr>
          <w:szCs w:val="22"/>
        </w:rPr>
        <w:t xml:space="preserve">Vykonávanie opatrení </w:t>
      </w:r>
      <w:proofErr w:type="spellStart"/>
      <w:r w:rsidRPr="004C5551">
        <w:rPr>
          <w:szCs w:val="22"/>
        </w:rPr>
        <w:t>SPODaSK</w:t>
      </w:r>
      <w:proofErr w:type="spellEnd"/>
      <w:r w:rsidRPr="004C5551">
        <w:rPr>
          <w:szCs w:val="22"/>
        </w:rPr>
        <w:t xml:space="preserve"> je zamerané na poskytovanie sociálneho poradenstva, sociálnu prácu v teréne a prostredníctvom referátu poradensko-psychologických služieb sa poskytuje najmä psychologické poradenstvo a psychologická pomoc pri sanácii biologickej rodiny v rámci pomoci obetiam násilia. </w:t>
      </w:r>
    </w:p>
    <w:p w:rsidR="00F85886" w:rsidRPr="004C5551" w:rsidRDefault="00F85886" w:rsidP="001206CF">
      <w:pPr>
        <w:ind w:firstLine="431"/>
        <w:rPr>
          <w:szCs w:val="22"/>
        </w:rPr>
      </w:pPr>
      <w:r w:rsidRPr="004C5551">
        <w:rPr>
          <w:szCs w:val="22"/>
        </w:rPr>
        <w:t xml:space="preserve">V 49 prípadoch orgány </w:t>
      </w:r>
      <w:proofErr w:type="spellStart"/>
      <w:r w:rsidRPr="004C5551">
        <w:rPr>
          <w:szCs w:val="22"/>
        </w:rPr>
        <w:t>SPODaSK</w:t>
      </w:r>
      <w:proofErr w:type="spellEnd"/>
      <w:r w:rsidRPr="004C5551">
        <w:rPr>
          <w:szCs w:val="22"/>
        </w:rPr>
        <w:t xml:space="preserve"> podali návrh na začatie trestného stíhania. Pomoc deťom týraným, sexuálne zneužívaným a šikanovaným uvádza príloha ku kapitole 3, tabuľka 14.</w:t>
      </w:r>
    </w:p>
    <w:p w:rsidR="004A3CAA" w:rsidRPr="004C5551" w:rsidRDefault="004A3CAA" w:rsidP="004A3CAA">
      <w:pPr>
        <w:rPr>
          <w:b/>
          <w:szCs w:val="22"/>
        </w:rPr>
      </w:pPr>
    </w:p>
    <w:p w:rsidR="004A3CAA" w:rsidRPr="004C5551" w:rsidRDefault="004A3CAA" w:rsidP="004A3CAA">
      <w:pPr>
        <w:rPr>
          <w:b/>
          <w:color w:val="D83E2C" w:themeColor="accent2"/>
          <w:szCs w:val="22"/>
        </w:rPr>
      </w:pPr>
      <w:r w:rsidRPr="004C5551">
        <w:rPr>
          <w:b/>
          <w:color w:val="D83E2C" w:themeColor="accent2"/>
          <w:szCs w:val="22"/>
        </w:rPr>
        <w:t>Ústavná starostlivosť a ochranná výchova</w:t>
      </w:r>
    </w:p>
    <w:p w:rsidR="004A3CAA" w:rsidRPr="004C5551" w:rsidRDefault="004A3CAA" w:rsidP="004A3CAA">
      <w:pPr>
        <w:rPr>
          <w:color w:val="D83E2C" w:themeColor="accent2"/>
          <w:szCs w:val="22"/>
        </w:rPr>
      </w:pPr>
    </w:p>
    <w:p w:rsidR="00F85886" w:rsidRPr="004C5551" w:rsidRDefault="00F85886" w:rsidP="001206CF">
      <w:pPr>
        <w:ind w:firstLine="431"/>
      </w:pPr>
      <w:r w:rsidRPr="004C5551">
        <w:rPr>
          <w:szCs w:val="22"/>
        </w:rPr>
        <w:t xml:space="preserve">K 31. 12. 2014 bolo evidovaných 4 383 detí s nariadenou ústavnou starostlivosťou a 28 detí malo nariadenú ochrannú výchovu. Celkovo bolo vo všetkých typoch zariadení na výkon rozhodnutia súdu umiestnených 5 293 detí. Počet detí umiestnených na základe rozhodnutia súdu do zariadení na výkon rozhodnutia súdu a ich porovnanie s rokom 2013 uvádza </w:t>
      </w:r>
      <w:r w:rsidRPr="004C5551">
        <w:t>príloha ku kapitole 3, tabuľka 15.</w:t>
      </w:r>
    </w:p>
    <w:p w:rsidR="00F85886" w:rsidRPr="004C5551" w:rsidRDefault="00F85886" w:rsidP="001206CF">
      <w:pPr>
        <w:ind w:firstLine="431"/>
        <w:rPr>
          <w:szCs w:val="22"/>
        </w:rPr>
      </w:pPr>
      <w:r w:rsidRPr="004C5551">
        <w:rPr>
          <w:szCs w:val="22"/>
        </w:rPr>
        <w:t>K 3</w:t>
      </w:r>
      <w:r w:rsidR="00672D64" w:rsidRPr="004C5551">
        <w:rPr>
          <w:szCs w:val="22"/>
        </w:rPr>
        <w:t>1. 12. 2014 bolo na Slovensku 88</w:t>
      </w:r>
      <w:r w:rsidRPr="004C5551">
        <w:rPr>
          <w:i/>
          <w:szCs w:val="22"/>
        </w:rPr>
        <w:t xml:space="preserve"> detských domovov</w:t>
      </w:r>
      <w:r w:rsidRPr="004C5551">
        <w:rPr>
          <w:szCs w:val="22"/>
        </w:rPr>
        <w:t xml:space="preserve"> s celkovým počtom 4 303 umiestnených maloletých detí a 417 mladých dospelých. Z celkového p</w:t>
      </w:r>
      <w:r w:rsidR="00672D64" w:rsidRPr="004C5551">
        <w:rPr>
          <w:szCs w:val="22"/>
        </w:rPr>
        <w:t>očtu 8</w:t>
      </w:r>
      <w:r w:rsidR="00842ABF" w:rsidRPr="004C5551">
        <w:rPr>
          <w:szCs w:val="22"/>
        </w:rPr>
        <w:t>8</w:t>
      </w:r>
      <w:r w:rsidR="00672D64" w:rsidRPr="004C5551">
        <w:rPr>
          <w:szCs w:val="22"/>
        </w:rPr>
        <w:t xml:space="preserve"> detských domovov bolo 66</w:t>
      </w:r>
      <w:r w:rsidRPr="004C5551">
        <w:rPr>
          <w:szCs w:val="22"/>
        </w:rPr>
        <w:t xml:space="preserve"> štátnych detských domovov a 22 detských domovov bolo neštátnych.</w:t>
      </w:r>
    </w:p>
    <w:p w:rsidR="00F85886" w:rsidRPr="004C5551" w:rsidRDefault="00F85886" w:rsidP="001206CF">
      <w:pPr>
        <w:ind w:firstLine="431"/>
        <w:rPr>
          <w:szCs w:val="22"/>
        </w:rPr>
      </w:pPr>
      <w:r w:rsidRPr="004C5551">
        <w:rPr>
          <w:szCs w:val="22"/>
        </w:rPr>
        <w:t xml:space="preserve">V detských domovoch sa realizuje nariadená ústavná starostlivosť, predbežné opatrenie a výchovné opatrenie v samostatnej skupine, v špecializovanej samostatnej skupine, v samostatnej diagnostickej skupine a v profesionálnej rodine. </w:t>
      </w:r>
    </w:p>
    <w:p w:rsidR="00F85886" w:rsidRPr="004C5551" w:rsidRDefault="00F85886" w:rsidP="001206CF">
      <w:pPr>
        <w:pStyle w:val="Textkomentra"/>
        <w:ind w:firstLine="431"/>
        <w:rPr>
          <w:sz w:val="22"/>
          <w:szCs w:val="22"/>
        </w:rPr>
      </w:pPr>
      <w:r w:rsidRPr="004C5551">
        <w:rPr>
          <w:sz w:val="22"/>
          <w:szCs w:val="22"/>
        </w:rPr>
        <w:t>K 31.12.201</w:t>
      </w:r>
      <w:r w:rsidR="00033026" w:rsidRPr="004C5551">
        <w:rPr>
          <w:sz w:val="22"/>
          <w:szCs w:val="22"/>
        </w:rPr>
        <w:t>4</w:t>
      </w:r>
      <w:r w:rsidRPr="004C5551">
        <w:rPr>
          <w:sz w:val="22"/>
          <w:szCs w:val="22"/>
        </w:rPr>
        <w:t xml:space="preserve"> bolo v detských domovoch 7</w:t>
      </w:r>
      <w:r w:rsidR="00E66CED" w:rsidRPr="004C5551">
        <w:rPr>
          <w:sz w:val="22"/>
          <w:szCs w:val="22"/>
        </w:rPr>
        <w:t>4</w:t>
      </w:r>
      <w:r w:rsidRPr="004C5551">
        <w:rPr>
          <w:sz w:val="22"/>
          <w:szCs w:val="22"/>
        </w:rPr>
        <w:t xml:space="preserve">2 </w:t>
      </w:r>
      <w:r w:rsidRPr="004C5551">
        <w:rPr>
          <w:i/>
          <w:sz w:val="22"/>
          <w:szCs w:val="22"/>
        </w:rPr>
        <w:t>profesionálnych rodičov</w:t>
      </w:r>
      <w:r w:rsidRPr="004C5551">
        <w:rPr>
          <w:sz w:val="22"/>
          <w:szCs w:val="22"/>
        </w:rPr>
        <w:t>, u ktorých bolo umiestnených 1 480 detí a mladých dospelých, čo v porovnaní s rokom 2013 predstavuje nárast o 86 detí a mladých dospelých. Formy starostlivosti v detských domovoch a počty umiestnených detí v jednotlivých formách starostlivosti v detských domovoch uvádza príloha ku kapitole 3, tabuľky 16 a 17.</w:t>
      </w:r>
    </w:p>
    <w:p w:rsidR="00F85886" w:rsidRPr="004C5551" w:rsidRDefault="00F85886" w:rsidP="00F85886">
      <w:pPr>
        <w:pStyle w:val="Textkomentra"/>
        <w:ind w:firstLine="567"/>
        <w:rPr>
          <w:sz w:val="22"/>
          <w:szCs w:val="22"/>
        </w:rPr>
      </w:pPr>
    </w:p>
    <w:p w:rsidR="00A241FC" w:rsidRPr="004C5551" w:rsidRDefault="00A241FC">
      <w:pPr>
        <w:jc w:val="left"/>
        <w:rPr>
          <w:b/>
          <w:color w:val="D83E2C" w:themeColor="accent2"/>
          <w:szCs w:val="22"/>
        </w:rPr>
      </w:pPr>
      <w:r w:rsidRPr="004C5551">
        <w:rPr>
          <w:b/>
          <w:color w:val="D83E2C" w:themeColor="accent2"/>
          <w:szCs w:val="22"/>
        </w:rPr>
        <w:br w:type="page"/>
      </w:r>
    </w:p>
    <w:p w:rsidR="004A3CAA" w:rsidRPr="004C5551" w:rsidRDefault="004A3CAA" w:rsidP="00F85886">
      <w:pPr>
        <w:rPr>
          <w:b/>
          <w:color w:val="D83E2C" w:themeColor="accent2"/>
          <w:szCs w:val="22"/>
        </w:rPr>
      </w:pPr>
      <w:r w:rsidRPr="004C5551">
        <w:rPr>
          <w:b/>
          <w:color w:val="D83E2C" w:themeColor="accent2"/>
          <w:szCs w:val="22"/>
        </w:rPr>
        <w:t>Maloletí bez sprievodu a návrat či premiestnenie dieťaťa</w:t>
      </w:r>
    </w:p>
    <w:p w:rsidR="00F85886" w:rsidRPr="004C5551" w:rsidRDefault="00F85886" w:rsidP="00F85886">
      <w:pPr>
        <w:rPr>
          <w:b/>
          <w:color w:val="D83E2C" w:themeColor="accent2"/>
          <w:szCs w:val="22"/>
        </w:rPr>
      </w:pPr>
    </w:p>
    <w:p w:rsidR="00F85886" w:rsidRPr="004C5551" w:rsidRDefault="00F85886" w:rsidP="001206CF">
      <w:pPr>
        <w:ind w:firstLine="431"/>
        <w:rPr>
          <w:b/>
          <w:szCs w:val="22"/>
        </w:rPr>
      </w:pPr>
      <w:r w:rsidRPr="004C5551">
        <w:rPr>
          <w:szCs w:val="22"/>
        </w:rPr>
        <w:t xml:space="preserve">V roku 2014 boli vykonané opatrenia </w:t>
      </w:r>
      <w:proofErr w:type="spellStart"/>
      <w:r w:rsidRPr="004C5551">
        <w:rPr>
          <w:szCs w:val="22"/>
        </w:rPr>
        <w:t>SPODaSK</w:t>
      </w:r>
      <w:proofErr w:type="spellEnd"/>
      <w:r w:rsidRPr="004C5551">
        <w:rPr>
          <w:szCs w:val="22"/>
        </w:rPr>
        <w:t xml:space="preserve"> pre 29 maloletých bez sprievodu, čo je o 43 maloletých bez sprievodu menej ako v roku 2013. </w:t>
      </w:r>
    </w:p>
    <w:p w:rsidR="00F85886" w:rsidRPr="004C5551" w:rsidRDefault="00F85886" w:rsidP="001206CF">
      <w:pPr>
        <w:ind w:firstLine="431"/>
        <w:rPr>
          <w:szCs w:val="22"/>
        </w:rPr>
      </w:pPr>
      <w:r w:rsidRPr="004C5551">
        <w:rPr>
          <w:szCs w:val="22"/>
        </w:rPr>
        <w:t>V roku 2014 sa návrat a premiestnenie dieťaťa realizoval u 4 detí, ktoré sa ocitli na území iného štátu bez sprievodu rodiča, príbuzného alebo osoby, ktorá sa o dieťa osobne stará. Vo</w:t>
      </w:r>
      <w:r w:rsidR="00EE5A42" w:rsidRPr="004C5551">
        <w:rPr>
          <w:szCs w:val="22"/>
        </w:rPr>
        <w:t> </w:t>
      </w:r>
      <w:r w:rsidRPr="004C5551">
        <w:rPr>
          <w:szCs w:val="22"/>
        </w:rPr>
        <w:t>všetkých</w:t>
      </w:r>
      <w:r w:rsidR="00073D95" w:rsidRPr="004C5551">
        <w:rPr>
          <w:szCs w:val="22"/>
        </w:rPr>
        <w:t xml:space="preserve"> </w:t>
      </w:r>
      <w:r w:rsidRPr="004C5551">
        <w:rPr>
          <w:szCs w:val="22"/>
        </w:rPr>
        <w:t xml:space="preserve">uvedených prípadoch detí bolo predmetom premiestnenie na naše územie. </w:t>
      </w:r>
    </w:p>
    <w:p w:rsidR="004A3CAA" w:rsidRPr="004C5551" w:rsidRDefault="004A3CAA" w:rsidP="004A3CAA">
      <w:pPr>
        <w:rPr>
          <w:b/>
          <w:szCs w:val="22"/>
        </w:rPr>
      </w:pPr>
    </w:p>
    <w:p w:rsidR="00A241FC" w:rsidRPr="004C5551" w:rsidRDefault="00A241FC">
      <w:pPr>
        <w:jc w:val="left"/>
        <w:rPr>
          <w:b/>
          <w:color w:val="D83E2C" w:themeColor="accent2"/>
          <w:szCs w:val="22"/>
        </w:rPr>
      </w:pPr>
    </w:p>
    <w:p w:rsidR="004A3CAA" w:rsidRPr="004C5551" w:rsidRDefault="004A3CAA" w:rsidP="004A3CAA">
      <w:pPr>
        <w:rPr>
          <w:b/>
          <w:color w:val="D83E2C" w:themeColor="accent2"/>
          <w:szCs w:val="22"/>
        </w:rPr>
      </w:pPr>
      <w:r w:rsidRPr="004C5551">
        <w:rPr>
          <w:b/>
          <w:color w:val="D83E2C" w:themeColor="accent2"/>
          <w:szCs w:val="22"/>
        </w:rPr>
        <w:t xml:space="preserve">Náhradná rodinná starostlivosť – náhradná osobná starostlivosť, pestúnska starostlivosť, poručníctvo, </w:t>
      </w:r>
      <w:proofErr w:type="spellStart"/>
      <w:r w:rsidRPr="004C5551">
        <w:rPr>
          <w:b/>
          <w:color w:val="D83E2C" w:themeColor="accent2"/>
          <w:szCs w:val="22"/>
        </w:rPr>
        <w:t>predosvojit</w:t>
      </w:r>
      <w:r w:rsidR="00865223" w:rsidRPr="004C5551">
        <w:rPr>
          <w:b/>
          <w:color w:val="D83E2C" w:themeColor="accent2"/>
          <w:szCs w:val="22"/>
        </w:rPr>
        <w:t>eľská</w:t>
      </w:r>
      <w:proofErr w:type="spellEnd"/>
      <w:r w:rsidR="00865223" w:rsidRPr="004C5551">
        <w:rPr>
          <w:b/>
          <w:color w:val="D83E2C" w:themeColor="accent2"/>
          <w:szCs w:val="22"/>
        </w:rPr>
        <w:t xml:space="preserve"> starostlivosť a osvojenie</w:t>
      </w:r>
    </w:p>
    <w:p w:rsidR="004A3CAA" w:rsidRPr="004C5551" w:rsidRDefault="004A3CAA" w:rsidP="004A3CAA">
      <w:pPr>
        <w:rPr>
          <w:szCs w:val="22"/>
        </w:rPr>
      </w:pPr>
    </w:p>
    <w:p w:rsidR="00F85886" w:rsidRPr="004C5551" w:rsidRDefault="00F85886" w:rsidP="001206CF">
      <w:pPr>
        <w:ind w:firstLine="431"/>
        <w:rPr>
          <w:szCs w:val="22"/>
        </w:rPr>
      </w:pPr>
      <w:r w:rsidRPr="004C5551">
        <w:rPr>
          <w:szCs w:val="22"/>
        </w:rPr>
        <w:t>V roku 2014 bolo 1 335 detí zverených do náhradného rodinného prostredia (náhradná osobná starostlivosť, pestúnska starostlivosť, poručníctvo a </w:t>
      </w:r>
      <w:proofErr w:type="spellStart"/>
      <w:r w:rsidRPr="004C5551">
        <w:rPr>
          <w:szCs w:val="22"/>
        </w:rPr>
        <w:t>predosvojiteľská</w:t>
      </w:r>
      <w:proofErr w:type="spellEnd"/>
      <w:r w:rsidRPr="004C5551">
        <w:rPr>
          <w:szCs w:val="22"/>
        </w:rPr>
        <w:t xml:space="preserve"> starostlivosť). Porovnanie s predchádzajúcim rokom je uvedené v tabuľke 3.19. </w:t>
      </w:r>
    </w:p>
    <w:p w:rsidR="00F85886" w:rsidRPr="004C5551" w:rsidRDefault="00F85886" w:rsidP="001206CF">
      <w:pPr>
        <w:ind w:firstLine="431"/>
        <w:rPr>
          <w:szCs w:val="22"/>
        </w:rPr>
      </w:pPr>
      <w:r w:rsidRPr="004C5551">
        <w:rPr>
          <w:szCs w:val="22"/>
        </w:rPr>
        <w:t xml:space="preserve">K 31.12.2014 bolo celkovo 8 190 detí zverených do náhradnej osobnej starostlivosti, pestúnskej starostlivosti a poručníctva. Celkový počet detí zverených do jednotlivých foriem náhradnej rodinnej starostlivosti a porovnanie s predchádzajúcim rokom uvádza príloha ku kapitole 3, tabuľka 18. </w:t>
      </w:r>
    </w:p>
    <w:p w:rsidR="00F85886" w:rsidRPr="004C5551" w:rsidRDefault="00F85886" w:rsidP="001206CF">
      <w:pPr>
        <w:ind w:firstLine="431"/>
        <w:rPr>
          <w:szCs w:val="22"/>
        </w:rPr>
      </w:pPr>
      <w:r w:rsidRPr="004C5551">
        <w:rPr>
          <w:szCs w:val="22"/>
        </w:rPr>
        <w:t xml:space="preserve">V roku 2014 bolo právoplatným rozhodnutím súdu osvojených 193 detí. V počte osvojených detí sú zahrnuté aj deti osvojené do cudziny. Do </w:t>
      </w:r>
      <w:proofErr w:type="spellStart"/>
      <w:r w:rsidRPr="004C5551">
        <w:rPr>
          <w:szCs w:val="22"/>
        </w:rPr>
        <w:t>predosvojiteľskej</w:t>
      </w:r>
      <w:proofErr w:type="spellEnd"/>
      <w:r w:rsidRPr="004C5551">
        <w:rPr>
          <w:szCs w:val="22"/>
        </w:rPr>
        <w:t xml:space="preserve"> starostlivosti do cudziny bolo v roku 2014 zverených 7 detí. </w:t>
      </w:r>
    </w:p>
    <w:p w:rsidR="004A3CAA" w:rsidRPr="004C5551" w:rsidRDefault="004A3CAA" w:rsidP="00EE5A42">
      <w:pPr>
        <w:pStyle w:val="Nadpis7"/>
      </w:pPr>
      <w:r w:rsidRPr="004C5551">
        <w:t>Tab</w:t>
      </w:r>
      <w:r w:rsidR="00865223" w:rsidRPr="004C5551">
        <w:t>uľka</w:t>
      </w:r>
      <w:r w:rsidRPr="004C5551">
        <w:t xml:space="preserve"> </w:t>
      </w:r>
      <w:r w:rsidR="00A81150" w:rsidRPr="004C5551">
        <w:t>3.1</w:t>
      </w:r>
      <w:r w:rsidR="00927A83" w:rsidRPr="004C5551">
        <w:t>9</w:t>
      </w:r>
      <w:r w:rsidR="0016196A" w:rsidRPr="004C5551">
        <w:t xml:space="preserve"> </w:t>
      </w:r>
      <w:r w:rsidRPr="004C5551">
        <w:t xml:space="preserve">Počet detí zverených do náhradných rodín v rokoch </w:t>
      </w:r>
      <w:r w:rsidR="00D818CE" w:rsidRPr="004C5551">
        <w:t xml:space="preserve">– </w:t>
      </w:r>
      <w:r w:rsidRPr="004C5551">
        <w:t>201</w:t>
      </w:r>
      <w:r w:rsidR="00EE5A42" w:rsidRPr="004C5551">
        <w:t>3</w:t>
      </w:r>
      <w:r w:rsidRPr="004C5551">
        <w:t xml:space="preserve"> a 201</w:t>
      </w:r>
      <w:r w:rsidR="00EE5A42" w:rsidRPr="004C5551">
        <w:t>4</w:t>
      </w:r>
    </w:p>
    <w:tbl>
      <w:tblPr>
        <w:tblW w:w="9181" w:type="dxa"/>
        <w:tblInd w:w="-3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1E0" w:firstRow="1" w:lastRow="1" w:firstColumn="1" w:lastColumn="1" w:noHBand="0" w:noVBand="0"/>
      </w:tblPr>
      <w:tblGrid>
        <w:gridCol w:w="1215"/>
        <w:gridCol w:w="11"/>
        <w:gridCol w:w="1749"/>
        <w:gridCol w:w="27"/>
        <w:gridCol w:w="1638"/>
        <w:gridCol w:w="42"/>
        <w:gridCol w:w="1623"/>
        <w:gridCol w:w="57"/>
        <w:gridCol w:w="1600"/>
        <w:gridCol w:w="71"/>
        <w:gridCol w:w="1148"/>
      </w:tblGrid>
      <w:tr w:rsidR="004A3CAA" w:rsidRPr="004C5551" w:rsidTr="001B27FE">
        <w:trPr>
          <w:trHeight w:val="413"/>
        </w:trPr>
        <w:tc>
          <w:tcPr>
            <w:tcW w:w="1226" w:type="dxa"/>
            <w:gridSpan w:val="2"/>
            <w:shd w:val="clear" w:color="auto" w:fill="BF0000" w:themeFill="accent3" w:themeFillShade="BF"/>
            <w:vAlign w:val="center"/>
          </w:tcPr>
          <w:p w:rsidR="004A3CAA" w:rsidRPr="004C5551" w:rsidRDefault="004A3CAA" w:rsidP="00865223">
            <w:pPr>
              <w:spacing w:line="276" w:lineRule="auto"/>
              <w:jc w:val="center"/>
              <w:rPr>
                <w:b/>
                <w:color w:val="FFFFFF" w:themeColor="background1"/>
                <w:szCs w:val="22"/>
                <w:lang w:eastAsia="en-US"/>
              </w:rPr>
            </w:pPr>
            <w:r w:rsidRPr="004C5551">
              <w:rPr>
                <w:b/>
                <w:color w:val="FFFFFF" w:themeColor="background1"/>
                <w:szCs w:val="22"/>
                <w:lang w:eastAsia="en-US"/>
              </w:rPr>
              <w:t>rok</w:t>
            </w:r>
          </w:p>
        </w:tc>
        <w:tc>
          <w:tcPr>
            <w:tcW w:w="1776" w:type="dxa"/>
            <w:gridSpan w:val="2"/>
            <w:shd w:val="clear" w:color="auto" w:fill="BF0000" w:themeFill="accent3" w:themeFillShade="BF"/>
            <w:vAlign w:val="center"/>
            <w:hideMark/>
          </w:tcPr>
          <w:p w:rsidR="004A3CAA" w:rsidRPr="004C5551" w:rsidRDefault="004A3CAA" w:rsidP="00865223">
            <w:pPr>
              <w:spacing w:line="276" w:lineRule="auto"/>
              <w:jc w:val="center"/>
              <w:rPr>
                <w:b/>
                <w:color w:val="FFFFFF" w:themeColor="background1"/>
                <w:sz w:val="20"/>
                <w:szCs w:val="20"/>
                <w:lang w:eastAsia="en-US"/>
              </w:rPr>
            </w:pPr>
            <w:r w:rsidRPr="004C5551">
              <w:rPr>
                <w:b/>
                <w:color w:val="FFFFFF" w:themeColor="background1"/>
                <w:sz w:val="20"/>
                <w:szCs w:val="20"/>
                <w:lang w:eastAsia="en-US"/>
              </w:rPr>
              <w:t>Osvojenie</w:t>
            </w:r>
            <w:r w:rsidR="00865223" w:rsidRPr="004C5551">
              <w:rPr>
                <w:b/>
                <w:color w:val="FFFFFF" w:themeColor="background1"/>
                <w:sz w:val="20"/>
                <w:szCs w:val="20"/>
                <w:lang w:eastAsia="en-US"/>
              </w:rPr>
              <w:br/>
            </w:r>
            <w:r w:rsidRPr="004C5551">
              <w:rPr>
                <w:b/>
                <w:color w:val="FFFFFF" w:themeColor="background1"/>
                <w:sz w:val="20"/>
                <w:szCs w:val="20"/>
                <w:lang w:eastAsia="en-US"/>
              </w:rPr>
              <w:t xml:space="preserve">(zverené do </w:t>
            </w:r>
            <w:proofErr w:type="spellStart"/>
            <w:r w:rsidRPr="004C5551">
              <w:rPr>
                <w:b/>
                <w:color w:val="FFFFFF" w:themeColor="background1"/>
                <w:sz w:val="20"/>
                <w:szCs w:val="20"/>
                <w:lang w:eastAsia="en-US"/>
              </w:rPr>
              <w:t>predosvojiteľskej</w:t>
            </w:r>
            <w:proofErr w:type="spellEnd"/>
            <w:r w:rsidRPr="004C5551">
              <w:rPr>
                <w:b/>
                <w:color w:val="FFFFFF" w:themeColor="background1"/>
                <w:sz w:val="20"/>
                <w:szCs w:val="20"/>
                <w:lang w:eastAsia="en-US"/>
              </w:rPr>
              <w:t xml:space="preserve"> starostlivosti)</w:t>
            </w:r>
          </w:p>
        </w:tc>
        <w:tc>
          <w:tcPr>
            <w:tcW w:w="1680" w:type="dxa"/>
            <w:gridSpan w:val="2"/>
            <w:shd w:val="clear" w:color="auto" w:fill="BF0000" w:themeFill="accent3" w:themeFillShade="BF"/>
            <w:vAlign w:val="center"/>
          </w:tcPr>
          <w:p w:rsidR="004A3CAA" w:rsidRPr="004C5551" w:rsidRDefault="004A3CAA" w:rsidP="00865223">
            <w:pPr>
              <w:spacing w:line="276" w:lineRule="auto"/>
              <w:jc w:val="center"/>
              <w:rPr>
                <w:b/>
                <w:color w:val="FFFFFF" w:themeColor="background1"/>
                <w:sz w:val="20"/>
                <w:szCs w:val="20"/>
                <w:lang w:eastAsia="en-US"/>
              </w:rPr>
            </w:pPr>
            <w:r w:rsidRPr="004C5551">
              <w:rPr>
                <w:b/>
                <w:color w:val="FFFFFF" w:themeColor="background1"/>
                <w:sz w:val="20"/>
                <w:szCs w:val="20"/>
                <w:lang w:eastAsia="en-US"/>
              </w:rPr>
              <w:t>Náhradná osobná starostlivosť</w:t>
            </w:r>
          </w:p>
        </w:tc>
        <w:tc>
          <w:tcPr>
            <w:tcW w:w="1680" w:type="dxa"/>
            <w:gridSpan w:val="2"/>
            <w:shd w:val="clear" w:color="auto" w:fill="BF0000" w:themeFill="accent3" w:themeFillShade="BF"/>
            <w:vAlign w:val="center"/>
          </w:tcPr>
          <w:p w:rsidR="004A3CAA" w:rsidRPr="004C5551" w:rsidRDefault="004A3CAA" w:rsidP="00865223">
            <w:pPr>
              <w:spacing w:line="276" w:lineRule="auto"/>
              <w:jc w:val="center"/>
              <w:rPr>
                <w:b/>
                <w:color w:val="FFFFFF" w:themeColor="background1"/>
                <w:sz w:val="20"/>
                <w:szCs w:val="20"/>
                <w:lang w:eastAsia="en-US"/>
              </w:rPr>
            </w:pPr>
            <w:r w:rsidRPr="004C5551">
              <w:rPr>
                <w:b/>
                <w:color w:val="FFFFFF" w:themeColor="background1"/>
                <w:sz w:val="20"/>
                <w:szCs w:val="20"/>
                <w:lang w:eastAsia="en-US"/>
              </w:rPr>
              <w:t>Pestúnska starostlivosť</w:t>
            </w:r>
          </w:p>
        </w:tc>
        <w:tc>
          <w:tcPr>
            <w:tcW w:w="1671" w:type="dxa"/>
            <w:gridSpan w:val="2"/>
            <w:shd w:val="clear" w:color="auto" w:fill="BF0000" w:themeFill="accent3" w:themeFillShade="BF"/>
            <w:vAlign w:val="center"/>
            <w:hideMark/>
          </w:tcPr>
          <w:p w:rsidR="004A3CAA" w:rsidRPr="004C5551" w:rsidRDefault="004A3CAA" w:rsidP="005E4C23">
            <w:pPr>
              <w:jc w:val="center"/>
              <w:rPr>
                <w:b/>
                <w:color w:val="FFFFFF" w:themeColor="background1"/>
                <w:sz w:val="20"/>
                <w:szCs w:val="20"/>
              </w:rPr>
            </w:pPr>
            <w:r w:rsidRPr="004C5551">
              <w:rPr>
                <w:b/>
                <w:color w:val="FFFFFF" w:themeColor="background1"/>
                <w:sz w:val="20"/>
                <w:szCs w:val="20"/>
              </w:rPr>
              <w:t>Poručníctvo</w:t>
            </w:r>
          </w:p>
        </w:tc>
        <w:tc>
          <w:tcPr>
            <w:tcW w:w="1148" w:type="dxa"/>
            <w:shd w:val="clear" w:color="auto" w:fill="BF0000" w:themeFill="accent3" w:themeFillShade="BF"/>
            <w:vAlign w:val="center"/>
          </w:tcPr>
          <w:p w:rsidR="004A3CAA" w:rsidRPr="004C5551" w:rsidRDefault="004A3CAA" w:rsidP="00865223">
            <w:pPr>
              <w:spacing w:line="276" w:lineRule="auto"/>
              <w:jc w:val="center"/>
              <w:rPr>
                <w:b/>
                <w:color w:val="FFFFFF" w:themeColor="background1"/>
                <w:szCs w:val="22"/>
                <w:lang w:eastAsia="en-US"/>
              </w:rPr>
            </w:pPr>
            <w:r w:rsidRPr="004C5551">
              <w:rPr>
                <w:b/>
                <w:color w:val="FFFFFF" w:themeColor="background1"/>
                <w:szCs w:val="22"/>
                <w:lang w:eastAsia="en-US"/>
              </w:rPr>
              <w:t>Spolu</w:t>
            </w:r>
          </w:p>
        </w:tc>
      </w:tr>
      <w:tr w:rsidR="001B27FE" w:rsidRPr="004C5551" w:rsidTr="001B27FE">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105"/>
        </w:trPr>
        <w:tc>
          <w:tcPr>
            <w:tcW w:w="1215" w:type="dxa"/>
          </w:tcPr>
          <w:p w:rsidR="001B27FE" w:rsidRPr="004C5551" w:rsidRDefault="004A5701" w:rsidP="001B27FE">
            <w:pPr>
              <w:spacing w:line="276" w:lineRule="auto"/>
              <w:jc w:val="center"/>
              <w:rPr>
                <w:b/>
                <w:lang w:eastAsia="en-US"/>
              </w:rPr>
            </w:pPr>
            <w:r w:rsidRPr="004C5551">
              <w:rPr>
                <w:b/>
                <w:lang w:eastAsia="en-US"/>
              </w:rPr>
              <w:t>2013</w:t>
            </w:r>
          </w:p>
        </w:tc>
        <w:tc>
          <w:tcPr>
            <w:tcW w:w="1760" w:type="dxa"/>
            <w:gridSpan w:val="2"/>
          </w:tcPr>
          <w:p w:rsidR="001B27FE" w:rsidRPr="004C5551" w:rsidRDefault="001B27FE" w:rsidP="001B27FE">
            <w:pPr>
              <w:spacing w:line="276" w:lineRule="auto"/>
              <w:jc w:val="center"/>
              <w:rPr>
                <w:lang w:eastAsia="en-US"/>
              </w:rPr>
            </w:pPr>
            <w:r w:rsidRPr="004C5551">
              <w:rPr>
                <w:lang w:eastAsia="en-US"/>
              </w:rPr>
              <w:t>164</w:t>
            </w:r>
          </w:p>
        </w:tc>
        <w:tc>
          <w:tcPr>
            <w:tcW w:w="1665" w:type="dxa"/>
            <w:gridSpan w:val="2"/>
          </w:tcPr>
          <w:p w:rsidR="001B27FE" w:rsidRPr="004C5551" w:rsidRDefault="001B27FE" w:rsidP="001B27FE">
            <w:pPr>
              <w:spacing w:line="276" w:lineRule="auto"/>
              <w:jc w:val="center"/>
              <w:rPr>
                <w:lang w:eastAsia="en-US"/>
              </w:rPr>
            </w:pPr>
            <w:r w:rsidRPr="004C5551">
              <w:rPr>
                <w:szCs w:val="22"/>
                <w:lang w:eastAsia="en-US"/>
              </w:rPr>
              <w:t>1 027</w:t>
            </w:r>
          </w:p>
        </w:tc>
        <w:tc>
          <w:tcPr>
            <w:tcW w:w="1665" w:type="dxa"/>
            <w:gridSpan w:val="2"/>
          </w:tcPr>
          <w:p w:rsidR="001B27FE" w:rsidRPr="004C5551" w:rsidRDefault="001B27FE" w:rsidP="001B27FE">
            <w:pPr>
              <w:spacing w:line="276" w:lineRule="auto"/>
              <w:jc w:val="center"/>
              <w:rPr>
                <w:lang w:eastAsia="en-US"/>
              </w:rPr>
            </w:pPr>
            <w:r w:rsidRPr="004C5551">
              <w:rPr>
                <w:lang w:eastAsia="en-US"/>
              </w:rPr>
              <w:t>160</w:t>
            </w:r>
          </w:p>
        </w:tc>
        <w:tc>
          <w:tcPr>
            <w:tcW w:w="1657" w:type="dxa"/>
            <w:gridSpan w:val="2"/>
          </w:tcPr>
          <w:p w:rsidR="001B27FE" w:rsidRPr="004C5551" w:rsidRDefault="001B27FE" w:rsidP="001B27FE">
            <w:pPr>
              <w:spacing w:line="276" w:lineRule="auto"/>
              <w:jc w:val="center"/>
              <w:rPr>
                <w:lang w:eastAsia="en-US"/>
              </w:rPr>
            </w:pPr>
            <w:r w:rsidRPr="004C5551">
              <w:rPr>
                <w:lang w:eastAsia="en-US"/>
              </w:rPr>
              <w:t>161</w:t>
            </w:r>
          </w:p>
        </w:tc>
        <w:tc>
          <w:tcPr>
            <w:tcW w:w="1218" w:type="dxa"/>
            <w:gridSpan w:val="2"/>
          </w:tcPr>
          <w:p w:rsidR="001B27FE" w:rsidRPr="004C5551" w:rsidRDefault="001B27FE" w:rsidP="001B27FE">
            <w:pPr>
              <w:spacing w:line="276" w:lineRule="auto"/>
              <w:jc w:val="center"/>
              <w:rPr>
                <w:b/>
                <w:szCs w:val="22"/>
                <w:lang w:eastAsia="en-US"/>
              </w:rPr>
            </w:pPr>
            <w:r w:rsidRPr="004C5551">
              <w:rPr>
                <w:b/>
                <w:szCs w:val="22"/>
                <w:lang w:eastAsia="en-US"/>
              </w:rPr>
              <w:t>1 512</w:t>
            </w:r>
          </w:p>
        </w:tc>
      </w:tr>
      <w:tr w:rsidR="001B27FE" w:rsidRPr="004C5551" w:rsidTr="001B27FE">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217"/>
        </w:trPr>
        <w:tc>
          <w:tcPr>
            <w:tcW w:w="1215" w:type="dxa"/>
          </w:tcPr>
          <w:p w:rsidR="001B27FE" w:rsidRPr="004C5551" w:rsidRDefault="001B27FE" w:rsidP="001B27FE">
            <w:pPr>
              <w:spacing w:line="276" w:lineRule="auto"/>
              <w:jc w:val="center"/>
              <w:rPr>
                <w:b/>
                <w:lang w:eastAsia="en-US"/>
              </w:rPr>
            </w:pPr>
            <w:r w:rsidRPr="004C5551">
              <w:rPr>
                <w:b/>
                <w:szCs w:val="22"/>
                <w:lang w:eastAsia="en-US"/>
              </w:rPr>
              <w:t>2014</w:t>
            </w:r>
          </w:p>
        </w:tc>
        <w:tc>
          <w:tcPr>
            <w:tcW w:w="1760" w:type="dxa"/>
            <w:gridSpan w:val="2"/>
          </w:tcPr>
          <w:p w:rsidR="001B27FE" w:rsidRPr="004C5551" w:rsidRDefault="001B27FE" w:rsidP="001B27FE">
            <w:pPr>
              <w:spacing w:line="276" w:lineRule="auto"/>
              <w:jc w:val="center"/>
              <w:rPr>
                <w:lang w:eastAsia="en-US"/>
              </w:rPr>
            </w:pPr>
            <w:r w:rsidRPr="004C5551">
              <w:rPr>
                <w:lang w:eastAsia="en-US"/>
              </w:rPr>
              <w:t>128</w:t>
            </w:r>
          </w:p>
        </w:tc>
        <w:tc>
          <w:tcPr>
            <w:tcW w:w="1665" w:type="dxa"/>
            <w:gridSpan w:val="2"/>
          </w:tcPr>
          <w:p w:rsidR="001B27FE" w:rsidRPr="004C5551" w:rsidRDefault="001B27FE" w:rsidP="001B27FE">
            <w:pPr>
              <w:spacing w:line="276" w:lineRule="auto"/>
              <w:jc w:val="center"/>
              <w:rPr>
                <w:lang w:eastAsia="en-US"/>
              </w:rPr>
            </w:pPr>
            <w:r w:rsidRPr="004C5551">
              <w:rPr>
                <w:lang w:eastAsia="en-US"/>
              </w:rPr>
              <w:t>931</w:t>
            </w:r>
          </w:p>
        </w:tc>
        <w:tc>
          <w:tcPr>
            <w:tcW w:w="1665" w:type="dxa"/>
            <w:gridSpan w:val="2"/>
          </w:tcPr>
          <w:p w:rsidR="001B27FE" w:rsidRPr="004C5551" w:rsidRDefault="001B27FE" w:rsidP="001B27FE">
            <w:pPr>
              <w:spacing w:line="276" w:lineRule="auto"/>
              <w:jc w:val="center"/>
              <w:rPr>
                <w:lang w:eastAsia="en-US"/>
              </w:rPr>
            </w:pPr>
            <w:r w:rsidRPr="004C5551">
              <w:rPr>
                <w:lang w:eastAsia="en-US"/>
              </w:rPr>
              <w:t>134</w:t>
            </w:r>
          </w:p>
        </w:tc>
        <w:tc>
          <w:tcPr>
            <w:tcW w:w="1657" w:type="dxa"/>
            <w:gridSpan w:val="2"/>
          </w:tcPr>
          <w:p w:rsidR="001B27FE" w:rsidRPr="004C5551" w:rsidRDefault="001B27FE" w:rsidP="001B27FE">
            <w:pPr>
              <w:spacing w:line="276" w:lineRule="auto"/>
              <w:jc w:val="center"/>
              <w:rPr>
                <w:lang w:eastAsia="en-US"/>
              </w:rPr>
            </w:pPr>
            <w:r w:rsidRPr="004C5551">
              <w:rPr>
                <w:lang w:eastAsia="en-US"/>
              </w:rPr>
              <w:t>142</w:t>
            </w:r>
          </w:p>
        </w:tc>
        <w:tc>
          <w:tcPr>
            <w:tcW w:w="1218" w:type="dxa"/>
            <w:gridSpan w:val="2"/>
          </w:tcPr>
          <w:p w:rsidR="001B27FE" w:rsidRPr="004C5551" w:rsidRDefault="001B27FE" w:rsidP="001B27FE">
            <w:pPr>
              <w:spacing w:line="276" w:lineRule="auto"/>
              <w:jc w:val="center"/>
              <w:rPr>
                <w:b/>
                <w:szCs w:val="22"/>
                <w:lang w:eastAsia="en-US"/>
              </w:rPr>
            </w:pPr>
            <w:r w:rsidRPr="004C5551">
              <w:rPr>
                <w:b/>
                <w:szCs w:val="22"/>
                <w:lang w:eastAsia="en-US"/>
              </w:rPr>
              <w:t>1335</w:t>
            </w:r>
          </w:p>
        </w:tc>
      </w:tr>
    </w:tbl>
    <w:p w:rsidR="002B6349" w:rsidRPr="004C5551" w:rsidRDefault="00A2412D" w:rsidP="002B6349">
      <w:pPr>
        <w:pStyle w:val="zdroj"/>
        <w:rPr>
          <w:rFonts w:eastAsia="Calibri"/>
        </w:rPr>
      </w:pPr>
      <w:r w:rsidRPr="004C5551">
        <w:t xml:space="preserve"> </w:t>
      </w:r>
      <w:r w:rsidR="002B6349" w:rsidRPr="004C5551">
        <w:rPr>
          <w:rFonts w:eastAsia="Calibri"/>
        </w:rPr>
        <w:t>Zdroj: V(MPSVR SR)12-01</w:t>
      </w:r>
    </w:p>
    <w:p w:rsidR="00A2412D" w:rsidRPr="004C5551" w:rsidRDefault="00A2412D" w:rsidP="00EE5A42">
      <w:pPr>
        <w:pStyle w:val="zdroj"/>
      </w:pPr>
    </w:p>
    <w:p w:rsidR="00381844" w:rsidRPr="004C5551" w:rsidRDefault="00381844">
      <w:pPr>
        <w:jc w:val="left"/>
        <w:rPr>
          <w:b/>
          <w:szCs w:val="22"/>
        </w:rPr>
      </w:pPr>
    </w:p>
    <w:p w:rsidR="004A3CAA" w:rsidRPr="004C5551" w:rsidRDefault="004A3CAA" w:rsidP="004A3CAA">
      <w:pPr>
        <w:rPr>
          <w:b/>
          <w:color w:val="D83E2C" w:themeColor="accent2"/>
          <w:szCs w:val="22"/>
        </w:rPr>
      </w:pPr>
      <w:r w:rsidRPr="004C5551">
        <w:rPr>
          <w:b/>
          <w:color w:val="D83E2C" w:themeColor="accent2"/>
          <w:szCs w:val="22"/>
        </w:rPr>
        <w:t>Poradensko</w:t>
      </w:r>
      <w:r w:rsidR="00725578" w:rsidRPr="004C5551">
        <w:rPr>
          <w:b/>
          <w:color w:val="D83E2C" w:themeColor="accent2"/>
          <w:szCs w:val="22"/>
        </w:rPr>
        <w:t>-</w:t>
      </w:r>
      <w:r w:rsidRPr="004C5551">
        <w:rPr>
          <w:b/>
          <w:color w:val="D83E2C" w:themeColor="accent2"/>
          <w:szCs w:val="22"/>
        </w:rPr>
        <w:t>psychologické služby</w:t>
      </w:r>
    </w:p>
    <w:p w:rsidR="004A3CAA" w:rsidRPr="004C5551" w:rsidRDefault="004A3CAA" w:rsidP="004A3CAA">
      <w:pPr>
        <w:rPr>
          <w:szCs w:val="22"/>
        </w:rPr>
      </w:pPr>
    </w:p>
    <w:p w:rsidR="00A2412D" w:rsidRPr="004C5551" w:rsidRDefault="00A2412D" w:rsidP="001206CF">
      <w:pPr>
        <w:ind w:firstLine="431"/>
        <w:rPr>
          <w:szCs w:val="22"/>
        </w:rPr>
      </w:pPr>
      <w:r w:rsidRPr="004C5551">
        <w:rPr>
          <w:szCs w:val="22"/>
        </w:rPr>
        <w:t>V roku 2014 pracovalo na referátoch poradensko-psychologických služieb (ďalej len „RPPS“) 84</w:t>
      </w:r>
      <w:r w:rsidRPr="004C5551">
        <w:rPr>
          <w:b/>
          <w:szCs w:val="22"/>
        </w:rPr>
        <w:t> </w:t>
      </w:r>
      <w:r w:rsidRPr="004C5551">
        <w:rPr>
          <w:szCs w:val="22"/>
        </w:rPr>
        <w:t xml:space="preserve">zamestnancov, ktorí poskytli 52 048 konzultácií pri celkovom počte 8 871 prípadov. Priemer konzultácií na jeden prípad tvorí 5,87 konzultácií. </w:t>
      </w:r>
    </w:p>
    <w:p w:rsidR="00A2412D" w:rsidRPr="004C5551" w:rsidRDefault="00A2412D" w:rsidP="00A2412D">
      <w:pPr>
        <w:rPr>
          <w:b/>
          <w:szCs w:val="22"/>
          <w:u w:val="single"/>
        </w:rPr>
      </w:pPr>
    </w:p>
    <w:p w:rsidR="00A2412D" w:rsidRPr="004C5551" w:rsidRDefault="00A2412D" w:rsidP="00A2412D">
      <w:pPr>
        <w:spacing w:after="120"/>
        <w:rPr>
          <w:rFonts w:eastAsia="Calibri"/>
          <w:i/>
          <w:iCs/>
          <w:szCs w:val="22"/>
        </w:rPr>
      </w:pPr>
      <w:r w:rsidRPr="004C5551">
        <w:rPr>
          <w:rFonts w:eastAsia="Calibri"/>
          <w:b/>
          <w:bCs/>
          <w:i/>
          <w:iCs/>
          <w:szCs w:val="22"/>
        </w:rPr>
        <w:t>Ťažiskové činnosti RPPS boli:</w:t>
      </w:r>
    </w:p>
    <w:p w:rsidR="00A2412D" w:rsidRPr="004C5551" w:rsidRDefault="00A2412D" w:rsidP="00A2412D">
      <w:pPr>
        <w:spacing w:line="200" w:lineRule="atLeast"/>
        <w:rPr>
          <w:rFonts w:eastAsia="Calibri"/>
          <w:szCs w:val="22"/>
        </w:rPr>
      </w:pPr>
      <w:r w:rsidRPr="004C5551">
        <w:rPr>
          <w:rFonts w:eastAsia="Calibri"/>
          <w:b/>
          <w:bCs/>
          <w:szCs w:val="22"/>
        </w:rPr>
        <w:t>a) psychologické, partnerské, manželské a rodinné poradenstvo, psychologická diagnostika, krízová psychologická intervencia</w:t>
      </w:r>
    </w:p>
    <w:p w:rsidR="00A2412D" w:rsidRPr="004C5551" w:rsidRDefault="00A2412D" w:rsidP="00A2412D">
      <w:pPr>
        <w:spacing w:after="120" w:line="200" w:lineRule="atLeast"/>
        <w:rPr>
          <w:rFonts w:eastAsia="Calibri"/>
          <w:szCs w:val="22"/>
        </w:rPr>
      </w:pPr>
      <w:r w:rsidRPr="004C5551">
        <w:rPr>
          <w:color w:val="000000" w:themeColor="text1"/>
        </w:rPr>
        <w:t>–</w:t>
      </w:r>
      <w:r w:rsidRPr="004C5551">
        <w:rPr>
          <w:rFonts w:eastAsia="Calibri"/>
          <w:szCs w:val="22"/>
        </w:rPr>
        <w:t xml:space="preserve"> v oblasti pomoci dieťaťu, rodičom alebo plnoletej fyzickej osobe pri riešení výchovných, manželských, rodinných a iných sociálnych problémov, v oblasti pomoci manželom, rodičom maloletých detí v rozvode a po rozvode, taktiež ich maloletým deťom, v oblasti pomoci pri úprave styku rodičov s dieťaťom, v oblasti skúmania názoru dieťaťa vo veciach, ktoré sa ho týkajú, v oblasti pomoci jednotlivcom a rodine s problémom násilia a drogovej závislosti, v oblasti pomoci jednotlivcom a rodine v krízových situáciách a závažných životných zmenách,</w:t>
      </w:r>
    </w:p>
    <w:p w:rsidR="00A2412D" w:rsidRPr="004C5551" w:rsidRDefault="00A2412D" w:rsidP="00A2412D">
      <w:pPr>
        <w:spacing w:line="200" w:lineRule="atLeast"/>
        <w:rPr>
          <w:rFonts w:eastAsia="Calibri"/>
          <w:szCs w:val="22"/>
        </w:rPr>
      </w:pPr>
      <w:r w:rsidRPr="004C5551">
        <w:rPr>
          <w:rFonts w:eastAsia="Calibri"/>
          <w:b/>
          <w:bCs/>
          <w:szCs w:val="22"/>
        </w:rPr>
        <w:t>b) špecializovaná príprava fyzických osôb prijať a vychovávať opustené dieťa</w:t>
      </w:r>
    </w:p>
    <w:p w:rsidR="00A2412D" w:rsidRPr="004C5551" w:rsidRDefault="00A2412D" w:rsidP="00A2412D">
      <w:pPr>
        <w:spacing w:line="200" w:lineRule="atLeast"/>
        <w:rPr>
          <w:rFonts w:eastAsia="Calibri"/>
          <w:szCs w:val="22"/>
        </w:rPr>
      </w:pPr>
      <w:r w:rsidRPr="004C5551">
        <w:rPr>
          <w:color w:val="000000" w:themeColor="text1"/>
        </w:rPr>
        <w:t>–</w:t>
      </w:r>
      <w:r w:rsidRPr="004C5551">
        <w:rPr>
          <w:rFonts w:eastAsia="Calibri"/>
          <w:szCs w:val="22"/>
        </w:rPr>
        <w:t xml:space="preserve"> špecializované psychologické posudzovanie predpokladov a vhodnosti fyzických osôb a ich špecializovaná príprava na vykonávanie náhradnej rodinnej starostlivosti, špecializovaná príprava fyzických osôb na profesionálne vykonávanie náhradnej starostlivosti. Základné štatistické údaje o činnosti RPPS sú uvedené v tabuľkách 19 a 20 v prílohe ku kapitole 3.</w:t>
      </w:r>
    </w:p>
    <w:p w:rsidR="004A3CAA" w:rsidRPr="004C5551" w:rsidRDefault="004A3CAA" w:rsidP="004A3CAA">
      <w:pPr>
        <w:rPr>
          <w:rFonts w:eastAsia="Calibri"/>
          <w:color w:val="D83E2C" w:themeColor="accent2"/>
          <w:szCs w:val="22"/>
        </w:rPr>
      </w:pPr>
      <w:r w:rsidRPr="004C5551">
        <w:rPr>
          <w:rFonts w:eastAsia="Calibri"/>
          <w:b/>
          <w:bCs/>
          <w:color w:val="D83E2C" w:themeColor="accent2"/>
          <w:szCs w:val="22"/>
        </w:rPr>
        <w:t>Proces udeľovania akreditácií v roku 201</w:t>
      </w:r>
      <w:r w:rsidR="00033026" w:rsidRPr="004C5551">
        <w:rPr>
          <w:rFonts w:eastAsia="Calibri"/>
          <w:b/>
          <w:bCs/>
          <w:color w:val="D83E2C" w:themeColor="accent2"/>
          <w:szCs w:val="22"/>
        </w:rPr>
        <w:t>4</w:t>
      </w:r>
    </w:p>
    <w:p w:rsidR="004A3CAA" w:rsidRPr="004C5551" w:rsidRDefault="004A3CAA" w:rsidP="004A3CAA">
      <w:pPr>
        <w:rPr>
          <w:rFonts w:eastAsia="Calibri"/>
          <w:szCs w:val="22"/>
        </w:rPr>
      </w:pPr>
    </w:p>
    <w:p w:rsidR="00012A40" w:rsidRPr="004C5551" w:rsidRDefault="00012A40" w:rsidP="001206CF">
      <w:pPr>
        <w:ind w:firstLine="431"/>
        <w:rPr>
          <w:rFonts w:eastAsia="Calibri"/>
          <w:szCs w:val="22"/>
        </w:rPr>
      </w:pPr>
      <w:r w:rsidRPr="004C5551">
        <w:rPr>
          <w:rFonts w:eastAsia="Calibri"/>
          <w:szCs w:val="22"/>
        </w:rPr>
        <w:t>Akreditačná komisia MPSVR SR je zriadená ako poradný orgán ministra práce sociálnych vecí a rodiny pre oblasť udeľovania akreditácií podľa zákona č. 305/2005 Z. z. o </w:t>
      </w:r>
      <w:proofErr w:type="spellStart"/>
      <w:r w:rsidRPr="004C5551">
        <w:rPr>
          <w:rFonts w:eastAsia="Calibri"/>
          <w:szCs w:val="22"/>
        </w:rPr>
        <w:t>SPODaSK</w:t>
      </w:r>
      <w:proofErr w:type="spellEnd"/>
      <w:r w:rsidRPr="004C5551">
        <w:rPr>
          <w:rFonts w:eastAsia="Calibri"/>
          <w:szCs w:val="22"/>
        </w:rPr>
        <w:t xml:space="preserve"> a o zmene a doplnení niektorých zákonov v znení neskorších predpisov a podľa zákona č. 448/2008 Z. z. o sociálnych službách a o zmene a doplnení zákona č. 455/1991 Zb. o živnostenskom podnikaní (živnostenský zákon) v znení neskorších predpisov (ďalej len zákon o sociálnych službách) na:</w:t>
      </w:r>
    </w:p>
    <w:p w:rsidR="00012A40" w:rsidRPr="004C5551" w:rsidRDefault="00012A40" w:rsidP="00012A40">
      <w:pPr>
        <w:pStyle w:val="Odsekzoznamu"/>
      </w:pPr>
      <w:r w:rsidRPr="004C5551">
        <w:t xml:space="preserve">vykonávanie vybraných opatrení </w:t>
      </w:r>
      <w:proofErr w:type="spellStart"/>
      <w:r w:rsidRPr="004C5551">
        <w:rPr>
          <w:rFonts w:eastAsia="Calibri"/>
        </w:rPr>
        <w:t>SPODaSK</w:t>
      </w:r>
      <w:proofErr w:type="spellEnd"/>
      <w:r w:rsidRPr="004C5551">
        <w:rPr>
          <w:rFonts w:eastAsia="Calibri"/>
        </w:rPr>
        <w:t xml:space="preserve"> </w:t>
      </w:r>
    </w:p>
    <w:p w:rsidR="00012A40" w:rsidRPr="004C5551" w:rsidRDefault="00012A40" w:rsidP="00012A40">
      <w:pPr>
        <w:pStyle w:val="Odsekzoznamu"/>
      </w:pPr>
      <w:r w:rsidRPr="004C5551">
        <w:t>vzdelávacie programy podľa zákona o sociálnych službách,</w:t>
      </w:r>
    </w:p>
    <w:p w:rsidR="00012A40" w:rsidRPr="004C5551" w:rsidRDefault="00012A40" w:rsidP="00012A40">
      <w:pPr>
        <w:pStyle w:val="Odsekzoznamu"/>
        <w:rPr>
          <w:lang w:eastAsia="cs-CZ"/>
        </w:rPr>
      </w:pPr>
      <w:r w:rsidRPr="004C5551">
        <w:t>odbornú</w:t>
      </w:r>
      <w:r w:rsidRPr="004C5551">
        <w:rPr>
          <w:lang w:eastAsia="cs-CZ"/>
        </w:rPr>
        <w:t xml:space="preserve"> činnosť podľa zákona o sociálnych službách. </w:t>
      </w:r>
    </w:p>
    <w:p w:rsidR="00012A40" w:rsidRPr="004C5551" w:rsidRDefault="00012A40" w:rsidP="001206CF">
      <w:pPr>
        <w:ind w:firstLine="431"/>
        <w:rPr>
          <w:szCs w:val="22"/>
        </w:rPr>
      </w:pPr>
      <w:r w:rsidRPr="004C5551">
        <w:rPr>
          <w:szCs w:val="22"/>
        </w:rPr>
        <w:t xml:space="preserve">Akreditačná komisia posudzuje žiadosti o udelenie, predĺženie, zmenu, zrušenie a odňatie akreditácie. </w:t>
      </w:r>
    </w:p>
    <w:p w:rsidR="00012A40" w:rsidRPr="004C5551" w:rsidRDefault="00012A40" w:rsidP="001206CF">
      <w:pPr>
        <w:ind w:firstLine="431"/>
        <w:rPr>
          <w:rFonts w:eastAsia="Calibri"/>
          <w:szCs w:val="22"/>
        </w:rPr>
      </w:pPr>
      <w:r w:rsidRPr="004C5551">
        <w:rPr>
          <w:rFonts w:eastAsia="Calibri"/>
          <w:szCs w:val="22"/>
        </w:rPr>
        <w:t xml:space="preserve">V oblasti udeľovania akreditácií na vykonávanie </w:t>
      </w:r>
      <w:proofErr w:type="spellStart"/>
      <w:r w:rsidRPr="004C5551">
        <w:rPr>
          <w:rFonts w:eastAsia="Calibri"/>
          <w:szCs w:val="22"/>
        </w:rPr>
        <w:t>SPODaSK</w:t>
      </w:r>
      <w:proofErr w:type="spellEnd"/>
      <w:r w:rsidRPr="004C5551">
        <w:rPr>
          <w:rFonts w:eastAsia="Calibri"/>
          <w:szCs w:val="22"/>
        </w:rPr>
        <w:t xml:space="preserve"> bolo na ministerstvo v roku 2014 doručených spolu 183 podaní. Na základe odporúčania akreditačnej komisie ministerstvo vydalo rozhodnutie o udelení akreditácie na vykonávanie </w:t>
      </w:r>
      <w:proofErr w:type="spellStart"/>
      <w:r w:rsidRPr="004C5551">
        <w:rPr>
          <w:rFonts w:eastAsia="Calibri"/>
          <w:szCs w:val="22"/>
        </w:rPr>
        <w:t>SPODaSK</w:t>
      </w:r>
      <w:proofErr w:type="spellEnd"/>
      <w:r w:rsidRPr="004C5551">
        <w:rPr>
          <w:rFonts w:eastAsia="Calibri"/>
          <w:szCs w:val="22"/>
        </w:rPr>
        <w:t xml:space="preserve"> 12 žiadateľom a rozhodlo o </w:t>
      </w:r>
      <w:r w:rsidRPr="004C5551">
        <w:rPr>
          <w:rFonts w:eastAsia="Calibri"/>
          <w:bCs/>
          <w:szCs w:val="22"/>
        </w:rPr>
        <w:t xml:space="preserve">25 </w:t>
      </w:r>
      <w:r w:rsidRPr="004C5551">
        <w:rPr>
          <w:rFonts w:eastAsia="Calibri"/>
          <w:szCs w:val="22"/>
        </w:rPr>
        <w:t>zmenách v existujúcich rozhodnutiach o udelení akreditácie (zmena miesta výkonu opatrení, zmena zodpovedného zástupcu, zmena kapacity) a v </w:t>
      </w:r>
      <w:r w:rsidRPr="004C5551">
        <w:rPr>
          <w:rFonts w:eastAsia="Calibri"/>
          <w:bCs/>
          <w:szCs w:val="22"/>
        </w:rPr>
        <w:t>12 prípadoch</w:t>
      </w:r>
      <w:r w:rsidRPr="004C5551">
        <w:rPr>
          <w:rFonts w:eastAsia="Calibri"/>
          <w:szCs w:val="22"/>
        </w:rPr>
        <w:t xml:space="preserve"> o predĺžení akreditácie</w:t>
      </w:r>
      <w:r w:rsidRPr="004C5551">
        <w:rPr>
          <w:rFonts w:eastAsia="Calibri"/>
          <w:bCs/>
          <w:szCs w:val="22"/>
        </w:rPr>
        <w:t xml:space="preserve">. V prípade dvoch žiadostí nebola udelená akreditácia. </w:t>
      </w:r>
    </w:p>
    <w:p w:rsidR="00012A40" w:rsidRPr="004C5551" w:rsidRDefault="00012A40" w:rsidP="001206CF">
      <w:pPr>
        <w:ind w:firstLine="431"/>
        <w:rPr>
          <w:rFonts w:eastAsia="Calibri"/>
          <w:bCs/>
          <w:szCs w:val="22"/>
        </w:rPr>
      </w:pPr>
      <w:r w:rsidRPr="004C5551">
        <w:rPr>
          <w:rFonts w:eastAsia="Calibri"/>
          <w:bCs/>
          <w:szCs w:val="22"/>
        </w:rPr>
        <w:t>V roku 2014</w:t>
      </w:r>
      <w:r w:rsidR="00033026" w:rsidRPr="004C5551">
        <w:rPr>
          <w:rFonts w:eastAsia="Calibri"/>
          <w:bCs/>
          <w:szCs w:val="22"/>
        </w:rPr>
        <w:t xml:space="preserve"> bola v jednom prípade </w:t>
      </w:r>
      <w:r w:rsidRPr="004C5551">
        <w:rPr>
          <w:rFonts w:eastAsia="Calibri"/>
          <w:bCs/>
          <w:szCs w:val="22"/>
        </w:rPr>
        <w:t>akreditácia</w:t>
      </w:r>
      <w:r w:rsidR="00033026" w:rsidRPr="004C5551">
        <w:rPr>
          <w:rFonts w:eastAsia="Calibri"/>
          <w:bCs/>
          <w:szCs w:val="22"/>
        </w:rPr>
        <w:t xml:space="preserve"> zrušená</w:t>
      </w:r>
      <w:r w:rsidRPr="004C5551">
        <w:rPr>
          <w:rFonts w:eastAsia="Calibri"/>
          <w:bCs/>
          <w:szCs w:val="22"/>
        </w:rPr>
        <w:t xml:space="preserve"> na žiadosť akreditovaného subjektu. </w:t>
      </w:r>
    </w:p>
    <w:p w:rsidR="004A3CAA" w:rsidRPr="004C5551" w:rsidRDefault="00865223" w:rsidP="00EE5A42">
      <w:pPr>
        <w:pStyle w:val="Nadpis7"/>
        <w:rPr>
          <w:rFonts w:eastAsia="Calibri"/>
        </w:rPr>
      </w:pPr>
      <w:r w:rsidRPr="004C5551">
        <w:rPr>
          <w:rFonts w:eastAsia="Calibri"/>
        </w:rPr>
        <w:t xml:space="preserve">Tabuľka </w:t>
      </w:r>
      <w:r w:rsidR="00A231CC" w:rsidRPr="004C5551">
        <w:rPr>
          <w:rFonts w:eastAsia="Calibri"/>
        </w:rPr>
        <w:t>3.</w:t>
      </w:r>
      <w:r w:rsidR="0005633C" w:rsidRPr="004C5551">
        <w:rPr>
          <w:rFonts w:eastAsia="Calibri"/>
        </w:rPr>
        <w:t>20</w:t>
      </w:r>
      <w:r w:rsidR="0016196A" w:rsidRPr="004C5551">
        <w:rPr>
          <w:rFonts w:eastAsia="Calibri"/>
        </w:rPr>
        <w:t xml:space="preserve"> </w:t>
      </w:r>
      <w:r w:rsidR="0031004A" w:rsidRPr="004C5551">
        <w:rPr>
          <w:rFonts w:eastAsia="Calibri"/>
        </w:rPr>
        <w:t xml:space="preserve">Počet akreditovaných subjektov na vykonávanie opatrení </w:t>
      </w:r>
      <w:proofErr w:type="spellStart"/>
      <w:r w:rsidR="0031004A" w:rsidRPr="004C5551">
        <w:rPr>
          <w:rFonts w:eastAsia="Calibri"/>
        </w:rPr>
        <w:t>SPODaSK</w:t>
      </w:r>
      <w:proofErr w:type="spellEnd"/>
      <w:r w:rsidR="00033026" w:rsidRPr="004C5551">
        <w:rPr>
          <w:rFonts w:eastAsia="Calibri"/>
        </w:rPr>
        <w:t xml:space="preserve"> v roku 2014</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111"/>
        <w:gridCol w:w="4464"/>
      </w:tblGrid>
      <w:tr w:rsidR="004A3CAA" w:rsidRPr="004C5551" w:rsidTr="00EE5A42">
        <w:trPr>
          <w:trHeight w:val="257"/>
          <w:jc w:val="center"/>
        </w:trPr>
        <w:tc>
          <w:tcPr>
            <w:tcW w:w="4111"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4A3CAA" w:rsidRPr="004C5551" w:rsidRDefault="004A3CAA" w:rsidP="000E76AB">
            <w:pPr>
              <w:spacing w:before="120"/>
              <w:jc w:val="center"/>
              <w:rPr>
                <w:rFonts w:eastAsia="Calibri"/>
                <w:b/>
                <w:color w:val="FFFFFF" w:themeColor="background1"/>
                <w:szCs w:val="22"/>
              </w:rPr>
            </w:pPr>
          </w:p>
        </w:tc>
        <w:tc>
          <w:tcPr>
            <w:tcW w:w="4464"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4A3CAA" w:rsidRPr="004C5551" w:rsidRDefault="004A3CAA" w:rsidP="000E76AB">
            <w:pPr>
              <w:spacing w:before="120"/>
              <w:jc w:val="center"/>
              <w:rPr>
                <w:rFonts w:eastAsia="Calibri"/>
                <w:b/>
                <w:color w:val="FFFFFF" w:themeColor="background1"/>
                <w:szCs w:val="22"/>
              </w:rPr>
            </w:pPr>
            <w:r w:rsidRPr="004C5551">
              <w:rPr>
                <w:rFonts w:eastAsia="Calibri"/>
                <w:b/>
                <w:color w:val="FFFFFF" w:themeColor="background1"/>
                <w:szCs w:val="22"/>
              </w:rPr>
              <w:t>Počet akreditovaných subjektov</w:t>
            </w:r>
          </w:p>
        </w:tc>
      </w:tr>
      <w:tr w:rsidR="00012A40" w:rsidRPr="004C5551" w:rsidTr="00033026">
        <w:trPr>
          <w:trHeight w:val="255"/>
          <w:jc w:val="center"/>
        </w:trPr>
        <w:tc>
          <w:tcPr>
            <w:tcW w:w="4111" w:type="dxa"/>
            <w:tcBorders>
              <w:top w:val="single" w:sz="6" w:space="0" w:color="BF0000" w:themeColor="accent3" w:themeShade="BF"/>
            </w:tcBorders>
            <w:hideMark/>
          </w:tcPr>
          <w:p w:rsidR="00012A40" w:rsidRPr="004C5551" w:rsidRDefault="00012A40" w:rsidP="00655346">
            <w:pPr>
              <w:spacing w:before="120"/>
              <w:jc w:val="left"/>
              <w:rPr>
                <w:rFonts w:eastAsia="Calibri"/>
              </w:rPr>
            </w:pPr>
            <w:r w:rsidRPr="004C5551">
              <w:rPr>
                <w:rFonts w:eastAsia="Calibri"/>
                <w:szCs w:val="22"/>
              </w:rPr>
              <w:t xml:space="preserve">Subjekty vykonávajúce opatrenia sociálnoprávnej ochrany detí a sociálnej kurately podľa zákona č. 305/2005 Z. z. </w:t>
            </w:r>
          </w:p>
        </w:tc>
        <w:tc>
          <w:tcPr>
            <w:tcW w:w="4464" w:type="dxa"/>
            <w:tcBorders>
              <w:top w:val="single" w:sz="6" w:space="0" w:color="BF0000" w:themeColor="accent3" w:themeShade="BF"/>
            </w:tcBorders>
            <w:vAlign w:val="center"/>
            <w:hideMark/>
          </w:tcPr>
          <w:p w:rsidR="00012A40" w:rsidRPr="004C5551" w:rsidRDefault="00012A40" w:rsidP="00033026">
            <w:pPr>
              <w:spacing w:before="120"/>
              <w:jc w:val="center"/>
              <w:rPr>
                <w:rFonts w:eastAsia="Calibri"/>
              </w:rPr>
            </w:pPr>
            <w:r w:rsidRPr="004C5551">
              <w:rPr>
                <w:rFonts w:eastAsia="Calibri"/>
                <w:szCs w:val="22"/>
              </w:rPr>
              <w:t>57</w:t>
            </w:r>
          </w:p>
        </w:tc>
      </w:tr>
      <w:tr w:rsidR="00012A40" w:rsidRPr="004C5551" w:rsidTr="00EE5A42">
        <w:trPr>
          <w:trHeight w:val="255"/>
          <w:jc w:val="center"/>
        </w:trPr>
        <w:tc>
          <w:tcPr>
            <w:tcW w:w="4111" w:type="dxa"/>
            <w:hideMark/>
          </w:tcPr>
          <w:p w:rsidR="00012A40" w:rsidRPr="004C5551" w:rsidRDefault="00012A40" w:rsidP="00655346">
            <w:pPr>
              <w:spacing w:before="120"/>
              <w:rPr>
                <w:rFonts w:eastAsia="Calibri"/>
              </w:rPr>
            </w:pPr>
            <w:r w:rsidRPr="004C5551">
              <w:rPr>
                <w:rFonts w:eastAsia="Calibri"/>
                <w:szCs w:val="22"/>
              </w:rPr>
              <w:t>Detský domov</w:t>
            </w:r>
          </w:p>
        </w:tc>
        <w:tc>
          <w:tcPr>
            <w:tcW w:w="4464" w:type="dxa"/>
            <w:hideMark/>
          </w:tcPr>
          <w:p w:rsidR="00012A40" w:rsidRPr="004C5551" w:rsidRDefault="00012A40" w:rsidP="00655346">
            <w:pPr>
              <w:spacing w:before="120"/>
              <w:jc w:val="center"/>
              <w:rPr>
                <w:rFonts w:eastAsia="Calibri"/>
              </w:rPr>
            </w:pPr>
            <w:r w:rsidRPr="004C5551">
              <w:rPr>
                <w:rFonts w:eastAsia="Calibri"/>
                <w:szCs w:val="22"/>
              </w:rPr>
              <w:t>26</w:t>
            </w:r>
          </w:p>
        </w:tc>
      </w:tr>
      <w:tr w:rsidR="00012A40" w:rsidRPr="004C5551" w:rsidTr="00EE5A42">
        <w:trPr>
          <w:trHeight w:val="255"/>
          <w:jc w:val="center"/>
        </w:trPr>
        <w:tc>
          <w:tcPr>
            <w:tcW w:w="4111" w:type="dxa"/>
            <w:hideMark/>
          </w:tcPr>
          <w:p w:rsidR="00012A40" w:rsidRPr="004C5551" w:rsidRDefault="00012A40" w:rsidP="00655346">
            <w:pPr>
              <w:spacing w:before="120"/>
              <w:rPr>
                <w:rFonts w:eastAsia="Calibri"/>
              </w:rPr>
            </w:pPr>
            <w:r w:rsidRPr="004C5551">
              <w:rPr>
                <w:rFonts w:eastAsia="Calibri"/>
                <w:szCs w:val="22"/>
              </w:rPr>
              <w:t>Krízové stredisko</w:t>
            </w:r>
          </w:p>
        </w:tc>
        <w:tc>
          <w:tcPr>
            <w:tcW w:w="4464" w:type="dxa"/>
            <w:hideMark/>
          </w:tcPr>
          <w:p w:rsidR="00012A40" w:rsidRPr="004C5551" w:rsidRDefault="00012A40" w:rsidP="00655346">
            <w:pPr>
              <w:spacing w:before="120"/>
              <w:jc w:val="center"/>
              <w:rPr>
                <w:rFonts w:eastAsia="Calibri"/>
              </w:rPr>
            </w:pPr>
            <w:r w:rsidRPr="004C5551">
              <w:rPr>
                <w:rFonts w:eastAsia="Calibri"/>
                <w:szCs w:val="22"/>
              </w:rPr>
              <w:t>18</w:t>
            </w:r>
          </w:p>
        </w:tc>
      </w:tr>
      <w:tr w:rsidR="00012A40" w:rsidRPr="004C5551" w:rsidTr="00EE5A42">
        <w:trPr>
          <w:trHeight w:val="255"/>
          <w:jc w:val="center"/>
        </w:trPr>
        <w:tc>
          <w:tcPr>
            <w:tcW w:w="4111" w:type="dxa"/>
            <w:hideMark/>
          </w:tcPr>
          <w:p w:rsidR="00012A40" w:rsidRPr="004C5551" w:rsidRDefault="00012A40" w:rsidP="00655346">
            <w:pPr>
              <w:spacing w:before="120"/>
              <w:rPr>
                <w:rFonts w:eastAsia="Calibri"/>
              </w:rPr>
            </w:pPr>
            <w:r w:rsidRPr="004C5551">
              <w:rPr>
                <w:rFonts w:eastAsia="Calibri"/>
                <w:szCs w:val="22"/>
              </w:rPr>
              <w:t>Resocializačné stredisko</w:t>
            </w:r>
          </w:p>
        </w:tc>
        <w:tc>
          <w:tcPr>
            <w:tcW w:w="4464" w:type="dxa"/>
            <w:hideMark/>
          </w:tcPr>
          <w:p w:rsidR="00012A40" w:rsidRPr="004C5551" w:rsidRDefault="00012A40" w:rsidP="00655346">
            <w:pPr>
              <w:spacing w:before="120"/>
              <w:jc w:val="center"/>
              <w:rPr>
                <w:rFonts w:eastAsia="Calibri"/>
              </w:rPr>
            </w:pPr>
            <w:r w:rsidRPr="004C5551">
              <w:rPr>
                <w:rFonts w:eastAsia="Calibri"/>
                <w:szCs w:val="22"/>
              </w:rPr>
              <w:t>19</w:t>
            </w:r>
          </w:p>
        </w:tc>
      </w:tr>
      <w:tr w:rsidR="00012A40" w:rsidRPr="004C5551" w:rsidTr="00EE5A42">
        <w:trPr>
          <w:trHeight w:val="255"/>
          <w:jc w:val="center"/>
        </w:trPr>
        <w:tc>
          <w:tcPr>
            <w:tcW w:w="4111" w:type="dxa"/>
            <w:hideMark/>
          </w:tcPr>
          <w:p w:rsidR="00012A40" w:rsidRPr="004C5551" w:rsidRDefault="00012A40" w:rsidP="00655346">
            <w:pPr>
              <w:spacing w:before="120"/>
              <w:rPr>
                <w:rFonts w:eastAsia="Calibri"/>
                <w:b/>
              </w:rPr>
            </w:pPr>
            <w:r w:rsidRPr="004C5551">
              <w:rPr>
                <w:rFonts w:eastAsia="Calibri"/>
                <w:b/>
                <w:szCs w:val="22"/>
              </w:rPr>
              <w:t>S P O L U</w:t>
            </w:r>
          </w:p>
        </w:tc>
        <w:tc>
          <w:tcPr>
            <w:tcW w:w="4464" w:type="dxa"/>
            <w:hideMark/>
          </w:tcPr>
          <w:p w:rsidR="00012A40" w:rsidRPr="004C5551" w:rsidRDefault="00012A40" w:rsidP="00655346">
            <w:pPr>
              <w:spacing w:before="120"/>
              <w:jc w:val="center"/>
              <w:rPr>
                <w:rFonts w:eastAsia="Calibri"/>
                <w:b/>
              </w:rPr>
            </w:pPr>
            <w:r w:rsidRPr="004C5551">
              <w:rPr>
                <w:rFonts w:eastAsia="Calibri"/>
                <w:b/>
                <w:szCs w:val="22"/>
              </w:rPr>
              <w:t>120</w:t>
            </w:r>
          </w:p>
        </w:tc>
      </w:tr>
    </w:tbl>
    <w:p w:rsidR="007863F8" w:rsidRPr="004C5551" w:rsidRDefault="007863F8" w:rsidP="00EE5A42">
      <w:pPr>
        <w:pStyle w:val="zdroj"/>
        <w:rPr>
          <w:rFonts w:eastAsia="Calibri"/>
        </w:rPr>
      </w:pPr>
      <w:r w:rsidRPr="004C5551">
        <w:rPr>
          <w:rFonts w:eastAsia="Calibri"/>
        </w:rPr>
        <w:t xml:space="preserve">Zdroj: </w:t>
      </w:r>
      <w:r w:rsidR="002B6349" w:rsidRPr="004C5551">
        <w:rPr>
          <w:rFonts w:eastAsia="Calibri"/>
        </w:rPr>
        <w:t>V(MPSVR SR)13-01</w:t>
      </w:r>
    </w:p>
    <w:p w:rsidR="00DA0800" w:rsidRPr="004C5551" w:rsidRDefault="00012A40" w:rsidP="001206CF">
      <w:pPr>
        <w:ind w:firstLine="431"/>
        <w:rPr>
          <w:rFonts w:ascii="Times New Roman Bold" w:hAnsi="Times New Roman Bold"/>
          <w:color w:val="FF0000" w:themeColor="accent3"/>
          <w:sz w:val="24"/>
          <w:szCs w:val="20"/>
          <w:lang w:eastAsia="cs-CZ"/>
        </w:rPr>
      </w:pPr>
      <w:bookmarkStart w:id="671" w:name="_Toc356482729"/>
      <w:r w:rsidRPr="004C5551">
        <w:rPr>
          <w:rFonts w:eastAsia="Calibri"/>
          <w:szCs w:val="22"/>
        </w:rPr>
        <w:t xml:space="preserve">Ministerstvo vykonalo obhliadku priestorových a materiálno-technických podmienok za účelom zisťovania podkladov pre vydanie rozhodnutia a uskutočnilo pre oblasť vykonávania opatrení </w:t>
      </w:r>
      <w:proofErr w:type="spellStart"/>
      <w:r w:rsidRPr="004C5551">
        <w:rPr>
          <w:rFonts w:eastAsia="Calibri"/>
          <w:szCs w:val="22"/>
        </w:rPr>
        <w:t>SPODaSK</w:t>
      </w:r>
      <w:proofErr w:type="spellEnd"/>
      <w:r w:rsidRPr="004C5551">
        <w:rPr>
          <w:rFonts w:eastAsia="Calibri"/>
          <w:szCs w:val="22"/>
        </w:rPr>
        <w:t xml:space="preserve"> spolu 20 obhliadok u akreditovaných subjektov.</w:t>
      </w:r>
    </w:p>
    <w:p w:rsidR="006138FA" w:rsidRPr="004C5551" w:rsidRDefault="006138FA" w:rsidP="00C27C1E">
      <w:pPr>
        <w:pStyle w:val="Nadpis6"/>
      </w:pPr>
      <w:bookmarkStart w:id="672" w:name="_Toc422233436"/>
      <w:r w:rsidRPr="004C5551">
        <w:t>Príspevky na podporu náhradnej starostlivosti</w:t>
      </w:r>
      <w:bookmarkEnd w:id="671"/>
      <w:bookmarkEnd w:id="672"/>
    </w:p>
    <w:p w:rsidR="004B1F6A" w:rsidRPr="004C5551" w:rsidRDefault="004B1F6A" w:rsidP="001206CF">
      <w:pPr>
        <w:ind w:firstLine="431"/>
      </w:pPr>
      <w:r w:rsidRPr="004C5551">
        <w:t xml:space="preserve">Zákon č. 627/2005 Z. z. o príspevkoch na podporu náhradnej starostlivosti o dieťa podporuje prostredníctvom finančných príspevkov vykonávanie osobnej starostlivosti o dieťa inou fyzickou osobou, ak rodičia dieťaťa nezabezpečujú alebo nemôžu zabezpečiť osobnú starostlivosť o dieťa. </w:t>
      </w:r>
    </w:p>
    <w:p w:rsidR="004B1F6A" w:rsidRPr="004C5551" w:rsidRDefault="004B1F6A" w:rsidP="001206CF">
      <w:pPr>
        <w:ind w:firstLine="431"/>
      </w:pPr>
      <w:bookmarkStart w:id="673" w:name="_Toc356482731"/>
      <w:r w:rsidRPr="004C5551">
        <w:rPr>
          <w:b/>
          <w:bCs/>
        </w:rPr>
        <w:t>Jednorazový príspevok pri zverení do náhradnej starostlivosti</w:t>
      </w:r>
      <w:r w:rsidRPr="004C5551">
        <w:t xml:space="preserve"> sa poskytuje za účelom zabezpečenia základného osobného vybavenia dieťaťa, najmä na zabezpečenie jeho ošatenia, obuvi, hygienických potrieb, nevyhnutného nábytku a iných vecí na uspokojenie potrieb dieťaťa. </w:t>
      </w:r>
    </w:p>
    <w:p w:rsidR="00DE38DD" w:rsidRPr="004C5551" w:rsidRDefault="00DE38DD">
      <w:pPr>
        <w:jc w:val="left"/>
      </w:pPr>
      <w:r w:rsidRPr="004C5551">
        <w:br w:type="page"/>
      </w:r>
    </w:p>
    <w:p w:rsidR="004B1F6A" w:rsidRPr="004C5551" w:rsidRDefault="004B1F6A" w:rsidP="001206CF">
      <w:pPr>
        <w:spacing w:before="150"/>
        <w:ind w:firstLine="431"/>
      </w:pPr>
      <w:r w:rsidRPr="004C5551">
        <w:t>Rodičom dieťaťa zvereného do náhradnej starostlivosti s účinnosťou odo dňa 1. januára 2014 nevzniká nárok na príspevok pri narodení dieťaťa. Z uvedeného dôvodu bol pre také dieťa novelou zákona č. 627/2005 Z. z. o príspevkoch na podporu náhradnej starostlivosti o dieťa v znení zákona č.</w:t>
      </w:r>
      <w:r w:rsidR="00EE5A42" w:rsidRPr="004C5551">
        <w:t> </w:t>
      </w:r>
      <w:r w:rsidRPr="004C5551">
        <w:t>383/2013 Z. z. o príspevku pri narodení dieťaťa a príspevku na viac súčasne narodených detí upravený nárok na jednorazový príspevok pri zverení do náhradnej starostlivosti. Podľa toho má nárok na jednorazový príspevok pri zverení do náhradnej starostlivosti dieťa, :</w:t>
      </w:r>
    </w:p>
    <w:p w:rsidR="004B1F6A" w:rsidRPr="004C5551" w:rsidRDefault="004B1F6A" w:rsidP="009C55E3">
      <w:pPr>
        <w:numPr>
          <w:ilvl w:val="0"/>
          <w:numId w:val="31"/>
        </w:numPr>
        <w:spacing w:after="100" w:afterAutospacing="1"/>
        <w:ind w:left="1077" w:hanging="357"/>
        <w:jc w:val="left"/>
      </w:pPr>
      <w:r w:rsidRPr="004C5551">
        <w:t xml:space="preserve">ktoré je zverené do náhradnej starostlivosti a pri zverení do náhradnej starostlivosti je mladšie ako šesť mesiacov, </w:t>
      </w:r>
    </w:p>
    <w:p w:rsidR="004B1F6A" w:rsidRPr="004C5551" w:rsidRDefault="004B1F6A" w:rsidP="009C55E3">
      <w:pPr>
        <w:numPr>
          <w:ilvl w:val="0"/>
          <w:numId w:val="31"/>
        </w:numPr>
        <w:spacing w:before="100" w:beforeAutospacing="1" w:after="100" w:afterAutospacing="1"/>
        <w:jc w:val="left"/>
      </w:pPr>
      <w:r w:rsidRPr="004C5551">
        <w:t>ktorého náhradný rodič sa začal o neho osobne starať, a</w:t>
      </w:r>
    </w:p>
    <w:p w:rsidR="004B1F6A" w:rsidRPr="004C5551" w:rsidRDefault="004B1F6A" w:rsidP="009C55E3">
      <w:pPr>
        <w:numPr>
          <w:ilvl w:val="0"/>
          <w:numId w:val="31"/>
        </w:numPr>
        <w:spacing w:before="100" w:beforeAutospacing="1"/>
        <w:ind w:left="1077" w:hanging="357"/>
        <w:jc w:val="left"/>
      </w:pPr>
      <w:r w:rsidRPr="004C5551">
        <w:t xml:space="preserve">na ktoré nebol poskytnutý príspevok pri narodení dieťaťa. </w:t>
      </w:r>
    </w:p>
    <w:p w:rsidR="004B1F6A" w:rsidRPr="004C5551" w:rsidRDefault="004B1F6A" w:rsidP="001206CF">
      <w:pPr>
        <w:spacing w:after="100" w:afterAutospacing="1"/>
        <w:ind w:firstLine="431"/>
        <w:jc w:val="left"/>
      </w:pPr>
      <w:r w:rsidRPr="004C5551">
        <w:t xml:space="preserve">Jednorazový príspevok sa s účinnosťou od 1. januára 2014 vypláca vo výške 500 </w:t>
      </w:r>
      <w:r w:rsidR="00F24589" w:rsidRPr="004C5551">
        <w:t>e</w:t>
      </w:r>
      <w:r w:rsidRPr="004C5551">
        <w:t>ur</w:t>
      </w:r>
      <w:r w:rsidR="00C27C1E" w:rsidRPr="004C5551">
        <w:t xml:space="preserve"> (do 31. 12. 2013 sa vyplácal vo výške 368,19 </w:t>
      </w:r>
      <w:r w:rsidR="00F24589" w:rsidRPr="004C5551">
        <w:t>e</w:t>
      </w:r>
      <w:r w:rsidR="00C27C1E" w:rsidRPr="004C5551">
        <w:t>ur)</w:t>
      </w:r>
      <w:r w:rsidRPr="004C5551">
        <w:t>.</w:t>
      </w:r>
    </w:p>
    <w:p w:rsidR="00C27C1E" w:rsidRPr="004C5551" w:rsidRDefault="00C27C1E" w:rsidP="00C27C1E">
      <w:pPr>
        <w:pStyle w:val="Nadpis7"/>
        <w:rPr>
          <w:color w:val="00B050"/>
        </w:rPr>
      </w:pPr>
      <w:r w:rsidRPr="004C5551">
        <w:t>Tabuľka 3.21 Sumy príspevkov na podporu náhradnej starostlivosti</w:t>
      </w:r>
      <w:r w:rsidR="00033026" w:rsidRPr="004C5551">
        <w:t xml:space="preserve"> v roku 2014</w:t>
      </w:r>
    </w:p>
    <w:tbl>
      <w:tblPr>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top w:w="15" w:type="dxa"/>
          <w:left w:w="120" w:type="dxa"/>
          <w:bottom w:w="15" w:type="dxa"/>
          <w:right w:w="120" w:type="dxa"/>
        </w:tblCellMar>
        <w:tblLook w:val="0000" w:firstRow="0" w:lastRow="0" w:firstColumn="0" w:lastColumn="0" w:noHBand="0" w:noVBand="0"/>
      </w:tblPr>
      <w:tblGrid>
        <w:gridCol w:w="5653"/>
        <w:gridCol w:w="1200"/>
      </w:tblGrid>
      <w:tr w:rsidR="00C27C1E" w:rsidRPr="004C5551" w:rsidTr="00033026">
        <w:trPr>
          <w:jc w:val="center"/>
        </w:trPr>
        <w:tc>
          <w:tcPr>
            <w:tcW w:w="0" w:type="auto"/>
            <w:tcBorders>
              <w:bottom w:val="single" w:sz="4" w:space="0" w:color="FFFFFF" w:themeColor="background1"/>
            </w:tcBorders>
            <w:shd w:val="clear" w:color="auto" w:fill="BF0000" w:themeFill="accent3" w:themeFillShade="BF"/>
          </w:tcPr>
          <w:p w:rsidR="00C27C1E" w:rsidRPr="004C5551" w:rsidRDefault="00C27C1E" w:rsidP="00D10DFA">
            <w:pPr>
              <w:rPr>
                <w:b/>
                <w:color w:val="FFFFFF"/>
              </w:rPr>
            </w:pPr>
            <w:r w:rsidRPr="004C5551">
              <w:rPr>
                <w:b/>
                <w:color w:val="FFFFFF"/>
              </w:rPr>
              <w:t>Príspevky na podporu náhradnej starostlivosti</w:t>
            </w:r>
          </w:p>
        </w:tc>
        <w:tc>
          <w:tcPr>
            <w:tcW w:w="0" w:type="auto"/>
            <w:tcBorders>
              <w:bottom w:val="single" w:sz="4" w:space="0" w:color="FFFFFF" w:themeColor="background1"/>
            </w:tcBorders>
            <w:shd w:val="clear" w:color="auto" w:fill="BF0000" w:themeFill="accent3" w:themeFillShade="BF"/>
          </w:tcPr>
          <w:p w:rsidR="00C27C1E" w:rsidRPr="004C5551" w:rsidRDefault="00C27C1E" w:rsidP="00D10DFA">
            <w:pPr>
              <w:rPr>
                <w:b/>
                <w:color w:val="FFFFFF"/>
              </w:rPr>
            </w:pPr>
          </w:p>
        </w:tc>
      </w:tr>
      <w:tr w:rsidR="00C27C1E" w:rsidRPr="004C5551" w:rsidTr="00033026">
        <w:trPr>
          <w:jc w:val="center"/>
        </w:trPr>
        <w:tc>
          <w:tcPr>
            <w:tcW w:w="0" w:type="auto"/>
            <w:tcBorders>
              <w:top w:val="single" w:sz="4" w:space="0" w:color="FFFFFF" w:themeColor="background1"/>
            </w:tcBorders>
            <w:shd w:val="clear" w:color="auto" w:fill="auto"/>
          </w:tcPr>
          <w:p w:rsidR="00C27C1E" w:rsidRPr="004C5551" w:rsidRDefault="00C27C1E" w:rsidP="00D10DFA">
            <w:pPr>
              <w:rPr>
                <w:lang w:eastAsia="cs-CZ"/>
              </w:rPr>
            </w:pPr>
            <w:r w:rsidRPr="004C5551">
              <w:rPr>
                <w:lang w:eastAsia="cs-CZ"/>
              </w:rPr>
              <w:t>Jednorazový príspevok pri zverení do náhradnej starostlivosti</w:t>
            </w:r>
          </w:p>
        </w:tc>
        <w:tc>
          <w:tcPr>
            <w:tcW w:w="0" w:type="auto"/>
            <w:tcBorders>
              <w:top w:val="single" w:sz="4" w:space="0" w:color="FFFFFF" w:themeColor="background1"/>
            </w:tcBorders>
            <w:shd w:val="clear" w:color="auto" w:fill="auto"/>
          </w:tcPr>
          <w:p w:rsidR="00C27C1E" w:rsidRPr="004C5551" w:rsidRDefault="00C27C1E" w:rsidP="000860E9">
            <w:pPr>
              <w:ind w:right="190"/>
              <w:jc w:val="right"/>
            </w:pPr>
            <w:r w:rsidRPr="004C5551">
              <w:t xml:space="preserve">500,00 </w:t>
            </w:r>
            <w:r w:rsidR="000860E9" w:rsidRPr="004C5551">
              <w:t>€</w:t>
            </w:r>
          </w:p>
        </w:tc>
      </w:tr>
      <w:tr w:rsidR="00C27C1E" w:rsidRPr="004C5551" w:rsidTr="00D10DFA">
        <w:trPr>
          <w:jc w:val="center"/>
        </w:trPr>
        <w:tc>
          <w:tcPr>
            <w:tcW w:w="0" w:type="auto"/>
            <w:shd w:val="clear" w:color="auto" w:fill="auto"/>
          </w:tcPr>
          <w:p w:rsidR="00C27C1E" w:rsidRPr="004C5551" w:rsidRDefault="00C27C1E" w:rsidP="00D10DFA">
            <w:pPr>
              <w:rPr>
                <w:lang w:eastAsia="cs-CZ"/>
              </w:rPr>
            </w:pPr>
            <w:r w:rsidRPr="004C5551">
              <w:rPr>
                <w:lang w:eastAsia="cs-CZ"/>
              </w:rPr>
              <w:t>Jednorazový príspevok pri zániku náhradnej starostlivosti</w:t>
            </w:r>
          </w:p>
        </w:tc>
        <w:tc>
          <w:tcPr>
            <w:tcW w:w="0" w:type="auto"/>
            <w:shd w:val="clear" w:color="auto" w:fill="auto"/>
          </w:tcPr>
          <w:p w:rsidR="00C27C1E" w:rsidRPr="004C5551" w:rsidRDefault="000860E9" w:rsidP="00D10DFA">
            <w:pPr>
              <w:ind w:right="190"/>
              <w:jc w:val="right"/>
            </w:pPr>
            <w:r w:rsidRPr="004C5551">
              <w:t>922,29 €</w:t>
            </w:r>
          </w:p>
        </w:tc>
      </w:tr>
      <w:tr w:rsidR="00C27C1E" w:rsidRPr="004C5551" w:rsidTr="00D10DFA">
        <w:trPr>
          <w:jc w:val="center"/>
        </w:trPr>
        <w:tc>
          <w:tcPr>
            <w:tcW w:w="0" w:type="auto"/>
            <w:shd w:val="clear" w:color="auto" w:fill="auto"/>
          </w:tcPr>
          <w:p w:rsidR="00C27C1E" w:rsidRPr="004C5551" w:rsidRDefault="00C27C1E" w:rsidP="00D10DFA">
            <w:pPr>
              <w:rPr>
                <w:lang w:eastAsia="cs-CZ"/>
              </w:rPr>
            </w:pPr>
            <w:r w:rsidRPr="004C5551">
              <w:rPr>
                <w:lang w:eastAsia="cs-CZ"/>
              </w:rPr>
              <w:t>Opakovaný príspevok dieťaťu</w:t>
            </w:r>
          </w:p>
        </w:tc>
        <w:tc>
          <w:tcPr>
            <w:tcW w:w="0" w:type="auto"/>
            <w:shd w:val="clear" w:color="auto" w:fill="auto"/>
          </w:tcPr>
          <w:p w:rsidR="00C27C1E" w:rsidRPr="004C5551" w:rsidRDefault="00C27C1E" w:rsidP="000860E9">
            <w:pPr>
              <w:ind w:right="190"/>
              <w:jc w:val="right"/>
            </w:pPr>
            <w:r w:rsidRPr="004C5551">
              <w:t xml:space="preserve">138,13 </w:t>
            </w:r>
            <w:r w:rsidR="000860E9" w:rsidRPr="004C5551">
              <w:t>€</w:t>
            </w:r>
          </w:p>
        </w:tc>
      </w:tr>
      <w:tr w:rsidR="00C27C1E" w:rsidRPr="004C5551" w:rsidTr="00D10DFA">
        <w:trPr>
          <w:jc w:val="center"/>
        </w:trPr>
        <w:tc>
          <w:tcPr>
            <w:tcW w:w="0" w:type="auto"/>
            <w:shd w:val="clear" w:color="auto" w:fill="auto"/>
          </w:tcPr>
          <w:p w:rsidR="00C27C1E" w:rsidRPr="004C5551" w:rsidRDefault="00C27C1E" w:rsidP="00D10DFA">
            <w:pPr>
              <w:rPr>
                <w:lang w:eastAsia="cs-CZ"/>
              </w:rPr>
            </w:pPr>
            <w:r w:rsidRPr="004C5551">
              <w:rPr>
                <w:lang w:eastAsia="cs-CZ"/>
              </w:rPr>
              <w:t>Opakovaný príspevok náhradnému rodičovi</w:t>
            </w:r>
          </w:p>
        </w:tc>
        <w:tc>
          <w:tcPr>
            <w:tcW w:w="0" w:type="auto"/>
            <w:shd w:val="clear" w:color="auto" w:fill="auto"/>
          </w:tcPr>
          <w:p w:rsidR="00C27C1E" w:rsidRPr="004C5551" w:rsidRDefault="00C27C1E" w:rsidP="00D10DFA">
            <w:pPr>
              <w:ind w:right="190"/>
              <w:jc w:val="right"/>
            </w:pPr>
            <w:r w:rsidRPr="004C5551">
              <w:t xml:space="preserve">175,62 </w:t>
            </w:r>
            <w:r w:rsidR="000860E9" w:rsidRPr="004C5551">
              <w:t>€</w:t>
            </w:r>
          </w:p>
        </w:tc>
      </w:tr>
      <w:tr w:rsidR="00C27C1E" w:rsidRPr="004C5551" w:rsidTr="00D10DFA">
        <w:trPr>
          <w:jc w:val="center"/>
        </w:trPr>
        <w:tc>
          <w:tcPr>
            <w:tcW w:w="0" w:type="auto"/>
            <w:shd w:val="clear" w:color="auto" w:fill="auto"/>
          </w:tcPr>
          <w:p w:rsidR="00C27C1E" w:rsidRPr="004C5551" w:rsidRDefault="00C27C1E" w:rsidP="00D10DFA">
            <w:pPr>
              <w:rPr>
                <w:lang w:eastAsia="cs-CZ"/>
              </w:rPr>
            </w:pPr>
            <w:r w:rsidRPr="004C5551">
              <w:rPr>
                <w:lang w:eastAsia="cs-CZ"/>
              </w:rPr>
              <w:t>Zvýšenie opakovaného príspevku náhradnému rodičovi</w:t>
            </w:r>
          </w:p>
        </w:tc>
        <w:tc>
          <w:tcPr>
            <w:tcW w:w="0" w:type="auto"/>
            <w:shd w:val="clear" w:color="auto" w:fill="auto"/>
          </w:tcPr>
          <w:p w:rsidR="00C27C1E" w:rsidRPr="004C5551" w:rsidRDefault="00C27C1E" w:rsidP="00D10DFA">
            <w:pPr>
              <w:ind w:right="190"/>
              <w:jc w:val="right"/>
            </w:pPr>
            <w:r w:rsidRPr="004C5551">
              <w:t xml:space="preserve">124,91 </w:t>
            </w:r>
            <w:r w:rsidR="000860E9" w:rsidRPr="004C5551">
              <w:t>€</w:t>
            </w:r>
          </w:p>
        </w:tc>
      </w:tr>
      <w:tr w:rsidR="00C27C1E" w:rsidRPr="004C5551" w:rsidTr="00D10DFA">
        <w:trPr>
          <w:jc w:val="center"/>
        </w:trPr>
        <w:tc>
          <w:tcPr>
            <w:tcW w:w="0" w:type="auto"/>
            <w:shd w:val="clear" w:color="auto" w:fill="auto"/>
          </w:tcPr>
          <w:p w:rsidR="00C27C1E" w:rsidRPr="004C5551" w:rsidRDefault="00C27C1E" w:rsidP="00D10DFA">
            <w:pPr>
              <w:rPr>
                <w:lang w:eastAsia="cs-CZ"/>
              </w:rPr>
            </w:pPr>
            <w:r w:rsidRPr="004C5551">
              <w:rPr>
                <w:lang w:eastAsia="cs-CZ"/>
              </w:rPr>
              <w:t>Osobitný opakovaný príspevok náhradnému rodičovi</w:t>
            </w:r>
          </w:p>
        </w:tc>
        <w:tc>
          <w:tcPr>
            <w:tcW w:w="0" w:type="auto"/>
            <w:shd w:val="clear" w:color="auto" w:fill="auto"/>
          </w:tcPr>
          <w:p w:rsidR="00C27C1E" w:rsidRPr="004C5551" w:rsidRDefault="00C27C1E" w:rsidP="00D10DFA">
            <w:pPr>
              <w:ind w:right="190"/>
              <w:jc w:val="right"/>
            </w:pPr>
            <w:r w:rsidRPr="004C5551">
              <w:t xml:space="preserve">72,36 </w:t>
            </w:r>
            <w:r w:rsidR="000860E9" w:rsidRPr="004C5551">
              <w:t>€</w:t>
            </w:r>
          </w:p>
        </w:tc>
      </w:tr>
    </w:tbl>
    <w:p w:rsidR="002B6349" w:rsidRPr="004C5551" w:rsidRDefault="002B6349" w:rsidP="00DE38DD">
      <w:pPr>
        <w:pStyle w:val="zdroj"/>
        <w:ind w:left="567"/>
        <w:rPr>
          <w:rFonts w:eastAsia="Calibri"/>
        </w:rPr>
      </w:pPr>
      <w:r w:rsidRPr="004C5551">
        <w:rPr>
          <w:rFonts w:eastAsia="Calibri"/>
        </w:rPr>
        <w:t>Zdroj:</w:t>
      </w:r>
      <w:r w:rsidR="00BC0FE1" w:rsidRPr="004C5551">
        <w:rPr>
          <w:rFonts w:eastAsia="Calibri"/>
        </w:rPr>
        <w:t xml:space="preserve"> </w:t>
      </w:r>
      <w:r w:rsidRPr="004C5551">
        <w:rPr>
          <w:rFonts w:eastAsia="Calibri"/>
        </w:rPr>
        <w:t>MPSVR SR</w:t>
      </w:r>
    </w:p>
    <w:p w:rsidR="004B1F6A" w:rsidRPr="004C5551" w:rsidRDefault="004B1F6A" w:rsidP="001206CF">
      <w:pPr>
        <w:ind w:firstLine="431"/>
      </w:pPr>
      <w:r w:rsidRPr="004C5551">
        <w:t>V roku 2014 bol príspevok poskytnutý na 840 detí, čo je o 77 detí viac ako v roku 2013. Z celkového počtu detí bolo 68,4</w:t>
      </w:r>
      <w:r w:rsidR="009425AA" w:rsidRPr="004C5551">
        <w:t> %</w:t>
      </w:r>
      <w:r w:rsidRPr="004C5551">
        <w:t xml:space="preserve"> detí zverených do náhradnej osobnej starostlivosti, 16,6</w:t>
      </w:r>
      <w:r w:rsidR="009425AA" w:rsidRPr="004C5551">
        <w:t> %</w:t>
      </w:r>
      <w:r w:rsidRPr="004C5551">
        <w:t xml:space="preserve"> detí do pestúnskej starostlivosti a 3,9</w:t>
      </w:r>
      <w:r w:rsidR="009425AA" w:rsidRPr="004C5551">
        <w:t> %</w:t>
      </w:r>
      <w:r w:rsidRPr="004C5551">
        <w:t xml:space="preserve"> detí bolo zverených poručníkovi. Spolu bolo na tento príspevok vyplatených 400,2 tis. </w:t>
      </w:r>
      <w:r w:rsidR="000860E9" w:rsidRPr="004C5551">
        <w:t>eur</w:t>
      </w:r>
      <w:r w:rsidR="00033026" w:rsidRPr="004C5551">
        <w:t>, čo predstavuje medziročný nárast o 81,5 tis. eur</w:t>
      </w:r>
      <w:r w:rsidRPr="004C5551">
        <w:t>.</w:t>
      </w:r>
    </w:p>
    <w:p w:rsidR="004B1F6A" w:rsidRPr="004C5551" w:rsidRDefault="004B1F6A" w:rsidP="001206CF">
      <w:pPr>
        <w:ind w:firstLine="431"/>
      </w:pPr>
      <w:r w:rsidRPr="004C5551">
        <w:rPr>
          <w:b/>
          <w:bCs/>
        </w:rPr>
        <w:t>Jednorazový príspevok pri zániku náhradnej starostlivosti</w:t>
      </w:r>
      <w:r w:rsidRPr="004C5551">
        <w:t xml:space="preserve"> sa poskytuje za účelom podpory osamostatnenia sa dieťaťa. V roku 2014 bol príspevok vyplatený na 463 detí, čo je o 11 detí viac ako v roku 2013. Z celkového počtu detí u 59,4</w:t>
      </w:r>
      <w:r w:rsidR="009425AA" w:rsidRPr="004C5551">
        <w:t> %</w:t>
      </w:r>
      <w:r w:rsidRPr="004C5551">
        <w:t xml:space="preserve"> detí došlo k zániku náhradnej osobnej starostlivosti, u 33,3</w:t>
      </w:r>
      <w:r w:rsidR="009425AA" w:rsidRPr="004C5551">
        <w:t> %</w:t>
      </w:r>
      <w:r w:rsidRPr="004C5551">
        <w:t xml:space="preserve"> k zániku pestúnskej starostlivosti a u 7,3</w:t>
      </w:r>
      <w:r w:rsidR="009425AA" w:rsidRPr="004C5551">
        <w:t> %</w:t>
      </w:r>
      <w:r w:rsidRPr="004C5551">
        <w:t xml:space="preserve"> k zániku poručníctva. Spolu bolo na príspevok vyplatených 425,1 tis. </w:t>
      </w:r>
      <w:r w:rsidR="000860E9" w:rsidRPr="004C5551">
        <w:t>eur</w:t>
      </w:r>
      <w:r w:rsidR="00033026" w:rsidRPr="004C5551">
        <w:t xml:space="preserve">, čo predstavuje medziročný nárast o 56,3 tis. eur. </w:t>
      </w:r>
    </w:p>
    <w:p w:rsidR="00C27C1E" w:rsidRPr="004C5551" w:rsidRDefault="004B1F6A" w:rsidP="001206CF">
      <w:pPr>
        <w:ind w:firstLine="431"/>
        <w:rPr>
          <w:b/>
        </w:rPr>
      </w:pPr>
      <w:r w:rsidRPr="004C5551">
        <w:rPr>
          <w:b/>
          <w:bCs/>
        </w:rPr>
        <w:t xml:space="preserve">Opakovaný príspevok dieťaťu </w:t>
      </w:r>
      <w:r w:rsidRPr="004C5551">
        <w:t>sa poskytuje</w:t>
      </w:r>
      <w:r w:rsidRPr="004C5551">
        <w:rPr>
          <w:b/>
          <w:bCs/>
        </w:rPr>
        <w:t xml:space="preserve"> </w:t>
      </w:r>
      <w:r w:rsidRPr="004C5551">
        <w:t xml:space="preserve">za účelom podpory uspokojovania potrieb dieťaťa, najmä na úhradu nákladov na výživu, výchovu, vzdelávanie a bývanie dieťaťa. V sledovanom období bol príspevok vyplatený priemerne mesačne na 8 278 detí (nárast oproti roku 2013 o 105 detí) celkovo v sume 9 937 tis. </w:t>
      </w:r>
      <w:r w:rsidR="000860E9" w:rsidRPr="004C5551">
        <w:t>eur</w:t>
      </w:r>
      <w:r w:rsidR="00033026" w:rsidRPr="004C5551">
        <w:t xml:space="preserve"> (nárast o 195 tis. eur)</w:t>
      </w:r>
      <w:r w:rsidRPr="004C5551">
        <w:t>. Podľa jednotlivých foriem náhradnej starostlivosti bolo v priemere zastúpených 67,7</w:t>
      </w:r>
      <w:r w:rsidR="009425AA" w:rsidRPr="004C5551">
        <w:t> %</w:t>
      </w:r>
      <w:r w:rsidRPr="004C5551">
        <w:t xml:space="preserve"> detí v náhradnej osobnej starostlivosti, 24,1</w:t>
      </w:r>
      <w:r w:rsidR="009425AA" w:rsidRPr="004C5551">
        <w:t> %</w:t>
      </w:r>
      <w:r w:rsidRPr="004C5551">
        <w:t xml:space="preserve"> detí v pestúnskej starostlivosti,</w:t>
      </w:r>
      <w:r w:rsidR="006A1492" w:rsidRPr="004C5551">
        <w:t xml:space="preserve"> </w:t>
      </w:r>
      <w:r w:rsidRPr="004C5551">
        <w:t>2,</w:t>
      </w:r>
      <w:r w:rsidR="005308FD" w:rsidRPr="004C5551">
        <w:t>2</w:t>
      </w:r>
      <w:r w:rsidR="009425AA" w:rsidRPr="004C5551">
        <w:t> %</w:t>
      </w:r>
      <w:r w:rsidRPr="004C5551">
        <w:t> detí v poručníctve, 1,3</w:t>
      </w:r>
      <w:r w:rsidR="009425AA" w:rsidRPr="004C5551">
        <w:t> %</w:t>
      </w:r>
      <w:r w:rsidRPr="004C5551">
        <w:t xml:space="preserve"> detí v dočasnom zverení a 4,8</w:t>
      </w:r>
      <w:r w:rsidR="009425AA" w:rsidRPr="004C5551">
        <w:t> %</w:t>
      </w:r>
      <w:r w:rsidRPr="004C5551">
        <w:t xml:space="preserve"> detí zverených na</w:t>
      </w:r>
      <w:r w:rsidR="00DE38DD" w:rsidRPr="004C5551">
        <w:t> </w:t>
      </w:r>
      <w:r w:rsidRPr="004C5551">
        <w:t xml:space="preserve">základe predbežného opatrenia. </w:t>
      </w:r>
    </w:p>
    <w:p w:rsidR="008268AE" w:rsidRPr="004C5551" w:rsidRDefault="001C3EB0" w:rsidP="00EE5A42">
      <w:pPr>
        <w:pStyle w:val="Nadpis7"/>
      </w:pPr>
      <w:r w:rsidRPr="004C5551">
        <w:t>Graf 3.1</w:t>
      </w:r>
      <w:r w:rsidR="00AB3F7F" w:rsidRPr="004C5551">
        <w:t>2</w:t>
      </w:r>
      <w:r w:rsidRPr="004C5551">
        <w:t xml:space="preserve"> </w:t>
      </w:r>
      <w:r w:rsidR="008268AE" w:rsidRPr="004C5551">
        <w:t>Počet detí, na ktoré bol poskytnutý opakovaný príspevok dieťaťu podľa veku</w:t>
      </w:r>
      <w:bookmarkEnd w:id="673"/>
    </w:p>
    <w:p w:rsidR="004B1F6A" w:rsidRPr="004C5551" w:rsidRDefault="008C4962" w:rsidP="004B1F6A">
      <w:bookmarkStart w:id="674" w:name="_Toc356482732"/>
      <w:r w:rsidRPr="004C5551">
        <w:rPr>
          <w:noProof/>
        </w:rPr>
        <w:drawing>
          <wp:inline distT="0" distB="0" distL="0" distR="0" wp14:anchorId="5D6FD5C6" wp14:editId="2668E605">
            <wp:extent cx="5829300" cy="173355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B1F6A" w:rsidRPr="004C5551" w:rsidRDefault="004B1F6A" w:rsidP="00DE38DD">
      <w:pPr>
        <w:pStyle w:val="zdroj"/>
        <w:spacing w:after="0"/>
      </w:pPr>
      <w:r w:rsidRPr="004C5551">
        <w:t>Zdroj: RSD MIS</w:t>
      </w:r>
    </w:p>
    <w:p w:rsidR="00045183" w:rsidRPr="004C5551" w:rsidRDefault="00045183" w:rsidP="001206CF">
      <w:pPr>
        <w:ind w:firstLine="431"/>
      </w:pPr>
      <w:r w:rsidRPr="004C5551">
        <w:rPr>
          <w:b/>
          <w:bCs/>
        </w:rPr>
        <w:t xml:space="preserve">Opakovaný príspevok náhradnému rodičovi </w:t>
      </w:r>
      <w:r w:rsidRPr="004C5551">
        <w:t>sa poskytuje za účelom podpory</w:t>
      </w:r>
      <w:r w:rsidRPr="004C5551">
        <w:rPr>
          <w:b/>
          <w:bCs/>
        </w:rPr>
        <w:t xml:space="preserve"> </w:t>
      </w:r>
      <w:r w:rsidRPr="004C5551">
        <w:t>vykonávania osobnej starostlivosti o dieťa, ktoré má náhradný rodič zverené do náhradnej starostlivosti. Za sledované obdobie bol príspevok poskytnutý priemerne mesačne 1 199 náhradným rodičom na 1 555 detí (v roku 2013 to bolo 1 201 náhradných rodičov na 1</w:t>
      </w:r>
      <w:r w:rsidR="00033026" w:rsidRPr="004C5551">
        <w:t> </w:t>
      </w:r>
      <w:r w:rsidRPr="004C5551">
        <w:t xml:space="preserve">574 detí). V prípade, ak sa náhradný rodič osobne staral o tri alebo viac detí, ktoré sú súrodencami, opakovaný príspevok náhradnému rodičovi sa zvýšil o 124,91 </w:t>
      </w:r>
      <w:r w:rsidR="000860E9" w:rsidRPr="004C5551">
        <w:t>eur</w:t>
      </w:r>
      <w:r w:rsidR="008D52F0" w:rsidRPr="004C5551">
        <w:t>a</w:t>
      </w:r>
      <w:r w:rsidRPr="004C5551">
        <w:t xml:space="preserve"> mesačne. V sledovanom období bolo priemerne mesačne 68 takýchto prípadov. Celková vyplatená suma na príspevok predstavuje</w:t>
      </w:r>
      <w:r w:rsidR="00073D95" w:rsidRPr="004C5551">
        <w:t xml:space="preserve"> </w:t>
      </w:r>
      <w:r w:rsidRPr="004C5551">
        <w:t>2 663,2 </w:t>
      </w:r>
      <w:r w:rsidR="00033026" w:rsidRPr="004C5551">
        <w:t xml:space="preserve">tis. </w:t>
      </w:r>
      <w:r w:rsidR="000860E9" w:rsidRPr="004C5551">
        <w:t>eur</w:t>
      </w:r>
      <w:r w:rsidR="00033026" w:rsidRPr="004C5551">
        <w:t xml:space="preserve"> (medziročný nárast o 8,4 tis. eur )</w:t>
      </w:r>
      <w:r w:rsidRPr="004C5551">
        <w:t xml:space="preserve">. </w:t>
      </w:r>
    </w:p>
    <w:p w:rsidR="00045183" w:rsidRPr="004C5551" w:rsidRDefault="00045183" w:rsidP="001206CF">
      <w:pPr>
        <w:ind w:firstLine="431"/>
      </w:pPr>
      <w:r w:rsidRPr="004C5551">
        <w:rPr>
          <w:b/>
          <w:bCs/>
        </w:rPr>
        <w:t xml:space="preserve">Osobitný opakovaný príspevok náhradnému rodičovi </w:t>
      </w:r>
      <w:r w:rsidRPr="004C5551">
        <w:t>sa poskytuje za účelom podpory</w:t>
      </w:r>
      <w:r w:rsidRPr="004C5551">
        <w:rPr>
          <w:b/>
          <w:bCs/>
        </w:rPr>
        <w:t xml:space="preserve"> </w:t>
      </w:r>
      <w:r w:rsidRPr="004C5551">
        <w:t>vykonávania osobnej starostlivosti o dieťa zverené do náhradnej starostlivosti, ktoré je občanom s ťažkým zdravotným postihnutím. Za sledované obdobie bol príspevok poskytnutý priemerne mesačne 54 náhradným rodičom, ktorí vykonávajú starostlivosť o ťažko zdravotne postihnuté (ŤZP) deti (medziročný pokles o 3 náhradných rodičov). Spolu bolo na príspevok vyplatených 49,8 tis. </w:t>
      </w:r>
      <w:r w:rsidR="000860E9" w:rsidRPr="004C5551">
        <w:t>eur</w:t>
      </w:r>
      <w:r w:rsidR="00033026" w:rsidRPr="004C5551">
        <w:t xml:space="preserve"> (medziročný pokles o 5,9 tis. eur)</w:t>
      </w:r>
      <w:r w:rsidRPr="004C5551">
        <w:t xml:space="preserve">. </w:t>
      </w:r>
    </w:p>
    <w:p w:rsidR="00045183" w:rsidRPr="004C5551" w:rsidRDefault="00045183" w:rsidP="001206CF">
      <w:pPr>
        <w:ind w:firstLine="431"/>
      </w:pPr>
      <w:r w:rsidRPr="004C5551">
        <w:rPr>
          <w:b/>
          <w:bCs/>
        </w:rPr>
        <w:t xml:space="preserve">Odmena pestúna </w:t>
      </w:r>
      <w:r w:rsidRPr="004C5551">
        <w:rPr>
          <w:color w:val="000000"/>
        </w:rPr>
        <w:t>–</w:t>
      </w:r>
      <w:r w:rsidRPr="004C5551">
        <w:rPr>
          <w:b/>
          <w:bCs/>
        </w:rPr>
        <w:t xml:space="preserve"> § 19 </w:t>
      </w:r>
      <w:proofErr w:type="spellStart"/>
      <w:r w:rsidRPr="004C5551">
        <w:rPr>
          <w:b/>
          <w:bCs/>
        </w:rPr>
        <w:t>odst</w:t>
      </w:r>
      <w:proofErr w:type="spellEnd"/>
      <w:r w:rsidRPr="004C5551">
        <w:rPr>
          <w:b/>
          <w:bCs/>
        </w:rPr>
        <w:t xml:space="preserve">. 3. </w:t>
      </w:r>
      <w:r w:rsidRPr="004C5551">
        <w:t>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184 poberateľov (medziročný pokles o 46 poberateľov). Na odmenu pestúna bolo vyplatených spolu 120 tis. </w:t>
      </w:r>
      <w:r w:rsidR="000860E9" w:rsidRPr="004C5551">
        <w:t>eur</w:t>
      </w:r>
      <w:r w:rsidR="00033026" w:rsidRPr="004C5551">
        <w:t xml:space="preserve"> (medziročný pokles o 32,2 tis. eur)</w:t>
      </w:r>
      <w:r w:rsidRPr="004C5551">
        <w:t xml:space="preserve">. </w:t>
      </w:r>
    </w:p>
    <w:p w:rsidR="00DA0D92" w:rsidRPr="004C5551" w:rsidRDefault="00045183" w:rsidP="001206CF">
      <w:pPr>
        <w:spacing w:after="120"/>
        <w:ind w:firstLine="431"/>
      </w:pPr>
      <w:r w:rsidRPr="004C5551">
        <w:t xml:space="preserve">Celkové čerpanie finančných prostriedkov na príspevky na podporu náhradnej starostlivosti a odmeny pestúna bolo v roku 2014 v sume 13 595 tis. </w:t>
      </w:r>
      <w:r w:rsidR="000860E9" w:rsidRPr="004C5551">
        <w:t>eur</w:t>
      </w:r>
      <w:r w:rsidR="00033026" w:rsidRPr="004C5551">
        <w:t>, čo predstavuje medziročný</w:t>
      </w:r>
      <w:r w:rsidR="00F0114C" w:rsidRPr="004C5551">
        <w:t xml:space="preserve"> nárast o 306 tis. eur</w:t>
      </w:r>
      <w:r w:rsidRPr="004C5551">
        <w:t xml:space="preserve">. </w:t>
      </w:r>
    </w:p>
    <w:p w:rsidR="00DA0D92" w:rsidRPr="004C5551" w:rsidRDefault="00DA0D92">
      <w:pPr>
        <w:jc w:val="left"/>
      </w:pPr>
      <w:r w:rsidRPr="004C5551">
        <w:br w:type="page"/>
      </w:r>
    </w:p>
    <w:p w:rsidR="00BD2156" w:rsidRPr="004C5551" w:rsidRDefault="00BD2156" w:rsidP="00ED16E0">
      <w:pPr>
        <w:pStyle w:val="Nadpis6"/>
      </w:pPr>
      <w:bookmarkStart w:id="675" w:name="_Toc422233437"/>
      <w:r w:rsidRPr="004C5551">
        <w:t xml:space="preserve">Kompenzácia sociálnych dôsledkov </w:t>
      </w:r>
      <w:r w:rsidR="004F4ABA" w:rsidRPr="004C5551">
        <w:t>ťažkého zdravotného postihnutia</w:t>
      </w:r>
      <w:bookmarkEnd w:id="674"/>
      <w:bookmarkEnd w:id="675"/>
      <w:r w:rsidR="00142D12" w:rsidRPr="004C5551">
        <w:t xml:space="preserve"> </w:t>
      </w:r>
    </w:p>
    <w:p w:rsidR="00257B74" w:rsidRPr="004C5551" w:rsidRDefault="00257B74" w:rsidP="001206CF">
      <w:pPr>
        <w:ind w:firstLine="431"/>
        <w:rPr>
          <w:szCs w:val="22"/>
        </w:rPr>
      </w:pPr>
      <w:bookmarkStart w:id="676" w:name="_Toc356482733"/>
      <w:r w:rsidRPr="004C5551">
        <w:rPr>
          <w:szCs w:val="22"/>
        </w:rPr>
        <w:t>Právne vzťahy pri poskytovaní peňažných príspevkov na kompenzáciu sociálnych dôsledkov ťažkého zdravotného postihnutia upravuje zákon č. 447/2008</w:t>
      </w:r>
      <w:r w:rsidR="00073D95" w:rsidRPr="004C5551">
        <w:rPr>
          <w:szCs w:val="22"/>
        </w:rPr>
        <w:t xml:space="preserve"> </w:t>
      </w:r>
      <w:r w:rsidRPr="004C5551">
        <w:rPr>
          <w:szCs w:val="22"/>
        </w:rPr>
        <w:t>Z. z. o peňažných príspevkoch na</w:t>
      </w:r>
      <w:r w:rsidR="00DE38DD" w:rsidRPr="004C5551">
        <w:rPr>
          <w:szCs w:val="22"/>
        </w:rPr>
        <w:t> </w:t>
      </w:r>
      <w:r w:rsidRPr="004C5551">
        <w:rPr>
          <w:szCs w:val="22"/>
        </w:rPr>
        <w:t>kompenzáciu ťažkého zdravotného postihnutia a o zmene a doplnení niektorých zákonov v znení neskorších predpisov (ďalej len „zákon o peňažných príspevkoch“), ktorý nadobu</w:t>
      </w:r>
      <w:r w:rsidR="00EE5A42" w:rsidRPr="004C5551">
        <w:rPr>
          <w:szCs w:val="22"/>
        </w:rPr>
        <w:t xml:space="preserve">dol účinnosť </w:t>
      </w:r>
      <w:r w:rsidRPr="004C5551">
        <w:rPr>
          <w:szCs w:val="22"/>
        </w:rPr>
        <w:t>1.</w:t>
      </w:r>
      <w:r w:rsidR="00EE5A42" w:rsidRPr="004C5551">
        <w:rPr>
          <w:szCs w:val="22"/>
        </w:rPr>
        <w:t> </w:t>
      </w:r>
      <w:r w:rsidRPr="004C5551">
        <w:rPr>
          <w:szCs w:val="22"/>
        </w:rPr>
        <w:t xml:space="preserve">januára 2009. Cieľom tejto úpravy právnych vzťahov je podporiť sociálne začlenenie fyzickej osoby s ťažkým zdravotným postihnutím (ďalej len „fyzická osoba s ŤZP“) do spoločnosti za jej aktívnej účasti pri zachovaní jej ľudskej dôstojnosti v týchto štyroch oblastiach: </w:t>
      </w:r>
      <w:r w:rsidRPr="004C5551">
        <w:rPr>
          <w:i/>
          <w:szCs w:val="22"/>
        </w:rPr>
        <w:t>oblasť mobility a orientácie, oblasť komunikácie, oblasť zvýšených výdavkov a oblasť sebaobsluhy</w:t>
      </w:r>
      <w:r w:rsidRPr="004C5551">
        <w:rPr>
          <w:szCs w:val="22"/>
        </w:rPr>
        <w:t xml:space="preserve">. </w:t>
      </w:r>
    </w:p>
    <w:p w:rsidR="00BE4E77" w:rsidRPr="004C5551" w:rsidRDefault="00BE4E77" w:rsidP="001206CF">
      <w:pPr>
        <w:ind w:firstLine="431"/>
        <w:rPr>
          <w:szCs w:val="22"/>
        </w:rPr>
      </w:pPr>
    </w:p>
    <w:p w:rsidR="00257B74" w:rsidRPr="004C5551" w:rsidRDefault="00105CBB" w:rsidP="001206CF">
      <w:pPr>
        <w:ind w:firstLine="431"/>
        <w:rPr>
          <w:szCs w:val="22"/>
        </w:rPr>
      </w:pPr>
      <w:r w:rsidRPr="004C5551">
        <w:rPr>
          <w:szCs w:val="22"/>
        </w:rPr>
        <w:t>V roku 2014 boli prijaté tri zákony, ktorými sa menil a dopĺňal zákon o peňažných príspevkoch, avšak všetky nadobudli účinnosť až v priebehu roku 2015.</w:t>
      </w:r>
      <w:r w:rsidR="00257B74" w:rsidRPr="004C5551">
        <w:rPr>
          <w:szCs w:val="22"/>
        </w:rPr>
        <w:t xml:space="preserve"> </w:t>
      </w:r>
      <w:r w:rsidRPr="004C5551">
        <w:rPr>
          <w:szCs w:val="22"/>
        </w:rPr>
        <w:t>Zákon č. 219/2014 Z. z., účinný od</w:t>
      </w:r>
      <w:r w:rsidR="00DE38DD" w:rsidRPr="004C5551">
        <w:rPr>
          <w:szCs w:val="22"/>
        </w:rPr>
        <w:t> </w:t>
      </w:r>
      <w:r w:rsidRPr="004C5551">
        <w:rPr>
          <w:szCs w:val="22"/>
        </w:rPr>
        <w:t>1.</w:t>
      </w:r>
      <w:r w:rsidR="00DE38DD" w:rsidRPr="004C5551">
        <w:rPr>
          <w:szCs w:val="22"/>
        </w:rPr>
        <w:t> </w:t>
      </w:r>
      <w:r w:rsidRPr="004C5551">
        <w:rPr>
          <w:szCs w:val="22"/>
        </w:rPr>
        <w:t>januára 2015, ktorým bolo upravené znenie ustanovenia zákona o peňažných príspevkoch týkajúce sa kvalifikačných predpokladov sociálnych pracovníkov.</w:t>
      </w:r>
      <w:r w:rsidR="0002371A" w:rsidRPr="004C5551">
        <w:rPr>
          <w:szCs w:val="22"/>
        </w:rPr>
        <w:t xml:space="preserve"> </w:t>
      </w:r>
      <w:r w:rsidR="00257B74" w:rsidRPr="004C5551">
        <w:rPr>
          <w:szCs w:val="22"/>
        </w:rPr>
        <w:t>Zákon č. 263/2014 Z. z</w:t>
      </w:r>
      <w:r w:rsidR="00D17FBE" w:rsidRPr="004C5551">
        <w:rPr>
          <w:szCs w:val="22"/>
        </w:rPr>
        <w:t>.</w:t>
      </w:r>
      <w:r w:rsidR="00257B74" w:rsidRPr="004C5551">
        <w:rPr>
          <w:szCs w:val="22"/>
        </w:rPr>
        <w:t xml:space="preserve"> s účinnosť od 1. januára 2015</w:t>
      </w:r>
      <w:r w:rsidR="00073D95" w:rsidRPr="004C5551">
        <w:rPr>
          <w:szCs w:val="22"/>
        </w:rPr>
        <w:t xml:space="preserve"> </w:t>
      </w:r>
      <w:r w:rsidR="00257B74" w:rsidRPr="004C5551">
        <w:rPr>
          <w:szCs w:val="22"/>
        </w:rPr>
        <w:t>ustanovil, že za príjem na účely poskytovania peňažných príspevkov na</w:t>
      </w:r>
      <w:r w:rsidR="00D17FBE" w:rsidRPr="004C5551">
        <w:rPr>
          <w:szCs w:val="22"/>
        </w:rPr>
        <w:t> </w:t>
      </w:r>
      <w:r w:rsidR="00257B74" w:rsidRPr="004C5551">
        <w:rPr>
          <w:szCs w:val="22"/>
        </w:rPr>
        <w:t xml:space="preserve">kompenzáciu sa nepovažuje odmena športového reprezentanta Slovenskej republiky za dosiahnuté výsledky na </w:t>
      </w:r>
      <w:proofErr w:type="spellStart"/>
      <w:r w:rsidR="00257B74" w:rsidRPr="004C5551">
        <w:rPr>
          <w:szCs w:val="22"/>
        </w:rPr>
        <w:t>paralympijských</w:t>
      </w:r>
      <w:proofErr w:type="spellEnd"/>
      <w:r w:rsidR="00257B74" w:rsidRPr="004C5551">
        <w:rPr>
          <w:szCs w:val="22"/>
        </w:rPr>
        <w:t xml:space="preserve"> a </w:t>
      </w:r>
      <w:proofErr w:type="spellStart"/>
      <w:r w:rsidR="00257B74" w:rsidRPr="004C5551">
        <w:rPr>
          <w:szCs w:val="22"/>
        </w:rPr>
        <w:t>deaflympijských</w:t>
      </w:r>
      <w:proofErr w:type="spellEnd"/>
      <w:r w:rsidR="00257B74" w:rsidRPr="004C5551">
        <w:rPr>
          <w:szCs w:val="22"/>
        </w:rPr>
        <w:t xml:space="preserve"> hrách. Zákon č. 375/2014 Z. z., ktorý</w:t>
      </w:r>
      <w:r w:rsidR="00073D95" w:rsidRPr="004C5551">
        <w:rPr>
          <w:szCs w:val="22"/>
        </w:rPr>
        <w:t xml:space="preserve"> </w:t>
      </w:r>
      <w:r w:rsidR="00257B74" w:rsidRPr="004C5551">
        <w:rPr>
          <w:szCs w:val="22"/>
        </w:rPr>
        <w:t>nadobudol účinnosť 1. februára 2015 precizuje</w:t>
      </w:r>
      <w:r w:rsidR="00073D95" w:rsidRPr="004C5551">
        <w:rPr>
          <w:szCs w:val="22"/>
        </w:rPr>
        <w:t xml:space="preserve"> </w:t>
      </w:r>
      <w:r w:rsidR="00257B74" w:rsidRPr="004C5551">
        <w:rPr>
          <w:szCs w:val="22"/>
        </w:rPr>
        <w:t>ustanovenia zákona o peňažných príspevkoch s cieľom odstrániť aplikačné nejasnosti pri poskytovaní peňažného príspevku na kompenzáciu zvýšených výdavkov a peňažného príspevku na opatrovanie do zariadení krízovej intervencie.</w:t>
      </w:r>
    </w:p>
    <w:p w:rsidR="00BE4E77" w:rsidRPr="004C5551" w:rsidRDefault="00BE4E77" w:rsidP="0015643E">
      <w:pPr>
        <w:ind w:firstLine="431"/>
        <w:rPr>
          <w:szCs w:val="22"/>
        </w:rPr>
      </w:pPr>
    </w:p>
    <w:p w:rsidR="0015643E" w:rsidRPr="004C5551" w:rsidRDefault="00257B74" w:rsidP="0015643E">
      <w:pPr>
        <w:ind w:firstLine="431"/>
        <w:rPr>
          <w:szCs w:val="22"/>
        </w:rPr>
      </w:pPr>
      <w:r w:rsidRPr="004C5551">
        <w:rPr>
          <w:szCs w:val="22"/>
        </w:rPr>
        <w:t xml:space="preserve">Sociálne dôsledky ťažkého zdravotného postihnutia je možné kompenzovať peňažnými príspevkami (ďalej aj „PP“) na kompenzáciu, ktoré sa delia na </w:t>
      </w:r>
      <w:r w:rsidRPr="004C5551">
        <w:rPr>
          <w:b/>
          <w:szCs w:val="22"/>
        </w:rPr>
        <w:t>opakované</w:t>
      </w:r>
      <w:r w:rsidR="00B11D03" w:rsidRPr="004C5551">
        <w:rPr>
          <w:b/>
          <w:szCs w:val="22"/>
        </w:rPr>
        <w:t xml:space="preserve"> a jednorazové</w:t>
      </w:r>
      <w:r w:rsidRPr="004C5551">
        <w:rPr>
          <w:szCs w:val="22"/>
        </w:rPr>
        <w:t xml:space="preserve">. </w:t>
      </w:r>
    </w:p>
    <w:p w:rsidR="00B11D03" w:rsidRPr="004C5551" w:rsidRDefault="00B11D03" w:rsidP="00B11D03">
      <w:pPr>
        <w:ind w:firstLine="431"/>
        <w:rPr>
          <w:szCs w:val="22"/>
        </w:rPr>
      </w:pPr>
      <w:r w:rsidRPr="004C5551">
        <w:rPr>
          <w:szCs w:val="22"/>
        </w:rPr>
        <w:t xml:space="preserve">Výšky </w:t>
      </w:r>
      <w:r w:rsidRPr="004C5551">
        <w:rPr>
          <w:i/>
          <w:szCs w:val="22"/>
        </w:rPr>
        <w:t>opakovaných peňažných príspevkov na kompenzáciu</w:t>
      </w:r>
      <w:r w:rsidRPr="004C5551">
        <w:rPr>
          <w:szCs w:val="22"/>
        </w:rPr>
        <w:t xml:space="preserve"> sú ustanovené </w:t>
      </w:r>
      <w:r w:rsidRPr="004C5551">
        <w:rPr>
          <w:i/>
          <w:szCs w:val="22"/>
        </w:rPr>
        <w:t>percentom sumy životného minima pre jednu plnoletú fyzickú osobu</w:t>
      </w:r>
      <w:r w:rsidRPr="004C5551">
        <w:rPr>
          <w:szCs w:val="22"/>
        </w:rPr>
        <w:t xml:space="preserve">, čím sú opakované peňažné príspevky na kompenzáciu valorizované v závislosti od úpravy výšky súm životného minima k 1. júlu bežného kalendárneho roka. Vzhľadom na skutočnosť, že v roku 2014 sumy životného minima neboli valorizované, zostali opakované peňažné príspevky na kompenzáciu v nezmenenej výške </w:t>
      </w:r>
      <w:r w:rsidR="00DE38DD" w:rsidRPr="004C5551">
        <w:rPr>
          <w:szCs w:val="22"/>
        </w:rPr>
        <w:br/>
      </w:r>
      <w:r w:rsidRPr="004C5551">
        <w:rPr>
          <w:szCs w:val="22"/>
        </w:rPr>
        <w:t>od 1. júla 2013. Prehľad výšok opakovaných peňažných príspevkov je uvedený v tabuľke 3.22.</w:t>
      </w:r>
    </w:p>
    <w:p w:rsidR="00460DEB" w:rsidRPr="004C5551" w:rsidRDefault="0015643E" w:rsidP="00B11D03">
      <w:pPr>
        <w:ind w:firstLine="431"/>
        <w:rPr>
          <w:b/>
          <w:sz w:val="20"/>
          <w:lang w:eastAsia="cs-CZ"/>
        </w:rPr>
      </w:pPr>
      <w:r w:rsidRPr="004C5551">
        <w:rPr>
          <w:szCs w:val="23"/>
        </w:rPr>
        <w:t xml:space="preserve">Maximálne výšky </w:t>
      </w:r>
      <w:r w:rsidR="00460DEB" w:rsidRPr="004C5551">
        <w:rPr>
          <w:i/>
          <w:szCs w:val="23"/>
        </w:rPr>
        <w:t>jednorazových peňažných príspevkov</w:t>
      </w:r>
      <w:r w:rsidRPr="004C5551">
        <w:rPr>
          <w:szCs w:val="23"/>
        </w:rPr>
        <w:t xml:space="preserve"> na kompenzáciu ustanovuje zákon o</w:t>
      </w:r>
      <w:r w:rsidR="00DE38DD" w:rsidRPr="004C5551">
        <w:rPr>
          <w:szCs w:val="23"/>
        </w:rPr>
        <w:t> </w:t>
      </w:r>
      <w:r w:rsidRPr="004C5551">
        <w:rPr>
          <w:szCs w:val="23"/>
        </w:rPr>
        <w:t xml:space="preserve">peňažných príspevkoch </w:t>
      </w:r>
      <w:r w:rsidR="00460DEB" w:rsidRPr="004C5551">
        <w:rPr>
          <w:i/>
          <w:szCs w:val="23"/>
        </w:rPr>
        <w:t>pevnou sumou</w:t>
      </w:r>
      <w:r w:rsidRPr="004C5551">
        <w:rPr>
          <w:szCs w:val="23"/>
        </w:rPr>
        <w:t>. Na stanovenie konkrétnej výšky jednorazového peňažného príspevku má vplyv príjem fyzickej osoby s ŤZP a</w:t>
      </w:r>
      <w:r w:rsidR="00FC74E2" w:rsidRPr="004C5551">
        <w:rPr>
          <w:szCs w:val="23"/>
        </w:rPr>
        <w:t> </w:t>
      </w:r>
      <w:r w:rsidRPr="004C5551">
        <w:rPr>
          <w:szCs w:val="23"/>
        </w:rPr>
        <w:t>cena</w:t>
      </w:r>
      <w:r w:rsidR="00FC74E2" w:rsidRPr="004C5551">
        <w:rPr>
          <w:szCs w:val="23"/>
        </w:rPr>
        <w:t>,</w:t>
      </w:r>
      <w:r w:rsidRPr="004C5551">
        <w:rPr>
          <w:szCs w:val="23"/>
        </w:rPr>
        <w:t xml:space="preserve"> napr. pomôcky, osobného motorového vozidla, úpravy (podľa druhu peňažného príspevku). Pri zohľadňovaní príjmu fyzickej osoby s ŤZP je zachovaný princíp solidarity, t.j. čím nižší príjem má fyzická osoba s ŤZP, tým je možné poskytnúť vyšší jednorazový peňažný príspevok na kompenzáciu. Prehľad maximálnych výšok jednorazových peňažných príspevkov uvádzame tabuľke 3.23.</w:t>
      </w:r>
    </w:p>
    <w:p w:rsidR="00BE4E77" w:rsidRPr="004C5551" w:rsidRDefault="00BE4E77" w:rsidP="001206CF">
      <w:pPr>
        <w:ind w:firstLine="431"/>
        <w:rPr>
          <w:szCs w:val="22"/>
        </w:rPr>
      </w:pPr>
    </w:p>
    <w:p w:rsidR="00A70AEF" w:rsidRPr="004C5551" w:rsidRDefault="00A70AEF">
      <w:pPr>
        <w:jc w:val="left"/>
      </w:pPr>
    </w:p>
    <w:p w:rsidR="00DA0D92" w:rsidRPr="004C5551" w:rsidRDefault="00DA0D92">
      <w:pPr>
        <w:jc w:val="left"/>
        <w:rPr>
          <w:b/>
        </w:rPr>
      </w:pPr>
      <w:r w:rsidRPr="004C5551">
        <w:br w:type="page"/>
      </w:r>
    </w:p>
    <w:p w:rsidR="002D5556" w:rsidRPr="004C5551" w:rsidRDefault="00EE0DB2" w:rsidP="00D17FBE">
      <w:pPr>
        <w:pStyle w:val="Nadpis7"/>
      </w:pPr>
      <w:r w:rsidRPr="004C5551">
        <w:t>Tabuľka</w:t>
      </w:r>
      <w:r w:rsidR="00884C16" w:rsidRPr="004C5551">
        <w:t xml:space="preserve"> </w:t>
      </w:r>
      <w:r w:rsidR="0000594D" w:rsidRPr="004C5551">
        <w:t>3.</w:t>
      </w:r>
      <w:r w:rsidR="00A35E96" w:rsidRPr="004C5551">
        <w:t>2</w:t>
      </w:r>
      <w:r w:rsidR="0005633C" w:rsidRPr="004C5551">
        <w:t>2</w:t>
      </w:r>
      <w:r w:rsidR="00A35E96" w:rsidRPr="004C5551">
        <w:t xml:space="preserve"> </w:t>
      </w:r>
      <w:r w:rsidR="000617E6" w:rsidRPr="004C5551">
        <w:t>Prehľad opakovaných peňažných príspevkov na kompenzáciu</w:t>
      </w:r>
      <w:bookmarkEnd w:id="676"/>
    </w:p>
    <w:tbl>
      <w:tblPr>
        <w:tblW w:w="9289" w:type="dxa"/>
        <w:tblInd w:w="-60"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CellMar>
          <w:top w:w="15" w:type="dxa"/>
          <w:left w:w="15" w:type="dxa"/>
          <w:bottom w:w="15" w:type="dxa"/>
          <w:right w:w="15" w:type="dxa"/>
        </w:tblCellMar>
        <w:tblLook w:val="04A0" w:firstRow="1" w:lastRow="0" w:firstColumn="1" w:lastColumn="0" w:noHBand="0" w:noVBand="1"/>
      </w:tblPr>
      <w:tblGrid>
        <w:gridCol w:w="7160"/>
        <w:gridCol w:w="2129"/>
      </w:tblGrid>
      <w:tr w:rsidR="00D17FBE" w:rsidRPr="004C5551" w:rsidTr="00D17FBE">
        <w:trPr>
          <w:trHeight w:val="234"/>
        </w:trPr>
        <w:tc>
          <w:tcPr>
            <w:tcW w:w="7160" w:type="dxa"/>
            <w:shd w:val="clear" w:color="auto" w:fill="BF0000" w:themeFill="accent3" w:themeFillShade="BF"/>
            <w:vAlign w:val="center"/>
          </w:tcPr>
          <w:p w:rsidR="00D17FBE" w:rsidRPr="004C5551" w:rsidRDefault="00D17FBE" w:rsidP="00D17FBE">
            <w:pPr>
              <w:jc w:val="center"/>
              <w:rPr>
                <w:b/>
                <w:bCs/>
                <w:color w:val="FFFFFF" w:themeColor="background1"/>
                <w:szCs w:val="22"/>
              </w:rPr>
            </w:pPr>
            <w:r w:rsidRPr="004C5551">
              <w:rPr>
                <w:b/>
                <w:color w:val="FFFFFF" w:themeColor="background1"/>
                <w:szCs w:val="22"/>
              </w:rPr>
              <w:t>Druhy opakovaných peňažných príspevkov</w:t>
            </w:r>
          </w:p>
        </w:tc>
        <w:tc>
          <w:tcPr>
            <w:tcW w:w="2129" w:type="dxa"/>
            <w:shd w:val="clear" w:color="auto" w:fill="BF0000" w:themeFill="accent3" w:themeFillShade="BF"/>
            <w:tcMar>
              <w:top w:w="0" w:type="dxa"/>
              <w:left w:w="75" w:type="dxa"/>
              <w:bottom w:w="0" w:type="dxa"/>
              <w:right w:w="75" w:type="dxa"/>
            </w:tcMar>
            <w:vAlign w:val="bottom"/>
          </w:tcPr>
          <w:p w:rsidR="00D17FBE" w:rsidRPr="004C5551" w:rsidRDefault="00D17FBE" w:rsidP="00A70AEF">
            <w:pPr>
              <w:jc w:val="center"/>
              <w:rPr>
                <w:b/>
                <w:color w:val="FFFFFF" w:themeColor="background1"/>
                <w:szCs w:val="22"/>
              </w:rPr>
            </w:pPr>
            <w:r w:rsidRPr="004C5551">
              <w:rPr>
                <w:b/>
                <w:color w:val="FFFFFF" w:themeColor="background1"/>
                <w:szCs w:val="22"/>
              </w:rPr>
              <w:t>Výšky PP v </w:t>
            </w:r>
            <w:r w:rsidR="000860E9" w:rsidRPr="004C5551">
              <w:rPr>
                <w:b/>
                <w:color w:val="FFFFFF" w:themeColor="background1"/>
                <w:szCs w:val="22"/>
              </w:rPr>
              <w:t>€</w:t>
            </w:r>
          </w:p>
        </w:tc>
      </w:tr>
      <w:tr w:rsidR="00257B74" w:rsidRPr="004C5551" w:rsidTr="00D17FBE">
        <w:trPr>
          <w:trHeight w:val="234"/>
        </w:trPr>
        <w:tc>
          <w:tcPr>
            <w:tcW w:w="7160" w:type="dxa"/>
          </w:tcPr>
          <w:p w:rsidR="00257B74" w:rsidRPr="004C5551" w:rsidRDefault="00257B74" w:rsidP="00AD1708">
            <w:pPr>
              <w:spacing w:line="0" w:lineRule="atLeast"/>
            </w:pPr>
            <w:r w:rsidRPr="004C5551">
              <w:rPr>
                <w:b/>
                <w:bCs/>
                <w:szCs w:val="22"/>
              </w:rPr>
              <w:t>PP na osobnú asistenciu</w:t>
            </w:r>
            <w:r w:rsidRPr="004C5551">
              <w:rPr>
                <w:szCs w:val="22"/>
              </w:rPr>
              <w:t xml:space="preserve"> – sadzba na jednu hodinu </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2,76</w:t>
            </w:r>
          </w:p>
        </w:tc>
      </w:tr>
      <w:tr w:rsidR="00257B74" w:rsidRPr="004C5551" w:rsidTr="00D17FBE">
        <w:trPr>
          <w:trHeight w:val="234"/>
        </w:trPr>
        <w:tc>
          <w:tcPr>
            <w:tcW w:w="7160" w:type="dxa"/>
            <w:vAlign w:val="center"/>
          </w:tcPr>
          <w:p w:rsidR="00257B74" w:rsidRPr="004C5551" w:rsidRDefault="00257B74" w:rsidP="00AD1708">
            <w:pPr>
              <w:spacing w:line="0" w:lineRule="atLeast"/>
            </w:pPr>
            <w:r w:rsidRPr="004C5551">
              <w:rPr>
                <w:b/>
                <w:bCs/>
                <w:szCs w:val="22"/>
              </w:rPr>
              <w:t>PP na prepravu</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101,07</w:t>
            </w:r>
          </w:p>
        </w:tc>
      </w:tr>
      <w:tr w:rsidR="00257B74" w:rsidRPr="004C5551" w:rsidTr="00D17FBE">
        <w:trPr>
          <w:trHeight w:val="221"/>
        </w:trPr>
        <w:tc>
          <w:tcPr>
            <w:tcW w:w="7160" w:type="dxa"/>
            <w:vAlign w:val="center"/>
          </w:tcPr>
          <w:p w:rsidR="00257B74" w:rsidRPr="004C5551" w:rsidRDefault="00257B74" w:rsidP="00073D95">
            <w:pPr>
              <w:spacing w:line="0" w:lineRule="atLeast"/>
            </w:pPr>
            <w:r w:rsidRPr="004C5551">
              <w:rPr>
                <w:b/>
                <w:bCs/>
                <w:szCs w:val="22"/>
              </w:rPr>
              <w:t>PP na kompenzáciu</w:t>
            </w:r>
            <w:r w:rsidR="00073D95" w:rsidRPr="004C5551">
              <w:rPr>
                <w:b/>
                <w:bCs/>
                <w:szCs w:val="22"/>
              </w:rPr>
              <w:t xml:space="preserve"> </w:t>
            </w:r>
            <w:r w:rsidRPr="004C5551">
              <w:rPr>
                <w:b/>
                <w:bCs/>
                <w:szCs w:val="22"/>
              </w:rPr>
              <w:t>zvýšených</w:t>
            </w:r>
            <w:r w:rsidR="00073D95" w:rsidRPr="004C5551">
              <w:rPr>
                <w:b/>
                <w:bCs/>
                <w:szCs w:val="22"/>
              </w:rPr>
              <w:t xml:space="preserve"> </w:t>
            </w:r>
            <w:r w:rsidRPr="004C5551">
              <w:rPr>
                <w:b/>
                <w:bCs/>
                <w:szCs w:val="22"/>
              </w:rPr>
              <w:t>výdavkov</w:t>
            </w:r>
            <w:r w:rsidRPr="004C5551">
              <w:rPr>
                <w:szCs w:val="22"/>
              </w:rPr>
              <w:t>:</w:t>
            </w:r>
          </w:p>
        </w:tc>
        <w:tc>
          <w:tcPr>
            <w:tcW w:w="2129" w:type="dxa"/>
            <w:tcMar>
              <w:top w:w="0" w:type="dxa"/>
              <w:left w:w="75" w:type="dxa"/>
              <w:bottom w:w="0" w:type="dxa"/>
              <w:right w:w="75" w:type="dxa"/>
            </w:tcMar>
            <w:vAlign w:val="bottom"/>
          </w:tcPr>
          <w:p w:rsidR="00257B74" w:rsidRPr="004C5551" w:rsidRDefault="00257B74" w:rsidP="00D17FBE">
            <w:pPr>
              <w:ind w:right="634"/>
              <w:jc w:val="right"/>
            </w:pPr>
          </w:p>
        </w:tc>
      </w:tr>
      <w:tr w:rsidR="00257B74" w:rsidRPr="004C5551" w:rsidTr="00D17FBE">
        <w:trPr>
          <w:trHeight w:val="234"/>
        </w:trPr>
        <w:tc>
          <w:tcPr>
            <w:tcW w:w="7160" w:type="dxa"/>
          </w:tcPr>
          <w:p w:rsidR="00257B74" w:rsidRPr="004C5551" w:rsidRDefault="00257B74" w:rsidP="00AD1708">
            <w:pPr>
              <w:spacing w:line="0" w:lineRule="atLeast"/>
              <w:rPr>
                <w:b/>
              </w:rPr>
            </w:pPr>
            <w:r w:rsidRPr="004C5551">
              <w:rPr>
                <w:b/>
                <w:szCs w:val="22"/>
              </w:rPr>
              <w:t>1. na diétne stravovanie</w:t>
            </w:r>
          </w:p>
        </w:tc>
        <w:tc>
          <w:tcPr>
            <w:tcW w:w="2129" w:type="dxa"/>
            <w:tcMar>
              <w:top w:w="0" w:type="dxa"/>
              <w:left w:w="75" w:type="dxa"/>
              <w:bottom w:w="0" w:type="dxa"/>
              <w:right w:w="75" w:type="dxa"/>
            </w:tcMar>
            <w:vAlign w:val="bottom"/>
          </w:tcPr>
          <w:p w:rsidR="00257B74" w:rsidRPr="004C5551" w:rsidRDefault="00257B74" w:rsidP="00D17FBE">
            <w:pPr>
              <w:ind w:right="634"/>
              <w:jc w:val="right"/>
            </w:pPr>
          </w:p>
        </w:tc>
      </w:tr>
      <w:tr w:rsidR="00257B74" w:rsidRPr="004C5551" w:rsidTr="00D17FBE">
        <w:trPr>
          <w:trHeight w:val="262"/>
        </w:trPr>
        <w:tc>
          <w:tcPr>
            <w:tcW w:w="7160" w:type="dxa"/>
          </w:tcPr>
          <w:p w:rsidR="00257B74" w:rsidRPr="004C5551" w:rsidRDefault="00257B74" w:rsidP="00AD1708">
            <w:pPr>
              <w:spacing w:line="0" w:lineRule="atLeast"/>
            </w:pPr>
            <w:r w:rsidRPr="004C5551">
              <w:rPr>
                <w:szCs w:val="22"/>
              </w:rPr>
              <w:t>1a) choroby a poruchy uvedené v prvej skupine prílohy č.5 zákona</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36,77</w:t>
            </w:r>
          </w:p>
        </w:tc>
      </w:tr>
      <w:tr w:rsidR="00257B74" w:rsidRPr="004C5551" w:rsidTr="00D17FBE">
        <w:trPr>
          <w:trHeight w:val="221"/>
        </w:trPr>
        <w:tc>
          <w:tcPr>
            <w:tcW w:w="7160" w:type="dxa"/>
          </w:tcPr>
          <w:p w:rsidR="00257B74" w:rsidRPr="004C5551" w:rsidRDefault="00257B74" w:rsidP="00AD1708">
            <w:pPr>
              <w:spacing w:line="0" w:lineRule="atLeast"/>
            </w:pPr>
            <w:r w:rsidRPr="004C5551">
              <w:rPr>
                <w:szCs w:val="22"/>
              </w:rPr>
              <w:t>1b) choroby a poruchy uvedené v druhej skupine prílohy č.5 zákona</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18,39</w:t>
            </w:r>
          </w:p>
        </w:tc>
      </w:tr>
      <w:tr w:rsidR="00257B74" w:rsidRPr="004C5551" w:rsidTr="00D17FBE">
        <w:trPr>
          <w:trHeight w:val="234"/>
        </w:trPr>
        <w:tc>
          <w:tcPr>
            <w:tcW w:w="7160" w:type="dxa"/>
          </w:tcPr>
          <w:p w:rsidR="00257B74" w:rsidRPr="004C5551" w:rsidRDefault="00257B74" w:rsidP="00AD1708">
            <w:pPr>
              <w:spacing w:line="0" w:lineRule="atLeast"/>
            </w:pPr>
            <w:r w:rsidRPr="004C5551">
              <w:rPr>
                <w:szCs w:val="22"/>
              </w:rPr>
              <w:t>1c) choroby a poruchy uvedené v tretej skupine prílohy č.5 zákona</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11,04</w:t>
            </w:r>
          </w:p>
        </w:tc>
      </w:tr>
      <w:tr w:rsidR="00257B74" w:rsidRPr="004C5551" w:rsidTr="00D17FBE">
        <w:trPr>
          <w:trHeight w:val="456"/>
        </w:trPr>
        <w:tc>
          <w:tcPr>
            <w:tcW w:w="7160" w:type="dxa"/>
          </w:tcPr>
          <w:p w:rsidR="00257B74" w:rsidRPr="004C5551" w:rsidRDefault="00257B74" w:rsidP="004A5701">
            <w:pPr>
              <w:spacing w:line="0" w:lineRule="atLeast"/>
              <w:rPr>
                <w:b/>
              </w:rPr>
            </w:pPr>
            <w:r w:rsidRPr="004C5551">
              <w:rPr>
                <w:b/>
                <w:szCs w:val="22"/>
              </w:rPr>
              <w:t>2. hygienu alebo opotrebovanie šatstva, bielizne, obuvi a</w:t>
            </w:r>
            <w:r w:rsidR="004A5701" w:rsidRPr="004C5551">
              <w:rPr>
                <w:b/>
                <w:szCs w:val="22"/>
              </w:rPr>
              <w:t> </w:t>
            </w:r>
            <w:r w:rsidRPr="004C5551">
              <w:rPr>
                <w:b/>
                <w:szCs w:val="22"/>
              </w:rPr>
              <w:t>bytového</w:t>
            </w:r>
            <w:r w:rsidR="004A5701" w:rsidRPr="004C5551">
              <w:rPr>
                <w:b/>
                <w:szCs w:val="22"/>
              </w:rPr>
              <w:t xml:space="preserve"> </w:t>
            </w:r>
            <w:r w:rsidRPr="004C5551">
              <w:rPr>
                <w:b/>
                <w:szCs w:val="22"/>
              </w:rPr>
              <w:t>zariadenia</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18,39</w:t>
            </w:r>
          </w:p>
        </w:tc>
      </w:tr>
      <w:tr w:rsidR="00257B74" w:rsidRPr="004C5551" w:rsidTr="00D17FBE">
        <w:trPr>
          <w:trHeight w:val="234"/>
        </w:trPr>
        <w:tc>
          <w:tcPr>
            <w:tcW w:w="7160" w:type="dxa"/>
          </w:tcPr>
          <w:p w:rsidR="00257B74" w:rsidRPr="004C5551" w:rsidRDefault="00257B74" w:rsidP="00AD1708">
            <w:pPr>
              <w:spacing w:line="0" w:lineRule="atLeast"/>
              <w:rPr>
                <w:b/>
              </w:rPr>
            </w:pPr>
            <w:r w:rsidRPr="004C5551">
              <w:rPr>
                <w:b/>
                <w:szCs w:val="22"/>
              </w:rPr>
              <w:t>3. zabezpečenie prevádzky osobného motorového vozidla</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33,09</w:t>
            </w:r>
          </w:p>
        </w:tc>
      </w:tr>
      <w:tr w:rsidR="00257B74" w:rsidRPr="004C5551" w:rsidTr="00D17FBE">
        <w:trPr>
          <w:trHeight w:val="221"/>
        </w:trPr>
        <w:tc>
          <w:tcPr>
            <w:tcW w:w="7160" w:type="dxa"/>
          </w:tcPr>
          <w:p w:rsidR="00257B74" w:rsidRPr="004C5551" w:rsidRDefault="00257B74" w:rsidP="00073D95">
            <w:pPr>
              <w:spacing w:line="0" w:lineRule="atLeast"/>
              <w:rPr>
                <w:b/>
              </w:rPr>
            </w:pPr>
            <w:r w:rsidRPr="004C5551">
              <w:rPr>
                <w:b/>
                <w:szCs w:val="22"/>
              </w:rPr>
              <w:t>4. starostlivosť</w:t>
            </w:r>
            <w:r w:rsidR="00073D95" w:rsidRPr="004C5551">
              <w:rPr>
                <w:b/>
                <w:szCs w:val="22"/>
              </w:rPr>
              <w:t xml:space="preserve"> </w:t>
            </w:r>
            <w:r w:rsidRPr="004C5551">
              <w:rPr>
                <w:b/>
                <w:szCs w:val="22"/>
              </w:rPr>
              <w:t>o psa so špeciálnym výcvikom</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44,12</w:t>
            </w:r>
          </w:p>
        </w:tc>
      </w:tr>
      <w:tr w:rsidR="00257B74" w:rsidRPr="004C5551" w:rsidTr="00D17FBE">
        <w:trPr>
          <w:trHeight w:val="234"/>
        </w:trPr>
        <w:tc>
          <w:tcPr>
            <w:tcW w:w="7160" w:type="dxa"/>
          </w:tcPr>
          <w:p w:rsidR="00257B74" w:rsidRPr="004C5551" w:rsidRDefault="00257B74" w:rsidP="00AD1708">
            <w:pPr>
              <w:spacing w:line="0" w:lineRule="atLeast"/>
            </w:pPr>
            <w:r w:rsidRPr="004C5551">
              <w:rPr>
                <w:b/>
                <w:bCs/>
                <w:szCs w:val="22"/>
              </w:rPr>
              <w:t>PP na opatrovanie</w:t>
            </w:r>
            <w:r w:rsidRPr="004C5551">
              <w:rPr>
                <w:szCs w:val="22"/>
              </w:rPr>
              <w:t>:</w:t>
            </w:r>
          </w:p>
        </w:tc>
        <w:tc>
          <w:tcPr>
            <w:tcW w:w="2129" w:type="dxa"/>
            <w:tcMar>
              <w:top w:w="0" w:type="dxa"/>
              <w:left w:w="75" w:type="dxa"/>
              <w:bottom w:w="0" w:type="dxa"/>
              <w:right w:w="75" w:type="dxa"/>
            </w:tcMar>
            <w:vAlign w:val="bottom"/>
          </w:tcPr>
          <w:p w:rsidR="00257B74" w:rsidRPr="004C5551" w:rsidRDefault="00257B74" w:rsidP="00D17FBE">
            <w:pPr>
              <w:ind w:right="634"/>
              <w:jc w:val="right"/>
            </w:pPr>
          </w:p>
        </w:tc>
      </w:tr>
      <w:tr w:rsidR="00257B74" w:rsidRPr="004C5551" w:rsidTr="00D17FBE">
        <w:trPr>
          <w:trHeight w:val="456"/>
        </w:trPr>
        <w:tc>
          <w:tcPr>
            <w:tcW w:w="7160" w:type="dxa"/>
          </w:tcPr>
          <w:p w:rsidR="00257B74" w:rsidRPr="004C5551" w:rsidRDefault="00257B74" w:rsidP="00AD1708">
            <w:pPr>
              <w:spacing w:line="0" w:lineRule="atLeast"/>
              <w:rPr>
                <w:b/>
              </w:rPr>
            </w:pPr>
            <w:r w:rsidRPr="004C5551">
              <w:rPr>
                <w:b/>
                <w:szCs w:val="22"/>
              </w:rPr>
              <w:t>1.FO</w:t>
            </w:r>
            <w:r w:rsidRPr="004C5551">
              <w:rPr>
                <w:b/>
                <w:szCs w:val="22"/>
                <w:vertAlign w:val="superscript"/>
              </w:rPr>
              <w:t xml:space="preserve"> </w:t>
            </w:r>
            <w:r w:rsidRPr="004C5551">
              <w:rPr>
                <w:b/>
                <w:szCs w:val="22"/>
              </w:rPr>
              <w:t>(opatrovateľ) nepoberá niektorú zo zákonom ustanovených dôchodkových dávok:</w:t>
            </w:r>
          </w:p>
        </w:tc>
        <w:tc>
          <w:tcPr>
            <w:tcW w:w="2129" w:type="dxa"/>
            <w:tcMar>
              <w:top w:w="0" w:type="dxa"/>
              <w:left w:w="75" w:type="dxa"/>
              <w:bottom w:w="0" w:type="dxa"/>
              <w:right w:w="75" w:type="dxa"/>
            </w:tcMar>
            <w:vAlign w:val="bottom"/>
          </w:tcPr>
          <w:p w:rsidR="00257B74" w:rsidRPr="004C5551" w:rsidRDefault="00257B74" w:rsidP="00D17FBE">
            <w:pPr>
              <w:ind w:right="634"/>
              <w:jc w:val="right"/>
            </w:pPr>
          </w:p>
        </w:tc>
      </w:tr>
      <w:tr w:rsidR="00257B74" w:rsidRPr="004C5551" w:rsidTr="00D17FBE">
        <w:trPr>
          <w:trHeight w:val="234"/>
        </w:trPr>
        <w:tc>
          <w:tcPr>
            <w:tcW w:w="7160" w:type="dxa"/>
          </w:tcPr>
          <w:p w:rsidR="00257B74" w:rsidRPr="004C5551" w:rsidRDefault="00257B74" w:rsidP="00073D95">
            <w:pPr>
              <w:spacing w:line="0" w:lineRule="atLeast"/>
            </w:pPr>
            <w:r w:rsidRPr="004C5551">
              <w:rPr>
                <w:szCs w:val="22"/>
              </w:rPr>
              <w:t>1a) opatruje jednu</w:t>
            </w:r>
            <w:r w:rsidR="00073D95" w:rsidRPr="004C5551">
              <w:rPr>
                <w:szCs w:val="22"/>
              </w:rPr>
              <w:t xml:space="preserve"> </w:t>
            </w:r>
            <w:r w:rsidRPr="004C5551">
              <w:rPr>
                <w:szCs w:val="22"/>
              </w:rPr>
              <w:t>FO s ŤZP</w:t>
            </w:r>
            <w:r w:rsidRPr="004C5551">
              <w:rPr>
                <w:szCs w:val="22"/>
                <w:vertAlign w:val="superscript"/>
              </w:rPr>
              <w:t>3)</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220,52</w:t>
            </w:r>
          </w:p>
        </w:tc>
      </w:tr>
      <w:tr w:rsidR="00257B74" w:rsidRPr="004C5551" w:rsidTr="00D17FBE">
        <w:trPr>
          <w:trHeight w:val="221"/>
        </w:trPr>
        <w:tc>
          <w:tcPr>
            <w:tcW w:w="7160" w:type="dxa"/>
          </w:tcPr>
          <w:p w:rsidR="00257B74" w:rsidRPr="004C5551" w:rsidRDefault="00257B74" w:rsidP="00AD1708">
            <w:pPr>
              <w:spacing w:line="0" w:lineRule="atLeast"/>
            </w:pPr>
            <w:r w:rsidRPr="004C5551">
              <w:rPr>
                <w:szCs w:val="22"/>
              </w:rPr>
              <w:t>1b) opatruje dve alebo viaceré FO s ŤZP</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294,01</w:t>
            </w:r>
          </w:p>
        </w:tc>
      </w:tr>
      <w:tr w:rsidR="00257B74" w:rsidRPr="004C5551" w:rsidTr="00D17FBE">
        <w:trPr>
          <w:trHeight w:val="456"/>
        </w:trPr>
        <w:tc>
          <w:tcPr>
            <w:tcW w:w="7160" w:type="dxa"/>
          </w:tcPr>
          <w:p w:rsidR="00257B74" w:rsidRPr="004C5551" w:rsidRDefault="00257B74" w:rsidP="00AD1708">
            <w:pPr>
              <w:spacing w:line="0" w:lineRule="atLeast"/>
            </w:pPr>
            <w:r w:rsidRPr="004C5551">
              <w:rPr>
                <w:szCs w:val="22"/>
              </w:rPr>
              <w:t>1c) opatruje jednu FO s ŤZP, ktorá je viac ako 20 hodín týždenne v zariadení</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194,79</w:t>
            </w:r>
          </w:p>
        </w:tc>
      </w:tr>
      <w:tr w:rsidR="00257B74" w:rsidRPr="004C5551" w:rsidTr="00D17FBE">
        <w:trPr>
          <w:trHeight w:val="469"/>
        </w:trPr>
        <w:tc>
          <w:tcPr>
            <w:tcW w:w="7160" w:type="dxa"/>
          </w:tcPr>
          <w:p w:rsidR="00257B74" w:rsidRPr="004C5551" w:rsidRDefault="00257B74" w:rsidP="00AD1708">
            <w:pPr>
              <w:spacing w:line="0" w:lineRule="atLeast"/>
            </w:pPr>
            <w:r w:rsidRPr="004C5551">
              <w:rPr>
                <w:szCs w:val="22"/>
              </w:rPr>
              <w:t>1d) opatruje dve alebo viaceré FO s ŤZP, ktoré sú viac ako 20 hodín týždenne v zariadení</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275,65</w:t>
            </w:r>
          </w:p>
        </w:tc>
      </w:tr>
      <w:tr w:rsidR="00257B74" w:rsidRPr="004C5551" w:rsidTr="00D17FBE">
        <w:trPr>
          <w:trHeight w:val="690"/>
        </w:trPr>
        <w:tc>
          <w:tcPr>
            <w:tcW w:w="7160" w:type="dxa"/>
          </w:tcPr>
          <w:p w:rsidR="00257B74" w:rsidRPr="004C5551" w:rsidRDefault="00257B74" w:rsidP="00AD1708">
            <w:pPr>
              <w:spacing w:line="0" w:lineRule="atLeast"/>
            </w:pPr>
            <w:r w:rsidRPr="004C5551">
              <w:rPr>
                <w:szCs w:val="22"/>
              </w:rPr>
              <w:t>1e) opatruje FO s ŤZP, ktorá je v zariadení viac ako 20 hodín týždenne a súčasne opatruje aj druhú FO s ŤZP, ktorá nie je v zariadení alebo je v zariadení najviac 20 hodín týždenne</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286,66</w:t>
            </w:r>
          </w:p>
        </w:tc>
      </w:tr>
      <w:tr w:rsidR="00257B74" w:rsidRPr="004C5551" w:rsidTr="00D17FBE">
        <w:trPr>
          <w:trHeight w:val="456"/>
        </w:trPr>
        <w:tc>
          <w:tcPr>
            <w:tcW w:w="7160" w:type="dxa"/>
          </w:tcPr>
          <w:p w:rsidR="00257B74" w:rsidRPr="004C5551" w:rsidRDefault="00257B74" w:rsidP="00AD1708">
            <w:pPr>
              <w:spacing w:line="0" w:lineRule="atLeast"/>
              <w:rPr>
                <w:b/>
              </w:rPr>
            </w:pPr>
            <w:r w:rsidRPr="004C5551">
              <w:rPr>
                <w:b/>
                <w:szCs w:val="22"/>
              </w:rPr>
              <w:t>2. FO (opatrovateľ) poberá niektorú zo zákonom ustanovených dôchodkových dávok</w:t>
            </w:r>
          </w:p>
        </w:tc>
        <w:tc>
          <w:tcPr>
            <w:tcW w:w="2129" w:type="dxa"/>
            <w:tcMar>
              <w:top w:w="0" w:type="dxa"/>
              <w:left w:w="75" w:type="dxa"/>
              <w:bottom w:w="0" w:type="dxa"/>
              <w:right w:w="75" w:type="dxa"/>
            </w:tcMar>
            <w:vAlign w:val="bottom"/>
          </w:tcPr>
          <w:p w:rsidR="00257B74" w:rsidRPr="004C5551" w:rsidRDefault="00257B74" w:rsidP="00D17FBE">
            <w:pPr>
              <w:ind w:right="634"/>
              <w:jc w:val="right"/>
            </w:pPr>
          </w:p>
        </w:tc>
      </w:tr>
      <w:tr w:rsidR="00257B74" w:rsidRPr="004C5551" w:rsidTr="00D17FBE">
        <w:trPr>
          <w:trHeight w:val="234"/>
        </w:trPr>
        <w:tc>
          <w:tcPr>
            <w:tcW w:w="7160" w:type="dxa"/>
          </w:tcPr>
          <w:p w:rsidR="00257B74" w:rsidRPr="004C5551" w:rsidRDefault="00257B74" w:rsidP="00AD1708">
            <w:pPr>
              <w:spacing w:line="0" w:lineRule="atLeast"/>
            </w:pPr>
            <w:r w:rsidRPr="004C5551">
              <w:rPr>
                <w:szCs w:val="22"/>
              </w:rPr>
              <w:t>2a) opatruje jednu FO s ŤZP</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91,88</w:t>
            </w:r>
          </w:p>
        </w:tc>
      </w:tr>
      <w:tr w:rsidR="00257B74" w:rsidRPr="004C5551" w:rsidTr="00D17FBE">
        <w:trPr>
          <w:trHeight w:val="234"/>
        </w:trPr>
        <w:tc>
          <w:tcPr>
            <w:tcW w:w="7160" w:type="dxa"/>
          </w:tcPr>
          <w:p w:rsidR="00257B74" w:rsidRPr="004C5551" w:rsidRDefault="00257B74" w:rsidP="00AD1708">
            <w:pPr>
              <w:spacing w:line="0" w:lineRule="atLeast"/>
            </w:pPr>
            <w:r w:rsidRPr="004C5551">
              <w:rPr>
                <w:szCs w:val="22"/>
              </w:rPr>
              <w:t>2b) opatruje dve alebo viaceré FO s ŤZP</w:t>
            </w:r>
          </w:p>
        </w:tc>
        <w:tc>
          <w:tcPr>
            <w:tcW w:w="2129" w:type="dxa"/>
            <w:tcMar>
              <w:top w:w="0" w:type="dxa"/>
              <w:left w:w="75" w:type="dxa"/>
              <w:bottom w:w="0" w:type="dxa"/>
              <w:right w:w="75" w:type="dxa"/>
            </w:tcMar>
            <w:vAlign w:val="bottom"/>
          </w:tcPr>
          <w:p w:rsidR="00257B74" w:rsidRPr="004C5551" w:rsidRDefault="00257B74" w:rsidP="00D17FBE">
            <w:pPr>
              <w:ind w:right="634"/>
              <w:jc w:val="right"/>
            </w:pPr>
            <w:r w:rsidRPr="004C5551">
              <w:rPr>
                <w:szCs w:val="22"/>
              </w:rPr>
              <w:t>121,28</w:t>
            </w:r>
          </w:p>
        </w:tc>
      </w:tr>
    </w:tbl>
    <w:p w:rsidR="00257B74" w:rsidRPr="004C5551" w:rsidRDefault="00D17FBE" w:rsidP="00D17FBE">
      <w:pPr>
        <w:pStyle w:val="zdroj"/>
        <w:rPr>
          <w:bCs/>
          <w:szCs w:val="22"/>
        </w:rPr>
      </w:pPr>
      <w:r w:rsidRPr="004C5551">
        <w:t xml:space="preserve">Zdroj: MPSVR SR </w:t>
      </w:r>
    </w:p>
    <w:p w:rsidR="002D5556" w:rsidRPr="004C5551" w:rsidRDefault="00EE0DB2" w:rsidP="00D17FBE">
      <w:pPr>
        <w:pStyle w:val="Nadpis7"/>
      </w:pPr>
      <w:bookmarkStart w:id="677" w:name="_Toc356482734"/>
      <w:r w:rsidRPr="004C5551">
        <w:t>Tabuľka</w:t>
      </w:r>
      <w:r w:rsidR="000617E6" w:rsidRPr="004C5551">
        <w:t xml:space="preserve"> 3.</w:t>
      </w:r>
      <w:r w:rsidR="00A35E96" w:rsidRPr="004C5551">
        <w:t>2</w:t>
      </w:r>
      <w:r w:rsidR="0005633C" w:rsidRPr="004C5551">
        <w:t>3</w:t>
      </w:r>
      <w:r w:rsidR="00A35E96" w:rsidRPr="004C5551">
        <w:t xml:space="preserve"> </w:t>
      </w:r>
      <w:r w:rsidR="002D5556" w:rsidRPr="004C5551">
        <w:t xml:space="preserve">Maximálne výšky jednorazových peňažných príspevkov na kompenzáciu </w:t>
      </w:r>
      <w:bookmarkEnd w:id="677"/>
    </w:p>
    <w:tbl>
      <w:tblPr>
        <w:tblStyle w:val="LightList-Accent11"/>
        <w:tblW w:w="912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7380"/>
        <w:gridCol w:w="1746"/>
      </w:tblGrid>
      <w:tr w:rsidR="004438D0" w:rsidRPr="004C5551" w:rsidTr="00D17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8" w:space="0" w:color="BF0000" w:themeColor="accent3" w:themeShade="BF"/>
              <w:bottom w:val="single" w:sz="6" w:space="0" w:color="BF0000" w:themeColor="accent3" w:themeShade="BF"/>
            </w:tcBorders>
            <w:shd w:val="clear" w:color="auto" w:fill="BF0000" w:themeFill="accent3" w:themeFillShade="BF"/>
            <w:vAlign w:val="center"/>
          </w:tcPr>
          <w:p w:rsidR="004438D0" w:rsidRPr="004C5551" w:rsidRDefault="004438D0" w:rsidP="00A32BDA">
            <w:pPr>
              <w:rPr>
                <w:bCs w:val="0"/>
              </w:rPr>
            </w:pPr>
            <w:r w:rsidRPr="004C5551">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tcBorders>
              <w:top w:val="single" w:sz="8" w:space="0" w:color="BF0000" w:themeColor="accent3" w:themeShade="BF"/>
              <w:bottom w:val="single" w:sz="6" w:space="0" w:color="BF0000" w:themeColor="accent3" w:themeShade="BF"/>
            </w:tcBorders>
            <w:shd w:val="clear" w:color="auto" w:fill="BF0000" w:themeFill="accent3" w:themeFillShade="BF"/>
            <w:vAlign w:val="center"/>
            <w:hideMark/>
          </w:tcPr>
          <w:p w:rsidR="004438D0" w:rsidRPr="004C5551" w:rsidRDefault="004438D0" w:rsidP="000860E9">
            <w:pPr>
              <w:jc w:val="center"/>
              <w:rPr>
                <w:bCs w:val="0"/>
              </w:rPr>
            </w:pPr>
            <w:r w:rsidRPr="004C5551">
              <w:t>Maximálna výška v</w:t>
            </w:r>
            <w:r w:rsidR="00355B43" w:rsidRPr="004C5551">
              <w:t> </w:t>
            </w:r>
            <w:r w:rsidR="000860E9" w:rsidRPr="004C5551">
              <w:t>€</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BF0000" w:themeColor="accent3" w:themeShade="BF"/>
              <w:left w:val="none" w:sz="0" w:space="0" w:color="auto"/>
              <w:bottom w:val="none" w:sz="0" w:space="0" w:color="auto"/>
            </w:tcBorders>
            <w:hideMark/>
          </w:tcPr>
          <w:p w:rsidR="00412FBD" w:rsidRPr="004C5551" w:rsidRDefault="00412FBD" w:rsidP="00A32BDA">
            <w:pPr>
              <w:rPr>
                <w:b w:val="0"/>
              </w:rPr>
            </w:pPr>
            <w:r w:rsidRPr="004C5551">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6" w:space="0" w:color="BF0000" w:themeColor="accent3" w:themeShade="BF"/>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8 630,42</w:t>
            </w:r>
          </w:p>
        </w:tc>
      </w:tr>
      <w:tr w:rsidR="00412FBD" w:rsidRPr="004C5551" w:rsidTr="00D17FBE">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4C5551" w:rsidRDefault="00D818CE" w:rsidP="00A32BDA">
            <w:pPr>
              <w:rPr>
                <w:b w:val="0"/>
              </w:rPr>
            </w:pPr>
            <w:r w:rsidRPr="004C5551">
              <w:rPr>
                <w:color w:val="000000" w:themeColor="text1"/>
              </w:rPr>
              <w:t>–</w:t>
            </w:r>
            <w:r w:rsidR="00412FBD" w:rsidRPr="004C5551">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4C5551" w:rsidRDefault="00412FBD" w:rsidP="00A231CC">
            <w:pPr>
              <w:ind w:right="263"/>
              <w:jc w:val="right"/>
              <w:rPr>
                <w:b w:val="0"/>
                <w:szCs w:val="22"/>
              </w:rPr>
            </w:pPr>
            <w:r w:rsidRPr="004C5551">
              <w:rPr>
                <w:b w:val="0"/>
                <w:szCs w:val="22"/>
              </w:rPr>
              <w:t>1 659,70</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D818CE" w:rsidP="00A32BDA">
            <w:pPr>
              <w:rPr>
                <w:b w:val="0"/>
              </w:rPr>
            </w:pPr>
            <w:r w:rsidRPr="004C5551">
              <w:rPr>
                <w:color w:val="000000" w:themeColor="text1"/>
              </w:rPr>
              <w:t>–</w:t>
            </w:r>
            <w:r w:rsidR="00412FBD" w:rsidRPr="004C5551">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4 979,09</w:t>
            </w:r>
          </w:p>
        </w:tc>
      </w:tr>
      <w:tr w:rsidR="00412FBD" w:rsidRPr="004C5551" w:rsidTr="00D17FBE">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4C5551" w:rsidRDefault="00D818CE" w:rsidP="00A32BDA">
            <w:pPr>
              <w:rPr>
                <w:b w:val="0"/>
              </w:rPr>
            </w:pPr>
            <w:r w:rsidRPr="004C5551">
              <w:rPr>
                <w:color w:val="000000" w:themeColor="text1"/>
              </w:rPr>
              <w:t>–</w:t>
            </w:r>
            <w:r w:rsidR="00412FBD" w:rsidRPr="004C5551">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4C5551" w:rsidRDefault="00412FBD" w:rsidP="00A231CC">
            <w:pPr>
              <w:ind w:right="263"/>
              <w:jc w:val="right"/>
              <w:rPr>
                <w:b w:val="0"/>
                <w:szCs w:val="22"/>
              </w:rPr>
            </w:pPr>
            <w:r w:rsidRPr="004C5551">
              <w:rPr>
                <w:b w:val="0"/>
                <w:szCs w:val="22"/>
              </w:rPr>
              <w:t>331,94</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412FBD" w:rsidP="00A32BDA">
            <w:pPr>
              <w:rPr>
                <w:b w:val="0"/>
              </w:rPr>
            </w:pPr>
            <w:r w:rsidRPr="004C5551">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8 630,42</w:t>
            </w:r>
          </w:p>
        </w:tc>
      </w:tr>
      <w:tr w:rsidR="00412FBD" w:rsidRPr="004C5551" w:rsidTr="00D17FBE">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4C5551" w:rsidRDefault="00412FBD" w:rsidP="00A32BDA">
            <w:pPr>
              <w:rPr>
                <w:b w:val="0"/>
              </w:rPr>
            </w:pPr>
            <w:r w:rsidRPr="004C5551">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4C5551" w:rsidRDefault="00412FBD" w:rsidP="00A231CC">
            <w:pPr>
              <w:ind w:right="263"/>
              <w:jc w:val="right"/>
              <w:rPr>
                <w:b w:val="0"/>
                <w:szCs w:val="22"/>
              </w:rPr>
            </w:pPr>
            <w:r w:rsidRPr="004C5551">
              <w:rPr>
                <w:b w:val="0"/>
                <w:szCs w:val="22"/>
              </w:rPr>
              <w:t>8 630,42</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412FBD" w:rsidP="00A32BDA">
            <w:pPr>
              <w:rPr>
                <w:b w:val="0"/>
              </w:rPr>
            </w:pPr>
            <w:r w:rsidRPr="004C5551">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11 617,88</w:t>
            </w:r>
          </w:p>
        </w:tc>
      </w:tr>
      <w:tr w:rsidR="00412FBD" w:rsidRPr="004C5551" w:rsidTr="00D17FBE">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4C5551" w:rsidRDefault="00412FBD" w:rsidP="00A32BDA">
            <w:pPr>
              <w:rPr>
                <w:b w:val="0"/>
              </w:rPr>
            </w:pPr>
            <w:r w:rsidRPr="004C5551">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4C5551" w:rsidRDefault="00412FBD" w:rsidP="00A231CC">
            <w:pPr>
              <w:ind w:right="263"/>
              <w:jc w:val="right"/>
              <w:rPr>
                <w:b w:val="0"/>
                <w:szCs w:val="22"/>
              </w:rPr>
            </w:pPr>
            <w:r w:rsidRPr="004C5551">
              <w:rPr>
                <w:b w:val="0"/>
                <w:szCs w:val="22"/>
              </w:rPr>
              <w:t>6 638,79</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D818CE" w:rsidP="00A32BDA">
            <w:pPr>
              <w:rPr>
                <w:b w:val="0"/>
              </w:rPr>
            </w:pPr>
            <w:r w:rsidRPr="004C5551">
              <w:rPr>
                <w:color w:val="000000" w:themeColor="text1"/>
              </w:rPr>
              <w:t>–</w:t>
            </w:r>
            <w:r w:rsidR="00412FBD" w:rsidRPr="004C5551">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8 298,48</w:t>
            </w:r>
          </w:p>
        </w:tc>
      </w:tr>
      <w:tr w:rsidR="00412FBD" w:rsidRPr="004C5551" w:rsidTr="00D17FBE">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4C5551" w:rsidRDefault="00412FBD" w:rsidP="00A32BDA">
            <w:pPr>
              <w:rPr>
                <w:b w:val="0"/>
              </w:rPr>
            </w:pPr>
            <w:r w:rsidRPr="004C5551">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4C5551" w:rsidRDefault="00412FBD" w:rsidP="00A231CC">
            <w:pPr>
              <w:ind w:right="263"/>
              <w:jc w:val="right"/>
              <w:rPr>
                <w:b w:val="0"/>
                <w:szCs w:val="22"/>
              </w:rPr>
            </w:pPr>
            <w:r w:rsidRPr="004C5551">
              <w:rPr>
                <w:b w:val="0"/>
                <w:szCs w:val="22"/>
              </w:rPr>
              <w:t>6 638,79</w:t>
            </w:r>
          </w:p>
        </w:tc>
      </w:tr>
      <w:tr w:rsidR="00412FBD" w:rsidRPr="004C5551" w:rsidTr="00D17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412FBD" w:rsidP="00A32BDA">
            <w:pPr>
              <w:rPr>
                <w:b w:val="0"/>
              </w:rPr>
            </w:pPr>
            <w:r w:rsidRPr="004C5551">
              <w:rPr>
                <w:b w:val="0"/>
              </w:rPr>
              <w:t>Úhrn peňažných príspevkov na úpravu bytu a peňažných</w:t>
            </w:r>
          </w:p>
          <w:p w:rsidR="00412FBD" w:rsidRPr="004C5551" w:rsidRDefault="00412FBD" w:rsidP="00A32BDA">
            <w:pPr>
              <w:rPr>
                <w:b w:val="0"/>
              </w:rPr>
            </w:pPr>
            <w:r w:rsidRPr="004C5551">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6 638,79</w:t>
            </w:r>
          </w:p>
        </w:tc>
      </w:tr>
      <w:tr w:rsidR="00412FBD" w:rsidRPr="004C5551" w:rsidTr="00D17FB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4C5551" w:rsidRDefault="00412FBD" w:rsidP="00A32BDA">
            <w:pPr>
              <w:rPr>
                <w:b w:val="0"/>
              </w:rPr>
            </w:pPr>
            <w:r w:rsidRPr="004C5551">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4C5551" w:rsidRDefault="00412FBD" w:rsidP="00A231CC">
            <w:pPr>
              <w:ind w:right="263"/>
              <w:jc w:val="right"/>
              <w:rPr>
                <w:b w:val="0"/>
                <w:szCs w:val="22"/>
              </w:rPr>
            </w:pPr>
            <w:r w:rsidRPr="004C5551">
              <w:rPr>
                <w:b w:val="0"/>
                <w:szCs w:val="22"/>
              </w:rPr>
              <w:t>1 659,70</w:t>
            </w:r>
          </w:p>
        </w:tc>
      </w:tr>
    </w:tbl>
    <w:p w:rsidR="00A241FC" w:rsidRPr="004C5551" w:rsidRDefault="00A241FC" w:rsidP="00A241FC">
      <w:pPr>
        <w:pStyle w:val="zdroj"/>
        <w:rPr>
          <w:bCs/>
          <w:szCs w:val="22"/>
        </w:rPr>
      </w:pPr>
      <w:r w:rsidRPr="004C5551">
        <w:t xml:space="preserve">Zdroj: MPSVR SR </w:t>
      </w:r>
    </w:p>
    <w:p w:rsidR="00412FBD" w:rsidRPr="004C5551" w:rsidRDefault="00257B74" w:rsidP="001206CF">
      <w:pPr>
        <w:spacing w:before="90"/>
        <w:ind w:firstLine="431"/>
        <w:rPr>
          <w:szCs w:val="22"/>
        </w:rPr>
      </w:pPr>
      <w:r w:rsidRPr="004C5551">
        <w:rPr>
          <w:szCs w:val="22"/>
        </w:rPr>
        <w:t>V roku 2014 boli na peňažné príspevky na kompenzáciu vynaložené finančné prostriedky v</w:t>
      </w:r>
      <w:r w:rsidR="00073D95" w:rsidRPr="004C5551">
        <w:rPr>
          <w:szCs w:val="22"/>
        </w:rPr>
        <w:t> </w:t>
      </w:r>
      <w:r w:rsidRPr="004C5551">
        <w:rPr>
          <w:szCs w:val="22"/>
        </w:rPr>
        <w:t>celkovej</w:t>
      </w:r>
      <w:r w:rsidR="00073D95" w:rsidRPr="004C5551">
        <w:rPr>
          <w:szCs w:val="22"/>
        </w:rPr>
        <w:t xml:space="preserve"> </w:t>
      </w:r>
      <w:r w:rsidRPr="004C5551">
        <w:rPr>
          <w:szCs w:val="22"/>
        </w:rPr>
        <w:t>sume 23</w:t>
      </w:r>
      <w:r w:rsidR="007C35F9" w:rsidRPr="004C5551">
        <w:rPr>
          <w:szCs w:val="22"/>
        </w:rPr>
        <w:t>5</w:t>
      </w:r>
      <w:r w:rsidR="003B76A4" w:rsidRPr="004C5551">
        <w:rPr>
          <w:szCs w:val="22"/>
        </w:rPr>
        <w:t> </w:t>
      </w:r>
      <w:r w:rsidR="007C35F9" w:rsidRPr="004C5551">
        <w:rPr>
          <w:szCs w:val="22"/>
        </w:rPr>
        <w:t>9</w:t>
      </w:r>
      <w:r w:rsidR="00D431F6" w:rsidRPr="004C5551">
        <w:rPr>
          <w:szCs w:val="22"/>
        </w:rPr>
        <w:t>10</w:t>
      </w:r>
      <w:r w:rsidR="003B76A4" w:rsidRPr="004C5551">
        <w:rPr>
          <w:szCs w:val="22"/>
        </w:rPr>
        <w:t xml:space="preserve"> </w:t>
      </w:r>
      <w:r w:rsidR="00D431F6" w:rsidRPr="004C5551">
        <w:rPr>
          <w:szCs w:val="22"/>
        </w:rPr>
        <w:t>037</w:t>
      </w:r>
      <w:r w:rsidRPr="004C5551">
        <w:rPr>
          <w:szCs w:val="22"/>
        </w:rPr>
        <w:t xml:space="preserve"> </w:t>
      </w:r>
      <w:r w:rsidR="000860E9" w:rsidRPr="004C5551">
        <w:rPr>
          <w:szCs w:val="22"/>
        </w:rPr>
        <w:t>eur</w:t>
      </w:r>
      <w:r w:rsidRPr="004C5551">
        <w:rPr>
          <w:szCs w:val="22"/>
        </w:rPr>
        <w:t>. Priemerný mesačný počet poberateľov peňažných príspevkov na</w:t>
      </w:r>
      <w:r w:rsidR="00DE38DD" w:rsidRPr="004C5551">
        <w:rPr>
          <w:szCs w:val="22"/>
        </w:rPr>
        <w:t> </w:t>
      </w:r>
      <w:r w:rsidRPr="004C5551">
        <w:rPr>
          <w:szCs w:val="22"/>
        </w:rPr>
        <w:t>kompenzáciu, ktoré boli poskytované fyzickým osobám s ŤZP, v roku 2014 tvorilo 170</w:t>
      </w:r>
      <w:r w:rsidR="00DE38DD" w:rsidRPr="004C5551">
        <w:rPr>
          <w:szCs w:val="22"/>
        </w:rPr>
        <w:t> </w:t>
      </w:r>
      <w:r w:rsidRPr="004C5551">
        <w:rPr>
          <w:szCs w:val="22"/>
        </w:rPr>
        <w:t>80</w:t>
      </w:r>
      <w:r w:rsidR="00C3405F" w:rsidRPr="004C5551">
        <w:rPr>
          <w:szCs w:val="22"/>
        </w:rPr>
        <w:t>6</w:t>
      </w:r>
      <w:r w:rsidR="00DE38DD" w:rsidRPr="004C5551">
        <w:rPr>
          <w:szCs w:val="22"/>
        </w:rPr>
        <w:t> </w:t>
      </w:r>
      <w:r w:rsidRPr="004C5551">
        <w:rPr>
          <w:szCs w:val="22"/>
        </w:rPr>
        <w:t>poberateľov a vynaložené finančné prostriedky na tento účel predstavovali sumu 131</w:t>
      </w:r>
      <w:r w:rsidR="00436DF0" w:rsidRPr="004C5551">
        <w:rPr>
          <w:szCs w:val="22"/>
        </w:rPr>
        <w:t> 600</w:t>
      </w:r>
      <w:r w:rsidR="00DE38DD" w:rsidRPr="004C5551">
        <w:rPr>
          <w:szCs w:val="22"/>
        </w:rPr>
        <w:t> </w:t>
      </w:r>
      <w:r w:rsidR="00436DF0" w:rsidRPr="004C5551">
        <w:rPr>
          <w:szCs w:val="22"/>
        </w:rPr>
        <w:t>626</w:t>
      </w:r>
      <w:r w:rsidR="00DE38DD" w:rsidRPr="004C5551">
        <w:rPr>
          <w:szCs w:val="22"/>
        </w:rPr>
        <w:t> </w:t>
      </w:r>
      <w:r w:rsidR="000860E9" w:rsidRPr="004C5551">
        <w:rPr>
          <w:szCs w:val="22"/>
        </w:rPr>
        <w:t>eur</w:t>
      </w:r>
      <w:r w:rsidRPr="004C5551">
        <w:rPr>
          <w:szCs w:val="22"/>
        </w:rPr>
        <w:t>. Priemerný mesačný počet poberateľov peňažného príspevku na opatrovanie, ktorý je poskytovaný fyzickým osobám (opatrovateľom fyzických osôb s ŤZP) bol 58 992 a finančné prostriedky vyplatené týmto poberateľom predstavovali sumu 104 309</w:t>
      </w:r>
      <w:r w:rsidR="00073D95" w:rsidRPr="004C5551">
        <w:rPr>
          <w:szCs w:val="22"/>
        </w:rPr>
        <w:t> </w:t>
      </w:r>
      <w:r w:rsidRPr="004C5551">
        <w:rPr>
          <w:szCs w:val="22"/>
        </w:rPr>
        <w:t>411</w:t>
      </w:r>
      <w:r w:rsidR="00073D95" w:rsidRPr="004C5551">
        <w:rPr>
          <w:szCs w:val="22"/>
        </w:rPr>
        <w:t xml:space="preserve"> </w:t>
      </w:r>
      <w:r w:rsidR="000860E9" w:rsidRPr="004C5551">
        <w:rPr>
          <w:szCs w:val="22"/>
        </w:rPr>
        <w:t>eur</w:t>
      </w:r>
      <w:r w:rsidRPr="004C5551">
        <w:rPr>
          <w:szCs w:val="22"/>
        </w:rPr>
        <w:t>.</w:t>
      </w:r>
      <w:r w:rsidR="0016196A" w:rsidRPr="004C5551">
        <w:rPr>
          <w:szCs w:val="22"/>
        </w:rPr>
        <w:t xml:space="preserve"> </w:t>
      </w:r>
    </w:p>
    <w:p w:rsidR="004438D0" w:rsidRPr="004C5551" w:rsidRDefault="00EE0DB2" w:rsidP="00D17FBE">
      <w:pPr>
        <w:pStyle w:val="Nadpis7"/>
      </w:pPr>
      <w:bookmarkStart w:id="678" w:name="_Toc356482735"/>
      <w:r w:rsidRPr="004C5551">
        <w:t>Tabuľka</w:t>
      </w:r>
      <w:r w:rsidR="000617E6" w:rsidRPr="004C5551">
        <w:t xml:space="preserve"> 3.</w:t>
      </w:r>
      <w:r w:rsidR="00A35E96" w:rsidRPr="004C5551">
        <w:t>2</w:t>
      </w:r>
      <w:r w:rsidR="0005633C" w:rsidRPr="004C5551">
        <w:t>4</w:t>
      </w:r>
      <w:r w:rsidR="00A35E96" w:rsidRPr="004C5551">
        <w:t xml:space="preserve"> </w:t>
      </w:r>
      <w:r w:rsidR="002D5556" w:rsidRPr="004C5551">
        <w:t>Prehľad čerpania finančných prostriedkov v roku 201</w:t>
      </w:r>
      <w:bookmarkEnd w:id="678"/>
      <w:r w:rsidR="006E7B3A" w:rsidRPr="004C5551">
        <w:t>4</w:t>
      </w:r>
    </w:p>
    <w:tbl>
      <w:tblPr>
        <w:tblStyle w:val="LightList-Accent11"/>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Look w:val="01E0" w:firstRow="1" w:lastRow="1" w:firstColumn="1" w:lastColumn="1" w:noHBand="0" w:noVBand="0"/>
      </w:tblPr>
      <w:tblGrid>
        <w:gridCol w:w="3070"/>
        <w:gridCol w:w="2283"/>
        <w:gridCol w:w="2410"/>
      </w:tblGrid>
      <w:tr w:rsidR="004438D0" w:rsidRPr="004C5551" w:rsidTr="00D17F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BF0000" w:themeFill="accent3" w:themeFillShade="BF"/>
            <w:vAlign w:val="center"/>
            <w:hideMark/>
          </w:tcPr>
          <w:p w:rsidR="004438D0" w:rsidRPr="004C5551" w:rsidRDefault="004438D0" w:rsidP="00A32BDA">
            <w:pPr>
              <w:jc w:val="center"/>
            </w:pPr>
            <w:r w:rsidRPr="004C5551">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right w:val="none" w:sz="0" w:space="0" w:color="auto"/>
            </w:tcBorders>
            <w:shd w:val="clear" w:color="auto" w:fill="BF0000" w:themeFill="accent3" w:themeFillShade="BF"/>
            <w:vAlign w:val="center"/>
            <w:hideMark/>
          </w:tcPr>
          <w:p w:rsidR="004438D0" w:rsidRPr="004C5551" w:rsidRDefault="004438D0" w:rsidP="00A32BDA">
            <w:pPr>
              <w:jc w:val="center"/>
            </w:pPr>
            <w:r w:rsidRPr="004C5551">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BF0000" w:themeFill="accent3" w:themeFillShade="BF"/>
            <w:vAlign w:val="center"/>
            <w:hideMark/>
          </w:tcPr>
          <w:p w:rsidR="004438D0" w:rsidRPr="004C5551" w:rsidRDefault="004438D0" w:rsidP="000860E9">
            <w:pPr>
              <w:jc w:val="center"/>
            </w:pPr>
            <w:r w:rsidRPr="004C5551">
              <w:t>Vynaložené finančné prostriedky v</w:t>
            </w:r>
            <w:r w:rsidR="00355B43" w:rsidRPr="004C5551">
              <w:t> </w:t>
            </w:r>
            <w:r w:rsidR="000860E9" w:rsidRPr="004C5551">
              <w:t>€</w:t>
            </w:r>
          </w:p>
        </w:tc>
      </w:tr>
      <w:tr w:rsidR="00257B74" w:rsidRPr="004C5551" w:rsidTr="00D17F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257B74" w:rsidRPr="004C5551" w:rsidRDefault="00257B74" w:rsidP="00257B74">
            <w:pPr>
              <w:rPr>
                <w:b w:val="0"/>
              </w:rPr>
            </w:pPr>
            <w:r w:rsidRPr="004C5551">
              <w:rPr>
                <w:b w:val="0"/>
              </w:rPr>
              <w:t>PP</w:t>
            </w:r>
            <w:r w:rsidRPr="004C5551">
              <w:rPr>
                <w:b w:val="0"/>
                <w:bCs w:val="0"/>
              </w:rPr>
              <w:t xml:space="preserve"> </w:t>
            </w:r>
            <w:r w:rsidRPr="004C5551">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hideMark/>
          </w:tcPr>
          <w:p w:rsidR="00257B74" w:rsidRPr="004C5551" w:rsidRDefault="00257B74" w:rsidP="00D431F6">
            <w:pPr>
              <w:ind w:right="512"/>
              <w:jc w:val="right"/>
            </w:pPr>
            <w:r w:rsidRPr="004C5551">
              <w:t>170 80</w:t>
            </w:r>
            <w:r w:rsidR="00D431F6" w:rsidRPr="004C5551">
              <w:t>6</w:t>
            </w: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257B74" w:rsidRPr="004C5551" w:rsidRDefault="00257B74" w:rsidP="00D431F6">
            <w:pPr>
              <w:ind w:right="512"/>
              <w:jc w:val="right"/>
            </w:pPr>
            <w:r w:rsidRPr="004C5551">
              <w:t>131 </w:t>
            </w:r>
            <w:r w:rsidR="00D431F6" w:rsidRPr="004C5551">
              <w:t>600</w:t>
            </w:r>
            <w:r w:rsidRPr="004C5551">
              <w:t xml:space="preserve"> </w:t>
            </w:r>
            <w:r w:rsidR="00D431F6" w:rsidRPr="004C5551">
              <w:t>626</w:t>
            </w:r>
          </w:p>
        </w:tc>
      </w:tr>
      <w:tr w:rsidR="00257B74" w:rsidRPr="004C5551" w:rsidTr="00D17FBE">
        <w:trPr>
          <w:jc w:val="center"/>
        </w:trPr>
        <w:tc>
          <w:tcPr>
            <w:cnfStyle w:val="001000000000" w:firstRow="0" w:lastRow="0" w:firstColumn="1" w:lastColumn="0" w:oddVBand="0" w:evenVBand="0" w:oddHBand="0" w:evenHBand="0" w:firstRowFirstColumn="0" w:firstRowLastColumn="0" w:lastRowFirstColumn="0" w:lastRowLastColumn="0"/>
            <w:tcW w:w="3070" w:type="dxa"/>
            <w:hideMark/>
          </w:tcPr>
          <w:p w:rsidR="00257B74" w:rsidRPr="004C5551" w:rsidRDefault="00257B74" w:rsidP="00257B74">
            <w:pPr>
              <w:rPr>
                <w:b w:val="0"/>
              </w:rPr>
            </w:pPr>
            <w:r w:rsidRPr="004C5551">
              <w:rPr>
                <w:b w:val="0"/>
              </w:rPr>
              <w:t>PP na opatrovanie</w:t>
            </w:r>
            <w:r w:rsidRPr="004C5551">
              <w:rPr>
                <w:b w:val="0"/>
                <w:vertAlign w:val="superscript"/>
              </w:rPr>
              <w:t>1)</w:t>
            </w:r>
          </w:p>
        </w:tc>
        <w:tc>
          <w:tcPr>
            <w:cnfStyle w:val="000010000000" w:firstRow="0" w:lastRow="0" w:firstColumn="0" w:lastColumn="0" w:oddVBand="1" w:evenVBand="0" w:oddHBand="0" w:evenHBand="0" w:firstRowFirstColumn="0" w:firstRowLastColumn="0" w:lastRowFirstColumn="0" w:lastRowLastColumn="0"/>
            <w:tcW w:w="2283" w:type="dxa"/>
            <w:tcBorders>
              <w:left w:val="none" w:sz="0" w:space="0" w:color="auto"/>
              <w:right w:val="none" w:sz="0" w:space="0" w:color="auto"/>
            </w:tcBorders>
            <w:hideMark/>
          </w:tcPr>
          <w:p w:rsidR="00257B74" w:rsidRPr="004C5551" w:rsidRDefault="00257B74" w:rsidP="00B922C6">
            <w:pPr>
              <w:ind w:right="512"/>
              <w:jc w:val="right"/>
            </w:pPr>
            <w:r w:rsidRPr="004C5551">
              <w:t>58 992</w:t>
            </w:r>
          </w:p>
        </w:tc>
        <w:tc>
          <w:tcPr>
            <w:cnfStyle w:val="000100000000" w:firstRow="0" w:lastRow="0" w:firstColumn="0" w:lastColumn="1" w:oddVBand="0" w:evenVBand="0" w:oddHBand="0" w:evenHBand="0" w:firstRowFirstColumn="0" w:firstRowLastColumn="0" w:lastRowFirstColumn="0" w:lastRowLastColumn="0"/>
            <w:tcW w:w="2410" w:type="dxa"/>
            <w:hideMark/>
          </w:tcPr>
          <w:p w:rsidR="00257B74" w:rsidRPr="004C5551" w:rsidRDefault="00257B74" w:rsidP="00B922C6">
            <w:pPr>
              <w:ind w:right="512"/>
              <w:jc w:val="right"/>
            </w:pPr>
            <w:r w:rsidRPr="004C5551">
              <w:t>104 309 411</w:t>
            </w:r>
          </w:p>
        </w:tc>
      </w:tr>
      <w:tr w:rsidR="00257B74" w:rsidRPr="004C5551" w:rsidTr="00D17FB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257B74" w:rsidRPr="004C5551" w:rsidRDefault="00257B74" w:rsidP="00257B74">
            <w:pPr>
              <w:rPr>
                <w:b w:val="0"/>
              </w:rPr>
            </w:pPr>
            <w:r w:rsidRPr="004C5551">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tcPr>
          <w:p w:rsidR="00257B74" w:rsidRPr="004C5551" w:rsidRDefault="00257B74" w:rsidP="00B922C6">
            <w:pPr>
              <w:ind w:right="512"/>
              <w:jc w:val="right"/>
            </w:pP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257B74" w:rsidRPr="004C5551" w:rsidRDefault="00257B74" w:rsidP="00D431F6">
            <w:pPr>
              <w:ind w:right="512"/>
              <w:jc w:val="right"/>
            </w:pPr>
            <w:r w:rsidRPr="004C5551">
              <w:t>235 9</w:t>
            </w:r>
            <w:r w:rsidR="00D431F6" w:rsidRPr="004C5551">
              <w:t>10</w:t>
            </w:r>
            <w:r w:rsidRPr="004C5551">
              <w:t xml:space="preserve"> </w:t>
            </w:r>
            <w:r w:rsidR="00D431F6" w:rsidRPr="004C5551">
              <w:t>037</w:t>
            </w:r>
          </w:p>
        </w:tc>
      </w:tr>
    </w:tbl>
    <w:p w:rsidR="004438D0" w:rsidRPr="004C5551" w:rsidRDefault="004438D0" w:rsidP="009B4C33">
      <w:pPr>
        <w:pStyle w:val="zdroj"/>
        <w:spacing w:after="0"/>
        <w:ind w:left="284"/>
      </w:pPr>
      <w:r w:rsidRPr="004C5551">
        <w:t xml:space="preserve">Zdroj: </w:t>
      </w:r>
      <w:r w:rsidR="00304D6F" w:rsidRPr="004C5551">
        <w:t>RSD MIS</w:t>
      </w:r>
    </w:p>
    <w:p w:rsidR="004438D0" w:rsidRPr="004C5551" w:rsidRDefault="004438D0" w:rsidP="009B4C33">
      <w:pPr>
        <w:pStyle w:val="zdroj"/>
        <w:spacing w:before="0"/>
        <w:ind w:left="284"/>
      </w:pPr>
      <w:r w:rsidRPr="004C5551">
        <w:t>1)PP na opatrovanie je poskytovaný fyzickej osobe, ktorá opatruje FO s ŤZP</w:t>
      </w:r>
    </w:p>
    <w:p w:rsidR="00462D3E" w:rsidRPr="004C5551" w:rsidRDefault="00462D3E" w:rsidP="00462D3E">
      <w:pPr>
        <w:pStyle w:val="Normlnysozarkami1"/>
        <w:ind w:firstLine="431"/>
        <w:rPr>
          <w:szCs w:val="22"/>
        </w:rPr>
      </w:pPr>
      <w:r w:rsidRPr="004C5551">
        <w:t xml:space="preserve">Pri porovnávaní údajov o peňažných príspevkoch na kompenzáciu za rok 2014 s rokom 2013 sme </w:t>
      </w:r>
      <w:r w:rsidRPr="004C5551">
        <w:rPr>
          <w:szCs w:val="22"/>
        </w:rPr>
        <w:t xml:space="preserve">v roku 2014 </w:t>
      </w:r>
      <w:r w:rsidRPr="004C5551">
        <w:t xml:space="preserve">zaznamenali </w:t>
      </w:r>
      <w:r w:rsidRPr="004C5551">
        <w:rPr>
          <w:szCs w:val="22"/>
        </w:rPr>
        <w:t>zvýšené čerpanie</w:t>
      </w:r>
      <w:r w:rsidRPr="004C5551">
        <w:t> finančných prostriedkoch vynaložených</w:t>
      </w:r>
      <w:r w:rsidRPr="004C5551">
        <w:rPr>
          <w:szCs w:val="22"/>
        </w:rPr>
        <w:t xml:space="preserve"> na všetky peňažné príspevky na kompenzáciu o 3 034 940 eur. Uvedené zvýšenie najvýznamnejšie ovplyvnil nárast počtu poberateľov u všetkých opakovaných a u väčšiny jednorazových peňažných príspevkov. Priemerný mesačný počet poberateľov</w:t>
      </w:r>
      <w:r w:rsidR="00106028" w:rsidRPr="004C5551">
        <w:rPr>
          <w:szCs w:val="22"/>
        </w:rPr>
        <w:t xml:space="preserve"> –</w:t>
      </w:r>
      <w:r w:rsidRPr="004C5551">
        <w:rPr>
          <w:szCs w:val="22"/>
        </w:rPr>
        <w:t xml:space="preserve"> fyzických</w:t>
      </w:r>
      <w:r w:rsidRPr="004C5551">
        <w:rPr>
          <w:i/>
          <w:szCs w:val="22"/>
        </w:rPr>
        <w:t xml:space="preserve"> </w:t>
      </w:r>
      <w:r w:rsidRPr="004C5551">
        <w:rPr>
          <w:szCs w:val="22"/>
        </w:rPr>
        <w:t xml:space="preserve">osôb s ŤZP v roku 2014 stúpol o 1 754 a priemerný mesačný počet poberateľov </w:t>
      </w:r>
      <w:r w:rsidR="00106028" w:rsidRPr="004C5551">
        <w:rPr>
          <w:szCs w:val="22"/>
        </w:rPr>
        <w:t>–</w:t>
      </w:r>
      <w:r w:rsidRPr="004C5551">
        <w:rPr>
          <w:szCs w:val="22"/>
        </w:rPr>
        <w:t xml:space="preserve"> fyzických osôb (opatrovateľov) stúpol o 51. Ešte aj v roku 2014 sa na zvýšenom čerpaní finančných prostriedkov prejavil vplyv valorizácie súm životného minima k 1. júlu 2013 s následným zvýšením opakovaných peňažných príspevkov k uvedenému dátumu.</w:t>
      </w:r>
    </w:p>
    <w:p w:rsidR="00462D3E" w:rsidRPr="004C5551" w:rsidRDefault="00462D3E" w:rsidP="00462D3E">
      <w:pPr>
        <w:pStyle w:val="Nadpis7"/>
      </w:pPr>
      <w:r w:rsidRPr="004C5551">
        <w:rPr>
          <w:color w:val="000000" w:themeColor="text1"/>
        </w:rPr>
        <w:t>Graf 3.13 V</w:t>
      </w:r>
      <w:r w:rsidRPr="004C5551">
        <w:t>ývoj počtu poberateľov peňažných príspevkov na kompenzáciu za rok 2013 a 2014</w:t>
      </w:r>
    </w:p>
    <w:p w:rsidR="00462D3E" w:rsidRPr="004C5551" w:rsidRDefault="00462D3E" w:rsidP="00462D3E">
      <w:pPr>
        <w:jc w:val="center"/>
        <w:rPr>
          <w:szCs w:val="32"/>
        </w:rPr>
      </w:pPr>
      <w:r w:rsidRPr="004C5551">
        <w:rPr>
          <w:noProof/>
        </w:rPr>
        <w:t xml:space="preserve"> </w:t>
      </w:r>
      <w:r w:rsidR="00543CF2" w:rsidRPr="004C5551">
        <w:rPr>
          <w:noProof/>
        </w:rPr>
        <w:drawing>
          <wp:inline distT="0" distB="0" distL="0" distR="0" wp14:anchorId="214D2689" wp14:editId="27CC0BA5">
            <wp:extent cx="4572000" cy="22860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60DEB" w:rsidRPr="004C5551" w:rsidRDefault="00462D3E" w:rsidP="00460DEB">
      <w:pPr>
        <w:pStyle w:val="zdroj"/>
        <w:spacing w:before="0"/>
        <w:ind w:left="573" w:firstLine="0"/>
        <w:rPr>
          <w:b/>
          <w:bCs/>
          <w:iCs/>
          <w:lang w:eastAsia="cs-CZ"/>
        </w:rPr>
      </w:pPr>
      <w:r w:rsidRPr="004C5551">
        <w:t xml:space="preserve">* V uvedených počtoch figuruje každý poberateľ PP len raz aj keď mu je poskytnutých viac príspevkov Zdroj: RSD MIS </w:t>
      </w:r>
    </w:p>
    <w:p w:rsidR="00462D3E" w:rsidRPr="004C5551" w:rsidRDefault="00257B74" w:rsidP="00462D3E">
      <w:pPr>
        <w:pStyle w:val="Normlnysozarkami1"/>
        <w:ind w:firstLine="431"/>
      </w:pPr>
      <w:bookmarkStart w:id="679" w:name="_Toc356482736"/>
      <w:r w:rsidRPr="004C5551">
        <w:rPr>
          <w:szCs w:val="23"/>
        </w:rPr>
        <w:t xml:space="preserve">Z hľadiska počtu poberateľov bol v roku 2014 pri </w:t>
      </w:r>
      <w:r w:rsidRPr="004C5551">
        <w:rPr>
          <w:b/>
          <w:szCs w:val="23"/>
        </w:rPr>
        <w:t>opakovaných</w:t>
      </w:r>
      <w:r w:rsidRPr="004C5551">
        <w:rPr>
          <w:szCs w:val="23"/>
        </w:rPr>
        <w:t xml:space="preserve"> peňažných príspevkoch na</w:t>
      </w:r>
      <w:r w:rsidR="00D70B91" w:rsidRPr="004C5551">
        <w:rPr>
          <w:szCs w:val="23"/>
        </w:rPr>
        <w:t> </w:t>
      </w:r>
      <w:r w:rsidRPr="004C5551">
        <w:rPr>
          <w:szCs w:val="23"/>
        </w:rPr>
        <w:t>kompenzáciu zaznamenaný najvyšší priemerný mesačný počet ich poberateľov pri peňažnom príspevku na kompenzáciu zvýšených výdavkov (celkový priemer 167 08</w:t>
      </w:r>
      <w:r w:rsidR="00EC6312" w:rsidRPr="004C5551">
        <w:rPr>
          <w:szCs w:val="23"/>
        </w:rPr>
        <w:t>5</w:t>
      </w:r>
      <w:r w:rsidRPr="004C5551">
        <w:rPr>
          <w:szCs w:val="23"/>
        </w:rPr>
        <w:t>). 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(93 52</w:t>
      </w:r>
      <w:r w:rsidR="00936D5F" w:rsidRPr="004C5551">
        <w:rPr>
          <w:szCs w:val="23"/>
        </w:rPr>
        <w:t>1</w:t>
      </w:r>
      <w:r w:rsidRPr="004C5551">
        <w:rPr>
          <w:szCs w:val="23"/>
        </w:rPr>
        <w:t>), nasledujú kompenzácie zvýšených výdavkov súvisiacich so zabezpečením prevádzky osobného motorového vozidla (69 81</w:t>
      </w:r>
      <w:r w:rsidR="00936D5F" w:rsidRPr="004C5551">
        <w:rPr>
          <w:szCs w:val="23"/>
        </w:rPr>
        <w:t>3</w:t>
      </w:r>
      <w:r w:rsidRPr="004C5551">
        <w:rPr>
          <w:szCs w:val="23"/>
        </w:rPr>
        <w:t>), kompenzácie zvýšených výdavkov na diétne stravovanie (55 1</w:t>
      </w:r>
      <w:r w:rsidR="00936D5F" w:rsidRPr="004C5551">
        <w:rPr>
          <w:szCs w:val="23"/>
        </w:rPr>
        <w:t>47</w:t>
      </w:r>
      <w:r w:rsidRPr="004C5551">
        <w:rPr>
          <w:szCs w:val="23"/>
        </w:rPr>
        <w:t xml:space="preserve">) a kompenzácie zvýšených výdavkov súvisiacich so starostlivosťou o psa so špeciálnym výcvikom (73). Druhú najpočetnejšiu skupinu tvoria poberatelia peňažného príspevku na opatrovania a to v priemernom mesačnom počte 58 992. </w:t>
      </w:r>
      <w:r w:rsidR="005C3F4E" w:rsidRPr="004C5551">
        <w:rPr>
          <w:szCs w:val="23"/>
        </w:rPr>
        <w:t>Pri </w:t>
      </w:r>
      <w:r w:rsidRPr="004C5551">
        <w:rPr>
          <w:b/>
          <w:szCs w:val="23"/>
        </w:rPr>
        <w:t>jednorazových</w:t>
      </w:r>
      <w:r w:rsidRPr="004C5551">
        <w:rPr>
          <w:szCs w:val="23"/>
        </w:rPr>
        <w:t xml:space="preserve"> peňažných príspevkoch na</w:t>
      </w:r>
      <w:r w:rsidR="00D17FBE" w:rsidRPr="004C5551">
        <w:rPr>
          <w:szCs w:val="23"/>
        </w:rPr>
        <w:t> </w:t>
      </w:r>
      <w:r w:rsidRPr="004C5551">
        <w:rPr>
          <w:szCs w:val="23"/>
        </w:rPr>
        <w:t>kompenzáciu bol v roku 2014 najvyšší počet poskytnutých peňažných príspevkov na kúpu pomôcky (</w:t>
      </w:r>
      <w:r w:rsidR="001E2E4B" w:rsidRPr="004C5551">
        <w:rPr>
          <w:szCs w:val="23"/>
        </w:rPr>
        <w:t>2 247</w:t>
      </w:r>
      <w:r w:rsidRPr="004C5551">
        <w:rPr>
          <w:szCs w:val="23"/>
        </w:rPr>
        <w:t xml:space="preserve">), nasledovali peňažný príspevok </w:t>
      </w:r>
      <w:r w:rsidR="005C3F4E" w:rsidRPr="004C5551">
        <w:rPr>
          <w:szCs w:val="23"/>
        </w:rPr>
        <w:t>na </w:t>
      </w:r>
      <w:r w:rsidRPr="004C5551">
        <w:rPr>
          <w:szCs w:val="23"/>
        </w:rPr>
        <w:t>kúpu osobného motorového vozidla (</w:t>
      </w:r>
      <w:r w:rsidR="00D431F6" w:rsidRPr="004C5551">
        <w:rPr>
          <w:szCs w:val="23"/>
        </w:rPr>
        <w:t>1 470</w:t>
      </w:r>
      <w:r w:rsidRPr="004C5551">
        <w:rPr>
          <w:szCs w:val="23"/>
        </w:rPr>
        <w:t>), peňažný príspevok na úpravu rodinného domu</w:t>
      </w:r>
      <w:r w:rsidR="001E3ABB" w:rsidRPr="004C5551">
        <w:rPr>
          <w:szCs w:val="23"/>
        </w:rPr>
        <w:t xml:space="preserve">, bytu </w:t>
      </w:r>
      <w:r w:rsidR="005C3F4E" w:rsidRPr="004C5551">
        <w:rPr>
          <w:szCs w:val="23"/>
        </w:rPr>
        <w:t>a </w:t>
      </w:r>
      <w:r w:rsidR="001E3ABB" w:rsidRPr="004C5551">
        <w:rPr>
          <w:szCs w:val="23"/>
        </w:rPr>
        <w:t>garáže</w:t>
      </w:r>
      <w:r w:rsidRPr="004C5551">
        <w:rPr>
          <w:szCs w:val="23"/>
        </w:rPr>
        <w:t xml:space="preserve"> (1 </w:t>
      </w:r>
      <w:r w:rsidR="001E3ABB" w:rsidRPr="004C5551">
        <w:rPr>
          <w:szCs w:val="23"/>
        </w:rPr>
        <w:t>577</w:t>
      </w:r>
      <w:r w:rsidRPr="004C5551">
        <w:rPr>
          <w:szCs w:val="23"/>
        </w:rPr>
        <w:t xml:space="preserve">). Prehľad </w:t>
      </w:r>
      <w:r w:rsidR="00460DEB" w:rsidRPr="004C5551">
        <w:rPr>
          <w:szCs w:val="23"/>
        </w:rPr>
        <w:t xml:space="preserve">o počte poskytnutých príspevkov a </w:t>
      </w:r>
      <w:r w:rsidRPr="004C5551">
        <w:rPr>
          <w:szCs w:val="23"/>
        </w:rPr>
        <w:t>čerpania jednotlivých peňažných príspevkov na kompenzáciu v roku 2014</w:t>
      </w:r>
      <w:r w:rsidR="00460DEB" w:rsidRPr="004C5551">
        <w:rPr>
          <w:szCs w:val="23"/>
        </w:rPr>
        <w:t xml:space="preserve"> poskytuje</w:t>
      </w:r>
      <w:r w:rsidRPr="004C5551">
        <w:rPr>
          <w:szCs w:val="23"/>
        </w:rPr>
        <w:t xml:space="preserve"> </w:t>
      </w:r>
      <w:r w:rsidR="00460DEB" w:rsidRPr="004C5551">
        <w:rPr>
          <w:szCs w:val="23"/>
        </w:rPr>
        <w:t>nasledujúca</w:t>
      </w:r>
      <w:r w:rsidRPr="004C5551">
        <w:rPr>
          <w:szCs w:val="23"/>
        </w:rPr>
        <w:t xml:space="preserve"> tabuľka</w:t>
      </w:r>
      <w:r w:rsidR="00460DEB" w:rsidRPr="004C5551">
        <w:rPr>
          <w:szCs w:val="23"/>
        </w:rPr>
        <w:t>.</w:t>
      </w:r>
    </w:p>
    <w:p w:rsidR="00462D3E" w:rsidRPr="004C5551" w:rsidRDefault="00462D3E" w:rsidP="00462D3E">
      <w:pPr>
        <w:pStyle w:val="Nadpis7"/>
      </w:pPr>
      <w:r w:rsidRPr="004C5551">
        <w:rPr>
          <w:bCs/>
          <w:iCs/>
          <w:lang w:eastAsia="cs-CZ"/>
        </w:rPr>
        <w:t>Tabuľka 3.2</w:t>
      </w:r>
      <w:r w:rsidR="003473DF" w:rsidRPr="004C5551">
        <w:rPr>
          <w:bCs/>
          <w:iCs/>
          <w:lang w:eastAsia="cs-CZ"/>
        </w:rPr>
        <w:t>5</w:t>
      </w:r>
      <w:r w:rsidRPr="004C5551">
        <w:rPr>
          <w:bCs/>
          <w:iCs/>
          <w:lang w:eastAsia="cs-CZ"/>
        </w:rPr>
        <w:t xml:space="preserve"> </w:t>
      </w:r>
      <w:r w:rsidRPr="004C5551">
        <w:t>Prehľad vývoja počtu poberateľov a čerpania finančných prostriedkov na peňažné príspevky na kompenzáciu ŤZP</w:t>
      </w:r>
    </w:p>
    <w:tbl>
      <w:tblPr>
        <w:tblStyle w:val="LightList-Accent11"/>
        <w:tblW w:w="93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CellMar>
          <w:left w:w="0" w:type="dxa"/>
          <w:right w:w="0" w:type="dxa"/>
        </w:tblCellMar>
        <w:tblLook w:val="04A0" w:firstRow="1" w:lastRow="0" w:firstColumn="1" w:lastColumn="0" w:noHBand="0" w:noVBand="1"/>
      </w:tblPr>
      <w:tblGrid>
        <w:gridCol w:w="2433"/>
        <w:gridCol w:w="1153"/>
        <w:gridCol w:w="1134"/>
        <w:gridCol w:w="19"/>
        <w:gridCol w:w="1102"/>
        <w:gridCol w:w="12"/>
        <w:gridCol w:w="19"/>
        <w:gridCol w:w="1114"/>
        <w:gridCol w:w="19"/>
        <w:gridCol w:w="1114"/>
        <w:gridCol w:w="19"/>
        <w:gridCol w:w="1176"/>
      </w:tblGrid>
      <w:tr w:rsidR="00462D3E" w:rsidRPr="004C5551" w:rsidTr="00BB18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vMerge w:val="restart"/>
            <w:shd w:val="clear" w:color="auto" w:fill="BF0000" w:themeFill="accent3" w:themeFillShade="BF"/>
            <w:vAlign w:val="center"/>
            <w:hideMark/>
          </w:tcPr>
          <w:p w:rsidR="00462D3E" w:rsidRPr="004C5551" w:rsidRDefault="00462D3E" w:rsidP="00462D3E">
            <w:pPr>
              <w:jc w:val="center"/>
              <w:rPr>
                <w:sz w:val="18"/>
                <w:szCs w:val="18"/>
              </w:rPr>
            </w:pPr>
            <w:r w:rsidRPr="004C5551">
              <w:rPr>
                <w:sz w:val="18"/>
                <w:szCs w:val="18"/>
              </w:rPr>
              <w:t>Opakované peňažné príspevky na kompenzáciu</w:t>
            </w:r>
          </w:p>
        </w:tc>
        <w:tc>
          <w:tcPr>
            <w:tcW w:w="3408" w:type="dxa"/>
            <w:gridSpan w:val="4"/>
            <w:shd w:val="clear" w:color="auto" w:fill="BF0000" w:themeFill="accent3" w:themeFillShade="BF"/>
            <w:vAlign w:val="center"/>
          </w:tcPr>
          <w:p w:rsidR="00462D3E" w:rsidRPr="004C5551" w:rsidRDefault="00462D3E" w:rsidP="00462D3E">
            <w:pPr>
              <w:jc w:val="center"/>
              <w:cnfStyle w:val="100000000000" w:firstRow="1" w:lastRow="0" w:firstColumn="0" w:lastColumn="0" w:oddVBand="0" w:evenVBand="0" w:oddHBand="0" w:evenHBand="0" w:firstRowFirstColumn="0" w:firstRowLastColumn="0" w:lastRowFirstColumn="0" w:lastRowLastColumn="0"/>
              <w:rPr>
                <w:sz w:val="18"/>
                <w:szCs w:val="18"/>
              </w:rPr>
            </w:pPr>
            <w:r w:rsidRPr="004C5551">
              <w:rPr>
                <w:sz w:val="18"/>
                <w:szCs w:val="18"/>
              </w:rPr>
              <w:t>2013</w:t>
            </w:r>
          </w:p>
        </w:tc>
        <w:tc>
          <w:tcPr>
            <w:tcW w:w="3473" w:type="dxa"/>
            <w:gridSpan w:val="7"/>
            <w:shd w:val="clear" w:color="auto" w:fill="BF0000" w:themeFill="accent3" w:themeFillShade="BF"/>
            <w:vAlign w:val="center"/>
          </w:tcPr>
          <w:p w:rsidR="00462D3E" w:rsidRPr="004C5551" w:rsidRDefault="00462D3E" w:rsidP="00462D3E">
            <w:pPr>
              <w:jc w:val="center"/>
              <w:cnfStyle w:val="100000000000" w:firstRow="1" w:lastRow="0" w:firstColumn="0" w:lastColumn="0" w:oddVBand="0" w:evenVBand="0" w:oddHBand="0" w:evenHBand="0" w:firstRowFirstColumn="0" w:firstRowLastColumn="0" w:lastRowFirstColumn="0" w:lastRowLastColumn="0"/>
              <w:rPr>
                <w:sz w:val="18"/>
                <w:szCs w:val="18"/>
              </w:rPr>
            </w:pPr>
            <w:r w:rsidRPr="004C5551">
              <w:rPr>
                <w:sz w:val="18"/>
                <w:szCs w:val="18"/>
              </w:rPr>
              <w:t>2014</w:t>
            </w:r>
          </w:p>
        </w:tc>
      </w:tr>
      <w:tr w:rsidR="00162AE3" w:rsidRPr="004C5551" w:rsidTr="00BB1867">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2433" w:type="dxa"/>
            <w:vMerge/>
            <w:tcBorders>
              <w:top w:val="none" w:sz="0" w:space="0" w:color="auto"/>
              <w:left w:val="none" w:sz="0" w:space="0" w:color="auto"/>
              <w:bottom w:val="none" w:sz="0" w:space="0" w:color="auto"/>
            </w:tcBorders>
            <w:shd w:val="clear" w:color="auto" w:fill="BF0000" w:themeFill="accent3" w:themeFillShade="BF"/>
            <w:vAlign w:val="center"/>
            <w:hideMark/>
          </w:tcPr>
          <w:p w:rsidR="00462D3E" w:rsidRPr="004C5551" w:rsidRDefault="00462D3E" w:rsidP="00462D3E">
            <w:pPr>
              <w:jc w:val="center"/>
              <w:rPr>
                <w:sz w:val="18"/>
                <w:szCs w:val="18"/>
              </w:rPr>
            </w:pPr>
          </w:p>
        </w:tc>
        <w:tc>
          <w:tcPr>
            <w:tcW w:w="1153" w:type="dxa"/>
            <w:tcBorders>
              <w:top w:val="none" w:sz="0" w:space="0" w:color="auto"/>
              <w:bottom w:val="none" w:sz="0" w:space="0" w:color="auto"/>
            </w:tcBorders>
            <w:shd w:val="clear" w:color="auto" w:fill="BF0000" w:themeFill="accent3" w:themeFillShade="BF"/>
            <w:vAlign w:val="center"/>
          </w:tcPr>
          <w:p w:rsidR="00462D3E" w:rsidRPr="004C5551" w:rsidRDefault="00462D3E" w:rsidP="00462D3E">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Priemerný mesačný počet poberateľov</w:t>
            </w:r>
          </w:p>
        </w:tc>
        <w:tc>
          <w:tcPr>
            <w:tcW w:w="1153" w:type="dxa"/>
            <w:gridSpan w:val="2"/>
            <w:tcBorders>
              <w:top w:val="none" w:sz="0" w:space="0" w:color="auto"/>
              <w:bottom w:val="none" w:sz="0" w:space="0" w:color="auto"/>
            </w:tcBorders>
            <w:shd w:val="clear" w:color="auto" w:fill="BF0000" w:themeFill="accent3" w:themeFillShade="BF"/>
            <w:vAlign w:val="center"/>
          </w:tcPr>
          <w:p w:rsidR="00462D3E" w:rsidRPr="004C5551" w:rsidRDefault="00462D3E" w:rsidP="00462D3E">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Priemerná mesačná výška PP v €</w:t>
            </w:r>
          </w:p>
        </w:tc>
        <w:tc>
          <w:tcPr>
            <w:tcW w:w="1133" w:type="dxa"/>
            <w:gridSpan w:val="3"/>
            <w:tcBorders>
              <w:top w:val="none" w:sz="0" w:space="0" w:color="auto"/>
              <w:bottom w:val="single" w:sz="4" w:space="0" w:color="BF0000" w:themeColor="accent3" w:themeShade="BF"/>
              <w:right w:val="single" w:sz="4" w:space="0" w:color="BF0000" w:themeColor="accent3" w:themeShade="BF"/>
            </w:tcBorders>
            <w:shd w:val="clear" w:color="auto" w:fill="BF0000" w:themeFill="accent3" w:themeFillShade="BF"/>
            <w:vAlign w:val="center"/>
          </w:tcPr>
          <w:p w:rsidR="00462D3E" w:rsidRPr="004C5551" w:rsidRDefault="00462D3E" w:rsidP="00BB186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 xml:space="preserve">Vynaložené </w:t>
            </w:r>
            <w:r w:rsidR="00BC0FE1" w:rsidRPr="004C5551">
              <w:rPr>
                <w:b/>
                <w:color w:val="FFFFFF" w:themeColor="background1"/>
                <w:sz w:val="18"/>
                <w:szCs w:val="18"/>
              </w:rPr>
              <w:t>finančné</w:t>
            </w:r>
            <w:r w:rsidRPr="004C5551">
              <w:rPr>
                <w:b/>
                <w:color w:val="FFFFFF" w:themeColor="background1"/>
                <w:sz w:val="18"/>
                <w:szCs w:val="18"/>
              </w:rPr>
              <w:t xml:space="preserve"> prostriedky v</w:t>
            </w:r>
            <w:r w:rsidR="00BB1867" w:rsidRPr="004C5551">
              <w:rPr>
                <w:b/>
                <w:color w:val="FFFFFF" w:themeColor="background1"/>
                <w:sz w:val="18"/>
                <w:szCs w:val="18"/>
              </w:rPr>
              <w:t> </w:t>
            </w:r>
            <w:r w:rsidRPr="004C5551">
              <w:rPr>
                <w:b/>
                <w:color w:val="FFFFFF" w:themeColor="background1"/>
                <w:sz w:val="18"/>
                <w:szCs w:val="18"/>
              </w:rPr>
              <w:t>€</w:t>
            </w:r>
          </w:p>
        </w:tc>
        <w:tc>
          <w:tcPr>
            <w:tcW w:w="1133" w:type="dxa"/>
            <w:gridSpan w:val="2"/>
            <w:tcBorders>
              <w:top w:val="none" w:sz="0" w:space="0" w:color="auto"/>
              <w:left w:val="single" w:sz="4" w:space="0" w:color="BF0000" w:themeColor="accent3" w:themeShade="BF"/>
              <w:bottom w:val="none" w:sz="0" w:space="0" w:color="auto"/>
            </w:tcBorders>
            <w:shd w:val="clear" w:color="auto" w:fill="BF0000" w:themeFill="accent3" w:themeFillShade="BF"/>
            <w:vAlign w:val="center"/>
          </w:tcPr>
          <w:p w:rsidR="00462D3E" w:rsidRPr="004C5551" w:rsidRDefault="00462D3E" w:rsidP="00462D3E">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Priemerný mesačný počet poberateľov</w:t>
            </w:r>
          </w:p>
        </w:tc>
        <w:tc>
          <w:tcPr>
            <w:tcW w:w="1133" w:type="dxa"/>
            <w:gridSpan w:val="2"/>
            <w:tcBorders>
              <w:top w:val="none" w:sz="0" w:space="0" w:color="auto"/>
              <w:bottom w:val="none" w:sz="0" w:space="0" w:color="auto"/>
            </w:tcBorders>
            <w:shd w:val="clear" w:color="auto" w:fill="BF0000" w:themeFill="accent3" w:themeFillShade="BF"/>
            <w:vAlign w:val="center"/>
          </w:tcPr>
          <w:p w:rsidR="00462D3E" w:rsidRPr="004C5551" w:rsidRDefault="00462D3E" w:rsidP="00462D3E">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Priemerná mesačná výška PP v €</w:t>
            </w:r>
          </w:p>
        </w:tc>
        <w:tc>
          <w:tcPr>
            <w:tcW w:w="1176" w:type="dxa"/>
            <w:tcBorders>
              <w:top w:val="none" w:sz="0" w:space="0" w:color="auto"/>
              <w:bottom w:val="none" w:sz="0" w:space="0" w:color="auto"/>
              <w:right w:val="none" w:sz="0" w:space="0" w:color="auto"/>
            </w:tcBorders>
            <w:shd w:val="clear" w:color="auto" w:fill="BF0000" w:themeFill="accent3" w:themeFillShade="BF"/>
            <w:vAlign w:val="center"/>
          </w:tcPr>
          <w:p w:rsidR="00462D3E" w:rsidRPr="004C5551" w:rsidRDefault="00462D3E" w:rsidP="00BB186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 xml:space="preserve">Vynaložené </w:t>
            </w:r>
            <w:r w:rsidR="00BC0FE1" w:rsidRPr="004C5551">
              <w:rPr>
                <w:b/>
                <w:color w:val="FFFFFF" w:themeColor="background1"/>
                <w:sz w:val="18"/>
                <w:szCs w:val="18"/>
              </w:rPr>
              <w:t>finančné</w:t>
            </w:r>
            <w:r w:rsidRPr="004C5551">
              <w:rPr>
                <w:b/>
                <w:color w:val="FFFFFF" w:themeColor="background1"/>
                <w:sz w:val="18"/>
                <w:szCs w:val="18"/>
              </w:rPr>
              <w:t xml:space="preserve"> prostriedky v</w:t>
            </w:r>
            <w:r w:rsidR="00BB1867" w:rsidRPr="004C5551">
              <w:rPr>
                <w:b/>
                <w:color w:val="FFFFFF" w:themeColor="background1"/>
                <w:sz w:val="18"/>
                <w:szCs w:val="18"/>
              </w:rPr>
              <w:t> </w:t>
            </w:r>
            <w:r w:rsidRPr="004C5551">
              <w:rPr>
                <w:b/>
                <w:color w:val="FFFFFF" w:themeColor="background1"/>
                <w:sz w:val="18"/>
                <w:szCs w:val="18"/>
              </w:rPr>
              <w:t>€</w:t>
            </w:r>
          </w:p>
        </w:tc>
      </w:tr>
      <w:tr w:rsidR="00462D3E" w:rsidRPr="004C5551" w:rsidTr="00BB1867">
        <w:trPr>
          <w:trHeight w:val="283"/>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462D3E" w:rsidRPr="004C5551" w:rsidRDefault="00462D3E" w:rsidP="004F5A0D">
            <w:pPr>
              <w:spacing w:line="276" w:lineRule="auto"/>
              <w:jc w:val="left"/>
              <w:rPr>
                <w:b w:val="0"/>
                <w:sz w:val="18"/>
                <w:szCs w:val="18"/>
              </w:rPr>
            </w:pPr>
            <w:r w:rsidRPr="004C5551">
              <w:rPr>
                <w:b w:val="0"/>
                <w:color w:val="000000"/>
                <w:sz w:val="18"/>
                <w:szCs w:val="18"/>
              </w:rPr>
              <w:t>PP na osobnú asistenciu</w:t>
            </w:r>
          </w:p>
        </w:tc>
        <w:tc>
          <w:tcPr>
            <w:tcW w:w="1153" w:type="dxa"/>
            <w:vAlign w:val="center"/>
          </w:tcPr>
          <w:p w:rsidR="00462D3E" w:rsidRPr="004C5551" w:rsidRDefault="00462D3E" w:rsidP="004F5A0D">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8 499</w:t>
            </w:r>
          </w:p>
        </w:tc>
        <w:tc>
          <w:tcPr>
            <w:tcW w:w="1153" w:type="dxa"/>
            <w:gridSpan w:val="2"/>
            <w:vAlign w:val="center"/>
          </w:tcPr>
          <w:p w:rsidR="00462D3E" w:rsidRPr="004C5551" w:rsidRDefault="00462D3E" w:rsidP="004F5A0D">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373,07</w:t>
            </w:r>
          </w:p>
        </w:tc>
        <w:tc>
          <w:tcPr>
            <w:tcW w:w="1133" w:type="dxa"/>
            <w:gridSpan w:val="3"/>
            <w:tcBorders>
              <w:right w:val="single" w:sz="4" w:space="0" w:color="BF0000" w:themeColor="accent3" w:themeShade="BF"/>
            </w:tcBorders>
            <w:vAlign w:val="center"/>
          </w:tcPr>
          <w:p w:rsidR="00462D3E" w:rsidRPr="004C5551" w:rsidRDefault="00462D3E" w:rsidP="004F5A0D">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38 826 770</w:t>
            </w:r>
          </w:p>
        </w:tc>
        <w:tc>
          <w:tcPr>
            <w:tcW w:w="1133" w:type="dxa"/>
            <w:gridSpan w:val="2"/>
            <w:tcBorders>
              <w:left w:val="single" w:sz="4" w:space="0" w:color="BF0000" w:themeColor="accent3" w:themeShade="BF"/>
            </w:tcBorders>
            <w:vAlign w:val="center"/>
          </w:tcPr>
          <w:p w:rsidR="00462D3E" w:rsidRPr="004C5551" w:rsidRDefault="00462D3E" w:rsidP="004F5A0D">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8 956</w:t>
            </w:r>
          </w:p>
        </w:tc>
        <w:tc>
          <w:tcPr>
            <w:tcW w:w="1133" w:type="dxa"/>
            <w:gridSpan w:val="2"/>
            <w:vAlign w:val="center"/>
          </w:tcPr>
          <w:p w:rsidR="00462D3E" w:rsidRPr="004C5551" w:rsidRDefault="00462D3E" w:rsidP="004F5A0D">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 xml:space="preserve">386,51 </w:t>
            </w:r>
          </w:p>
        </w:tc>
        <w:tc>
          <w:tcPr>
            <w:tcW w:w="1176" w:type="dxa"/>
            <w:vAlign w:val="center"/>
          </w:tcPr>
          <w:p w:rsidR="00462D3E" w:rsidRPr="004C5551" w:rsidRDefault="00462D3E" w:rsidP="004F5A0D">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41 539 134</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462D3E" w:rsidRPr="004C5551" w:rsidRDefault="00462D3E" w:rsidP="004F5A0D">
            <w:pPr>
              <w:spacing w:line="276" w:lineRule="auto"/>
              <w:jc w:val="left"/>
              <w:rPr>
                <w:b w:val="0"/>
                <w:sz w:val="18"/>
                <w:szCs w:val="18"/>
              </w:rPr>
            </w:pPr>
            <w:r w:rsidRPr="004C5551">
              <w:rPr>
                <w:b w:val="0"/>
                <w:color w:val="000000"/>
                <w:sz w:val="18"/>
                <w:szCs w:val="18"/>
              </w:rPr>
              <w:t>PP na prepravu</w:t>
            </w:r>
          </w:p>
        </w:tc>
        <w:tc>
          <w:tcPr>
            <w:tcW w:w="1153" w:type="dxa"/>
            <w:tcBorders>
              <w:top w:val="none" w:sz="0" w:space="0" w:color="auto"/>
              <w:bottom w:val="none" w:sz="0" w:space="0" w:color="auto"/>
            </w:tcBorders>
            <w:vAlign w:val="center"/>
          </w:tcPr>
          <w:p w:rsidR="00462D3E" w:rsidRPr="004C5551" w:rsidRDefault="00462D3E" w:rsidP="004F5A0D">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2 815</w:t>
            </w:r>
          </w:p>
        </w:tc>
        <w:tc>
          <w:tcPr>
            <w:tcW w:w="1153" w:type="dxa"/>
            <w:gridSpan w:val="2"/>
            <w:tcBorders>
              <w:top w:val="none" w:sz="0" w:space="0" w:color="auto"/>
              <w:bottom w:val="none" w:sz="0" w:space="0" w:color="auto"/>
            </w:tcBorders>
            <w:vAlign w:val="center"/>
          </w:tcPr>
          <w:p w:rsidR="00462D3E" w:rsidRPr="004C5551" w:rsidRDefault="00462D3E" w:rsidP="004F5A0D">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87,15</w:t>
            </w:r>
          </w:p>
        </w:tc>
        <w:tc>
          <w:tcPr>
            <w:tcW w:w="1133" w:type="dxa"/>
            <w:gridSpan w:val="3"/>
            <w:tcBorders>
              <w:top w:val="none" w:sz="0" w:space="0" w:color="auto"/>
              <w:bottom w:val="none" w:sz="0" w:space="0" w:color="auto"/>
              <w:right w:val="single" w:sz="4" w:space="0" w:color="BF0000" w:themeColor="accent3" w:themeShade="BF"/>
            </w:tcBorders>
            <w:vAlign w:val="center"/>
          </w:tcPr>
          <w:p w:rsidR="00462D3E" w:rsidRPr="004C5551" w:rsidRDefault="00462D3E" w:rsidP="004F5A0D">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3 005 623</w:t>
            </w:r>
          </w:p>
        </w:tc>
        <w:tc>
          <w:tcPr>
            <w:tcW w:w="1133" w:type="dxa"/>
            <w:gridSpan w:val="2"/>
            <w:tcBorders>
              <w:top w:val="none" w:sz="0" w:space="0" w:color="auto"/>
              <w:left w:val="single" w:sz="4" w:space="0" w:color="BF0000" w:themeColor="accent3" w:themeShade="BF"/>
              <w:bottom w:val="none" w:sz="0" w:space="0" w:color="auto"/>
            </w:tcBorders>
            <w:vAlign w:val="center"/>
          </w:tcPr>
          <w:p w:rsidR="00462D3E" w:rsidRPr="004C5551" w:rsidRDefault="00462D3E" w:rsidP="004F5A0D">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2 841</w:t>
            </w:r>
          </w:p>
        </w:tc>
        <w:tc>
          <w:tcPr>
            <w:tcW w:w="1133" w:type="dxa"/>
            <w:gridSpan w:val="2"/>
            <w:tcBorders>
              <w:top w:val="none" w:sz="0" w:space="0" w:color="auto"/>
              <w:bottom w:val="none" w:sz="0" w:space="0" w:color="auto"/>
            </w:tcBorders>
            <w:vAlign w:val="center"/>
          </w:tcPr>
          <w:p w:rsidR="00462D3E" w:rsidRPr="004C5551" w:rsidRDefault="00462D3E" w:rsidP="004F5A0D">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87,70</w:t>
            </w:r>
          </w:p>
        </w:tc>
        <w:tc>
          <w:tcPr>
            <w:tcW w:w="1176" w:type="dxa"/>
            <w:tcBorders>
              <w:top w:val="none" w:sz="0" w:space="0" w:color="auto"/>
              <w:bottom w:val="none" w:sz="0" w:space="0" w:color="auto"/>
              <w:right w:val="none" w:sz="0" w:space="0" w:color="auto"/>
            </w:tcBorders>
            <w:vAlign w:val="center"/>
          </w:tcPr>
          <w:p w:rsidR="00462D3E" w:rsidRPr="004C5551" w:rsidRDefault="00462D3E" w:rsidP="004F5A0D">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2 989 982</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462D3E" w:rsidRPr="004C5551" w:rsidRDefault="00462D3E" w:rsidP="004F5A0D">
            <w:pPr>
              <w:spacing w:line="276" w:lineRule="auto"/>
              <w:jc w:val="left"/>
              <w:rPr>
                <w:b w:val="0"/>
                <w:sz w:val="18"/>
                <w:szCs w:val="18"/>
              </w:rPr>
            </w:pPr>
            <w:r w:rsidRPr="004C5551">
              <w:rPr>
                <w:b w:val="0"/>
                <w:color w:val="000000"/>
                <w:sz w:val="18"/>
                <w:szCs w:val="18"/>
              </w:rPr>
              <w:t>PP na kompenzáciu zvýšených výdavkov:</w:t>
            </w:r>
          </w:p>
        </w:tc>
        <w:tc>
          <w:tcPr>
            <w:tcW w:w="1153" w:type="dxa"/>
            <w:vAlign w:val="center"/>
          </w:tcPr>
          <w:p w:rsidR="00462D3E" w:rsidRPr="004C5551" w:rsidDel="000F5B12" w:rsidRDefault="00462D3E" w:rsidP="004F5A0D">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165 556</w:t>
            </w:r>
          </w:p>
        </w:tc>
        <w:tc>
          <w:tcPr>
            <w:tcW w:w="1153" w:type="dxa"/>
            <w:gridSpan w:val="2"/>
            <w:vAlign w:val="center"/>
          </w:tcPr>
          <w:p w:rsidR="00462D3E" w:rsidRPr="004C5551" w:rsidRDefault="00462D3E" w:rsidP="004F5A0D">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30,92</w:t>
            </w:r>
          </w:p>
        </w:tc>
        <w:tc>
          <w:tcPr>
            <w:tcW w:w="1133" w:type="dxa"/>
            <w:gridSpan w:val="3"/>
            <w:tcBorders>
              <w:right w:val="single" w:sz="4" w:space="0" w:color="BF0000" w:themeColor="accent3" w:themeShade="BF"/>
            </w:tcBorders>
            <w:vAlign w:val="center"/>
          </w:tcPr>
          <w:p w:rsidR="00462D3E" w:rsidRPr="004C5551" w:rsidRDefault="00462D3E" w:rsidP="004F5A0D">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62 656 833</w:t>
            </w:r>
          </w:p>
        </w:tc>
        <w:tc>
          <w:tcPr>
            <w:tcW w:w="1133" w:type="dxa"/>
            <w:gridSpan w:val="2"/>
            <w:tcBorders>
              <w:left w:val="single" w:sz="4" w:space="0" w:color="BF0000" w:themeColor="accent3" w:themeShade="BF"/>
            </w:tcBorders>
            <w:vAlign w:val="center"/>
          </w:tcPr>
          <w:p w:rsidR="00462D3E" w:rsidRPr="004C5551" w:rsidRDefault="00462D3E" w:rsidP="004F5A0D">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167 085</w:t>
            </w:r>
          </w:p>
        </w:tc>
        <w:tc>
          <w:tcPr>
            <w:tcW w:w="1133" w:type="dxa"/>
            <w:gridSpan w:val="2"/>
            <w:vAlign w:val="center"/>
          </w:tcPr>
          <w:p w:rsidR="00462D3E" w:rsidRPr="004C5551" w:rsidRDefault="00462D3E" w:rsidP="004F5A0D">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31,99</w:t>
            </w:r>
          </w:p>
        </w:tc>
        <w:tc>
          <w:tcPr>
            <w:tcW w:w="1176" w:type="dxa"/>
            <w:vAlign w:val="center"/>
          </w:tcPr>
          <w:p w:rsidR="00462D3E" w:rsidRPr="004C5551" w:rsidRDefault="00462D3E" w:rsidP="004F5A0D">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64 133 628</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462D3E" w:rsidRPr="004C5551" w:rsidRDefault="00462D3E" w:rsidP="004F5A0D">
            <w:pPr>
              <w:spacing w:line="276" w:lineRule="auto"/>
              <w:jc w:val="left"/>
              <w:rPr>
                <w:b w:val="0"/>
                <w:sz w:val="18"/>
                <w:szCs w:val="18"/>
              </w:rPr>
            </w:pPr>
            <w:r w:rsidRPr="004C5551">
              <w:rPr>
                <w:color w:val="000000" w:themeColor="text1"/>
                <w:sz w:val="18"/>
                <w:szCs w:val="18"/>
              </w:rPr>
              <w:t xml:space="preserve">– </w:t>
            </w:r>
            <w:r w:rsidRPr="004C5551">
              <w:rPr>
                <w:b w:val="0"/>
                <w:color w:val="000000"/>
                <w:sz w:val="18"/>
                <w:szCs w:val="18"/>
              </w:rPr>
              <w:t>na diétne stravovanie</w:t>
            </w:r>
          </w:p>
        </w:tc>
        <w:tc>
          <w:tcPr>
            <w:tcW w:w="1153" w:type="dxa"/>
            <w:tcBorders>
              <w:top w:val="none" w:sz="0" w:space="0" w:color="auto"/>
              <w:bottom w:val="none" w:sz="0" w:space="0" w:color="auto"/>
            </w:tcBorders>
            <w:vAlign w:val="center"/>
          </w:tcPr>
          <w:p w:rsidR="00462D3E" w:rsidRPr="004C5551" w:rsidRDefault="00462D3E" w:rsidP="004F5A0D">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54 430</w:t>
            </w:r>
          </w:p>
        </w:tc>
        <w:tc>
          <w:tcPr>
            <w:tcW w:w="1153" w:type="dxa"/>
            <w:gridSpan w:val="2"/>
            <w:tcBorders>
              <w:top w:val="none" w:sz="0" w:space="0" w:color="auto"/>
              <w:bottom w:val="none" w:sz="0" w:space="0" w:color="auto"/>
            </w:tcBorders>
            <w:vAlign w:val="center"/>
          </w:tcPr>
          <w:p w:rsidR="00462D3E" w:rsidRPr="004C5551" w:rsidRDefault="00462D3E" w:rsidP="004F5A0D">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21,57</w:t>
            </w:r>
          </w:p>
        </w:tc>
        <w:tc>
          <w:tcPr>
            <w:tcW w:w="1133" w:type="dxa"/>
            <w:gridSpan w:val="3"/>
            <w:tcBorders>
              <w:top w:val="none" w:sz="0" w:space="0" w:color="auto"/>
              <w:bottom w:val="none" w:sz="0" w:space="0" w:color="auto"/>
              <w:right w:val="single" w:sz="4" w:space="0" w:color="BF0000" w:themeColor="accent3" w:themeShade="BF"/>
            </w:tcBorders>
            <w:vAlign w:val="center"/>
          </w:tcPr>
          <w:p w:rsidR="00462D3E" w:rsidRPr="004C5551" w:rsidRDefault="00462D3E" w:rsidP="004F5A0D">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14 400 686</w:t>
            </w:r>
          </w:p>
        </w:tc>
        <w:tc>
          <w:tcPr>
            <w:tcW w:w="1133" w:type="dxa"/>
            <w:gridSpan w:val="2"/>
            <w:tcBorders>
              <w:top w:val="none" w:sz="0" w:space="0" w:color="auto"/>
              <w:left w:val="single" w:sz="4" w:space="0" w:color="BF0000" w:themeColor="accent3" w:themeShade="BF"/>
              <w:bottom w:val="none" w:sz="0" w:space="0" w:color="auto"/>
            </w:tcBorders>
            <w:vAlign w:val="center"/>
          </w:tcPr>
          <w:p w:rsidR="00462D3E" w:rsidRPr="004C5551" w:rsidRDefault="00462D3E" w:rsidP="004F5A0D">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55 147</w:t>
            </w:r>
          </w:p>
        </w:tc>
        <w:tc>
          <w:tcPr>
            <w:tcW w:w="1133" w:type="dxa"/>
            <w:gridSpan w:val="2"/>
            <w:tcBorders>
              <w:top w:val="none" w:sz="0" w:space="0" w:color="auto"/>
              <w:bottom w:val="none" w:sz="0" w:space="0" w:color="auto"/>
            </w:tcBorders>
            <w:vAlign w:val="center"/>
          </w:tcPr>
          <w:p w:rsidR="00462D3E" w:rsidRPr="004C5551" w:rsidRDefault="00462D3E" w:rsidP="004F5A0D">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22,45</w:t>
            </w:r>
          </w:p>
        </w:tc>
        <w:tc>
          <w:tcPr>
            <w:tcW w:w="1176" w:type="dxa"/>
            <w:tcBorders>
              <w:top w:val="none" w:sz="0" w:space="0" w:color="auto"/>
              <w:bottom w:val="none" w:sz="0" w:space="0" w:color="auto"/>
              <w:right w:val="none" w:sz="0" w:space="0" w:color="auto"/>
            </w:tcBorders>
            <w:vAlign w:val="center"/>
          </w:tcPr>
          <w:p w:rsidR="00462D3E" w:rsidRPr="004C5551" w:rsidRDefault="00462D3E" w:rsidP="004F5A0D">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14 854 424</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462D3E" w:rsidRPr="004C5551" w:rsidRDefault="00462D3E" w:rsidP="004F5A0D">
            <w:pPr>
              <w:spacing w:line="276" w:lineRule="auto"/>
              <w:jc w:val="left"/>
              <w:rPr>
                <w:b w:val="0"/>
                <w:color w:val="000000"/>
                <w:sz w:val="18"/>
                <w:szCs w:val="18"/>
              </w:rPr>
            </w:pPr>
            <w:r w:rsidRPr="004C5551">
              <w:rPr>
                <w:b w:val="0"/>
                <w:bCs w:val="0"/>
                <w:color w:val="000000" w:themeColor="text1"/>
                <w:sz w:val="18"/>
                <w:szCs w:val="18"/>
              </w:rPr>
              <w:t>–</w:t>
            </w:r>
            <w:r w:rsidRPr="004C5551">
              <w:rPr>
                <w:b w:val="0"/>
                <w:color w:val="000000"/>
                <w:sz w:val="18"/>
                <w:szCs w:val="18"/>
              </w:rPr>
              <w:t xml:space="preserve"> hygienu alebo opotrebovanie šatstva, bielizne, obuvi a bytového zariadenia</w:t>
            </w:r>
          </w:p>
        </w:tc>
        <w:tc>
          <w:tcPr>
            <w:tcW w:w="1153" w:type="dxa"/>
            <w:vAlign w:val="center"/>
          </w:tcPr>
          <w:p w:rsidR="00462D3E" w:rsidRPr="004C5551" w:rsidDel="000F5B12" w:rsidRDefault="00462D3E" w:rsidP="004F5A0D">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93 199</w:t>
            </w:r>
          </w:p>
        </w:tc>
        <w:tc>
          <w:tcPr>
            <w:tcW w:w="1153" w:type="dxa"/>
            <w:gridSpan w:val="2"/>
            <w:vAlign w:val="center"/>
          </w:tcPr>
          <w:p w:rsidR="00462D3E" w:rsidRPr="004C5551" w:rsidRDefault="00462D3E" w:rsidP="004F5A0D">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18,20</w:t>
            </w:r>
          </w:p>
        </w:tc>
        <w:tc>
          <w:tcPr>
            <w:tcW w:w="1133" w:type="dxa"/>
            <w:gridSpan w:val="3"/>
            <w:tcBorders>
              <w:right w:val="single" w:sz="4" w:space="0" w:color="BF0000" w:themeColor="accent3" w:themeShade="BF"/>
            </w:tcBorders>
            <w:vAlign w:val="center"/>
          </w:tcPr>
          <w:p w:rsidR="00462D3E" w:rsidRPr="004C5551" w:rsidRDefault="00462D3E" w:rsidP="004F5A0D">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20 719 590</w:t>
            </w:r>
          </w:p>
        </w:tc>
        <w:tc>
          <w:tcPr>
            <w:tcW w:w="1133" w:type="dxa"/>
            <w:gridSpan w:val="2"/>
            <w:tcBorders>
              <w:left w:val="single" w:sz="4" w:space="0" w:color="BF0000" w:themeColor="accent3" w:themeShade="BF"/>
            </w:tcBorders>
            <w:vAlign w:val="center"/>
          </w:tcPr>
          <w:p w:rsidR="00462D3E" w:rsidRPr="004C5551" w:rsidRDefault="00462D3E" w:rsidP="004F5A0D">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93 521</w:t>
            </w:r>
          </w:p>
        </w:tc>
        <w:tc>
          <w:tcPr>
            <w:tcW w:w="1133" w:type="dxa"/>
            <w:gridSpan w:val="2"/>
            <w:vAlign w:val="center"/>
          </w:tcPr>
          <w:p w:rsidR="00462D3E" w:rsidRPr="004C5551" w:rsidRDefault="00462D3E" w:rsidP="004F5A0D">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18,71</w:t>
            </w:r>
          </w:p>
        </w:tc>
        <w:tc>
          <w:tcPr>
            <w:tcW w:w="1176" w:type="dxa"/>
            <w:vAlign w:val="center"/>
          </w:tcPr>
          <w:p w:rsidR="00462D3E" w:rsidRPr="004C5551" w:rsidRDefault="00462D3E" w:rsidP="004F5A0D">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21 002 650</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462D3E" w:rsidRPr="004C5551" w:rsidRDefault="00462D3E" w:rsidP="004F5A0D">
            <w:pPr>
              <w:spacing w:line="276" w:lineRule="auto"/>
              <w:jc w:val="left"/>
              <w:rPr>
                <w:b w:val="0"/>
                <w:sz w:val="18"/>
                <w:szCs w:val="18"/>
              </w:rPr>
            </w:pPr>
            <w:r w:rsidRPr="004C5551">
              <w:rPr>
                <w:color w:val="000000" w:themeColor="text1"/>
                <w:sz w:val="18"/>
                <w:szCs w:val="18"/>
              </w:rPr>
              <w:t xml:space="preserve">– </w:t>
            </w:r>
            <w:r w:rsidRPr="004C5551">
              <w:rPr>
                <w:b w:val="0"/>
                <w:color w:val="000000"/>
                <w:sz w:val="18"/>
                <w:szCs w:val="18"/>
              </w:rPr>
              <w:t>prevádzku osobného motorového vozidla</w:t>
            </w:r>
          </w:p>
        </w:tc>
        <w:tc>
          <w:tcPr>
            <w:tcW w:w="1153" w:type="dxa"/>
            <w:tcBorders>
              <w:top w:val="none" w:sz="0" w:space="0" w:color="auto"/>
              <w:bottom w:val="none" w:sz="0" w:space="0" w:color="auto"/>
            </w:tcBorders>
            <w:vAlign w:val="center"/>
          </w:tcPr>
          <w:p w:rsidR="00462D3E" w:rsidRPr="004C5551" w:rsidDel="000F5B12" w:rsidRDefault="00462D3E" w:rsidP="004F5A0D">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68 560</w:t>
            </w:r>
          </w:p>
        </w:tc>
        <w:tc>
          <w:tcPr>
            <w:tcW w:w="1153" w:type="dxa"/>
            <w:gridSpan w:val="2"/>
            <w:tcBorders>
              <w:top w:val="none" w:sz="0" w:space="0" w:color="auto"/>
              <w:bottom w:val="none" w:sz="0" w:space="0" w:color="auto"/>
            </w:tcBorders>
            <w:vAlign w:val="center"/>
          </w:tcPr>
          <w:p w:rsidR="00462D3E" w:rsidRPr="004C5551" w:rsidRDefault="00462D3E" w:rsidP="004F5A0D">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32,75</w:t>
            </w:r>
          </w:p>
        </w:tc>
        <w:tc>
          <w:tcPr>
            <w:tcW w:w="1133" w:type="dxa"/>
            <w:gridSpan w:val="3"/>
            <w:tcBorders>
              <w:top w:val="none" w:sz="0" w:space="0" w:color="auto"/>
              <w:bottom w:val="none" w:sz="0" w:space="0" w:color="auto"/>
              <w:right w:val="single" w:sz="4" w:space="0" w:color="BF0000" w:themeColor="accent3" w:themeShade="BF"/>
            </w:tcBorders>
            <w:vAlign w:val="center"/>
          </w:tcPr>
          <w:p w:rsidR="00462D3E" w:rsidRPr="004C5551" w:rsidRDefault="00462D3E" w:rsidP="004F5A0D">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27 497 616</w:t>
            </w:r>
          </w:p>
        </w:tc>
        <w:tc>
          <w:tcPr>
            <w:tcW w:w="1133" w:type="dxa"/>
            <w:gridSpan w:val="2"/>
            <w:tcBorders>
              <w:top w:val="none" w:sz="0" w:space="0" w:color="auto"/>
              <w:left w:val="single" w:sz="4" w:space="0" w:color="BF0000" w:themeColor="accent3" w:themeShade="BF"/>
              <w:bottom w:val="none" w:sz="0" w:space="0" w:color="auto"/>
            </w:tcBorders>
            <w:vAlign w:val="center"/>
          </w:tcPr>
          <w:p w:rsidR="00462D3E" w:rsidRPr="004C5551" w:rsidRDefault="00462D3E" w:rsidP="004F5A0D">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69 813</w:t>
            </w:r>
          </w:p>
        </w:tc>
        <w:tc>
          <w:tcPr>
            <w:tcW w:w="1133" w:type="dxa"/>
            <w:gridSpan w:val="2"/>
            <w:tcBorders>
              <w:top w:val="none" w:sz="0" w:space="0" w:color="auto"/>
              <w:bottom w:val="none" w:sz="0" w:space="0" w:color="auto"/>
            </w:tcBorders>
            <w:vAlign w:val="center"/>
          </w:tcPr>
          <w:p w:rsidR="00462D3E" w:rsidRPr="004C5551" w:rsidRDefault="00462D3E" w:rsidP="004F5A0D">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33,71</w:t>
            </w:r>
          </w:p>
        </w:tc>
        <w:tc>
          <w:tcPr>
            <w:tcW w:w="1176" w:type="dxa"/>
            <w:tcBorders>
              <w:top w:val="none" w:sz="0" w:space="0" w:color="auto"/>
              <w:bottom w:val="none" w:sz="0" w:space="0" w:color="auto"/>
              <w:right w:val="none" w:sz="0" w:space="0" w:color="auto"/>
            </w:tcBorders>
            <w:vAlign w:val="center"/>
          </w:tcPr>
          <w:p w:rsidR="00462D3E" w:rsidRPr="004C5551" w:rsidRDefault="00462D3E" w:rsidP="004F5A0D">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28 237 728</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462D3E" w:rsidRPr="004C5551" w:rsidRDefault="00462D3E" w:rsidP="004F5A0D">
            <w:pPr>
              <w:spacing w:line="276" w:lineRule="auto"/>
              <w:jc w:val="left"/>
              <w:rPr>
                <w:b w:val="0"/>
                <w:sz w:val="18"/>
                <w:szCs w:val="18"/>
              </w:rPr>
            </w:pPr>
            <w:r w:rsidRPr="004C5551">
              <w:rPr>
                <w:color w:val="000000" w:themeColor="text1"/>
                <w:sz w:val="18"/>
                <w:szCs w:val="18"/>
              </w:rPr>
              <w:t>–</w:t>
            </w:r>
            <w:r w:rsidRPr="004C5551">
              <w:rPr>
                <w:b w:val="0"/>
                <w:color w:val="000000"/>
                <w:sz w:val="18"/>
                <w:szCs w:val="18"/>
              </w:rPr>
              <w:t xml:space="preserve"> starostlivosť o psa so špeciálnym výcvikom</w:t>
            </w:r>
          </w:p>
        </w:tc>
        <w:tc>
          <w:tcPr>
            <w:tcW w:w="1153" w:type="dxa"/>
            <w:vAlign w:val="center"/>
          </w:tcPr>
          <w:p w:rsidR="00462D3E" w:rsidRPr="004C5551" w:rsidDel="000F5B12" w:rsidRDefault="00462D3E" w:rsidP="004F5A0D">
            <w:pPr>
              <w:tabs>
                <w:tab w:val="left" w:pos="928"/>
              </w:tabs>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73</w:t>
            </w:r>
          </w:p>
        </w:tc>
        <w:tc>
          <w:tcPr>
            <w:tcW w:w="1153" w:type="dxa"/>
            <w:gridSpan w:val="2"/>
            <w:vAlign w:val="center"/>
          </w:tcPr>
          <w:p w:rsidR="00462D3E" w:rsidRPr="004C5551" w:rsidRDefault="00462D3E" w:rsidP="004F5A0D">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43,66</w:t>
            </w:r>
          </w:p>
        </w:tc>
        <w:tc>
          <w:tcPr>
            <w:tcW w:w="1133" w:type="dxa"/>
            <w:gridSpan w:val="3"/>
            <w:tcBorders>
              <w:right w:val="single" w:sz="4" w:space="0" w:color="BF0000" w:themeColor="accent3" w:themeShade="BF"/>
            </w:tcBorders>
            <w:vAlign w:val="center"/>
          </w:tcPr>
          <w:p w:rsidR="00462D3E" w:rsidRPr="004C5551" w:rsidRDefault="00462D3E" w:rsidP="004F5A0D">
            <w:pPr>
              <w:spacing w:line="0" w:lineRule="atLeast"/>
              <w:ind w:right="10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38 941</w:t>
            </w:r>
          </w:p>
        </w:tc>
        <w:tc>
          <w:tcPr>
            <w:tcW w:w="1133" w:type="dxa"/>
            <w:gridSpan w:val="2"/>
            <w:tcBorders>
              <w:left w:val="single" w:sz="4" w:space="0" w:color="BF0000" w:themeColor="accent3" w:themeShade="BF"/>
            </w:tcBorders>
            <w:vAlign w:val="center"/>
          </w:tcPr>
          <w:p w:rsidR="00462D3E" w:rsidRPr="004C5551" w:rsidRDefault="00462D3E" w:rsidP="004F5A0D">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73</w:t>
            </w:r>
          </w:p>
        </w:tc>
        <w:tc>
          <w:tcPr>
            <w:tcW w:w="1133" w:type="dxa"/>
            <w:gridSpan w:val="2"/>
            <w:vAlign w:val="center"/>
          </w:tcPr>
          <w:p w:rsidR="00462D3E" w:rsidRPr="004C5551" w:rsidRDefault="00462D3E" w:rsidP="004F5A0D">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44,32</w:t>
            </w:r>
          </w:p>
        </w:tc>
        <w:tc>
          <w:tcPr>
            <w:tcW w:w="1176" w:type="dxa"/>
            <w:vAlign w:val="center"/>
          </w:tcPr>
          <w:p w:rsidR="00462D3E" w:rsidRPr="004C5551" w:rsidRDefault="00462D3E" w:rsidP="004F5A0D">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38 826</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462D3E" w:rsidRPr="004C5551" w:rsidRDefault="00462D3E" w:rsidP="004F5A0D">
            <w:pPr>
              <w:spacing w:line="276" w:lineRule="auto"/>
              <w:jc w:val="left"/>
              <w:rPr>
                <w:b w:val="0"/>
                <w:sz w:val="18"/>
                <w:szCs w:val="18"/>
              </w:rPr>
            </w:pPr>
            <w:r w:rsidRPr="004C5551">
              <w:rPr>
                <w:b w:val="0"/>
                <w:color w:val="000000"/>
                <w:sz w:val="18"/>
                <w:szCs w:val="18"/>
              </w:rPr>
              <w:t>PP na opatrovanie</w:t>
            </w:r>
          </w:p>
        </w:tc>
        <w:tc>
          <w:tcPr>
            <w:tcW w:w="1153" w:type="dxa"/>
            <w:tcBorders>
              <w:top w:val="none" w:sz="0" w:space="0" w:color="auto"/>
              <w:bottom w:val="none" w:sz="0" w:space="0" w:color="auto"/>
            </w:tcBorders>
            <w:vAlign w:val="center"/>
          </w:tcPr>
          <w:p w:rsidR="00462D3E" w:rsidRPr="004C5551" w:rsidRDefault="00462D3E" w:rsidP="004F5A0D">
            <w:pPr>
              <w:tabs>
                <w:tab w:val="left" w:pos="928"/>
              </w:tabs>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58 941</w:t>
            </w:r>
          </w:p>
        </w:tc>
        <w:tc>
          <w:tcPr>
            <w:tcW w:w="1153" w:type="dxa"/>
            <w:gridSpan w:val="2"/>
            <w:tcBorders>
              <w:top w:val="none" w:sz="0" w:space="0" w:color="auto"/>
              <w:bottom w:val="none" w:sz="0" w:space="0" w:color="auto"/>
            </w:tcBorders>
            <w:vAlign w:val="center"/>
          </w:tcPr>
          <w:p w:rsidR="00462D3E" w:rsidRPr="004C5551" w:rsidRDefault="00462D3E" w:rsidP="004F5A0D">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144,46</w:t>
            </w:r>
          </w:p>
        </w:tc>
        <w:tc>
          <w:tcPr>
            <w:tcW w:w="1133" w:type="dxa"/>
            <w:gridSpan w:val="3"/>
            <w:tcBorders>
              <w:top w:val="none" w:sz="0" w:space="0" w:color="auto"/>
              <w:bottom w:val="none" w:sz="0" w:space="0" w:color="auto"/>
              <w:right w:val="single" w:sz="4" w:space="0" w:color="BF0000" w:themeColor="accent3" w:themeShade="BF"/>
            </w:tcBorders>
            <w:vAlign w:val="center"/>
          </w:tcPr>
          <w:p w:rsidR="00462D3E" w:rsidRPr="004C5551" w:rsidRDefault="00462D3E" w:rsidP="004F5A0D">
            <w:pPr>
              <w:spacing w:line="0" w:lineRule="atLeast"/>
              <w:ind w:right="10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105 814 295</w:t>
            </w:r>
          </w:p>
        </w:tc>
        <w:tc>
          <w:tcPr>
            <w:tcW w:w="1133" w:type="dxa"/>
            <w:gridSpan w:val="2"/>
            <w:tcBorders>
              <w:top w:val="none" w:sz="0" w:space="0" w:color="auto"/>
              <w:left w:val="single" w:sz="4" w:space="0" w:color="BF0000" w:themeColor="accent3" w:themeShade="BF"/>
              <w:bottom w:val="none" w:sz="0" w:space="0" w:color="auto"/>
            </w:tcBorders>
            <w:vAlign w:val="center"/>
          </w:tcPr>
          <w:p w:rsidR="00462D3E" w:rsidRPr="004C5551" w:rsidRDefault="00462D3E" w:rsidP="004F5A0D">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58 992</w:t>
            </w:r>
          </w:p>
        </w:tc>
        <w:tc>
          <w:tcPr>
            <w:tcW w:w="1133" w:type="dxa"/>
            <w:gridSpan w:val="2"/>
            <w:tcBorders>
              <w:top w:val="none" w:sz="0" w:space="0" w:color="auto"/>
              <w:bottom w:val="none" w:sz="0" w:space="0" w:color="auto"/>
            </w:tcBorders>
            <w:vAlign w:val="center"/>
          </w:tcPr>
          <w:p w:rsidR="00462D3E" w:rsidRPr="004C5551" w:rsidRDefault="00462D3E" w:rsidP="004F5A0D">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147,35</w:t>
            </w:r>
          </w:p>
        </w:tc>
        <w:tc>
          <w:tcPr>
            <w:tcW w:w="1176" w:type="dxa"/>
            <w:tcBorders>
              <w:top w:val="none" w:sz="0" w:space="0" w:color="auto"/>
              <w:bottom w:val="none" w:sz="0" w:space="0" w:color="auto"/>
              <w:right w:val="none" w:sz="0" w:space="0" w:color="auto"/>
            </w:tcBorders>
            <w:vAlign w:val="center"/>
          </w:tcPr>
          <w:p w:rsidR="00462D3E" w:rsidRPr="004C5551" w:rsidRDefault="00462D3E" w:rsidP="004F5A0D">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104 309 411</w:t>
            </w:r>
          </w:p>
        </w:tc>
      </w:tr>
      <w:tr w:rsidR="00162AE3"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shd w:val="clear" w:color="auto" w:fill="BF0000" w:themeFill="accent3" w:themeFillShade="BF"/>
            <w:vAlign w:val="center"/>
            <w:hideMark/>
          </w:tcPr>
          <w:p w:rsidR="00462D3E" w:rsidRPr="004C5551" w:rsidRDefault="00462D3E" w:rsidP="00462D3E">
            <w:pPr>
              <w:jc w:val="center"/>
              <w:rPr>
                <w:color w:val="FFFFFF" w:themeColor="background1"/>
                <w:sz w:val="18"/>
                <w:szCs w:val="18"/>
              </w:rPr>
            </w:pPr>
            <w:r w:rsidRPr="004C5551">
              <w:rPr>
                <w:color w:val="FFFFFF" w:themeColor="background1"/>
                <w:sz w:val="18"/>
                <w:szCs w:val="18"/>
              </w:rPr>
              <w:t>Jednorazové peňažné príspevky na kompenzáciu</w:t>
            </w:r>
          </w:p>
        </w:tc>
        <w:tc>
          <w:tcPr>
            <w:tcW w:w="1153" w:type="dxa"/>
            <w:shd w:val="clear" w:color="auto" w:fill="BF0000" w:themeFill="accent3" w:themeFillShade="BF"/>
            <w:vAlign w:val="center"/>
            <w:hideMark/>
          </w:tcPr>
          <w:p w:rsidR="00462D3E" w:rsidRPr="004C5551" w:rsidRDefault="00462D3E" w:rsidP="00462D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Počet poskytnutých PP</w:t>
            </w:r>
            <w:r w:rsidR="003473DF" w:rsidRPr="004C5551">
              <w:rPr>
                <w:b/>
                <w:color w:val="FFFFFF" w:themeColor="background1"/>
                <w:sz w:val="18"/>
                <w:szCs w:val="18"/>
              </w:rPr>
              <w:t>*</w:t>
            </w:r>
          </w:p>
        </w:tc>
        <w:tc>
          <w:tcPr>
            <w:tcW w:w="1134" w:type="dxa"/>
            <w:shd w:val="clear" w:color="auto" w:fill="BF0000" w:themeFill="accent3" w:themeFillShade="BF"/>
            <w:vAlign w:val="center"/>
          </w:tcPr>
          <w:p w:rsidR="00462D3E" w:rsidRPr="004C5551" w:rsidRDefault="00462D3E" w:rsidP="00462D3E">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C5551">
              <w:rPr>
                <w:b/>
                <w:color w:val="FFFFFF" w:themeColor="background1"/>
                <w:sz w:val="18"/>
                <w:szCs w:val="18"/>
              </w:rPr>
              <w:t>Priemerná výška PP v €</w:t>
            </w:r>
          </w:p>
        </w:tc>
        <w:tc>
          <w:tcPr>
            <w:tcW w:w="1133" w:type="dxa"/>
            <w:gridSpan w:val="3"/>
            <w:tcBorders>
              <w:bottom w:val="single" w:sz="4" w:space="0" w:color="BF0000" w:themeColor="accent3" w:themeShade="BF"/>
              <w:right w:val="single" w:sz="4" w:space="0" w:color="BF0000" w:themeColor="accent3" w:themeShade="BF"/>
            </w:tcBorders>
            <w:shd w:val="clear" w:color="auto" w:fill="BF0000" w:themeFill="accent3" w:themeFillShade="BF"/>
            <w:vAlign w:val="center"/>
          </w:tcPr>
          <w:p w:rsidR="00462D3E" w:rsidRPr="004C5551" w:rsidRDefault="00462D3E" w:rsidP="00BB18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 xml:space="preserve">Vynaložené </w:t>
            </w:r>
            <w:r w:rsidR="00BC0FE1" w:rsidRPr="004C5551">
              <w:rPr>
                <w:b/>
                <w:color w:val="FFFFFF" w:themeColor="background1"/>
                <w:sz w:val="18"/>
                <w:szCs w:val="18"/>
              </w:rPr>
              <w:t>finančné</w:t>
            </w:r>
            <w:r w:rsidRPr="004C5551">
              <w:rPr>
                <w:b/>
                <w:color w:val="FFFFFF" w:themeColor="background1"/>
                <w:sz w:val="18"/>
                <w:szCs w:val="18"/>
              </w:rPr>
              <w:t xml:space="preserve"> prostriedky v</w:t>
            </w:r>
            <w:r w:rsidR="00BB1867" w:rsidRPr="004C5551">
              <w:rPr>
                <w:b/>
                <w:color w:val="FFFFFF" w:themeColor="background1"/>
                <w:sz w:val="18"/>
                <w:szCs w:val="18"/>
              </w:rPr>
              <w:t> </w:t>
            </w:r>
            <w:r w:rsidRPr="004C5551">
              <w:rPr>
                <w:b/>
                <w:color w:val="FFFFFF" w:themeColor="background1"/>
                <w:sz w:val="18"/>
                <w:szCs w:val="18"/>
              </w:rPr>
              <w:t>€</w:t>
            </w:r>
          </w:p>
        </w:tc>
        <w:tc>
          <w:tcPr>
            <w:tcW w:w="1133" w:type="dxa"/>
            <w:gridSpan w:val="2"/>
            <w:tcBorders>
              <w:left w:val="single" w:sz="4" w:space="0" w:color="BF0000" w:themeColor="accent3" w:themeShade="BF"/>
            </w:tcBorders>
            <w:shd w:val="clear" w:color="auto" w:fill="BF0000" w:themeFill="accent3" w:themeFillShade="BF"/>
            <w:vAlign w:val="center"/>
          </w:tcPr>
          <w:p w:rsidR="00462D3E" w:rsidRPr="004C5551" w:rsidRDefault="00462D3E" w:rsidP="00462D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Počet poskytnutých PP</w:t>
            </w:r>
            <w:r w:rsidR="003473DF" w:rsidRPr="004C5551">
              <w:rPr>
                <w:b/>
                <w:color w:val="FFFFFF" w:themeColor="background1"/>
                <w:sz w:val="18"/>
                <w:szCs w:val="18"/>
              </w:rPr>
              <w:t>*</w:t>
            </w:r>
          </w:p>
        </w:tc>
        <w:tc>
          <w:tcPr>
            <w:tcW w:w="1133" w:type="dxa"/>
            <w:gridSpan w:val="2"/>
            <w:shd w:val="clear" w:color="auto" w:fill="BF0000" w:themeFill="accent3" w:themeFillShade="BF"/>
            <w:vAlign w:val="center"/>
          </w:tcPr>
          <w:p w:rsidR="00462D3E" w:rsidRPr="004C5551" w:rsidRDefault="00462D3E" w:rsidP="00462D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Priemerná výška PP v €</w:t>
            </w:r>
          </w:p>
        </w:tc>
        <w:tc>
          <w:tcPr>
            <w:tcW w:w="1195" w:type="dxa"/>
            <w:gridSpan w:val="2"/>
            <w:shd w:val="clear" w:color="auto" w:fill="BF0000" w:themeFill="accent3" w:themeFillShade="BF"/>
            <w:vAlign w:val="center"/>
          </w:tcPr>
          <w:p w:rsidR="00462D3E" w:rsidRPr="004C5551" w:rsidRDefault="00462D3E" w:rsidP="00BB186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4C5551">
              <w:rPr>
                <w:b/>
                <w:color w:val="FFFFFF" w:themeColor="background1"/>
                <w:sz w:val="18"/>
                <w:szCs w:val="18"/>
              </w:rPr>
              <w:t xml:space="preserve">Vynaložené </w:t>
            </w:r>
            <w:r w:rsidR="00BC0FE1" w:rsidRPr="004C5551">
              <w:rPr>
                <w:b/>
                <w:color w:val="FFFFFF" w:themeColor="background1"/>
                <w:sz w:val="18"/>
                <w:szCs w:val="18"/>
              </w:rPr>
              <w:t>finančné</w:t>
            </w:r>
            <w:r w:rsidRPr="004C5551">
              <w:rPr>
                <w:b/>
                <w:color w:val="FFFFFF" w:themeColor="background1"/>
                <w:sz w:val="18"/>
                <w:szCs w:val="18"/>
              </w:rPr>
              <w:t xml:space="preserve"> prostriedky v</w:t>
            </w:r>
            <w:r w:rsidR="00BB1867" w:rsidRPr="004C5551">
              <w:rPr>
                <w:b/>
                <w:color w:val="FFFFFF" w:themeColor="background1"/>
                <w:sz w:val="18"/>
                <w:szCs w:val="18"/>
              </w:rPr>
              <w:t> </w:t>
            </w:r>
            <w:r w:rsidRPr="004C5551">
              <w:rPr>
                <w:b/>
                <w:color w:val="FFFFFF" w:themeColor="background1"/>
                <w:sz w:val="18"/>
                <w:szCs w:val="18"/>
              </w:rPr>
              <w:t>€</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kúpu pomôcky</w:t>
            </w:r>
          </w:p>
        </w:tc>
        <w:tc>
          <w:tcPr>
            <w:tcW w:w="1153" w:type="dxa"/>
            <w:tcBorders>
              <w:top w:val="none" w:sz="0" w:space="0" w:color="auto"/>
              <w:bottom w:val="none" w:sz="0" w:space="0" w:color="auto"/>
            </w:tcBorders>
            <w:vAlign w:val="bottom"/>
          </w:tcPr>
          <w:p w:rsidR="00462D3E" w:rsidRPr="004C5551" w:rsidRDefault="006119F9" w:rsidP="00462D3E">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2 166</w:t>
            </w:r>
          </w:p>
        </w:tc>
        <w:tc>
          <w:tcPr>
            <w:tcW w:w="1134" w:type="dxa"/>
            <w:tcBorders>
              <w:top w:val="none" w:sz="0" w:space="0" w:color="auto"/>
              <w:bottom w:val="none" w:sz="0" w:space="0" w:color="auto"/>
            </w:tcBorders>
            <w:vAlign w:val="bottom"/>
          </w:tcPr>
          <w:p w:rsidR="00462D3E" w:rsidRPr="004C5551" w:rsidRDefault="00462D3E" w:rsidP="004F5A0D">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718,47</w:t>
            </w:r>
          </w:p>
        </w:tc>
        <w:tc>
          <w:tcPr>
            <w:tcW w:w="1133" w:type="dxa"/>
            <w:gridSpan w:val="3"/>
            <w:tcBorders>
              <w:top w:val="none" w:sz="0" w:space="0" w:color="auto"/>
              <w:bottom w:val="none" w:sz="0" w:space="0" w:color="auto"/>
              <w:right w:val="single" w:sz="4" w:space="0" w:color="BF0000" w:themeColor="accent3" w:themeShade="BF"/>
            </w:tcBorders>
            <w:vAlign w:val="bottom"/>
          </w:tcPr>
          <w:p w:rsidR="00462D3E" w:rsidRPr="004C5551" w:rsidRDefault="00462D3E" w:rsidP="004F5A0D">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2 317 083</w:t>
            </w:r>
          </w:p>
        </w:tc>
        <w:tc>
          <w:tcPr>
            <w:tcW w:w="1133" w:type="dxa"/>
            <w:gridSpan w:val="2"/>
            <w:tcBorders>
              <w:top w:val="none" w:sz="0" w:space="0" w:color="auto"/>
              <w:left w:val="single" w:sz="4" w:space="0" w:color="BF0000" w:themeColor="accent3" w:themeShade="BF"/>
              <w:bottom w:val="none" w:sz="0" w:space="0" w:color="auto"/>
            </w:tcBorders>
            <w:vAlign w:val="bottom"/>
          </w:tcPr>
          <w:p w:rsidR="00462D3E" w:rsidRPr="004C5551" w:rsidRDefault="00462D3E" w:rsidP="004F5A0D">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22"/>
              </w:rPr>
              <w:t>2 247</w:t>
            </w:r>
          </w:p>
        </w:tc>
        <w:tc>
          <w:tcPr>
            <w:tcW w:w="1133" w:type="dxa"/>
            <w:gridSpan w:val="2"/>
            <w:tcBorders>
              <w:top w:val="none" w:sz="0" w:space="0" w:color="auto"/>
              <w:bottom w:val="none" w:sz="0" w:space="0" w:color="auto"/>
            </w:tcBorders>
            <w:vAlign w:val="bottom"/>
          </w:tcPr>
          <w:p w:rsidR="00462D3E" w:rsidRPr="004C5551" w:rsidRDefault="00462D3E" w:rsidP="004F5A0D">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w:t>
            </w:r>
            <w:r w:rsidR="004F5A0D" w:rsidRPr="004C5551">
              <w:rPr>
                <w:sz w:val="18"/>
                <w:szCs w:val="18"/>
              </w:rPr>
              <w:t xml:space="preserve"> </w:t>
            </w:r>
            <w:r w:rsidRPr="004C5551">
              <w:rPr>
                <w:sz w:val="18"/>
                <w:szCs w:val="18"/>
              </w:rPr>
              <w:t>068,28</w:t>
            </w:r>
          </w:p>
        </w:tc>
        <w:tc>
          <w:tcPr>
            <w:tcW w:w="1195" w:type="dxa"/>
            <w:gridSpan w:val="2"/>
            <w:tcBorders>
              <w:top w:val="none" w:sz="0" w:space="0" w:color="auto"/>
              <w:bottom w:val="none" w:sz="0" w:space="0" w:color="auto"/>
              <w:right w:val="none" w:sz="0" w:space="0" w:color="auto"/>
            </w:tcBorders>
          </w:tcPr>
          <w:p w:rsidR="00462D3E" w:rsidRPr="004C5551" w:rsidRDefault="00462D3E" w:rsidP="004F5A0D">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2 400 436</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výcvik používania pomôcky</w:t>
            </w:r>
          </w:p>
        </w:tc>
        <w:tc>
          <w:tcPr>
            <w:tcW w:w="1153" w:type="dxa"/>
            <w:vAlign w:val="bottom"/>
          </w:tcPr>
          <w:p w:rsidR="00462D3E" w:rsidRPr="004C5551" w:rsidRDefault="00462D3E" w:rsidP="00462D3E">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w:t>
            </w:r>
            <w:r w:rsidR="006119F9" w:rsidRPr="004C5551">
              <w:rPr>
                <w:sz w:val="18"/>
                <w:szCs w:val="18"/>
              </w:rPr>
              <w:t>5</w:t>
            </w:r>
          </w:p>
        </w:tc>
        <w:tc>
          <w:tcPr>
            <w:tcW w:w="1134" w:type="dxa"/>
            <w:vAlign w:val="bottom"/>
          </w:tcPr>
          <w:p w:rsidR="00462D3E" w:rsidRPr="004C5551" w:rsidRDefault="00462D3E" w:rsidP="004F5A0D">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648,22</w:t>
            </w:r>
          </w:p>
        </w:tc>
        <w:tc>
          <w:tcPr>
            <w:tcW w:w="1133" w:type="dxa"/>
            <w:gridSpan w:val="3"/>
            <w:tcBorders>
              <w:right w:val="single" w:sz="4" w:space="0" w:color="BF0000" w:themeColor="accent3" w:themeShade="BF"/>
            </w:tcBorders>
            <w:vAlign w:val="bottom"/>
          </w:tcPr>
          <w:p w:rsidR="00462D3E" w:rsidRPr="004C5551" w:rsidRDefault="00462D3E" w:rsidP="004F5A0D">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23 984</w:t>
            </w:r>
          </w:p>
        </w:tc>
        <w:tc>
          <w:tcPr>
            <w:tcW w:w="1133" w:type="dxa"/>
            <w:gridSpan w:val="2"/>
            <w:tcBorders>
              <w:left w:val="single" w:sz="4" w:space="0" w:color="BF0000" w:themeColor="accent3" w:themeShade="BF"/>
            </w:tcBorders>
            <w:vAlign w:val="bottom"/>
          </w:tcPr>
          <w:p w:rsidR="00462D3E" w:rsidRPr="004C5551" w:rsidRDefault="00462D3E" w:rsidP="004F5A0D">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22"/>
              </w:rPr>
              <w:t>45</w:t>
            </w:r>
          </w:p>
        </w:tc>
        <w:tc>
          <w:tcPr>
            <w:tcW w:w="1133" w:type="dxa"/>
            <w:gridSpan w:val="2"/>
            <w:vAlign w:val="bottom"/>
          </w:tcPr>
          <w:p w:rsidR="00462D3E" w:rsidRPr="004C5551" w:rsidRDefault="00462D3E" w:rsidP="004F5A0D">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753,04</w:t>
            </w:r>
          </w:p>
        </w:tc>
        <w:tc>
          <w:tcPr>
            <w:tcW w:w="1195" w:type="dxa"/>
            <w:gridSpan w:val="2"/>
          </w:tcPr>
          <w:p w:rsidR="00462D3E" w:rsidRPr="004C5551" w:rsidRDefault="00462D3E" w:rsidP="004F5A0D">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33 887</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úpravu pomôcky</w:t>
            </w:r>
          </w:p>
        </w:tc>
        <w:tc>
          <w:tcPr>
            <w:tcW w:w="1153" w:type="dxa"/>
            <w:tcBorders>
              <w:top w:val="none" w:sz="0" w:space="0" w:color="auto"/>
              <w:bottom w:val="none" w:sz="0" w:space="0" w:color="auto"/>
            </w:tcBorders>
            <w:vAlign w:val="bottom"/>
          </w:tcPr>
          <w:p w:rsidR="00462D3E" w:rsidRPr="004C5551" w:rsidRDefault="00462D3E" w:rsidP="00462D3E">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39</w:t>
            </w:r>
          </w:p>
        </w:tc>
        <w:tc>
          <w:tcPr>
            <w:tcW w:w="1134" w:type="dxa"/>
            <w:tcBorders>
              <w:top w:val="none" w:sz="0" w:space="0" w:color="auto"/>
              <w:bottom w:val="none" w:sz="0" w:space="0" w:color="auto"/>
            </w:tcBorders>
            <w:vAlign w:val="bottom"/>
          </w:tcPr>
          <w:p w:rsidR="00462D3E" w:rsidRPr="004C5551" w:rsidRDefault="00462D3E" w:rsidP="004F5A0D">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1 025,87</w:t>
            </w:r>
          </w:p>
        </w:tc>
        <w:tc>
          <w:tcPr>
            <w:tcW w:w="1133" w:type="dxa"/>
            <w:gridSpan w:val="3"/>
            <w:tcBorders>
              <w:top w:val="none" w:sz="0" w:space="0" w:color="auto"/>
              <w:bottom w:val="none" w:sz="0" w:space="0" w:color="auto"/>
              <w:right w:val="single" w:sz="4" w:space="0" w:color="BF0000" w:themeColor="accent3" w:themeShade="BF"/>
            </w:tcBorders>
            <w:vAlign w:val="bottom"/>
          </w:tcPr>
          <w:p w:rsidR="00462D3E" w:rsidRPr="004C5551" w:rsidRDefault="00462D3E" w:rsidP="004F5A0D">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40 009</w:t>
            </w:r>
          </w:p>
        </w:tc>
        <w:tc>
          <w:tcPr>
            <w:tcW w:w="1133" w:type="dxa"/>
            <w:gridSpan w:val="2"/>
            <w:tcBorders>
              <w:top w:val="none" w:sz="0" w:space="0" w:color="auto"/>
              <w:left w:val="single" w:sz="4" w:space="0" w:color="BF0000" w:themeColor="accent3" w:themeShade="BF"/>
              <w:bottom w:val="none" w:sz="0" w:space="0" w:color="auto"/>
            </w:tcBorders>
            <w:vAlign w:val="bottom"/>
          </w:tcPr>
          <w:p w:rsidR="00462D3E" w:rsidRPr="004C5551" w:rsidRDefault="00462D3E" w:rsidP="004F5A0D">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22"/>
              </w:rPr>
              <w:t>46</w:t>
            </w:r>
          </w:p>
        </w:tc>
        <w:tc>
          <w:tcPr>
            <w:tcW w:w="1133" w:type="dxa"/>
            <w:gridSpan w:val="2"/>
            <w:tcBorders>
              <w:top w:val="none" w:sz="0" w:space="0" w:color="auto"/>
              <w:bottom w:val="none" w:sz="0" w:space="0" w:color="auto"/>
            </w:tcBorders>
            <w:vAlign w:val="bottom"/>
          </w:tcPr>
          <w:p w:rsidR="00462D3E" w:rsidRPr="004C5551" w:rsidRDefault="00462D3E" w:rsidP="004F5A0D">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973,33</w:t>
            </w:r>
          </w:p>
        </w:tc>
        <w:tc>
          <w:tcPr>
            <w:tcW w:w="1195" w:type="dxa"/>
            <w:gridSpan w:val="2"/>
            <w:tcBorders>
              <w:top w:val="none" w:sz="0" w:space="0" w:color="auto"/>
              <w:bottom w:val="none" w:sz="0" w:space="0" w:color="auto"/>
              <w:right w:val="none" w:sz="0" w:space="0" w:color="auto"/>
            </w:tcBorders>
          </w:tcPr>
          <w:p w:rsidR="00462D3E" w:rsidRPr="004C5551" w:rsidRDefault="00462D3E" w:rsidP="004F5A0D">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44 773</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opravu pomôcky</w:t>
            </w:r>
          </w:p>
        </w:tc>
        <w:tc>
          <w:tcPr>
            <w:tcW w:w="1153" w:type="dxa"/>
            <w:vAlign w:val="bottom"/>
          </w:tcPr>
          <w:p w:rsidR="00462D3E" w:rsidRPr="004C5551" w:rsidRDefault="00462D3E" w:rsidP="00462D3E">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5</w:t>
            </w:r>
            <w:r w:rsidR="006119F9" w:rsidRPr="004C5551">
              <w:rPr>
                <w:sz w:val="18"/>
                <w:szCs w:val="18"/>
              </w:rPr>
              <w:t>62</w:t>
            </w:r>
          </w:p>
        </w:tc>
        <w:tc>
          <w:tcPr>
            <w:tcW w:w="1134" w:type="dxa"/>
            <w:vAlign w:val="bottom"/>
          </w:tcPr>
          <w:p w:rsidR="00462D3E" w:rsidRPr="004C5551" w:rsidRDefault="00462D3E" w:rsidP="004F5A0D">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316,70</w:t>
            </w:r>
          </w:p>
        </w:tc>
        <w:tc>
          <w:tcPr>
            <w:tcW w:w="1133" w:type="dxa"/>
            <w:gridSpan w:val="3"/>
            <w:tcBorders>
              <w:right w:val="single" w:sz="4" w:space="0" w:color="BF0000" w:themeColor="accent3" w:themeShade="BF"/>
            </w:tcBorders>
            <w:vAlign w:val="bottom"/>
          </w:tcPr>
          <w:p w:rsidR="00462D3E" w:rsidRPr="004C5551" w:rsidRDefault="00462D3E" w:rsidP="004F5A0D">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181 657</w:t>
            </w:r>
          </w:p>
        </w:tc>
        <w:tc>
          <w:tcPr>
            <w:tcW w:w="1133" w:type="dxa"/>
            <w:gridSpan w:val="2"/>
            <w:tcBorders>
              <w:left w:val="single" w:sz="4" w:space="0" w:color="BF0000" w:themeColor="accent3" w:themeShade="BF"/>
            </w:tcBorders>
            <w:vAlign w:val="bottom"/>
          </w:tcPr>
          <w:p w:rsidR="00462D3E" w:rsidRPr="004C5551" w:rsidRDefault="00462D3E" w:rsidP="004F5A0D">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22"/>
              </w:rPr>
              <w:t>613</w:t>
            </w:r>
          </w:p>
        </w:tc>
        <w:tc>
          <w:tcPr>
            <w:tcW w:w="1133" w:type="dxa"/>
            <w:gridSpan w:val="2"/>
            <w:vAlign w:val="bottom"/>
          </w:tcPr>
          <w:p w:rsidR="00462D3E" w:rsidRPr="004C5551" w:rsidRDefault="00462D3E" w:rsidP="004F5A0D">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346,01</w:t>
            </w:r>
          </w:p>
        </w:tc>
        <w:tc>
          <w:tcPr>
            <w:tcW w:w="1195" w:type="dxa"/>
            <w:gridSpan w:val="2"/>
          </w:tcPr>
          <w:p w:rsidR="00462D3E" w:rsidRPr="004C5551" w:rsidRDefault="00462D3E" w:rsidP="004F5A0D">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212 107</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kúpu zdvíhacieho zariadenia</w:t>
            </w:r>
          </w:p>
        </w:tc>
        <w:tc>
          <w:tcPr>
            <w:tcW w:w="1153" w:type="dxa"/>
            <w:tcBorders>
              <w:top w:val="none" w:sz="0" w:space="0" w:color="auto"/>
              <w:bottom w:val="none" w:sz="0" w:space="0" w:color="auto"/>
            </w:tcBorders>
            <w:vAlign w:val="bottom"/>
          </w:tcPr>
          <w:p w:rsidR="00462D3E" w:rsidRPr="004C5551" w:rsidRDefault="00462D3E" w:rsidP="00462D3E">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w:t>
            </w:r>
            <w:r w:rsidR="006119F9" w:rsidRPr="004C5551">
              <w:rPr>
                <w:sz w:val="18"/>
                <w:szCs w:val="18"/>
              </w:rPr>
              <w:t>55</w:t>
            </w:r>
          </w:p>
        </w:tc>
        <w:tc>
          <w:tcPr>
            <w:tcW w:w="1134" w:type="dxa"/>
            <w:tcBorders>
              <w:top w:val="none" w:sz="0" w:space="0" w:color="auto"/>
              <w:bottom w:val="none" w:sz="0" w:space="0" w:color="auto"/>
            </w:tcBorders>
            <w:vAlign w:val="bottom"/>
          </w:tcPr>
          <w:p w:rsidR="00462D3E" w:rsidRPr="004C5551" w:rsidRDefault="00462D3E" w:rsidP="004F5A0D">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8 758,04</w:t>
            </w:r>
          </w:p>
        </w:tc>
        <w:tc>
          <w:tcPr>
            <w:tcW w:w="1133" w:type="dxa"/>
            <w:gridSpan w:val="3"/>
            <w:tcBorders>
              <w:top w:val="none" w:sz="0" w:space="0" w:color="auto"/>
              <w:bottom w:val="none" w:sz="0" w:space="0" w:color="auto"/>
              <w:right w:val="single" w:sz="4" w:space="0" w:color="BF0000" w:themeColor="accent3" w:themeShade="BF"/>
            </w:tcBorders>
            <w:vAlign w:val="bottom"/>
          </w:tcPr>
          <w:p w:rsidR="00462D3E" w:rsidRPr="004C5551" w:rsidRDefault="00462D3E" w:rsidP="004F5A0D">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5 208 925</w:t>
            </w:r>
          </w:p>
        </w:tc>
        <w:tc>
          <w:tcPr>
            <w:tcW w:w="1133" w:type="dxa"/>
            <w:gridSpan w:val="2"/>
            <w:tcBorders>
              <w:top w:val="none" w:sz="0" w:space="0" w:color="auto"/>
              <w:left w:val="single" w:sz="4" w:space="0" w:color="BF0000" w:themeColor="accent3" w:themeShade="BF"/>
              <w:bottom w:val="none" w:sz="0" w:space="0" w:color="auto"/>
            </w:tcBorders>
            <w:vAlign w:val="bottom"/>
          </w:tcPr>
          <w:p w:rsidR="00462D3E" w:rsidRPr="004C5551" w:rsidRDefault="00462D3E" w:rsidP="004F5A0D">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22"/>
              </w:rPr>
              <w:t>643</w:t>
            </w:r>
          </w:p>
        </w:tc>
        <w:tc>
          <w:tcPr>
            <w:tcW w:w="1133" w:type="dxa"/>
            <w:gridSpan w:val="2"/>
            <w:tcBorders>
              <w:top w:val="none" w:sz="0" w:space="0" w:color="auto"/>
              <w:bottom w:val="none" w:sz="0" w:space="0" w:color="auto"/>
            </w:tcBorders>
            <w:vAlign w:val="bottom"/>
          </w:tcPr>
          <w:p w:rsidR="00462D3E" w:rsidRPr="004C5551" w:rsidRDefault="00462D3E" w:rsidP="004F5A0D">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9 566,26</w:t>
            </w:r>
          </w:p>
        </w:tc>
        <w:tc>
          <w:tcPr>
            <w:tcW w:w="1195" w:type="dxa"/>
            <w:gridSpan w:val="2"/>
            <w:tcBorders>
              <w:top w:val="none" w:sz="0" w:space="0" w:color="auto"/>
              <w:bottom w:val="none" w:sz="0" w:space="0" w:color="auto"/>
              <w:right w:val="none" w:sz="0" w:space="0" w:color="auto"/>
            </w:tcBorders>
          </w:tcPr>
          <w:p w:rsidR="00462D3E" w:rsidRPr="004C5551" w:rsidRDefault="00462D3E" w:rsidP="004F5A0D">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6 151 107</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kúpu osobného motorového vozidla</w:t>
            </w:r>
          </w:p>
        </w:tc>
        <w:tc>
          <w:tcPr>
            <w:tcW w:w="1153" w:type="dxa"/>
            <w:vAlign w:val="bottom"/>
          </w:tcPr>
          <w:p w:rsidR="00462D3E" w:rsidRPr="004C5551" w:rsidRDefault="00462D3E" w:rsidP="00462D3E">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1 49</w:t>
            </w:r>
            <w:r w:rsidR="00B02E77" w:rsidRPr="004C5551">
              <w:rPr>
                <w:sz w:val="18"/>
                <w:szCs w:val="18"/>
              </w:rPr>
              <w:t>4</w:t>
            </w:r>
          </w:p>
        </w:tc>
        <w:tc>
          <w:tcPr>
            <w:tcW w:w="1134" w:type="dxa"/>
            <w:vAlign w:val="bottom"/>
          </w:tcPr>
          <w:p w:rsidR="00462D3E" w:rsidRPr="004C5551" w:rsidRDefault="00462D3E" w:rsidP="004F5A0D">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6 652,98</w:t>
            </w:r>
          </w:p>
        </w:tc>
        <w:tc>
          <w:tcPr>
            <w:tcW w:w="1133" w:type="dxa"/>
            <w:gridSpan w:val="3"/>
            <w:tcBorders>
              <w:right w:val="single" w:sz="4" w:space="0" w:color="BF0000" w:themeColor="accent3" w:themeShade="BF"/>
            </w:tcBorders>
            <w:vAlign w:val="bottom"/>
          </w:tcPr>
          <w:p w:rsidR="00462D3E" w:rsidRPr="004C5551" w:rsidRDefault="00462D3E" w:rsidP="004F5A0D">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9 952 625</w:t>
            </w:r>
          </w:p>
        </w:tc>
        <w:tc>
          <w:tcPr>
            <w:tcW w:w="1133" w:type="dxa"/>
            <w:gridSpan w:val="2"/>
            <w:tcBorders>
              <w:left w:val="single" w:sz="4" w:space="0" w:color="BF0000" w:themeColor="accent3" w:themeShade="BF"/>
            </w:tcBorders>
            <w:vAlign w:val="bottom"/>
          </w:tcPr>
          <w:p w:rsidR="00462D3E" w:rsidRPr="004C5551" w:rsidRDefault="00462D3E" w:rsidP="004F5A0D">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22"/>
              </w:rPr>
              <w:t>1 470</w:t>
            </w:r>
          </w:p>
        </w:tc>
        <w:tc>
          <w:tcPr>
            <w:tcW w:w="1133" w:type="dxa"/>
            <w:gridSpan w:val="2"/>
            <w:vAlign w:val="bottom"/>
          </w:tcPr>
          <w:p w:rsidR="00462D3E" w:rsidRPr="004C5551" w:rsidRDefault="00462D3E" w:rsidP="004F5A0D">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6 715,26</w:t>
            </w:r>
          </w:p>
        </w:tc>
        <w:tc>
          <w:tcPr>
            <w:tcW w:w="1195" w:type="dxa"/>
            <w:gridSpan w:val="2"/>
          </w:tcPr>
          <w:p w:rsidR="00462D3E" w:rsidRPr="004C5551" w:rsidRDefault="00462D3E" w:rsidP="004F5A0D">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9 871 432</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úpravu osobného motorového vozidla</w:t>
            </w:r>
          </w:p>
        </w:tc>
        <w:tc>
          <w:tcPr>
            <w:tcW w:w="1153" w:type="dxa"/>
            <w:tcBorders>
              <w:top w:val="none" w:sz="0" w:space="0" w:color="auto"/>
              <w:bottom w:val="none" w:sz="0" w:space="0" w:color="auto"/>
            </w:tcBorders>
            <w:vAlign w:val="bottom"/>
          </w:tcPr>
          <w:p w:rsidR="00462D3E" w:rsidRPr="004C5551" w:rsidRDefault="00462D3E" w:rsidP="00462D3E">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10</w:t>
            </w:r>
            <w:r w:rsidR="00B02E77" w:rsidRPr="004C5551">
              <w:rPr>
                <w:sz w:val="18"/>
                <w:szCs w:val="18"/>
              </w:rPr>
              <w:t>0</w:t>
            </w:r>
          </w:p>
        </w:tc>
        <w:tc>
          <w:tcPr>
            <w:tcW w:w="1134" w:type="dxa"/>
            <w:tcBorders>
              <w:top w:val="none" w:sz="0" w:space="0" w:color="auto"/>
              <w:bottom w:val="none" w:sz="0" w:space="0" w:color="auto"/>
            </w:tcBorders>
            <w:vAlign w:val="bottom"/>
          </w:tcPr>
          <w:p w:rsidR="00462D3E" w:rsidRPr="004C5551" w:rsidRDefault="00462D3E" w:rsidP="004F5A0D">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2 571,14</w:t>
            </w:r>
          </w:p>
        </w:tc>
        <w:tc>
          <w:tcPr>
            <w:tcW w:w="1133" w:type="dxa"/>
            <w:gridSpan w:val="3"/>
            <w:tcBorders>
              <w:top w:val="none" w:sz="0" w:space="0" w:color="auto"/>
              <w:bottom w:val="none" w:sz="0" w:space="0" w:color="auto"/>
              <w:right w:val="single" w:sz="4" w:space="0" w:color="BF0000" w:themeColor="accent3" w:themeShade="BF"/>
            </w:tcBorders>
            <w:vAlign w:val="bottom"/>
          </w:tcPr>
          <w:p w:rsidR="00462D3E" w:rsidRPr="004C5551" w:rsidRDefault="00462D3E" w:rsidP="004F5A0D">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256 942</w:t>
            </w:r>
          </w:p>
        </w:tc>
        <w:tc>
          <w:tcPr>
            <w:tcW w:w="1133" w:type="dxa"/>
            <w:gridSpan w:val="2"/>
            <w:tcBorders>
              <w:top w:val="none" w:sz="0" w:space="0" w:color="auto"/>
              <w:left w:val="single" w:sz="4" w:space="0" w:color="BF0000" w:themeColor="accent3" w:themeShade="BF"/>
              <w:bottom w:val="none" w:sz="0" w:space="0" w:color="auto"/>
            </w:tcBorders>
            <w:vAlign w:val="bottom"/>
          </w:tcPr>
          <w:p w:rsidR="00462D3E" w:rsidRPr="004C5551" w:rsidRDefault="00462D3E" w:rsidP="004F5A0D">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22"/>
              </w:rPr>
              <w:t>124</w:t>
            </w:r>
          </w:p>
        </w:tc>
        <w:tc>
          <w:tcPr>
            <w:tcW w:w="1133" w:type="dxa"/>
            <w:gridSpan w:val="2"/>
            <w:tcBorders>
              <w:top w:val="none" w:sz="0" w:space="0" w:color="auto"/>
              <w:bottom w:val="none" w:sz="0" w:space="0" w:color="auto"/>
            </w:tcBorders>
            <w:vAlign w:val="bottom"/>
          </w:tcPr>
          <w:p w:rsidR="00462D3E" w:rsidRPr="004C5551" w:rsidRDefault="00462D3E" w:rsidP="004F5A0D">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2 962,89</w:t>
            </w:r>
          </w:p>
        </w:tc>
        <w:tc>
          <w:tcPr>
            <w:tcW w:w="1195" w:type="dxa"/>
            <w:gridSpan w:val="2"/>
            <w:tcBorders>
              <w:top w:val="none" w:sz="0" w:space="0" w:color="auto"/>
              <w:bottom w:val="none" w:sz="0" w:space="0" w:color="auto"/>
              <w:right w:val="none" w:sz="0" w:space="0" w:color="auto"/>
            </w:tcBorders>
          </w:tcPr>
          <w:p w:rsidR="00462D3E" w:rsidRPr="004C5551" w:rsidRDefault="00462D3E" w:rsidP="004F5A0D">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367 398</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úpravu bytu</w:t>
            </w:r>
          </w:p>
        </w:tc>
        <w:tc>
          <w:tcPr>
            <w:tcW w:w="1153" w:type="dxa"/>
            <w:vAlign w:val="bottom"/>
          </w:tcPr>
          <w:p w:rsidR="00462D3E" w:rsidRPr="004C5551" w:rsidRDefault="00462D3E" w:rsidP="00462D3E">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6</w:t>
            </w:r>
            <w:r w:rsidR="00B02E77" w:rsidRPr="004C5551">
              <w:rPr>
                <w:sz w:val="18"/>
                <w:szCs w:val="18"/>
              </w:rPr>
              <w:t>19</w:t>
            </w:r>
          </w:p>
        </w:tc>
        <w:tc>
          <w:tcPr>
            <w:tcW w:w="1134" w:type="dxa"/>
            <w:vAlign w:val="bottom"/>
          </w:tcPr>
          <w:p w:rsidR="00462D3E" w:rsidRPr="004C5551" w:rsidRDefault="00462D3E" w:rsidP="004F5A0D">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2 420,95</w:t>
            </w:r>
          </w:p>
        </w:tc>
        <w:tc>
          <w:tcPr>
            <w:tcW w:w="1133" w:type="dxa"/>
            <w:gridSpan w:val="3"/>
            <w:tcBorders>
              <w:right w:val="single" w:sz="4" w:space="0" w:color="BF0000" w:themeColor="accent3" w:themeShade="BF"/>
            </w:tcBorders>
            <w:vAlign w:val="bottom"/>
          </w:tcPr>
          <w:p w:rsidR="00462D3E" w:rsidRPr="004C5551" w:rsidRDefault="00462D3E" w:rsidP="004F5A0D">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1 617 856</w:t>
            </w:r>
          </w:p>
        </w:tc>
        <w:tc>
          <w:tcPr>
            <w:tcW w:w="1133" w:type="dxa"/>
            <w:gridSpan w:val="2"/>
            <w:tcBorders>
              <w:left w:val="single" w:sz="4" w:space="0" w:color="BF0000" w:themeColor="accent3" w:themeShade="BF"/>
            </w:tcBorders>
            <w:vAlign w:val="bottom"/>
          </w:tcPr>
          <w:p w:rsidR="00462D3E" w:rsidRPr="004C5551" w:rsidRDefault="00462D3E" w:rsidP="004F5A0D">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22"/>
              </w:rPr>
              <w:t>497</w:t>
            </w:r>
          </w:p>
        </w:tc>
        <w:tc>
          <w:tcPr>
            <w:tcW w:w="1133" w:type="dxa"/>
            <w:gridSpan w:val="2"/>
            <w:vAlign w:val="bottom"/>
          </w:tcPr>
          <w:p w:rsidR="00462D3E" w:rsidRPr="004C5551" w:rsidRDefault="00462D3E" w:rsidP="004F5A0D">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2 511,84</w:t>
            </w:r>
          </w:p>
        </w:tc>
        <w:tc>
          <w:tcPr>
            <w:tcW w:w="1195" w:type="dxa"/>
            <w:gridSpan w:val="2"/>
          </w:tcPr>
          <w:p w:rsidR="00462D3E" w:rsidRPr="004C5551" w:rsidRDefault="00462D3E" w:rsidP="004F5A0D">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1 248 383</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úpravu rodinného domu</w:t>
            </w:r>
          </w:p>
        </w:tc>
        <w:tc>
          <w:tcPr>
            <w:tcW w:w="1153" w:type="dxa"/>
            <w:tcBorders>
              <w:top w:val="none" w:sz="0" w:space="0" w:color="auto"/>
              <w:bottom w:val="none" w:sz="0" w:space="0" w:color="auto"/>
            </w:tcBorders>
            <w:vAlign w:val="bottom"/>
          </w:tcPr>
          <w:p w:rsidR="00462D3E" w:rsidRPr="004C5551" w:rsidRDefault="00462D3E" w:rsidP="00462D3E">
            <w:pPr>
              <w:spacing w:line="0" w:lineRule="atLeast"/>
              <w:ind w:right="33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 xml:space="preserve">1 </w:t>
            </w:r>
            <w:r w:rsidR="00B02E77" w:rsidRPr="004C5551">
              <w:rPr>
                <w:sz w:val="18"/>
                <w:szCs w:val="18"/>
              </w:rPr>
              <w:t>116</w:t>
            </w:r>
          </w:p>
        </w:tc>
        <w:tc>
          <w:tcPr>
            <w:tcW w:w="1134" w:type="dxa"/>
            <w:tcBorders>
              <w:top w:val="none" w:sz="0" w:space="0" w:color="auto"/>
              <w:bottom w:val="none" w:sz="0" w:space="0" w:color="auto"/>
            </w:tcBorders>
            <w:vAlign w:val="bottom"/>
          </w:tcPr>
          <w:p w:rsidR="00462D3E" w:rsidRPr="004C5551" w:rsidRDefault="00462D3E" w:rsidP="004F5A0D">
            <w:pPr>
              <w:spacing w:line="0" w:lineRule="atLeast"/>
              <w:ind w:right="314"/>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2 198,60</w:t>
            </w:r>
          </w:p>
        </w:tc>
        <w:tc>
          <w:tcPr>
            <w:tcW w:w="1133" w:type="dxa"/>
            <w:gridSpan w:val="3"/>
            <w:tcBorders>
              <w:top w:val="none" w:sz="0" w:space="0" w:color="auto"/>
              <w:bottom w:val="none" w:sz="0" w:space="0" w:color="auto"/>
              <w:right w:val="single" w:sz="4" w:space="0" w:color="BF0000" w:themeColor="accent3" w:themeShade="BF"/>
            </w:tcBorders>
            <w:vAlign w:val="bottom"/>
          </w:tcPr>
          <w:p w:rsidR="00462D3E" w:rsidRPr="004C5551" w:rsidRDefault="00462D3E" w:rsidP="004F5A0D">
            <w:pPr>
              <w:spacing w:line="0" w:lineRule="atLeast"/>
              <w:ind w:right="83"/>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2 653 602</w:t>
            </w:r>
          </w:p>
        </w:tc>
        <w:tc>
          <w:tcPr>
            <w:tcW w:w="1133" w:type="dxa"/>
            <w:gridSpan w:val="2"/>
            <w:tcBorders>
              <w:top w:val="none" w:sz="0" w:space="0" w:color="auto"/>
              <w:left w:val="single" w:sz="4" w:space="0" w:color="BF0000" w:themeColor="accent3" w:themeShade="BF"/>
              <w:bottom w:val="none" w:sz="0" w:space="0" w:color="auto"/>
            </w:tcBorders>
            <w:vAlign w:val="bottom"/>
          </w:tcPr>
          <w:p w:rsidR="00462D3E" w:rsidRPr="004C5551" w:rsidRDefault="00462D3E" w:rsidP="004F5A0D">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22"/>
              </w:rPr>
              <w:t>1 072</w:t>
            </w:r>
          </w:p>
        </w:tc>
        <w:tc>
          <w:tcPr>
            <w:tcW w:w="1133" w:type="dxa"/>
            <w:gridSpan w:val="2"/>
            <w:tcBorders>
              <w:top w:val="none" w:sz="0" w:space="0" w:color="auto"/>
              <w:bottom w:val="none" w:sz="0" w:space="0" w:color="auto"/>
            </w:tcBorders>
            <w:vAlign w:val="bottom"/>
          </w:tcPr>
          <w:p w:rsidR="00462D3E" w:rsidRPr="004C5551" w:rsidRDefault="00462D3E" w:rsidP="004F5A0D">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2 421,61</w:t>
            </w:r>
          </w:p>
        </w:tc>
        <w:tc>
          <w:tcPr>
            <w:tcW w:w="1195" w:type="dxa"/>
            <w:gridSpan w:val="2"/>
            <w:tcBorders>
              <w:top w:val="none" w:sz="0" w:space="0" w:color="auto"/>
              <w:bottom w:val="none" w:sz="0" w:space="0" w:color="auto"/>
              <w:right w:val="none" w:sz="0" w:space="0" w:color="auto"/>
            </w:tcBorders>
          </w:tcPr>
          <w:p w:rsidR="00462D3E" w:rsidRPr="004C5551" w:rsidRDefault="00462D3E" w:rsidP="004F5A0D">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4C5551">
              <w:rPr>
                <w:sz w:val="18"/>
                <w:szCs w:val="18"/>
              </w:rPr>
              <w:t>2 595 968</w:t>
            </w:r>
          </w:p>
        </w:tc>
      </w:tr>
      <w:tr w:rsidR="00462D3E" w:rsidRPr="004C5551" w:rsidTr="00BB1867">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462D3E" w:rsidRPr="004C5551" w:rsidRDefault="00462D3E" w:rsidP="004F5A0D">
            <w:pPr>
              <w:spacing w:line="276" w:lineRule="auto"/>
              <w:jc w:val="left"/>
              <w:rPr>
                <w:b w:val="0"/>
                <w:sz w:val="18"/>
                <w:szCs w:val="18"/>
              </w:rPr>
            </w:pPr>
            <w:r w:rsidRPr="004C5551">
              <w:rPr>
                <w:b w:val="0"/>
                <w:color w:val="000000"/>
                <w:sz w:val="18"/>
                <w:szCs w:val="18"/>
              </w:rPr>
              <w:t>PP na úpravu garáže</w:t>
            </w:r>
          </w:p>
        </w:tc>
        <w:tc>
          <w:tcPr>
            <w:tcW w:w="1153" w:type="dxa"/>
            <w:vAlign w:val="bottom"/>
          </w:tcPr>
          <w:p w:rsidR="00462D3E" w:rsidRPr="004C5551" w:rsidRDefault="00462D3E" w:rsidP="00462D3E">
            <w:pPr>
              <w:spacing w:line="0" w:lineRule="atLeast"/>
              <w:ind w:right="33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15</w:t>
            </w:r>
          </w:p>
        </w:tc>
        <w:tc>
          <w:tcPr>
            <w:tcW w:w="1134" w:type="dxa"/>
            <w:vAlign w:val="bottom"/>
          </w:tcPr>
          <w:p w:rsidR="00462D3E" w:rsidRPr="004C5551" w:rsidRDefault="00462D3E" w:rsidP="004F5A0D">
            <w:pPr>
              <w:spacing w:line="0" w:lineRule="atLeast"/>
              <w:ind w:right="314"/>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1 459,53</w:t>
            </w:r>
          </w:p>
        </w:tc>
        <w:tc>
          <w:tcPr>
            <w:tcW w:w="1133" w:type="dxa"/>
            <w:gridSpan w:val="3"/>
            <w:tcBorders>
              <w:right w:val="single" w:sz="4" w:space="0" w:color="BF0000" w:themeColor="accent3" w:themeShade="BF"/>
            </w:tcBorders>
            <w:vAlign w:val="bottom"/>
          </w:tcPr>
          <w:p w:rsidR="00462D3E" w:rsidRPr="004C5551" w:rsidRDefault="00462D3E" w:rsidP="004F5A0D">
            <w:pPr>
              <w:spacing w:line="0" w:lineRule="atLeast"/>
              <w:ind w:right="83"/>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21 893</w:t>
            </w:r>
          </w:p>
        </w:tc>
        <w:tc>
          <w:tcPr>
            <w:tcW w:w="1133" w:type="dxa"/>
            <w:gridSpan w:val="2"/>
            <w:tcBorders>
              <w:left w:val="single" w:sz="4" w:space="0" w:color="BF0000" w:themeColor="accent3" w:themeShade="BF"/>
            </w:tcBorders>
            <w:vAlign w:val="bottom"/>
          </w:tcPr>
          <w:p w:rsidR="00462D3E" w:rsidRPr="004C5551" w:rsidRDefault="00462D3E" w:rsidP="004F5A0D">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22"/>
              </w:rPr>
              <w:t>8</w:t>
            </w:r>
          </w:p>
        </w:tc>
        <w:tc>
          <w:tcPr>
            <w:tcW w:w="1133" w:type="dxa"/>
            <w:gridSpan w:val="2"/>
            <w:vAlign w:val="bottom"/>
          </w:tcPr>
          <w:p w:rsidR="00462D3E" w:rsidRPr="004C5551" w:rsidRDefault="00462D3E" w:rsidP="004F5A0D">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1 548,75</w:t>
            </w:r>
          </w:p>
        </w:tc>
        <w:tc>
          <w:tcPr>
            <w:tcW w:w="1195" w:type="dxa"/>
            <w:gridSpan w:val="2"/>
          </w:tcPr>
          <w:p w:rsidR="00462D3E" w:rsidRPr="004C5551" w:rsidRDefault="00462D3E" w:rsidP="004F5A0D">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4C5551">
              <w:rPr>
                <w:sz w:val="18"/>
                <w:szCs w:val="18"/>
              </w:rPr>
              <w:t>12 390</w:t>
            </w:r>
          </w:p>
        </w:tc>
      </w:tr>
      <w:tr w:rsidR="00462D3E" w:rsidRPr="004C5551" w:rsidTr="00BB18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shd w:val="clear" w:color="auto" w:fill="BF0000" w:themeFill="accent3" w:themeFillShade="BF"/>
            <w:vAlign w:val="center"/>
            <w:hideMark/>
          </w:tcPr>
          <w:p w:rsidR="00462D3E" w:rsidRPr="004C5551" w:rsidRDefault="00462D3E" w:rsidP="00462D3E">
            <w:pPr>
              <w:jc w:val="left"/>
              <w:rPr>
                <w:color w:val="FFFFFF" w:themeColor="background1"/>
                <w:sz w:val="18"/>
                <w:szCs w:val="18"/>
              </w:rPr>
            </w:pPr>
            <w:r w:rsidRPr="004C5551">
              <w:rPr>
                <w:color w:val="FFFFFF" w:themeColor="background1"/>
                <w:sz w:val="18"/>
                <w:szCs w:val="18"/>
              </w:rPr>
              <w:t>Vynaložené finančné prostriedky na PP SPOLU v €</w:t>
            </w:r>
          </w:p>
        </w:tc>
        <w:tc>
          <w:tcPr>
            <w:tcW w:w="3420" w:type="dxa"/>
            <w:gridSpan w:val="5"/>
            <w:tcBorders>
              <w:top w:val="none" w:sz="0" w:space="0" w:color="auto"/>
              <w:bottom w:val="none" w:sz="0" w:space="0" w:color="auto"/>
            </w:tcBorders>
            <w:shd w:val="clear" w:color="auto" w:fill="BF0000" w:themeFill="accent3" w:themeFillShade="BF"/>
            <w:vAlign w:val="center"/>
          </w:tcPr>
          <w:p w:rsidR="00462D3E" w:rsidRPr="004C5551" w:rsidRDefault="00462D3E" w:rsidP="00462D3E">
            <w:pPr>
              <w:spacing w:line="0" w:lineRule="atLeast"/>
              <w:jc w:val="center"/>
              <w:cnfStyle w:val="000000100000" w:firstRow="0" w:lastRow="0" w:firstColumn="0" w:lastColumn="0" w:oddVBand="0" w:evenVBand="0" w:oddHBand="1" w:evenHBand="0" w:firstRowFirstColumn="0" w:firstRowLastColumn="0" w:lastRowFirstColumn="0" w:lastRowLastColumn="0"/>
              <w:rPr>
                <w:b/>
                <w:sz w:val="18"/>
                <w:szCs w:val="18"/>
              </w:rPr>
            </w:pPr>
            <w:r w:rsidRPr="004C5551">
              <w:rPr>
                <w:b/>
                <w:sz w:val="18"/>
                <w:szCs w:val="18"/>
              </w:rPr>
              <w:t>232 578 097</w:t>
            </w:r>
          </w:p>
        </w:tc>
        <w:tc>
          <w:tcPr>
            <w:tcW w:w="3461" w:type="dxa"/>
            <w:gridSpan w:val="6"/>
            <w:tcBorders>
              <w:top w:val="none" w:sz="0" w:space="0" w:color="auto"/>
              <w:bottom w:val="none" w:sz="0" w:space="0" w:color="auto"/>
              <w:right w:val="none" w:sz="0" w:space="0" w:color="auto"/>
            </w:tcBorders>
            <w:shd w:val="clear" w:color="auto" w:fill="BF0000" w:themeFill="accent3" w:themeFillShade="BF"/>
            <w:vAlign w:val="center"/>
          </w:tcPr>
          <w:p w:rsidR="00462D3E" w:rsidRPr="004C5551" w:rsidRDefault="00462D3E" w:rsidP="00462D3E">
            <w:pPr>
              <w:spacing w:line="0" w:lineRule="atLeast"/>
              <w:ind w:right="167"/>
              <w:jc w:val="center"/>
              <w:cnfStyle w:val="000000100000" w:firstRow="0" w:lastRow="0" w:firstColumn="0" w:lastColumn="0" w:oddVBand="0" w:evenVBand="0" w:oddHBand="1" w:evenHBand="0" w:firstRowFirstColumn="0" w:firstRowLastColumn="0" w:lastRowFirstColumn="0" w:lastRowLastColumn="0"/>
              <w:rPr>
                <w:b/>
                <w:sz w:val="18"/>
                <w:szCs w:val="18"/>
              </w:rPr>
            </w:pPr>
            <w:r w:rsidRPr="004C5551">
              <w:rPr>
                <w:b/>
                <w:sz w:val="18"/>
                <w:szCs w:val="18"/>
              </w:rPr>
              <w:t>235 910 037</w:t>
            </w:r>
          </w:p>
        </w:tc>
      </w:tr>
    </w:tbl>
    <w:p w:rsidR="00460DEB" w:rsidRPr="004C5551" w:rsidRDefault="00462D3E" w:rsidP="00460DEB">
      <w:pPr>
        <w:pStyle w:val="zdroj"/>
        <w:spacing w:after="0"/>
      </w:pPr>
      <w:r w:rsidRPr="004C5551">
        <w:t xml:space="preserve">Zdroj: RSD MIS </w:t>
      </w:r>
    </w:p>
    <w:p w:rsidR="00460DEB" w:rsidRPr="004C5551" w:rsidRDefault="00460DEB" w:rsidP="00460DEB">
      <w:pPr>
        <w:pStyle w:val="zdroj"/>
        <w:spacing w:before="0"/>
      </w:pPr>
      <w:r w:rsidRPr="004C5551">
        <w:rPr>
          <w:i w:val="0"/>
        </w:rPr>
        <w:t>*</w:t>
      </w:r>
      <w:r w:rsidR="003473DF" w:rsidRPr="004C5551">
        <w:t xml:space="preserve"> sumárne údaje za 12 mesiacov</w:t>
      </w:r>
    </w:p>
    <w:bookmarkEnd w:id="679"/>
    <w:p w:rsidR="00462D3E" w:rsidRPr="004C5551" w:rsidRDefault="00462D3E" w:rsidP="001206CF">
      <w:pPr>
        <w:ind w:firstLine="431"/>
      </w:pPr>
    </w:p>
    <w:p w:rsidR="00462D3E" w:rsidRPr="004C5551" w:rsidRDefault="00462D3E">
      <w:pPr>
        <w:jc w:val="left"/>
        <w:rPr>
          <w:szCs w:val="22"/>
        </w:rPr>
      </w:pPr>
      <w:r w:rsidRPr="004C5551">
        <w:rPr>
          <w:szCs w:val="22"/>
        </w:rPr>
        <w:br w:type="page"/>
      </w:r>
    </w:p>
    <w:p w:rsidR="00462D3E" w:rsidRPr="004C5551" w:rsidRDefault="00462D3E" w:rsidP="00462D3E">
      <w:pPr>
        <w:ind w:firstLine="431"/>
        <w:rPr>
          <w:szCs w:val="22"/>
        </w:rPr>
      </w:pPr>
      <w:r w:rsidRPr="004C5551">
        <w:rPr>
          <w:szCs w:val="22"/>
        </w:rPr>
        <w:t xml:space="preserve">Pri </w:t>
      </w:r>
      <w:r w:rsidRPr="004C5551">
        <w:rPr>
          <w:b/>
          <w:szCs w:val="22"/>
        </w:rPr>
        <w:t xml:space="preserve">jednorazových </w:t>
      </w:r>
      <w:r w:rsidRPr="004C5551">
        <w:rPr>
          <w:szCs w:val="22"/>
        </w:rPr>
        <w:t>peňažných príspevkoch na kompenzáciu sa v roku 2014 v porovnaní s rokom 2013 prejavil nárast počtu poskytnutých peňažných príspevkov pri šiestich druhoch a pri štyroch druhoch sme zaznamenali pokles počtu poskytnutých peňažných príspevkov</w:t>
      </w:r>
      <w:r w:rsidR="00125B30" w:rsidRPr="004C5551">
        <w:rPr>
          <w:szCs w:val="22"/>
        </w:rPr>
        <w:t>,</w:t>
      </w:r>
      <w:r w:rsidRPr="004C5551">
        <w:rPr>
          <w:szCs w:val="22"/>
        </w:rPr>
        <w:t xml:space="preserve"> a to nasledovne:</w:t>
      </w:r>
    </w:p>
    <w:p w:rsidR="00462D3E" w:rsidRPr="004C5551" w:rsidRDefault="00462D3E" w:rsidP="00462D3E">
      <w:pPr>
        <w:tabs>
          <w:tab w:val="left" w:pos="284"/>
        </w:tabs>
        <w:spacing w:before="120" w:after="60"/>
        <w:rPr>
          <w:szCs w:val="22"/>
          <w:u w:val="single"/>
        </w:rPr>
      </w:pPr>
      <w:r w:rsidRPr="004C5551">
        <w:rPr>
          <w:szCs w:val="22"/>
          <w:u w:val="single"/>
        </w:rPr>
        <w:t>a)</w:t>
      </w:r>
      <w:r w:rsidRPr="004C5551">
        <w:rPr>
          <w:szCs w:val="22"/>
          <w:u w:val="single"/>
        </w:rPr>
        <w:tab/>
        <w:t>nárast počtu jednorazových PP poskytnutých za celý kalendárny rok 2014 o:</w:t>
      </w:r>
    </w:p>
    <w:p w:rsidR="00462D3E" w:rsidRPr="004C5551" w:rsidRDefault="00462D3E" w:rsidP="00462D3E">
      <w:pPr>
        <w:pStyle w:val="Odsekzoznamu"/>
        <w:numPr>
          <w:ilvl w:val="0"/>
          <w:numId w:val="39"/>
        </w:numPr>
        <w:tabs>
          <w:tab w:val="left" w:pos="284"/>
        </w:tabs>
        <w:rPr>
          <w:szCs w:val="22"/>
        </w:rPr>
      </w:pPr>
      <w:r w:rsidRPr="004C5551">
        <w:rPr>
          <w:szCs w:val="22"/>
        </w:rPr>
        <w:t>81 PP na kúpu pomôcky (priemerná výška PP vzrástla o 349,81 eura)</w:t>
      </w:r>
    </w:p>
    <w:p w:rsidR="00462D3E" w:rsidRPr="004C5551" w:rsidRDefault="00462D3E" w:rsidP="00462D3E">
      <w:pPr>
        <w:pStyle w:val="Odsekzoznamu"/>
        <w:numPr>
          <w:ilvl w:val="0"/>
          <w:numId w:val="39"/>
        </w:numPr>
        <w:tabs>
          <w:tab w:val="left" w:pos="284"/>
        </w:tabs>
        <w:rPr>
          <w:szCs w:val="22"/>
        </w:rPr>
      </w:pPr>
      <w:r w:rsidRPr="004C5551">
        <w:rPr>
          <w:szCs w:val="22"/>
        </w:rPr>
        <w:t>10 PP na výcvik používania pomôcky (priemerná výška PP vzrástla o 104,83 eura)</w:t>
      </w:r>
    </w:p>
    <w:p w:rsidR="00462D3E" w:rsidRPr="004C5551" w:rsidRDefault="00462D3E" w:rsidP="00462D3E">
      <w:pPr>
        <w:pStyle w:val="Odsekzoznamu"/>
        <w:numPr>
          <w:ilvl w:val="0"/>
          <w:numId w:val="39"/>
        </w:numPr>
        <w:tabs>
          <w:tab w:val="left" w:pos="284"/>
        </w:tabs>
        <w:rPr>
          <w:szCs w:val="22"/>
        </w:rPr>
      </w:pPr>
      <w:r w:rsidRPr="004C5551">
        <w:rPr>
          <w:szCs w:val="22"/>
        </w:rPr>
        <w:t>7 PP na úpravu pomôcky (priemerná výška PP klesla o 52,55 eura)</w:t>
      </w:r>
    </w:p>
    <w:p w:rsidR="00462D3E" w:rsidRPr="004C5551" w:rsidRDefault="00462D3E" w:rsidP="00462D3E">
      <w:pPr>
        <w:pStyle w:val="Odsekzoznamu"/>
        <w:numPr>
          <w:ilvl w:val="0"/>
          <w:numId w:val="39"/>
        </w:numPr>
        <w:tabs>
          <w:tab w:val="left" w:pos="284"/>
        </w:tabs>
        <w:rPr>
          <w:szCs w:val="22"/>
        </w:rPr>
      </w:pPr>
      <w:r w:rsidRPr="004C5551">
        <w:rPr>
          <w:szCs w:val="22"/>
        </w:rPr>
        <w:t>51 PP na opravu pomôcky (priemerná výška PP vzrástla o 29,31 eura)</w:t>
      </w:r>
    </w:p>
    <w:p w:rsidR="00462D3E" w:rsidRPr="004C5551" w:rsidRDefault="00462D3E" w:rsidP="00462D3E">
      <w:pPr>
        <w:pStyle w:val="Odsekzoznamu"/>
        <w:numPr>
          <w:ilvl w:val="0"/>
          <w:numId w:val="39"/>
        </w:numPr>
        <w:tabs>
          <w:tab w:val="left" w:pos="284"/>
        </w:tabs>
        <w:rPr>
          <w:szCs w:val="22"/>
        </w:rPr>
      </w:pPr>
      <w:r w:rsidRPr="004C5551">
        <w:rPr>
          <w:szCs w:val="22"/>
        </w:rPr>
        <w:t>88 PP na kúpu zdvíhacieho zariadenia ( priemerná výška PP vzrástla o 808,22 eura)</w:t>
      </w:r>
    </w:p>
    <w:p w:rsidR="00462D3E" w:rsidRPr="004C5551" w:rsidRDefault="00462D3E" w:rsidP="00462D3E">
      <w:pPr>
        <w:pStyle w:val="Odsekzoznamu"/>
        <w:numPr>
          <w:ilvl w:val="0"/>
          <w:numId w:val="39"/>
        </w:numPr>
        <w:tabs>
          <w:tab w:val="left" w:pos="284"/>
        </w:tabs>
        <w:rPr>
          <w:szCs w:val="22"/>
        </w:rPr>
      </w:pPr>
      <w:r w:rsidRPr="004C5551">
        <w:rPr>
          <w:szCs w:val="22"/>
        </w:rPr>
        <w:t xml:space="preserve">24 PP na úpravu osobného motorového vozidla (priemerná výška PP vzrástla o 391,75 eura) </w:t>
      </w:r>
    </w:p>
    <w:p w:rsidR="00462D3E" w:rsidRPr="004C5551" w:rsidRDefault="00462D3E" w:rsidP="00462D3E">
      <w:pPr>
        <w:pStyle w:val="Odsekzoznamu"/>
        <w:numPr>
          <w:ilvl w:val="0"/>
          <w:numId w:val="0"/>
        </w:numPr>
        <w:tabs>
          <w:tab w:val="left" w:pos="284"/>
        </w:tabs>
        <w:ind w:left="720"/>
        <w:rPr>
          <w:szCs w:val="22"/>
        </w:rPr>
      </w:pPr>
    </w:p>
    <w:p w:rsidR="00462D3E" w:rsidRPr="004C5551" w:rsidRDefault="00462D3E" w:rsidP="00462D3E">
      <w:pPr>
        <w:tabs>
          <w:tab w:val="left" w:pos="284"/>
        </w:tabs>
        <w:spacing w:before="120" w:after="60"/>
        <w:rPr>
          <w:szCs w:val="22"/>
        </w:rPr>
      </w:pPr>
      <w:r w:rsidRPr="004C5551">
        <w:rPr>
          <w:szCs w:val="22"/>
        </w:rPr>
        <w:t>b)</w:t>
      </w:r>
      <w:r w:rsidRPr="004C5551">
        <w:rPr>
          <w:szCs w:val="22"/>
        </w:rPr>
        <w:tab/>
      </w:r>
      <w:r w:rsidRPr="004C5551">
        <w:rPr>
          <w:szCs w:val="22"/>
          <w:u w:val="single"/>
        </w:rPr>
        <w:t xml:space="preserve">pokles počtu jednorazových PP poskytnutých za celý kalendárny rok 2014 </w:t>
      </w:r>
      <w:r w:rsidR="00B54B3F" w:rsidRPr="004C5551">
        <w:rPr>
          <w:szCs w:val="22"/>
          <w:u w:val="single"/>
        </w:rPr>
        <w:t>o</w:t>
      </w:r>
      <w:r w:rsidRPr="004C5551">
        <w:rPr>
          <w:szCs w:val="22"/>
        </w:rPr>
        <w:t>:</w:t>
      </w:r>
    </w:p>
    <w:p w:rsidR="00462D3E" w:rsidRPr="004C5551" w:rsidRDefault="00462D3E" w:rsidP="00462D3E">
      <w:pPr>
        <w:pStyle w:val="Odsekzoznamu"/>
        <w:numPr>
          <w:ilvl w:val="0"/>
          <w:numId w:val="39"/>
        </w:numPr>
        <w:tabs>
          <w:tab w:val="left" w:pos="284"/>
        </w:tabs>
        <w:rPr>
          <w:szCs w:val="22"/>
        </w:rPr>
      </w:pPr>
      <w:r w:rsidRPr="004C5551">
        <w:rPr>
          <w:szCs w:val="22"/>
        </w:rPr>
        <w:t>12 PP na kúpu osobného motorového vozidla (priemerná výška PP vzrástla o 62,28 eura)</w:t>
      </w:r>
    </w:p>
    <w:p w:rsidR="00462D3E" w:rsidRPr="004C5551" w:rsidRDefault="00462D3E" w:rsidP="00462D3E">
      <w:pPr>
        <w:pStyle w:val="Odsekzoznamu"/>
        <w:numPr>
          <w:ilvl w:val="0"/>
          <w:numId w:val="39"/>
        </w:numPr>
        <w:tabs>
          <w:tab w:val="left" w:pos="284"/>
        </w:tabs>
        <w:rPr>
          <w:szCs w:val="22"/>
        </w:rPr>
      </w:pPr>
      <w:r w:rsidRPr="004C5551">
        <w:rPr>
          <w:szCs w:val="22"/>
        </w:rPr>
        <w:t>122 PP na úpravu bytu (priemerná výška PP vzrástla o 90,89 eura)</w:t>
      </w:r>
    </w:p>
    <w:p w:rsidR="00462D3E" w:rsidRPr="004C5551" w:rsidRDefault="00462D3E" w:rsidP="00462D3E">
      <w:pPr>
        <w:pStyle w:val="Odsekzoznamu"/>
        <w:numPr>
          <w:ilvl w:val="0"/>
          <w:numId w:val="39"/>
        </w:numPr>
        <w:tabs>
          <w:tab w:val="left" w:pos="284"/>
        </w:tabs>
        <w:rPr>
          <w:szCs w:val="22"/>
        </w:rPr>
      </w:pPr>
      <w:r w:rsidRPr="004C5551">
        <w:rPr>
          <w:szCs w:val="22"/>
        </w:rPr>
        <w:t>44 PP na úpravu rodinného domu (priemerná výška PP vzrástla o 223,01 eura)</w:t>
      </w:r>
    </w:p>
    <w:p w:rsidR="00462D3E" w:rsidRPr="004C5551" w:rsidRDefault="00462D3E" w:rsidP="00462D3E">
      <w:pPr>
        <w:pStyle w:val="Odsekzoznamu"/>
        <w:numPr>
          <w:ilvl w:val="0"/>
          <w:numId w:val="39"/>
        </w:numPr>
        <w:tabs>
          <w:tab w:val="left" w:pos="284"/>
        </w:tabs>
        <w:rPr>
          <w:szCs w:val="22"/>
        </w:rPr>
      </w:pPr>
      <w:r w:rsidRPr="004C5551">
        <w:rPr>
          <w:szCs w:val="22"/>
        </w:rPr>
        <w:t xml:space="preserve">7 PP na úpravu garáže (priemerná výška PP vzrástla o 89,22 eura) </w:t>
      </w:r>
    </w:p>
    <w:p w:rsidR="00460DEB" w:rsidRPr="004C5551" w:rsidRDefault="00460DEB" w:rsidP="00460DEB">
      <w:pPr>
        <w:pStyle w:val="Odsekzoznamu"/>
        <w:numPr>
          <w:ilvl w:val="0"/>
          <w:numId w:val="0"/>
        </w:numPr>
        <w:tabs>
          <w:tab w:val="left" w:pos="284"/>
        </w:tabs>
        <w:ind w:left="720"/>
        <w:rPr>
          <w:szCs w:val="22"/>
        </w:rPr>
      </w:pPr>
    </w:p>
    <w:p w:rsidR="00394FF9" w:rsidRPr="004C5551" w:rsidRDefault="00394FF9" w:rsidP="00394FF9">
      <w:pPr>
        <w:ind w:firstLine="431"/>
        <w:rPr>
          <w:szCs w:val="22"/>
        </w:rPr>
      </w:pPr>
      <w:r w:rsidRPr="004C5551">
        <w:rPr>
          <w:szCs w:val="22"/>
        </w:rPr>
        <w:t xml:space="preserve">Pri </w:t>
      </w:r>
      <w:r w:rsidRPr="004C5551">
        <w:rPr>
          <w:b/>
          <w:szCs w:val="22"/>
        </w:rPr>
        <w:t>opakovaných</w:t>
      </w:r>
      <w:r w:rsidRPr="004C5551">
        <w:rPr>
          <w:szCs w:val="22"/>
        </w:rPr>
        <w:t xml:space="preserve"> peňažných príspevkoch sa v roku 2014 v porovnaní s rokom 2013 prejavil nárast priemerného mesačného počtu poberateľov najvýraznejšie pri peňažnom príspevku na</w:t>
      </w:r>
      <w:r w:rsidR="004F5A0D" w:rsidRPr="004C5551">
        <w:rPr>
          <w:szCs w:val="22"/>
        </w:rPr>
        <w:t> </w:t>
      </w:r>
      <w:r w:rsidRPr="004C5551">
        <w:rPr>
          <w:szCs w:val="22"/>
        </w:rPr>
        <w:t>kompenzáciu zvýšených výdavkov, kde bol zaznamenaný nárast o 1 529 poberateľov (spolu na</w:t>
      </w:r>
      <w:r w:rsidR="004F5A0D" w:rsidRPr="004C5551">
        <w:rPr>
          <w:szCs w:val="22"/>
        </w:rPr>
        <w:t> </w:t>
      </w:r>
      <w:r w:rsidRPr="004C5551">
        <w:rPr>
          <w:szCs w:val="22"/>
        </w:rPr>
        <w:t>všetky zvýšené výdavky). Konkrétne pri kompenzácii zvýšených výdavkov súvisiacich so</w:t>
      </w:r>
      <w:r w:rsidR="004F5A0D" w:rsidRPr="004C5551">
        <w:rPr>
          <w:szCs w:val="22"/>
        </w:rPr>
        <w:t> </w:t>
      </w:r>
      <w:r w:rsidRPr="004C5551">
        <w:rPr>
          <w:szCs w:val="22"/>
        </w:rPr>
        <w:t>zabezpečením prevádzky osobného motorového vozidla bol nárast o 1 253 poberateľov, pri kompenzácii zvýšených výdavkov na diétne stravovanie nárast o 717 poberateľov, pri kompenzácii zvýšených výdavkov súvisiacich s hygienou alebo opotrebovaním šatstva, bielizne, obuvi a bytového zariadenia nárast o 322 poberateľov a pri kompenzáci</w:t>
      </w:r>
      <w:r w:rsidR="005D7BA8" w:rsidRPr="004C5551">
        <w:rPr>
          <w:szCs w:val="22"/>
        </w:rPr>
        <w:t>i</w:t>
      </w:r>
      <w:r w:rsidRPr="004C5551">
        <w:rPr>
          <w:i/>
          <w:szCs w:val="22"/>
        </w:rPr>
        <w:t xml:space="preserve"> </w:t>
      </w:r>
      <w:r w:rsidRPr="004C5551">
        <w:rPr>
          <w:szCs w:val="22"/>
        </w:rPr>
        <w:t>zvýšených výdavkov súvisiacich so</w:t>
      </w:r>
      <w:r w:rsidR="004F5A0D" w:rsidRPr="004C5551">
        <w:rPr>
          <w:szCs w:val="22"/>
        </w:rPr>
        <w:t> </w:t>
      </w:r>
      <w:r w:rsidRPr="004C5551">
        <w:rPr>
          <w:szCs w:val="22"/>
        </w:rPr>
        <w:t>starostlivosťou o psa so špeciálnym výcvikom je počet poberateľov rovnaký ako v predchádzajúcom roku.</w:t>
      </w:r>
    </w:p>
    <w:p w:rsidR="00394FF9" w:rsidRPr="004C5551" w:rsidRDefault="00394FF9" w:rsidP="00394FF9">
      <w:pPr>
        <w:pStyle w:val="Nadpis7"/>
      </w:pPr>
      <w:r w:rsidRPr="004C5551">
        <w:t>Graf 3.14</w:t>
      </w:r>
      <w:r w:rsidRPr="004C5551">
        <w:rPr>
          <w:color w:val="000000"/>
          <w:kern w:val="24"/>
          <w:sz w:val="24"/>
        </w:rPr>
        <w:t xml:space="preserve"> </w:t>
      </w:r>
      <w:r w:rsidRPr="004C5551">
        <w:t>Vývoj počtu poberateľov PP na kompenzáciu zvýšených výdavkov v roku 2013 a 2014</w:t>
      </w:r>
    </w:p>
    <w:p w:rsidR="00394FF9" w:rsidRPr="004C5551" w:rsidRDefault="00543CF2" w:rsidP="00394FF9">
      <w:pPr>
        <w:jc w:val="center"/>
        <w:rPr>
          <w:color w:val="000000" w:themeColor="text1"/>
          <w:sz w:val="20"/>
          <w:szCs w:val="20"/>
        </w:rPr>
      </w:pPr>
      <w:r w:rsidRPr="004C5551">
        <w:rPr>
          <w:noProof/>
        </w:rPr>
        <w:drawing>
          <wp:inline distT="0" distB="0" distL="0" distR="0" wp14:anchorId="59E7836B" wp14:editId="21A98ED8">
            <wp:extent cx="4572000" cy="2401556"/>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94FF9" w:rsidRPr="004C5551" w:rsidRDefault="00394FF9" w:rsidP="00394FF9">
      <w:pPr>
        <w:pStyle w:val="zdroj"/>
      </w:pPr>
      <w:r w:rsidRPr="004C5551">
        <w:t xml:space="preserve">Zdroj: RSD MIS </w:t>
      </w:r>
    </w:p>
    <w:p w:rsidR="00394FF9" w:rsidRPr="004C5551" w:rsidRDefault="00394FF9" w:rsidP="00394FF9">
      <w:pPr>
        <w:ind w:firstLine="431"/>
        <w:rPr>
          <w:szCs w:val="22"/>
        </w:rPr>
      </w:pPr>
      <w:r w:rsidRPr="004C5551">
        <w:rPr>
          <w:szCs w:val="22"/>
        </w:rPr>
        <w:t>Naďalej pretrvával trend z predchádzajúcich rokov, ktorým je nárast priemerného mesačného počtu poberateľov peňažného príspevku na osobnú asistenciu. V roku 2014 je to nárast o 457 poberateľov v porovnaní s rokom 2013. V roku 2014 vzrástla aj priemerná mesačná výška tohto peňažného príspevku</w:t>
      </w:r>
      <w:r w:rsidR="005D7BA8" w:rsidRPr="004C5551">
        <w:rPr>
          <w:szCs w:val="22"/>
        </w:rPr>
        <w:t>,</w:t>
      </w:r>
      <w:r w:rsidRPr="004C5551">
        <w:rPr>
          <w:szCs w:val="22"/>
        </w:rPr>
        <w:t xml:space="preserve"> a to o 13,44 eur</w:t>
      </w:r>
      <w:r w:rsidR="005D7BA8" w:rsidRPr="004C5551">
        <w:rPr>
          <w:szCs w:val="22"/>
        </w:rPr>
        <w:t>a</w:t>
      </w:r>
      <w:r w:rsidRPr="004C5551">
        <w:rPr>
          <w:szCs w:val="22"/>
        </w:rPr>
        <w:t xml:space="preserve">. Priemerná mesačná výška tohto peňažného príspevku v roku 2014 predstavovala cca 140,04 hodín osobnej asistencie mesačne, na ktorý bol poskytnutý peňažný príspevok. V porovnaní s predchádzajúcim rokom je to viac o cca 3,2 hodiny osobnej asistencie mesačne. </w:t>
      </w:r>
    </w:p>
    <w:p w:rsidR="00394FF9" w:rsidRPr="004C5551" w:rsidRDefault="00394FF9" w:rsidP="00394FF9">
      <w:pPr>
        <w:pStyle w:val="Nadpis7"/>
      </w:pPr>
      <w:r w:rsidRPr="004C5551">
        <w:rPr>
          <w:bCs/>
          <w:color w:val="000000" w:themeColor="text1"/>
        </w:rPr>
        <w:t>Graf 3.15</w:t>
      </w:r>
      <w:r w:rsidRPr="004C5551">
        <w:t xml:space="preserve"> Vývoj počtu poberateľov peňažného príspevku na osobnú asistenciu </w:t>
      </w:r>
      <w:r w:rsidRPr="004C5551">
        <w:br/>
        <w:t>v roku 2013 a 2014</w:t>
      </w:r>
    </w:p>
    <w:p w:rsidR="00394FF9" w:rsidRPr="004C5551" w:rsidRDefault="00394FF9" w:rsidP="00394FF9">
      <w:pPr>
        <w:jc w:val="center"/>
        <w:rPr>
          <w:sz w:val="20"/>
          <w:szCs w:val="32"/>
        </w:rPr>
      </w:pPr>
      <w:r w:rsidRPr="004C5551">
        <w:rPr>
          <w:noProof/>
        </w:rPr>
        <w:t xml:space="preserve"> </w:t>
      </w:r>
      <w:r w:rsidR="00543CF2" w:rsidRPr="004C5551">
        <w:rPr>
          <w:noProof/>
        </w:rPr>
        <w:drawing>
          <wp:inline distT="0" distB="0" distL="0" distR="0" wp14:anchorId="00D9A853" wp14:editId="391B1FF1">
            <wp:extent cx="4572000" cy="27432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94FF9" w:rsidRPr="004C5551" w:rsidRDefault="00394FF9" w:rsidP="00394FF9">
      <w:pPr>
        <w:pStyle w:val="zdroj"/>
      </w:pPr>
      <w:r w:rsidRPr="004C5551">
        <w:rPr>
          <w:szCs w:val="22"/>
        </w:rPr>
        <w:tab/>
      </w:r>
      <w:r w:rsidRPr="004C5551">
        <w:t xml:space="preserve">Zdroj: RSD MIS </w:t>
      </w:r>
    </w:p>
    <w:p w:rsidR="00257B74" w:rsidRPr="004C5551" w:rsidRDefault="00257B74" w:rsidP="001206CF">
      <w:pPr>
        <w:ind w:firstLine="431"/>
        <w:rPr>
          <w:szCs w:val="22"/>
        </w:rPr>
      </w:pPr>
      <w:bookmarkStart w:id="680" w:name="_Toc356482737"/>
      <w:r w:rsidRPr="004C5551">
        <w:rPr>
          <w:szCs w:val="22"/>
        </w:rPr>
        <w:t>Peňažný príspevok na opatrovanie, ako jediný peňažný príspevok na kompenzáciu, sa neposkytuje fyzickej osobe s ŤZP, ale priamo fyzickej osobe (opatrovateľovi), ktorá opatruje fyzickú osobu s ŤZP.</w:t>
      </w:r>
      <w:r w:rsidR="00073D95" w:rsidRPr="004C5551">
        <w:rPr>
          <w:szCs w:val="22"/>
        </w:rPr>
        <w:t xml:space="preserve"> </w:t>
      </w:r>
      <w:r w:rsidRPr="004C5551">
        <w:rPr>
          <w:szCs w:val="22"/>
        </w:rPr>
        <w:t>Jeho výška je stanovená v závislosti od viacerých skutočností. Ak opatrovateľ poberá niektorú zo zákonom ustanovených dôchodkových dávok, peňažný príspevok na opatrovanie je ustanovený v paušálnej výške. Ak opatrovateľ nepoberá takúto dôchodkovú dávku, na výšku peňažného príspevku má vplyv príjem opatrovanej fyzickej osoby s ŤZP, ktorý je chránený do výšky 1,4 násobku sumy životného minima pre jednu plnoletú fyzickú osob</w:t>
      </w:r>
      <w:r w:rsidR="00D17FBE" w:rsidRPr="004C5551">
        <w:rPr>
          <w:szCs w:val="22"/>
        </w:rPr>
        <w:t xml:space="preserve">u, resp. ak je fyzickou osobou </w:t>
      </w:r>
      <w:r w:rsidRPr="004C5551">
        <w:rPr>
          <w:szCs w:val="22"/>
        </w:rPr>
        <w:t>s</w:t>
      </w:r>
      <w:r w:rsidR="00D17FBE" w:rsidRPr="004C5551">
        <w:rPr>
          <w:szCs w:val="22"/>
        </w:rPr>
        <w:t> </w:t>
      </w:r>
      <w:r w:rsidRPr="004C5551">
        <w:rPr>
          <w:szCs w:val="22"/>
        </w:rPr>
        <w:t>ŤZP nezaopatrené dieťa, jeho príjem je chránený do 3 násobku sumy životného minima pre jednu plnoletú fyzickú osobu. Vzhľadom na skutočnosť, že v roku 2014 sumy životného minima zostali nezmenené, hranica ochrany príjmu fyzických osôb s</w:t>
      </w:r>
      <w:r w:rsidR="00073D95" w:rsidRPr="004C5551">
        <w:rPr>
          <w:szCs w:val="22"/>
        </w:rPr>
        <w:t> </w:t>
      </w:r>
      <w:r w:rsidRPr="004C5551">
        <w:rPr>
          <w:szCs w:val="22"/>
        </w:rPr>
        <w:t>ŤZP</w:t>
      </w:r>
      <w:r w:rsidR="00073D95" w:rsidRPr="004C5551">
        <w:rPr>
          <w:szCs w:val="22"/>
        </w:rPr>
        <w:t xml:space="preserve"> </w:t>
      </w:r>
      <w:r w:rsidRPr="004C5551">
        <w:rPr>
          <w:szCs w:val="22"/>
        </w:rPr>
        <w:t>zostali bez zmeny od</w:t>
      </w:r>
      <w:r w:rsidR="00073D95" w:rsidRPr="004C5551">
        <w:rPr>
          <w:szCs w:val="22"/>
        </w:rPr>
        <w:t xml:space="preserve"> </w:t>
      </w:r>
      <w:r w:rsidRPr="004C5551">
        <w:rPr>
          <w:szCs w:val="22"/>
        </w:rPr>
        <w:t>júla 2013</w:t>
      </w:r>
      <w:r w:rsidR="00314C2D" w:rsidRPr="004C5551">
        <w:rPr>
          <w:szCs w:val="22"/>
        </w:rPr>
        <w:t>,</w:t>
      </w:r>
      <w:r w:rsidRPr="004C5551">
        <w:rPr>
          <w:szCs w:val="22"/>
        </w:rPr>
        <w:t xml:space="preserve"> a to v sume cca 277,33 </w:t>
      </w:r>
      <w:r w:rsidR="000860E9" w:rsidRPr="004C5551">
        <w:rPr>
          <w:szCs w:val="22"/>
        </w:rPr>
        <w:t>eur</w:t>
      </w:r>
      <w:r w:rsidR="00314C2D" w:rsidRPr="004C5551">
        <w:rPr>
          <w:szCs w:val="22"/>
        </w:rPr>
        <w:t>a</w:t>
      </w:r>
      <w:r w:rsidR="00073D95" w:rsidRPr="004C5551">
        <w:rPr>
          <w:szCs w:val="22"/>
        </w:rPr>
        <w:t xml:space="preserve"> </w:t>
      </w:r>
      <w:r w:rsidRPr="004C5551">
        <w:rPr>
          <w:szCs w:val="22"/>
        </w:rPr>
        <w:t xml:space="preserve">mesačne (1,4 násobok sumy životného minima ) a cca 594,27 </w:t>
      </w:r>
      <w:r w:rsidR="000860E9" w:rsidRPr="004C5551">
        <w:rPr>
          <w:szCs w:val="22"/>
        </w:rPr>
        <w:t>eur</w:t>
      </w:r>
      <w:r w:rsidRPr="004C5551">
        <w:rPr>
          <w:szCs w:val="22"/>
        </w:rPr>
        <w:t xml:space="preserve"> mesačne (</w:t>
      </w:r>
      <w:r w:rsidR="004F5A0D" w:rsidRPr="004C5551">
        <w:rPr>
          <w:szCs w:val="22"/>
        </w:rPr>
        <w:t>3-</w:t>
      </w:r>
      <w:r w:rsidRPr="004C5551">
        <w:rPr>
          <w:szCs w:val="22"/>
        </w:rPr>
        <w:t xml:space="preserve">násobok sumy životného minima). </w:t>
      </w:r>
    </w:p>
    <w:p w:rsidR="00257B74" w:rsidRPr="004C5551" w:rsidRDefault="00D27B43" w:rsidP="001206CF">
      <w:pPr>
        <w:ind w:firstLine="431"/>
        <w:rPr>
          <w:szCs w:val="22"/>
        </w:rPr>
      </w:pPr>
      <w:r w:rsidRPr="004C5551">
        <w:rPr>
          <w:szCs w:val="22"/>
        </w:rPr>
        <w:t>V roku 2014 bol peňažný príspevok na opatrovanie poskytovaný priemerne mesačne 58</w:t>
      </w:r>
      <w:r w:rsidR="004F5A0D" w:rsidRPr="004C5551">
        <w:rPr>
          <w:szCs w:val="22"/>
        </w:rPr>
        <w:t> </w:t>
      </w:r>
      <w:r w:rsidRPr="004C5551">
        <w:rPr>
          <w:szCs w:val="22"/>
        </w:rPr>
        <w:t>992</w:t>
      </w:r>
      <w:r w:rsidR="004F5A0D" w:rsidRPr="004C5551">
        <w:rPr>
          <w:szCs w:val="22"/>
        </w:rPr>
        <w:t> </w:t>
      </w:r>
      <w:r w:rsidRPr="004C5551">
        <w:rPr>
          <w:szCs w:val="22"/>
        </w:rPr>
        <w:t xml:space="preserve">poberateľom </w:t>
      </w:r>
      <w:r w:rsidR="00723C93" w:rsidRPr="004C5551">
        <w:rPr>
          <w:szCs w:val="22"/>
        </w:rPr>
        <w:t>(</w:t>
      </w:r>
      <w:r w:rsidRPr="004C5551">
        <w:rPr>
          <w:szCs w:val="22"/>
        </w:rPr>
        <w:t>medziročný nárast</w:t>
      </w:r>
      <w:r w:rsidR="00073D95" w:rsidRPr="004C5551">
        <w:rPr>
          <w:szCs w:val="22"/>
        </w:rPr>
        <w:t xml:space="preserve"> </w:t>
      </w:r>
      <w:r w:rsidRPr="004C5551">
        <w:rPr>
          <w:szCs w:val="22"/>
        </w:rPr>
        <w:t>o 51 poberateľov), ktorí opatrovali priemerne mesačne 60</w:t>
      </w:r>
      <w:r w:rsidR="004F5A0D" w:rsidRPr="004C5551">
        <w:rPr>
          <w:szCs w:val="22"/>
        </w:rPr>
        <w:t> </w:t>
      </w:r>
      <w:r w:rsidRPr="004C5551">
        <w:rPr>
          <w:szCs w:val="22"/>
        </w:rPr>
        <w:t>697</w:t>
      </w:r>
      <w:r w:rsidR="004F5A0D" w:rsidRPr="004C5551">
        <w:rPr>
          <w:szCs w:val="22"/>
        </w:rPr>
        <w:t> </w:t>
      </w:r>
      <w:r w:rsidRPr="004C5551">
        <w:rPr>
          <w:szCs w:val="22"/>
        </w:rPr>
        <w:t>fyzických osôb s ŤZP ( medziročný pokles o 147 opatrovaných)</w:t>
      </w:r>
      <w:r w:rsidR="00073D95" w:rsidRPr="004C5551">
        <w:rPr>
          <w:szCs w:val="22"/>
        </w:rPr>
        <w:t xml:space="preserve"> </w:t>
      </w:r>
      <w:r w:rsidRPr="004C5551">
        <w:rPr>
          <w:szCs w:val="22"/>
        </w:rPr>
        <w:t xml:space="preserve">a na tento účel bolo vynaložených 104 309 411 </w:t>
      </w:r>
      <w:r w:rsidR="000860E9" w:rsidRPr="004C5551">
        <w:rPr>
          <w:szCs w:val="22"/>
        </w:rPr>
        <w:t>eur</w:t>
      </w:r>
      <w:r w:rsidRPr="004C5551">
        <w:rPr>
          <w:szCs w:val="22"/>
        </w:rPr>
        <w:t>. Priemerná mesačná výška peňažného príspevku na opatrovanie predstavovala sumu cca 147,3</w:t>
      </w:r>
      <w:r w:rsidR="00F71F13" w:rsidRPr="004C5551">
        <w:rPr>
          <w:szCs w:val="22"/>
        </w:rPr>
        <w:t>5</w:t>
      </w:r>
      <w:r w:rsidRPr="004C5551">
        <w:rPr>
          <w:szCs w:val="22"/>
        </w:rPr>
        <w:t xml:space="preserve"> </w:t>
      </w:r>
      <w:r w:rsidR="000860E9" w:rsidRPr="004C5551">
        <w:rPr>
          <w:szCs w:val="22"/>
        </w:rPr>
        <w:t>eur</w:t>
      </w:r>
      <w:r w:rsidR="00314C2D" w:rsidRPr="004C5551">
        <w:rPr>
          <w:szCs w:val="22"/>
        </w:rPr>
        <w:t>a</w:t>
      </w:r>
      <w:r w:rsidRPr="004C5551">
        <w:rPr>
          <w:szCs w:val="22"/>
        </w:rPr>
        <w:t xml:space="preserve"> ( medziročný nárast o 2,8</w:t>
      </w:r>
      <w:r w:rsidR="00F71F13" w:rsidRPr="004C5551">
        <w:rPr>
          <w:szCs w:val="22"/>
        </w:rPr>
        <w:t>9</w:t>
      </w:r>
      <w:r w:rsidRPr="004C5551">
        <w:rPr>
          <w:szCs w:val="22"/>
        </w:rPr>
        <w:t xml:space="preserve"> </w:t>
      </w:r>
      <w:r w:rsidR="000860E9" w:rsidRPr="004C5551">
        <w:rPr>
          <w:szCs w:val="22"/>
        </w:rPr>
        <w:t>eur</w:t>
      </w:r>
      <w:r w:rsidR="00314C2D" w:rsidRPr="004C5551">
        <w:rPr>
          <w:szCs w:val="22"/>
        </w:rPr>
        <w:t>a</w:t>
      </w:r>
      <w:r w:rsidRPr="004C5551">
        <w:rPr>
          <w:szCs w:val="22"/>
        </w:rPr>
        <w:t>).</w:t>
      </w:r>
    </w:p>
    <w:p w:rsidR="00394FF9" w:rsidRPr="004C5551" w:rsidRDefault="00394FF9" w:rsidP="00394FF9">
      <w:pPr>
        <w:ind w:firstLine="431"/>
        <w:rPr>
          <w:szCs w:val="22"/>
        </w:rPr>
      </w:pPr>
      <w:r w:rsidRPr="004C5551">
        <w:rPr>
          <w:szCs w:val="22"/>
        </w:rPr>
        <w:t>V roku 2014 pretrvával rast celkového priemerného mesačného počtu poberateľov peňažného príspevku na opatrovanie, aj keď v porovnaní s rokom 2013 ide o mierny nárast , t.j. o 51</w:t>
      </w:r>
      <w:r w:rsidRPr="004C5551">
        <w:rPr>
          <w:sz w:val="23"/>
          <w:szCs w:val="23"/>
        </w:rPr>
        <w:t xml:space="preserve"> </w:t>
      </w:r>
      <w:r w:rsidRPr="004C5551">
        <w:rPr>
          <w:szCs w:val="22"/>
        </w:rPr>
        <w:t>poberateľov. Pri rozčlenení tohto peňažného príspevku podľa druhu poberateľov (fyzických osôb) sme zaznamenali nárast len pri poberateľoch, ktorým je vyplácaná dôchodková dávka</w:t>
      </w:r>
      <w:r w:rsidR="00314C2D" w:rsidRPr="004C5551">
        <w:rPr>
          <w:szCs w:val="22"/>
        </w:rPr>
        <w:t>,</w:t>
      </w:r>
      <w:r w:rsidRPr="004C5551">
        <w:rPr>
          <w:szCs w:val="22"/>
        </w:rPr>
        <w:t xml:space="preserve"> a to o 654 poberateľov. Tento nárast mohol ovplyvniť okrem príchodu nových poberateľov aj prechod poberateľov z ostatných dvoch skupín. Pri poberateľoch, ktorým nie je vyplácaná niektorá zo zákonom ustanovených dôchodkových dávok (v tzv. produktívnom veku), bol zaznamenaný pokles o 299 poberateľov. Pokles priemerného mesačného počtu poberateľov sa prejavil aj v skupine poberateľov, ktorým sa poskytoval peňažný príspevok na základe prechodného ustanovenia (t.j. podľa zákona účinného do 31.12.2008)</w:t>
      </w:r>
      <w:r w:rsidR="00314C2D" w:rsidRPr="004C5551">
        <w:rPr>
          <w:szCs w:val="22"/>
        </w:rPr>
        <w:t>,</w:t>
      </w:r>
      <w:r w:rsidRPr="004C5551">
        <w:rPr>
          <w:szCs w:val="22"/>
        </w:rPr>
        <w:t xml:space="preserve"> a to o 305. Prehľad údajov o poskytnutých peňažných príspevkoch na opatrovanie je uvedený </w:t>
      </w:r>
      <w:r w:rsidR="00460DEB" w:rsidRPr="004C5551">
        <w:rPr>
          <w:szCs w:val="22"/>
        </w:rPr>
        <w:t>v nasledujúcej tabuľke</w:t>
      </w:r>
      <w:r w:rsidRPr="004C5551">
        <w:rPr>
          <w:szCs w:val="22"/>
        </w:rPr>
        <w:t>.</w:t>
      </w:r>
    </w:p>
    <w:p w:rsidR="001A48E8" w:rsidRPr="004C5551" w:rsidRDefault="001A48E8">
      <w:pPr>
        <w:jc w:val="left"/>
        <w:rPr>
          <w:b/>
        </w:rPr>
      </w:pPr>
      <w:r w:rsidRPr="004C5551">
        <w:br w:type="page"/>
      </w:r>
    </w:p>
    <w:p w:rsidR="001A48E8" w:rsidRPr="004C5551" w:rsidRDefault="001A48E8" w:rsidP="001A48E8">
      <w:pPr>
        <w:pStyle w:val="Nadpis7"/>
      </w:pPr>
      <w:r w:rsidRPr="004C5551">
        <w:t>Tabuľka 3.26 Čerpanie peňažného príspevku na opatrovanie v roku 2014 v hlbšej štruktúre</w:t>
      </w:r>
    </w:p>
    <w:tbl>
      <w:tblPr>
        <w:tblStyle w:val="LightList-Accent11"/>
        <w:tblW w:w="5000" w:type="pct"/>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2175"/>
        <w:gridCol w:w="1173"/>
        <w:gridCol w:w="1277"/>
        <w:gridCol w:w="1174"/>
        <w:gridCol w:w="1176"/>
        <w:gridCol w:w="1277"/>
        <w:gridCol w:w="1036"/>
      </w:tblGrid>
      <w:tr w:rsidR="001A48E8" w:rsidRPr="004C5551" w:rsidTr="002E54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vMerge w:val="restart"/>
            <w:shd w:val="clear" w:color="auto" w:fill="BF0000" w:themeFill="accent3" w:themeFillShade="BF"/>
            <w:vAlign w:val="center"/>
          </w:tcPr>
          <w:p w:rsidR="001A48E8" w:rsidRPr="004C5551" w:rsidRDefault="001A48E8" w:rsidP="002E541A">
            <w:pPr>
              <w:jc w:val="center"/>
              <w:rPr>
                <w:sz w:val="18"/>
              </w:rPr>
            </w:pPr>
            <w:r w:rsidRPr="004C5551">
              <w:rPr>
                <w:sz w:val="18"/>
              </w:rPr>
              <w:t>Peňažný príspevok na opatrovanie</w:t>
            </w:r>
          </w:p>
        </w:tc>
        <w:tc>
          <w:tcPr>
            <w:cnfStyle w:val="000010000000" w:firstRow="0" w:lastRow="0" w:firstColumn="0" w:lastColumn="0" w:oddVBand="1" w:evenVBand="0" w:oddHBand="0" w:evenHBand="0" w:firstRowFirstColumn="0" w:firstRowLastColumn="0" w:lastRowFirstColumn="0" w:lastRowLastColumn="0"/>
            <w:tcW w:w="1929" w:type="pct"/>
            <w:gridSpan w:val="3"/>
            <w:tcBorders>
              <w:top w:val="none" w:sz="0" w:space="0" w:color="auto"/>
              <w:left w:val="none" w:sz="0" w:space="0" w:color="auto"/>
              <w:right w:val="none" w:sz="0" w:space="0" w:color="auto"/>
            </w:tcBorders>
            <w:shd w:val="clear" w:color="auto" w:fill="BF0000" w:themeFill="accent3" w:themeFillShade="BF"/>
            <w:vAlign w:val="center"/>
          </w:tcPr>
          <w:p w:rsidR="001A48E8" w:rsidRPr="004C5551" w:rsidRDefault="001A48E8" w:rsidP="002E541A">
            <w:pPr>
              <w:jc w:val="center"/>
              <w:rPr>
                <w:sz w:val="18"/>
              </w:rPr>
            </w:pPr>
            <w:r w:rsidRPr="004C5551">
              <w:rPr>
                <w:sz w:val="18"/>
              </w:rPr>
              <w:t>2013</w:t>
            </w:r>
          </w:p>
        </w:tc>
        <w:tc>
          <w:tcPr>
            <w:cnfStyle w:val="000100000000" w:firstRow="0" w:lastRow="0" w:firstColumn="0" w:lastColumn="1" w:oddVBand="0" w:evenVBand="0" w:oddHBand="0" w:evenHBand="0" w:firstRowFirstColumn="0" w:firstRowLastColumn="0" w:lastRowFirstColumn="0" w:lastRowLastColumn="0"/>
            <w:tcW w:w="1888" w:type="pct"/>
            <w:gridSpan w:val="3"/>
            <w:shd w:val="clear" w:color="auto" w:fill="BF0000" w:themeFill="accent3" w:themeFillShade="BF"/>
            <w:vAlign w:val="center"/>
          </w:tcPr>
          <w:p w:rsidR="001A48E8" w:rsidRPr="004C5551" w:rsidRDefault="001A48E8" w:rsidP="002E541A">
            <w:pPr>
              <w:jc w:val="center"/>
              <w:rPr>
                <w:sz w:val="18"/>
              </w:rPr>
            </w:pPr>
            <w:r w:rsidRPr="004C5551">
              <w:rPr>
                <w:sz w:val="18"/>
              </w:rPr>
              <w:t>2014</w:t>
            </w:r>
          </w:p>
        </w:tc>
      </w:tr>
      <w:tr w:rsidR="001A48E8" w:rsidRPr="004C5551" w:rsidTr="0007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vMerge/>
            <w:tcBorders>
              <w:top w:val="none" w:sz="0" w:space="0" w:color="auto"/>
              <w:left w:val="none" w:sz="0" w:space="0" w:color="auto"/>
              <w:bottom w:val="none" w:sz="0" w:space="0" w:color="auto"/>
            </w:tcBorders>
            <w:shd w:val="clear" w:color="auto" w:fill="BF0000" w:themeFill="accent3" w:themeFillShade="BF"/>
            <w:vAlign w:val="center"/>
            <w:hideMark/>
          </w:tcPr>
          <w:p w:rsidR="001A48E8" w:rsidRPr="004C5551" w:rsidRDefault="001A48E8" w:rsidP="002E541A">
            <w:pPr>
              <w:jc w:val="center"/>
              <w:rPr>
                <w:sz w:val="18"/>
              </w:rPr>
            </w:pPr>
          </w:p>
        </w:tc>
        <w:tc>
          <w:tcPr>
            <w:cnfStyle w:val="000010000000" w:firstRow="0" w:lastRow="0" w:firstColumn="0" w:lastColumn="0" w:oddVBand="1" w:evenVBand="0" w:oddHBand="0" w:evenHBand="0" w:firstRowFirstColumn="0" w:firstRowLastColumn="0" w:lastRowFirstColumn="0" w:lastRowLastColumn="0"/>
            <w:tcW w:w="643" w:type="pct"/>
            <w:tcBorders>
              <w:top w:val="none" w:sz="0" w:space="0" w:color="auto"/>
              <w:left w:val="none" w:sz="0" w:space="0" w:color="auto"/>
              <w:bottom w:val="single" w:sz="6" w:space="0" w:color="BF0000" w:themeColor="accent3" w:themeShade="BF"/>
              <w:right w:val="none" w:sz="0" w:space="0" w:color="auto"/>
            </w:tcBorders>
            <w:shd w:val="clear" w:color="auto" w:fill="BF0000" w:themeFill="accent3" w:themeFillShade="BF"/>
            <w:vAlign w:val="center"/>
          </w:tcPr>
          <w:p w:rsidR="001A48E8" w:rsidRPr="004C5551" w:rsidRDefault="001A48E8" w:rsidP="002E541A">
            <w:pPr>
              <w:jc w:val="center"/>
              <w:rPr>
                <w:b/>
                <w:sz w:val="18"/>
              </w:rPr>
            </w:pPr>
            <w:r w:rsidRPr="004C5551">
              <w:rPr>
                <w:b/>
                <w:sz w:val="18"/>
              </w:rPr>
              <w:t>Priemerný mesačný počet poberateľov</w:t>
            </w:r>
          </w:p>
        </w:tc>
        <w:tc>
          <w:tcPr>
            <w:tcW w:w="644" w:type="pct"/>
            <w:tcBorders>
              <w:top w:val="none" w:sz="0" w:space="0" w:color="auto"/>
              <w:bottom w:val="single" w:sz="6" w:space="0" w:color="BF0000" w:themeColor="accent3" w:themeShade="BF"/>
            </w:tcBorders>
            <w:shd w:val="clear" w:color="auto" w:fill="BF0000" w:themeFill="accent3" w:themeFillShade="BF"/>
            <w:vAlign w:val="center"/>
          </w:tcPr>
          <w:p w:rsidR="001A48E8" w:rsidRPr="004C5551" w:rsidRDefault="001A48E8" w:rsidP="002E541A">
            <w:pPr>
              <w:jc w:val="center"/>
              <w:cnfStyle w:val="000000100000" w:firstRow="0" w:lastRow="0" w:firstColumn="0" w:lastColumn="0" w:oddVBand="0" w:evenVBand="0" w:oddHBand="1" w:evenHBand="0" w:firstRowFirstColumn="0" w:firstRowLastColumn="0" w:lastRowFirstColumn="0" w:lastRowLastColumn="0"/>
              <w:rPr>
                <w:b/>
                <w:sz w:val="18"/>
              </w:rPr>
            </w:pPr>
            <w:r w:rsidRPr="004C5551">
              <w:rPr>
                <w:b/>
                <w:sz w:val="18"/>
              </w:rPr>
              <w:t>Priemerný mesačný počet opatrovaných</w:t>
            </w:r>
          </w:p>
        </w:tc>
        <w:tc>
          <w:tcPr>
            <w:cnfStyle w:val="000010000000" w:firstRow="0" w:lastRow="0" w:firstColumn="0" w:lastColumn="0" w:oddVBand="1" w:evenVBand="0" w:oddHBand="0" w:evenHBand="0" w:firstRowFirstColumn="0" w:firstRowLastColumn="0" w:lastRowFirstColumn="0" w:lastRowLastColumn="0"/>
            <w:tcW w:w="643" w:type="pct"/>
            <w:tcBorders>
              <w:top w:val="none" w:sz="0" w:space="0" w:color="auto"/>
              <w:left w:val="none" w:sz="0" w:space="0" w:color="auto"/>
              <w:bottom w:val="single" w:sz="6" w:space="0" w:color="BF0000" w:themeColor="accent3" w:themeShade="BF"/>
              <w:right w:val="none" w:sz="0" w:space="0" w:color="auto"/>
            </w:tcBorders>
            <w:shd w:val="clear" w:color="auto" w:fill="BF0000" w:themeFill="accent3" w:themeFillShade="BF"/>
            <w:vAlign w:val="center"/>
          </w:tcPr>
          <w:p w:rsidR="001A48E8" w:rsidRPr="004C5551" w:rsidRDefault="001A48E8" w:rsidP="002E541A">
            <w:pPr>
              <w:jc w:val="center"/>
              <w:rPr>
                <w:b/>
                <w:sz w:val="18"/>
              </w:rPr>
            </w:pPr>
            <w:r w:rsidRPr="004C5551">
              <w:rPr>
                <w:b/>
                <w:sz w:val="18"/>
              </w:rPr>
              <w:t>Priemerná mesačná výška v €</w:t>
            </w:r>
          </w:p>
        </w:tc>
        <w:tc>
          <w:tcPr>
            <w:tcW w:w="644" w:type="pct"/>
            <w:tcBorders>
              <w:top w:val="none" w:sz="0" w:space="0" w:color="auto"/>
              <w:bottom w:val="none" w:sz="0" w:space="0" w:color="auto"/>
            </w:tcBorders>
            <w:shd w:val="clear" w:color="auto" w:fill="BF0000" w:themeFill="accent3" w:themeFillShade="BF"/>
            <w:vAlign w:val="center"/>
            <w:hideMark/>
          </w:tcPr>
          <w:p w:rsidR="001A48E8" w:rsidRPr="004C5551" w:rsidRDefault="001A48E8" w:rsidP="002E541A">
            <w:pPr>
              <w:jc w:val="center"/>
              <w:cnfStyle w:val="000000100000" w:firstRow="0" w:lastRow="0" w:firstColumn="0" w:lastColumn="0" w:oddVBand="0" w:evenVBand="0" w:oddHBand="1" w:evenHBand="0" w:firstRowFirstColumn="0" w:firstRowLastColumn="0" w:lastRowFirstColumn="0" w:lastRowLastColumn="0"/>
              <w:rPr>
                <w:b/>
                <w:sz w:val="18"/>
              </w:rPr>
            </w:pPr>
            <w:r w:rsidRPr="004C5551">
              <w:rPr>
                <w:b/>
                <w:sz w:val="18"/>
              </w:rPr>
              <w:t>Priemerný mesačný počet poberateľov</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shd w:val="clear" w:color="auto" w:fill="BF0000" w:themeFill="accent3" w:themeFillShade="BF"/>
            <w:vAlign w:val="center"/>
            <w:hideMark/>
          </w:tcPr>
          <w:p w:rsidR="001A48E8" w:rsidRPr="004C5551" w:rsidRDefault="001A48E8" w:rsidP="002E541A">
            <w:pPr>
              <w:jc w:val="center"/>
              <w:rPr>
                <w:b/>
                <w:sz w:val="18"/>
              </w:rPr>
            </w:pPr>
            <w:r w:rsidRPr="004C5551">
              <w:rPr>
                <w:b/>
                <w:sz w:val="18"/>
              </w:rPr>
              <w:t>Priemerný mesačný počet opatrovaných</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shd w:val="clear" w:color="auto" w:fill="BF0000" w:themeFill="accent3" w:themeFillShade="BF"/>
            <w:vAlign w:val="center"/>
            <w:hideMark/>
          </w:tcPr>
          <w:p w:rsidR="001A48E8" w:rsidRPr="004C5551" w:rsidRDefault="001A48E8" w:rsidP="002E541A">
            <w:pPr>
              <w:jc w:val="center"/>
              <w:rPr>
                <w:sz w:val="18"/>
              </w:rPr>
            </w:pPr>
            <w:r w:rsidRPr="004C5551">
              <w:rPr>
                <w:sz w:val="18"/>
              </w:rPr>
              <w:t>Priemerná mesačná výška v €</w:t>
            </w:r>
          </w:p>
        </w:tc>
      </w:tr>
      <w:tr w:rsidR="001A48E8" w:rsidRPr="004C5551" w:rsidTr="000761F6">
        <w:trPr>
          <w:trHeight w:val="340"/>
        </w:trPr>
        <w:tc>
          <w:tcPr>
            <w:cnfStyle w:val="001000000000" w:firstRow="0" w:lastRow="0" w:firstColumn="1" w:lastColumn="0" w:oddVBand="0" w:evenVBand="0" w:oddHBand="0" w:evenHBand="0" w:firstRowFirstColumn="0" w:firstRowLastColumn="0" w:lastRowFirstColumn="0" w:lastRowLastColumn="0"/>
            <w:tcW w:w="1182" w:type="pct"/>
            <w:vAlign w:val="center"/>
          </w:tcPr>
          <w:p w:rsidR="001A48E8" w:rsidRPr="004C5551" w:rsidRDefault="001A48E8" w:rsidP="002E541A">
            <w:pPr>
              <w:spacing w:line="0" w:lineRule="atLeast"/>
              <w:jc w:val="left"/>
              <w:rPr>
                <w:b w:val="0"/>
                <w:sz w:val="18"/>
                <w:szCs w:val="22"/>
              </w:rPr>
            </w:pPr>
            <w:r w:rsidRPr="004C5551">
              <w:rPr>
                <w:b w:val="0"/>
                <w:sz w:val="18"/>
                <w:szCs w:val="22"/>
              </w:rPr>
              <w:t>1. FO</w:t>
            </w:r>
            <w:r w:rsidRPr="004C5551">
              <w:rPr>
                <w:b w:val="0"/>
                <w:sz w:val="18"/>
                <w:szCs w:val="22"/>
                <w:vertAlign w:val="superscript"/>
              </w:rPr>
              <w:t>1)</w:t>
            </w:r>
            <w:r w:rsidRPr="004C5551">
              <w:rPr>
                <w:b w:val="0"/>
                <w:sz w:val="18"/>
                <w:szCs w:val="22"/>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1A48E8" w:rsidRPr="004C5551" w:rsidRDefault="001A48E8" w:rsidP="002E541A">
            <w:pPr>
              <w:spacing w:line="0" w:lineRule="atLeast"/>
              <w:jc w:val="right"/>
              <w:rPr>
                <w:sz w:val="18"/>
                <w:szCs w:val="22"/>
              </w:rPr>
            </w:pPr>
            <w:r w:rsidRPr="004C5551">
              <w:rPr>
                <w:sz w:val="18"/>
                <w:szCs w:val="22"/>
              </w:rPr>
              <w:t>21 585</w:t>
            </w:r>
          </w:p>
        </w:tc>
        <w:tc>
          <w:tcPr>
            <w:tcW w:w="644" w:type="pct"/>
            <w:tcBorders>
              <w:top w:val="single" w:sz="6" w:space="0" w:color="BF0000" w:themeColor="accent3" w:themeShade="BF"/>
              <w:bottom w:val="single" w:sz="6" w:space="0" w:color="BF0000" w:themeColor="accent3" w:themeShade="BF"/>
            </w:tcBorders>
            <w:vAlign w:val="bottom"/>
          </w:tcPr>
          <w:p w:rsidR="001A48E8" w:rsidRPr="004C5551" w:rsidRDefault="001A48E8" w:rsidP="002E541A">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sidRPr="004C5551">
              <w:rPr>
                <w:sz w:val="18"/>
                <w:szCs w:val="22"/>
              </w:rPr>
              <w:t>22 077</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A48E8" w:rsidRPr="004C5551" w:rsidRDefault="001A48E8" w:rsidP="002E541A">
            <w:pPr>
              <w:spacing w:line="0" w:lineRule="atLeast"/>
              <w:jc w:val="right"/>
              <w:rPr>
                <w:sz w:val="18"/>
                <w:szCs w:val="22"/>
              </w:rPr>
            </w:pPr>
            <w:r w:rsidRPr="004C5551">
              <w:rPr>
                <w:sz w:val="18"/>
                <w:szCs w:val="22"/>
              </w:rPr>
              <w:t>87,99</w:t>
            </w:r>
          </w:p>
        </w:tc>
        <w:tc>
          <w:tcPr>
            <w:tcW w:w="644" w:type="pct"/>
            <w:tcBorders>
              <w:left w:val="single" w:sz="6" w:space="0" w:color="BF0000" w:themeColor="accent3" w:themeShade="BF"/>
            </w:tcBorders>
            <w:vAlign w:val="bottom"/>
            <w:hideMark/>
          </w:tcPr>
          <w:p w:rsidR="001A48E8" w:rsidRPr="004C5551" w:rsidRDefault="001A48E8" w:rsidP="002E541A">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4C5551">
              <w:rPr>
                <w:sz w:val="18"/>
                <w:szCs w:val="22"/>
              </w:rPr>
              <w:t>22 239</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bottom"/>
          </w:tcPr>
          <w:p w:rsidR="001A48E8" w:rsidRPr="004C5551" w:rsidRDefault="001A48E8" w:rsidP="002E541A">
            <w:pPr>
              <w:jc w:val="right"/>
              <w:rPr>
                <w:rFonts w:eastAsiaTheme="minorHAnsi"/>
                <w:sz w:val="18"/>
                <w:szCs w:val="22"/>
                <w:lang w:eastAsia="en-US"/>
              </w:rPr>
            </w:pPr>
            <w:r w:rsidRPr="004C5551">
              <w:rPr>
                <w:sz w:val="18"/>
              </w:rPr>
              <w:t>22 650</w:t>
            </w:r>
          </w:p>
        </w:tc>
        <w:tc>
          <w:tcPr>
            <w:cnfStyle w:val="000100000000" w:firstRow="0" w:lastRow="0" w:firstColumn="0" w:lastColumn="1" w:oddVBand="0" w:evenVBand="0" w:oddHBand="0" w:evenHBand="0" w:firstRowFirstColumn="0" w:firstRowLastColumn="0" w:lastRowFirstColumn="0" w:lastRowLastColumn="0"/>
            <w:tcW w:w="558" w:type="pct"/>
            <w:vAlign w:val="bottom"/>
            <w:hideMark/>
          </w:tcPr>
          <w:p w:rsidR="001A48E8" w:rsidRPr="004C5551" w:rsidRDefault="001A48E8" w:rsidP="002E541A">
            <w:pPr>
              <w:spacing w:line="0" w:lineRule="atLeast"/>
              <w:jc w:val="center"/>
              <w:rPr>
                <w:b w:val="0"/>
                <w:sz w:val="18"/>
                <w:szCs w:val="22"/>
              </w:rPr>
            </w:pPr>
            <w:r w:rsidRPr="004C5551">
              <w:rPr>
                <w:b w:val="0"/>
                <w:sz w:val="18"/>
                <w:szCs w:val="22"/>
              </w:rPr>
              <w:t>89,21</w:t>
            </w:r>
          </w:p>
        </w:tc>
      </w:tr>
      <w:tr w:rsidR="001A48E8" w:rsidRPr="004C5551" w:rsidTr="000761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vAlign w:val="center"/>
          </w:tcPr>
          <w:p w:rsidR="001A48E8" w:rsidRPr="004C5551" w:rsidRDefault="001A48E8" w:rsidP="002E541A">
            <w:pPr>
              <w:spacing w:line="0" w:lineRule="atLeast"/>
              <w:jc w:val="left"/>
              <w:rPr>
                <w:b w:val="0"/>
                <w:sz w:val="18"/>
                <w:szCs w:val="22"/>
              </w:rPr>
            </w:pPr>
            <w:r w:rsidRPr="004C5551">
              <w:rPr>
                <w:b w:val="0"/>
                <w:sz w:val="18"/>
                <w:szCs w:val="22"/>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1A48E8" w:rsidRPr="004C5551" w:rsidRDefault="001A48E8" w:rsidP="002E541A">
            <w:pPr>
              <w:spacing w:line="0" w:lineRule="atLeast"/>
              <w:jc w:val="right"/>
              <w:rPr>
                <w:sz w:val="18"/>
                <w:szCs w:val="22"/>
              </w:rPr>
            </w:pPr>
            <w:r w:rsidRPr="004C5551">
              <w:rPr>
                <w:sz w:val="18"/>
                <w:szCs w:val="22"/>
              </w:rPr>
              <w:t>36 004</w:t>
            </w:r>
          </w:p>
        </w:tc>
        <w:tc>
          <w:tcPr>
            <w:tcW w:w="644" w:type="pct"/>
            <w:tcBorders>
              <w:top w:val="single" w:sz="6" w:space="0" w:color="BF0000" w:themeColor="accent3" w:themeShade="BF"/>
              <w:bottom w:val="single" w:sz="6" w:space="0" w:color="BF0000" w:themeColor="accent3" w:themeShade="BF"/>
            </w:tcBorders>
            <w:vAlign w:val="bottom"/>
          </w:tcPr>
          <w:p w:rsidR="001A48E8" w:rsidRPr="004C5551" w:rsidRDefault="001A48E8" w:rsidP="002E541A">
            <w:pPr>
              <w:spacing w:line="0" w:lineRule="atLeast"/>
              <w:jc w:val="right"/>
              <w:cnfStyle w:val="000000100000" w:firstRow="0" w:lastRow="0" w:firstColumn="0" w:lastColumn="0" w:oddVBand="0" w:evenVBand="0" w:oddHBand="1" w:evenHBand="0" w:firstRowFirstColumn="0" w:firstRowLastColumn="0" w:lastRowFirstColumn="0" w:lastRowLastColumn="0"/>
              <w:rPr>
                <w:sz w:val="18"/>
                <w:szCs w:val="22"/>
              </w:rPr>
            </w:pPr>
            <w:r w:rsidRPr="004C5551">
              <w:rPr>
                <w:sz w:val="18"/>
                <w:szCs w:val="22"/>
              </w:rPr>
              <w:t>37 385</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A48E8" w:rsidRPr="004C5551" w:rsidRDefault="001A48E8" w:rsidP="002E541A">
            <w:pPr>
              <w:spacing w:line="0" w:lineRule="atLeast"/>
              <w:jc w:val="right"/>
              <w:rPr>
                <w:sz w:val="18"/>
                <w:szCs w:val="22"/>
              </w:rPr>
            </w:pPr>
            <w:r w:rsidRPr="004C5551">
              <w:rPr>
                <w:sz w:val="18"/>
                <w:szCs w:val="22"/>
              </w:rPr>
              <w:t>180,25</w:t>
            </w:r>
          </w:p>
        </w:tc>
        <w:tc>
          <w:tcPr>
            <w:tcW w:w="644" w:type="pct"/>
            <w:tcBorders>
              <w:top w:val="none" w:sz="0" w:space="0" w:color="auto"/>
              <w:left w:val="single" w:sz="6" w:space="0" w:color="BF0000" w:themeColor="accent3" w:themeShade="BF"/>
              <w:bottom w:val="none" w:sz="0" w:space="0" w:color="auto"/>
            </w:tcBorders>
            <w:vAlign w:val="bottom"/>
            <w:hideMark/>
          </w:tcPr>
          <w:p w:rsidR="001A48E8" w:rsidRPr="004C5551" w:rsidRDefault="001A48E8" w:rsidP="002E541A">
            <w:pPr>
              <w:spacing w:line="0" w:lineRule="atLeast"/>
              <w:jc w:val="center"/>
              <w:cnfStyle w:val="000000100000" w:firstRow="0" w:lastRow="0" w:firstColumn="0" w:lastColumn="0" w:oddVBand="0" w:evenVBand="0" w:oddHBand="1" w:evenHBand="0" w:firstRowFirstColumn="0" w:firstRowLastColumn="0" w:lastRowFirstColumn="0" w:lastRowLastColumn="0"/>
              <w:rPr>
                <w:sz w:val="18"/>
                <w:szCs w:val="22"/>
              </w:rPr>
            </w:pPr>
            <w:r w:rsidRPr="004C5551">
              <w:rPr>
                <w:sz w:val="18"/>
                <w:szCs w:val="22"/>
              </w:rPr>
              <w:t>35 705</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1A48E8" w:rsidRPr="004C5551" w:rsidRDefault="001A48E8" w:rsidP="002E541A">
            <w:pPr>
              <w:jc w:val="right"/>
              <w:rPr>
                <w:rFonts w:eastAsiaTheme="minorHAnsi"/>
                <w:sz w:val="18"/>
                <w:szCs w:val="22"/>
                <w:lang w:eastAsia="en-US"/>
              </w:rPr>
            </w:pPr>
            <w:r w:rsidRPr="004C5551">
              <w:rPr>
                <w:sz w:val="18"/>
              </w:rPr>
              <w:t>36 967</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hideMark/>
          </w:tcPr>
          <w:p w:rsidR="001A48E8" w:rsidRPr="004C5551" w:rsidRDefault="001A48E8" w:rsidP="002E541A">
            <w:pPr>
              <w:spacing w:line="0" w:lineRule="atLeast"/>
              <w:jc w:val="center"/>
              <w:rPr>
                <w:b w:val="0"/>
                <w:sz w:val="18"/>
                <w:szCs w:val="22"/>
              </w:rPr>
            </w:pPr>
            <w:r w:rsidRPr="004C5551">
              <w:rPr>
                <w:b w:val="0"/>
                <w:sz w:val="18"/>
                <w:szCs w:val="22"/>
              </w:rPr>
              <w:t>177,22</w:t>
            </w:r>
          </w:p>
        </w:tc>
      </w:tr>
      <w:tr w:rsidR="001A48E8" w:rsidRPr="004C5551" w:rsidTr="000761F6">
        <w:tc>
          <w:tcPr>
            <w:cnfStyle w:val="001000000000" w:firstRow="0" w:lastRow="0" w:firstColumn="1" w:lastColumn="0" w:oddVBand="0" w:evenVBand="0" w:oddHBand="0" w:evenHBand="0" w:firstRowFirstColumn="0" w:firstRowLastColumn="0" w:lastRowFirstColumn="0" w:lastRowLastColumn="0"/>
            <w:tcW w:w="1182" w:type="pct"/>
            <w:vAlign w:val="center"/>
            <w:hideMark/>
          </w:tcPr>
          <w:p w:rsidR="001A48E8" w:rsidRPr="004C5551" w:rsidRDefault="001A48E8" w:rsidP="002E541A">
            <w:pPr>
              <w:spacing w:line="0" w:lineRule="atLeast"/>
              <w:jc w:val="left"/>
              <w:rPr>
                <w:b w:val="0"/>
                <w:sz w:val="18"/>
                <w:szCs w:val="22"/>
              </w:rPr>
            </w:pPr>
            <w:r w:rsidRPr="004C5551">
              <w:rPr>
                <w:b w:val="0"/>
                <w:sz w:val="18"/>
                <w:szCs w:val="22"/>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1A48E8" w:rsidRPr="004C5551" w:rsidRDefault="001A48E8" w:rsidP="002E541A">
            <w:pPr>
              <w:spacing w:line="0" w:lineRule="atLeast"/>
              <w:jc w:val="right"/>
              <w:rPr>
                <w:sz w:val="18"/>
                <w:szCs w:val="22"/>
              </w:rPr>
            </w:pPr>
            <w:r w:rsidRPr="004C5551">
              <w:rPr>
                <w:sz w:val="18"/>
                <w:szCs w:val="22"/>
              </w:rPr>
              <w:t>1 353</w:t>
            </w:r>
          </w:p>
        </w:tc>
        <w:tc>
          <w:tcPr>
            <w:tcW w:w="644" w:type="pct"/>
            <w:tcBorders>
              <w:top w:val="single" w:sz="6" w:space="0" w:color="BF0000" w:themeColor="accent3" w:themeShade="BF"/>
              <w:bottom w:val="single" w:sz="6" w:space="0" w:color="BF0000" w:themeColor="accent3" w:themeShade="BF"/>
            </w:tcBorders>
            <w:vAlign w:val="bottom"/>
          </w:tcPr>
          <w:p w:rsidR="001A48E8" w:rsidRPr="004C5551" w:rsidRDefault="001A48E8" w:rsidP="002E541A">
            <w:pPr>
              <w:spacing w:line="0" w:lineRule="atLeast"/>
              <w:jc w:val="right"/>
              <w:cnfStyle w:val="000000000000" w:firstRow="0" w:lastRow="0" w:firstColumn="0" w:lastColumn="0" w:oddVBand="0" w:evenVBand="0" w:oddHBand="0" w:evenHBand="0" w:firstRowFirstColumn="0" w:firstRowLastColumn="0" w:lastRowFirstColumn="0" w:lastRowLastColumn="0"/>
              <w:rPr>
                <w:sz w:val="18"/>
                <w:szCs w:val="22"/>
              </w:rPr>
            </w:pPr>
            <w:r w:rsidRPr="004C5551">
              <w:rPr>
                <w:sz w:val="18"/>
                <w:szCs w:val="22"/>
              </w:rPr>
              <w:t>1 382</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A48E8" w:rsidRPr="004C5551" w:rsidRDefault="001A48E8" w:rsidP="002E541A">
            <w:pPr>
              <w:spacing w:line="0" w:lineRule="atLeast"/>
              <w:jc w:val="right"/>
              <w:rPr>
                <w:sz w:val="18"/>
                <w:szCs w:val="22"/>
              </w:rPr>
            </w:pPr>
            <w:r w:rsidRPr="004C5551">
              <w:rPr>
                <w:sz w:val="18"/>
                <w:szCs w:val="22"/>
              </w:rPr>
              <w:t>92,74</w:t>
            </w:r>
          </w:p>
        </w:tc>
        <w:tc>
          <w:tcPr>
            <w:tcW w:w="644" w:type="pct"/>
            <w:tcBorders>
              <w:left w:val="single" w:sz="6" w:space="0" w:color="BF0000" w:themeColor="accent3" w:themeShade="BF"/>
            </w:tcBorders>
            <w:vAlign w:val="bottom"/>
            <w:hideMark/>
          </w:tcPr>
          <w:p w:rsidR="001A48E8" w:rsidRPr="004C5551" w:rsidRDefault="001A48E8" w:rsidP="002E541A">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4C5551">
              <w:rPr>
                <w:sz w:val="18"/>
                <w:szCs w:val="22"/>
              </w:rPr>
              <w:t>1 048</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bottom"/>
          </w:tcPr>
          <w:p w:rsidR="001A48E8" w:rsidRPr="004C5551" w:rsidRDefault="001A48E8" w:rsidP="002E541A">
            <w:pPr>
              <w:jc w:val="right"/>
              <w:rPr>
                <w:rFonts w:eastAsiaTheme="minorHAnsi"/>
                <w:sz w:val="18"/>
                <w:szCs w:val="22"/>
                <w:lang w:eastAsia="en-US"/>
              </w:rPr>
            </w:pPr>
            <w:r w:rsidRPr="004C5551">
              <w:rPr>
                <w:sz w:val="18"/>
              </w:rPr>
              <w:t xml:space="preserve">1 080 </w:t>
            </w:r>
          </w:p>
        </w:tc>
        <w:tc>
          <w:tcPr>
            <w:cnfStyle w:val="000100000000" w:firstRow="0" w:lastRow="0" w:firstColumn="0" w:lastColumn="1" w:oddVBand="0" w:evenVBand="0" w:oddHBand="0" w:evenHBand="0" w:firstRowFirstColumn="0" w:firstRowLastColumn="0" w:lastRowFirstColumn="0" w:lastRowLastColumn="0"/>
            <w:tcW w:w="558" w:type="pct"/>
            <w:vAlign w:val="bottom"/>
            <w:hideMark/>
          </w:tcPr>
          <w:p w:rsidR="001A48E8" w:rsidRPr="004C5551" w:rsidRDefault="001A48E8" w:rsidP="002E541A">
            <w:pPr>
              <w:spacing w:line="0" w:lineRule="atLeast"/>
              <w:jc w:val="center"/>
              <w:rPr>
                <w:b w:val="0"/>
                <w:sz w:val="18"/>
                <w:szCs w:val="22"/>
              </w:rPr>
            </w:pPr>
            <w:r w:rsidRPr="004C5551">
              <w:rPr>
                <w:b w:val="0"/>
                <w:sz w:val="18"/>
                <w:szCs w:val="22"/>
              </w:rPr>
              <w:t>93,13</w:t>
            </w:r>
          </w:p>
        </w:tc>
      </w:tr>
      <w:tr w:rsidR="001A48E8" w:rsidRPr="004C5551" w:rsidTr="000761F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tcBorders>
              <w:top w:val="none" w:sz="0" w:space="0" w:color="auto"/>
              <w:left w:val="none" w:sz="0" w:space="0" w:color="auto"/>
              <w:bottom w:val="none" w:sz="0" w:space="0" w:color="auto"/>
            </w:tcBorders>
            <w:vAlign w:val="center"/>
            <w:hideMark/>
          </w:tcPr>
          <w:p w:rsidR="001A48E8" w:rsidRPr="004C5551" w:rsidRDefault="001A48E8" w:rsidP="002E541A">
            <w:pPr>
              <w:spacing w:line="0" w:lineRule="atLeast"/>
              <w:jc w:val="left"/>
              <w:rPr>
                <w:sz w:val="18"/>
                <w:szCs w:val="22"/>
              </w:rPr>
            </w:pPr>
            <w:r w:rsidRPr="004C5551">
              <w:rPr>
                <w:bCs w:val="0"/>
                <w:sz w:val="18"/>
                <w:szCs w:val="22"/>
              </w:rPr>
              <w:t>Peňažný príspevok na opatrovanie SPOLU</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8" w:space="0" w:color="BF0000" w:themeColor="accent3" w:themeShade="BF"/>
              <w:right w:val="none" w:sz="0" w:space="0" w:color="auto"/>
            </w:tcBorders>
            <w:vAlign w:val="bottom"/>
          </w:tcPr>
          <w:p w:rsidR="001A48E8" w:rsidRPr="004C5551" w:rsidRDefault="001A48E8" w:rsidP="002E541A">
            <w:pPr>
              <w:spacing w:line="0" w:lineRule="atLeast"/>
              <w:jc w:val="right"/>
              <w:rPr>
                <w:sz w:val="18"/>
                <w:szCs w:val="22"/>
              </w:rPr>
            </w:pPr>
            <w:r w:rsidRPr="004C5551">
              <w:rPr>
                <w:sz w:val="18"/>
                <w:szCs w:val="22"/>
              </w:rPr>
              <w:t>58 941</w:t>
            </w:r>
          </w:p>
        </w:tc>
        <w:tc>
          <w:tcPr>
            <w:tcW w:w="644" w:type="pct"/>
            <w:tcBorders>
              <w:top w:val="single" w:sz="6" w:space="0" w:color="BF0000" w:themeColor="accent3" w:themeShade="BF"/>
              <w:bottom w:val="single" w:sz="8" w:space="0" w:color="BF0000" w:themeColor="accent3" w:themeShade="BF"/>
            </w:tcBorders>
            <w:vAlign w:val="bottom"/>
          </w:tcPr>
          <w:p w:rsidR="001A48E8" w:rsidRPr="004C5551" w:rsidRDefault="001A48E8" w:rsidP="002E541A">
            <w:pPr>
              <w:spacing w:line="0" w:lineRule="atLeast"/>
              <w:jc w:val="right"/>
              <w:cnfStyle w:val="010000000000" w:firstRow="0" w:lastRow="1" w:firstColumn="0" w:lastColumn="0" w:oddVBand="0" w:evenVBand="0" w:oddHBand="0" w:evenHBand="0" w:firstRowFirstColumn="0" w:firstRowLastColumn="0" w:lastRowFirstColumn="0" w:lastRowLastColumn="0"/>
              <w:rPr>
                <w:sz w:val="18"/>
                <w:szCs w:val="22"/>
              </w:rPr>
            </w:pPr>
            <w:r w:rsidRPr="004C5551">
              <w:rPr>
                <w:sz w:val="18"/>
                <w:szCs w:val="22"/>
              </w:rPr>
              <w:t>60 844</w:t>
            </w:r>
          </w:p>
        </w:tc>
        <w:tc>
          <w:tcPr>
            <w:cnfStyle w:val="000010000000" w:firstRow="0" w:lastRow="0" w:firstColumn="0" w:lastColumn="0" w:oddVBand="1" w:evenVBand="0" w:oddHBand="0" w:evenHBand="0" w:firstRowFirstColumn="0" w:firstRowLastColumn="0" w:lastRowFirstColumn="0" w:lastRowLastColumn="0"/>
            <w:tcW w:w="643" w:type="pct"/>
            <w:tcBorders>
              <w:top w:val="single" w:sz="6" w:space="0" w:color="BF0000" w:themeColor="accent3" w:themeShade="BF"/>
              <w:left w:val="none" w:sz="0" w:space="0" w:color="auto"/>
              <w:bottom w:val="single" w:sz="8" w:space="0" w:color="BF0000" w:themeColor="accent3" w:themeShade="BF"/>
              <w:right w:val="single" w:sz="6" w:space="0" w:color="BF0000" w:themeColor="accent3" w:themeShade="BF"/>
            </w:tcBorders>
            <w:vAlign w:val="bottom"/>
          </w:tcPr>
          <w:p w:rsidR="001A48E8" w:rsidRPr="004C5551" w:rsidRDefault="001A48E8" w:rsidP="002E541A">
            <w:pPr>
              <w:spacing w:line="0" w:lineRule="atLeast"/>
              <w:jc w:val="right"/>
              <w:rPr>
                <w:sz w:val="18"/>
                <w:szCs w:val="22"/>
              </w:rPr>
            </w:pPr>
            <w:r w:rsidRPr="004C5551">
              <w:rPr>
                <w:sz w:val="18"/>
                <w:szCs w:val="22"/>
              </w:rPr>
              <w:t>144,46</w:t>
            </w:r>
          </w:p>
        </w:tc>
        <w:tc>
          <w:tcPr>
            <w:tcW w:w="644" w:type="pct"/>
            <w:tcBorders>
              <w:top w:val="none" w:sz="0" w:space="0" w:color="auto"/>
              <w:left w:val="single" w:sz="6" w:space="0" w:color="BF0000" w:themeColor="accent3" w:themeShade="BF"/>
              <w:bottom w:val="none" w:sz="0" w:space="0" w:color="auto"/>
            </w:tcBorders>
            <w:vAlign w:val="bottom"/>
            <w:hideMark/>
          </w:tcPr>
          <w:p w:rsidR="001A48E8" w:rsidRPr="004C5551" w:rsidRDefault="001A48E8" w:rsidP="002E541A">
            <w:pPr>
              <w:spacing w:line="0" w:lineRule="atLeast"/>
              <w:jc w:val="center"/>
              <w:cnfStyle w:val="010000000000" w:firstRow="0" w:lastRow="1" w:firstColumn="0" w:lastColumn="0" w:oddVBand="0" w:evenVBand="0" w:oddHBand="0" w:evenHBand="0" w:firstRowFirstColumn="0" w:firstRowLastColumn="0" w:lastRowFirstColumn="0" w:lastRowLastColumn="0"/>
              <w:rPr>
                <w:sz w:val="18"/>
                <w:szCs w:val="22"/>
              </w:rPr>
            </w:pPr>
            <w:r w:rsidRPr="004C5551">
              <w:rPr>
                <w:sz w:val="18"/>
                <w:szCs w:val="22"/>
              </w:rPr>
              <w:t>58 992</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1A48E8" w:rsidRPr="004C5551" w:rsidRDefault="001A48E8" w:rsidP="002E541A">
            <w:pPr>
              <w:jc w:val="right"/>
              <w:rPr>
                <w:rFonts w:eastAsiaTheme="minorHAnsi"/>
                <w:bCs w:val="0"/>
                <w:sz w:val="18"/>
                <w:szCs w:val="22"/>
                <w:lang w:eastAsia="en-US"/>
              </w:rPr>
            </w:pPr>
            <w:r w:rsidRPr="004C5551">
              <w:rPr>
                <w:bCs w:val="0"/>
                <w:sz w:val="18"/>
              </w:rPr>
              <w:t>60 697</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tcPr>
          <w:p w:rsidR="001A48E8" w:rsidRPr="004C5551" w:rsidRDefault="001A48E8" w:rsidP="002E541A">
            <w:pPr>
              <w:spacing w:line="0" w:lineRule="atLeast"/>
              <w:jc w:val="center"/>
              <w:rPr>
                <w:sz w:val="18"/>
                <w:szCs w:val="22"/>
              </w:rPr>
            </w:pPr>
            <w:r w:rsidRPr="004C5551">
              <w:rPr>
                <w:sz w:val="18"/>
                <w:szCs w:val="22"/>
              </w:rPr>
              <w:t>142,55</w:t>
            </w:r>
          </w:p>
        </w:tc>
      </w:tr>
    </w:tbl>
    <w:p w:rsidR="001A48E8" w:rsidRPr="004C5551" w:rsidRDefault="001A48E8" w:rsidP="001A48E8">
      <w:pPr>
        <w:pStyle w:val="zdroj"/>
        <w:spacing w:after="0"/>
        <w:ind w:firstLine="570"/>
      </w:pPr>
      <w:r w:rsidRPr="004C5551">
        <w:t>Zdroj: RSD MIS</w:t>
      </w:r>
    </w:p>
    <w:p w:rsidR="001A48E8" w:rsidRPr="004C5551" w:rsidRDefault="001A48E8" w:rsidP="001A48E8">
      <w:pPr>
        <w:pStyle w:val="zdroj"/>
        <w:spacing w:before="0"/>
        <w:ind w:firstLine="570"/>
      </w:pPr>
      <w:r w:rsidRPr="004C5551">
        <w:rPr>
          <w:vertAlign w:val="superscript"/>
        </w:rPr>
        <w:t>1)</w:t>
      </w:r>
      <w:r w:rsidRPr="004C5551">
        <w:t xml:space="preserve"> FO </w:t>
      </w:r>
      <w:r w:rsidRPr="004C5551">
        <w:rPr>
          <w:color w:val="000000" w:themeColor="text1"/>
        </w:rPr>
        <w:t>–</w:t>
      </w:r>
      <w:r w:rsidRPr="004C5551">
        <w:t xml:space="preserve"> fyzická osoba, poberajúca peňažný príspevok na opatrovanie (poberateľ)</w:t>
      </w:r>
    </w:p>
    <w:p w:rsidR="00394FF9" w:rsidRPr="004C5551" w:rsidRDefault="00394FF9" w:rsidP="001206CF">
      <w:pPr>
        <w:ind w:firstLine="431"/>
        <w:rPr>
          <w:szCs w:val="22"/>
        </w:rPr>
      </w:pPr>
    </w:p>
    <w:p w:rsidR="001A48E8" w:rsidRPr="004C5551" w:rsidRDefault="00257B74" w:rsidP="001A48E8">
      <w:pPr>
        <w:ind w:firstLine="431"/>
        <w:rPr>
          <w:szCs w:val="22"/>
        </w:rPr>
      </w:pPr>
      <w:r w:rsidRPr="004C5551">
        <w:rPr>
          <w:szCs w:val="22"/>
        </w:rPr>
        <w:t>Poberateľov peňažného príspevku na opatrovanie v tzv. produktívnom veku (nepoberali</w:t>
      </w:r>
      <w:r w:rsidR="00073D95" w:rsidRPr="004C5551">
        <w:rPr>
          <w:szCs w:val="22"/>
        </w:rPr>
        <w:t xml:space="preserve"> </w:t>
      </w:r>
      <w:r w:rsidRPr="004C5551">
        <w:rPr>
          <w:szCs w:val="22"/>
        </w:rPr>
        <w:t>niektorú zo zákonom ustanovených dôchodkových dávok) bolo cca 60,5</w:t>
      </w:r>
      <w:r w:rsidR="009425AA" w:rsidRPr="004C5551">
        <w:rPr>
          <w:szCs w:val="22"/>
        </w:rPr>
        <w:t> %</w:t>
      </w:r>
      <w:r w:rsidRPr="004C5551">
        <w:rPr>
          <w:szCs w:val="22"/>
        </w:rPr>
        <w:t xml:space="preserve"> z celkového počtu poberateľov. Priemerná mesačná výška peňažného príspevku na opatrovanie vyplácaného týmto poberateľom bola cca 177,22 </w:t>
      </w:r>
      <w:r w:rsidR="000860E9" w:rsidRPr="004C5551">
        <w:rPr>
          <w:szCs w:val="22"/>
        </w:rPr>
        <w:t>eur</w:t>
      </w:r>
      <w:r w:rsidR="00577310" w:rsidRPr="004C5551">
        <w:rPr>
          <w:szCs w:val="22"/>
        </w:rPr>
        <w:t>a</w:t>
      </w:r>
      <w:r w:rsidRPr="004C5551">
        <w:rPr>
          <w:szCs w:val="22"/>
        </w:rPr>
        <w:t xml:space="preserve">. </w:t>
      </w:r>
      <w:r w:rsidR="001A48E8" w:rsidRPr="004C5551">
        <w:rPr>
          <w:szCs w:val="22"/>
        </w:rPr>
        <w:t>U poberateľov v produktívnom veku klesla priemerná mesačná výška peňažného príspevku na opatrovanie o cca 3,03 eur</w:t>
      </w:r>
      <w:r w:rsidR="00577310" w:rsidRPr="004C5551">
        <w:rPr>
          <w:szCs w:val="22"/>
        </w:rPr>
        <w:t>a</w:t>
      </w:r>
      <w:r w:rsidR="001A48E8" w:rsidRPr="004C5551">
        <w:rPr>
          <w:szCs w:val="22"/>
        </w:rPr>
        <w:t>. Vzhľadom na to, že tejto skupine poberateľov sa pri stanovení výšky peňažného príspevku na opatrovanie zohľadňuje príjem opatrovanej fyzickej osoby s ŤZP, výšku peňažného príspevku na opatrovanie negatívne ovplyvnila valorizácia dôchodkov, ktoré poberajú opatrované fyzické osoby s ŤZP spolu s absenciou valorizácie peňažného príspevku na</w:t>
      </w:r>
      <w:r w:rsidR="004F5A0D" w:rsidRPr="004C5551">
        <w:rPr>
          <w:szCs w:val="22"/>
        </w:rPr>
        <w:t> </w:t>
      </w:r>
      <w:r w:rsidR="001A48E8" w:rsidRPr="004C5551">
        <w:rPr>
          <w:szCs w:val="22"/>
        </w:rPr>
        <w:t xml:space="preserve">opatrovanie, ako aj absencia zvýšenia hranice ochrany príjmu opatrovanej fyzickej osoby s ŤZP. </w:t>
      </w:r>
    </w:p>
    <w:p w:rsidR="001A48E8" w:rsidRPr="004C5551" w:rsidRDefault="00257B74" w:rsidP="001A48E8">
      <w:pPr>
        <w:ind w:firstLine="431"/>
        <w:rPr>
          <w:szCs w:val="22"/>
        </w:rPr>
      </w:pPr>
      <w:r w:rsidRPr="004C5551">
        <w:rPr>
          <w:szCs w:val="22"/>
        </w:rPr>
        <w:t>Poberateľov peňažného príspevku na opatrovanie, ktorým bola vyplácaná niektorá zo zákonom ustanovených dôchodkových dávok bolo cca 37,7</w:t>
      </w:r>
      <w:r w:rsidR="009425AA" w:rsidRPr="004C5551">
        <w:rPr>
          <w:szCs w:val="22"/>
        </w:rPr>
        <w:t> %</w:t>
      </w:r>
      <w:r w:rsidRPr="004C5551">
        <w:rPr>
          <w:szCs w:val="22"/>
        </w:rPr>
        <w:t xml:space="preserve"> a priemerná mesačná výška ich peňažného príspevku na opatrovanie bola cca</w:t>
      </w:r>
      <w:r w:rsidR="00073D95" w:rsidRPr="004C5551">
        <w:rPr>
          <w:szCs w:val="22"/>
        </w:rPr>
        <w:t xml:space="preserve"> </w:t>
      </w:r>
      <w:r w:rsidR="00F71F13" w:rsidRPr="004C5551">
        <w:rPr>
          <w:szCs w:val="22"/>
        </w:rPr>
        <w:t>89,21</w:t>
      </w:r>
      <w:r w:rsidRPr="004C5551">
        <w:rPr>
          <w:szCs w:val="22"/>
        </w:rPr>
        <w:t xml:space="preserve"> </w:t>
      </w:r>
      <w:r w:rsidR="000860E9" w:rsidRPr="004C5551">
        <w:rPr>
          <w:szCs w:val="22"/>
        </w:rPr>
        <w:t>eur</w:t>
      </w:r>
      <w:r w:rsidR="00577310" w:rsidRPr="004C5551">
        <w:rPr>
          <w:szCs w:val="22"/>
        </w:rPr>
        <w:t>a</w:t>
      </w:r>
      <w:r w:rsidRPr="004C5551">
        <w:rPr>
          <w:szCs w:val="22"/>
        </w:rPr>
        <w:t xml:space="preserve">. </w:t>
      </w:r>
      <w:r w:rsidR="001A48E8" w:rsidRPr="004C5551">
        <w:rPr>
          <w:szCs w:val="22"/>
        </w:rPr>
        <w:t>Napriek tomu, že v roku 2014 nebola valorizovaná výška peňažného príspevku na opatrovanie, minimálny nárast jej priemernej mesačnej výšky (o</w:t>
      </w:r>
      <w:r w:rsidR="004F5A0D" w:rsidRPr="004C5551">
        <w:rPr>
          <w:szCs w:val="22"/>
        </w:rPr>
        <w:t> </w:t>
      </w:r>
      <w:r w:rsidR="001A48E8" w:rsidRPr="004C5551">
        <w:rPr>
          <w:szCs w:val="22"/>
        </w:rPr>
        <w:t>1,22</w:t>
      </w:r>
      <w:r w:rsidR="004F5A0D" w:rsidRPr="004C5551">
        <w:rPr>
          <w:szCs w:val="22"/>
        </w:rPr>
        <w:t> </w:t>
      </w:r>
      <w:r w:rsidR="001A48E8" w:rsidRPr="004C5551">
        <w:rPr>
          <w:szCs w:val="22"/>
        </w:rPr>
        <w:t>eur</w:t>
      </w:r>
      <w:r w:rsidR="00577310" w:rsidRPr="004C5551">
        <w:rPr>
          <w:szCs w:val="22"/>
        </w:rPr>
        <w:t>a</w:t>
      </w:r>
      <w:r w:rsidR="001A48E8" w:rsidRPr="004C5551">
        <w:rPr>
          <w:szCs w:val="22"/>
        </w:rPr>
        <w:t xml:space="preserve">) pri porovnaní s rokom 2013 sa prejavil pri poberateľoch, ktorým je vyplácaná dôchodková dávka. Predpokladáme, že tento nárast ovplyvnil pokles počtu opatrovaných fyzických osôb s ŤZP, ktorí poberali zvýšenie dôchodku pre bezvládnosť, nakoľko o sumu zvýšenia dôchodku pre bezvládnosť sa znižuje výška peňažného príspevku na opatrovanie. </w:t>
      </w:r>
    </w:p>
    <w:p w:rsidR="00257B74" w:rsidRPr="004C5551" w:rsidRDefault="00257B74" w:rsidP="001206CF">
      <w:pPr>
        <w:ind w:firstLine="431"/>
        <w:rPr>
          <w:szCs w:val="22"/>
        </w:rPr>
      </w:pPr>
      <w:r w:rsidRPr="004C5551">
        <w:rPr>
          <w:szCs w:val="22"/>
        </w:rPr>
        <w:t>Poberateľov, ktorým bol poskytovaný peňažný príspevok na opatrovanie podľa § 66 zákona o peňažných príspevkoch (t.j. za podmienok ustanovených zákonom č. 195/1998 Z. z. o sociálnej pomoci v znení neskorších predpisov účinného do 31.12. 2008)</w:t>
      </w:r>
      <w:r w:rsidR="00073D95" w:rsidRPr="004C5551">
        <w:rPr>
          <w:szCs w:val="22"/>
        </w:rPr>
        <w:t xml:space="preserve"> </w:t>
      </w:r>
      <w:r w:rsidRPr="004C5551">
        <w:rPr>
          <w:szCs w:val="22"/>
        </w:rPr>
        <w:t>bolo cca 1,8</w:t>
      </w:r>
      <w:r w:rsidR="009425AA" w:rsidRPr="004C5551">
        <w:rPr>
          <w:szCs w:val="22"/>
        </w:rPr>
        <w:t> %</w:t>
      </w:r>
      <w:r w:rsidRPr="004C5551">
        <w:rPr>
          <w:szCs w:val="22"/>
        </w:rPr>
        <w:t>. Ide o poberateľov, ktorých počet sa neustále znižuje a postupne prechádzajú na podmienky vyplácania ustanovené zákonom o peňažných príspevkoch. Týmto poberateľom bol vyplatený peňažný príspevok na</w:t>
      </w:r>
      <w:r w:rsidR="00D17FBE" w:rsidRPr="004C5551">
        <w:rPr>
          <w:szCs w:val="22"/>
        </w:rPr>
        <w:t> </w:t>
      </w:r>
      <w:r w:rsidRPr="004C5551">
        <w:rPr>
          <w:szCs w:val="22"/>
        </w:rPr>
        <w:t>opatrovanie v priemernej mesačnej výške 93,1</w:t>
      </w:r>
      <w:r w:rsidR="00F71F13" w:rsidRPr="004C5551">
        <w:rPr>
          <w:szCs w:val="22"/>
        </w:rPr>
        <w:t>3</w:t>
      </w:r>
      <w:r w:rsidRPr="004C5551">
        <w:rPr>
          <w:szCs w:val="22"/>
        </w:rPr>
        <w:t xml:space="preserve"> </w:t>
      </w:r>
      <w:r w:rsidR="000860E9" w:rsidRPr="004C5551">
        <w:rPr>
          <w:szCs w:val="22"/>
        </w:rPr>
        <w:t>eur</w:t>
      </w:r>
      <w:r w:rsidR="00577310" w:rsidRPr="004C5551">
        <w:rPr>
          <w:szCs w:val="22"/>
        </w:rPr>
        <w:t>a</w:t>
      </w:r>
      <w:r w:rsidRPr="004C5551">
        <w:rPr>
          <w:szCs w:val="22"/>
        </w:rPr>
        <w:t>. Údaje o peňažnom príspevku na opatrovanie za</w:t>
      </w:r>
      <w:r w:rsidR="00D17FBE" w:rsidRPr="004C5551">
        <w:rPr>
          <w:szCs w:val="22"/>
        </w:rPr>
        <w:t> </w:t>
      </w:r>
      <w:r w:rsidRPr="004C5551">
        <w:rPr>
          <w:szCs w:val="22"/>
        </w:rPr>
        <w:t>rok 2014 uvádzame v </w:t>
      </w:r>
      <w:r w:rsidR="00460DEB" w:rsidRPr="004C5551">
        <w:rPr>
          <w:szCs w:val="22"/>
        </w:rPr>
        <w:t>predchádzajúc</w:t>
      </w:r>
      <w:r w:rsidRPr="004C5551">
        <w:rPr>
          <w:szCs w:val="22"/>
        </w:rPr>
        <w:t>ej tabuľke</w:t>
      </w:r>
      <w:r w:rsidR="00723C93" w:rsidRPr="004C5551">
        <w:rPr>
          <w:szCs w:val="22"/>
        </w:rPr>
        <w:t>.</w:t>
      </w:r>
    </w:p>
    <w:bookmarkEnd w:id="680"/>
    <w:p w:rsidR="006E7B3A" w:rsidRPr="004C5551" w:rsidRDefault="006E7B3A" w:rsidP="003B0E51">
      <w:pPr>
        <w:ind w:firstLine="431"/>
        <w:rPr>
          <w:szCs w:val="22"/>
        </w:rPr>
      </w:pPr>
      <w:r w:rsidRPr="004C5551">
        <w:rPr>
          <w:szCs w:val="22"/>
        </w:rPr>
        <w:t>Z pohľadu príjmu opatrovateľov v dôsledku uvedených skutočností nastali aj také situácie, kedy opatrovateľom poberajúcim dôchodkovú dávku bola táto valorizáciou zvýšená a peňažný príspevok na</w:t>
      </w:r>
      <w:r w:rsidR="004F5A0D" w:rsidRPr="004C5551">
        <w:rPr>
          <w:szCs w:val="22"/>
        </w:rPr>
        <w:t> </w:t>
      </w:r>
      <w:r w:rsidRPr="004C5551">
        <w:rPr>
          <w:szCs w:val="22"/>
        </w:rPr>
        <w:t>opatrovanie poskytovaný v rovnakej výške a opatrovateľom, ktorí nepoberajú dôchodkovú dávku (často nemajú iný príjem), bol od júla 2014 znížený peňažný príspevok na</w:t>
      </w:r>
      <w:r w:rsidR="002D6646" w:rsidRPr="004C5551">
        <w:rPr>
          <w:szCs w:val="22"/>
        </w:rPr>
        <w:t> </w:t>
      </w:r>
      <w:r w:rsidRPr="004C5551">
        <w:rPr>
          <w:szCs w:val="22"/>
        </w:rPr>
        <w:t>opatrovanie.</w:t>
      </w:r>
    </w:p>
    <w:p w:rsidR="00B07044" w:rsidRPr="004C5551" w:rsidRDefault="00B07044">
      <w:pPr>
        <w:jc w:val="left"/>
        <w:rPr>
          <w:szCs w:val="22"/>
        </w:rPr>
      </w:pPr>
      <w:r w:rsidRPr="004C5551">
        <w:rPr>
          <w:szCs w:val="22"/>
        </w:rPr>
        <w:br w:type="page"/>
      </w:r>
    </w:p>
    <w:p w:rsidR="003A61F3" w:rsidRPr="004C5551" w:rsidRDefault="003A61F3" w:rsidP="00BB1867">
      <w:pPr>
        <w:pStyle w:val="Nadpis6"/>
      </w:pPr>
      <w:bookmarkStart w:id="681" w:name="_Toc294029747"/>
      <w:bookmarkStart w:id="682" w:name="_Toc356482743"/>
      <w:bookmarkStart w:id="683" w:name="_Toc422233438"/>
      <w:r w:rsidRPr="004C5551">
        <w:t>Sociálne služby</w:t>
      </w:r>
      <w:bookmarkEnd w:id="681"/>
      <w:bookmarkEnd w:id="682"/>
      <w:bookmarkEnd w:id="683"/>
    </w:p>
    <w:p w:rsidR="006812B6" w:rsidRPr="004C5551" w:rsidRDefault="006812B6" w:rsidP="006812B6">
      <w:pPr>
        <w:ind w:firstLine="708"/>
        <w:rPr>
          <w:szCs w:val="22"/>
          <w:lang w:eastAsia="cs-CZ"/>
        </w:rPr>
      </w:pPr>
      <w:r w:rsidRPr="004C5551">
        <w:rPr>
          <w:szCs w:val="22"/>
          <w:lang w:eastAsia="cs-CZ"/>
        </w:rPr>
        <w:t xml:space="preserve">Sociálne služby v SR sa od roku 2009 poskytujú v súlade so </w:t>
      </w:r>
      <w:r w:rsidRPr="004C5551">
        <w:rPr>
          <w:b/>
          <w:szCs w:val="22"/>
          <w:lang w:eastAsia="cs-CZ"/>
        </w:rPr>
        <w:t>zákonom č. 448/2008 Z. z. o sociálnych službách a o zmene a doplnení zákona č. 455/1991 Zb. o živnostenskom podnikaní (živnostenský zákon) v znení neskorších predpisov v znení neskorších predpisov</w:t>
      </w:r>
      <w:r w:rsidRPr="004C5551">
        <w:rPr>
          <w:szCs w:val="22"/>
          <w:lang w:eastAsia="cs-CZ"/>
        </w:rPr>
        <w:t xml:space="preserve"> (ďalej len „zákon o sociálnych službách</w:t>
      </w:r>
      <w:r w:rsidR="00B93EF3" w:rsidRPr="004C5551">
        <w:rPr>
          <w:szCs w:val="22"/>
          <w:lang w:eastAsia="cs-CZ"/>
        </w:rPr>
        <w:t>“</w:t>
      </w:r>
      <w:r w:rsidRPr="004C5551">
        <w:rPr>
          <w:szCs w:val="22"/>
          <w:lang w:eastAsia="cs-CZ"/>
        </w:rPr>
        <w:t>). Zákon o sociálnych službách upravuje</w:t>
      </w:r>
      <w:r w:rsidRPr="004C5551">
        <w:rPr>
          <w:szCs w:val="22"/>
        </w:rPr>
        <w:t xml:space="preserve"> právne vzťahy a podmienky poskytovania sociálnych služieb, ktorých cieľom je podporovať sociálne začlenenie občanov a uspokojovať sociálne potreby ľudí v nepriaznivej sociálnej situácii. Za nepriaznivú sociálnu situáciu sa považuje stav sociálnej núdze fyzickej osoby, rodiny a komunity, v ktorom sa táto osoba, rodina, komunita nachádza z dôvodu, že nemá zabezpečené základné životné potreby, pre svoje životné návyky, pre spôsob života, pre závislosť od návykových látok alebo škodlivých činností, pre ohrozenie jej vývoja z dôvodu jej zdravotného postihnutia, ak ide o dieťa do siedmich rokov veku alebo nepriaznivý zdravotný stav, pre dovŕšenie dôchodkového veku, pre výkon opatrovania fyzickej osoby s ťažkým zdravotným postihnutím, pre ohrozenie správaním iných fyzických osôb alebo pre zotrvávanie v priestorovo segregovanej lokalite s prítomnosťou koncentrovanej a generačne reprodukovanej chudoby.</w:t>
      </w:r>
    </w:p>
    <w:p w:rsidR="006812B6" w:rsidRPr="004C5551" w:rsidRDefault="006812B6" w:rsidP="006812B6">
      <w:pPr>
        <w:pStyle w:val="Zarkazkladnhotextu"/>
        <w:ind w:left="0" w:firstLine="708"/>
        <w:rPr>
          <w:b w:val="0"/>
          <w:sz w:val="22"/>
          <w:szCs w:val="22"/>
          <w:lang w:val="sk-SK"/>
        </w:rPr>
      </w:pPr>
      <w:r w:rsidRPr="004C5551">
        <w:rPr>
          <w:b w:val="0"/>
          <w:sz w:val="22"/>
          <w:szCs w:val="22"/>
          <w:lang w:val="sk-SK"/>
        </w:rPr>
        <w:t>Sociálne služby sa podľa tohto zákona poskytujú prostredníctvom odborných, obslužných a ďalších činností, ktoré je poskytovateľ povinný poskytnúť alebo zabezpečiť v prípade, že sú tieto činnosti pri týchto službách taxatívne vymedzené. Odborné činnosti, ktorými sú sociálne poradenstvo, sociálna rehabilitácia a stimulácia komplexného vývoja dieťaťa so zdravotným postihnutím, je možné za podmienok ustanovených týmto zákonom poskytovať aj samostatne na základe akreditácie. Zároveň poskytovateľ môže vykonávať aj iné činnosti ako upravuje tento zákon, ktoré zvýšia kvalitu sociálnej služby. Sociálne služby sú službami verejného záujmu a sú poskytované bez dosiahnutia zisku, avšak zákon umožňuje aj poskytovanie sociálnych služieb v rámci živnosti alebo podnikania,</w:t>
      </w:r>
      <w:r w:rsidRPr="004C5551">
        <w:rPr>
          <w:b w:val="0"/>
          <w:sz w:val="22"/>
          <w:szCs w:val="22"/>
          <w:lang w:val="sk-SK"/>
        </w:rPr>
        <w:br/>
        <w:t>t. j. na báze zisku.</w:t>
      </w:r>
    </w:p>
    <w:p w:rsidR="006812B6" w:rsidRPr="004C5551" w:rsidRDefault="006812B6" w:rsidP="006812B6">
      <w:pPr>
        <w:rPr>
          <w:szCs w:val="22"/>
        </w:rPr>
      </w:pPr>
    </w:p>
    <w:p w:rsidR="006812B6" w:rsidRPr="004C5551" w:rsidRDefault="006812B6" w:rsidP="006812B6">
      <w:pPr>
        <w:pStyle w:val="Zarkazkladnhotextu"/>
        <w:ind w:left="0" w:firstLine="708"/>
        <w:rPr>
          <w:b w:val="0"/>
          <w:sz w:val="22"/>
          <w:szCs w:val="22"/>
          <w:lang w:val="sk-SK"/>
        </w:rPr>
      </w:pPr>
      <w:r w:rsidRPr="004C5551">
        <w:rPr>
          <w:b w:val="0"/>
          <w:sz w:val="22"/>
          <w:szCs w:val="22"/>
          <w:lang w:val="sk-SK"/>
        </w:rPr>
        <w:t xml:space="preserve">Zákon o sociálnych službách rozdeľuje sociálne služby do niekoľkých skupín, v závislosti od povahy nepriaznivej sociálnej situácie alebo od cieľovej skupiny, ktorej sú určené: </w:t>
      </w:r>
    </w:p>
    <w:p w:rsidR="006812B6" w:rsidRPr="004C5551" w:rsidRDefault="006812B6" w:rsidP="006812B6">
      <w:pPr>
        <w:pStyle w:val="Odsekzoznamu"/>
        <w:rPr>
          <w:b/>
        </w:rPr>
      </w:pPr>
      <w:r w:rsidRPr="004C5551">
        <w:t>sociálne služby krízovej intervencie</w:t>
      </w:r>
    </w:p>
    <w:p w:rsidR="006812B6" w:rsidRPr="004C5551" w:rsidRDefault="006812B6" w:rsidP="006812B6">
      <w:pPr>
        <w:pStyle w:val="Odsekzoznamu"/>
        <w:rPr>
          <w:b/>
        </w:rPr>
      </w:pPr>
      <w:r w:rsidRPr="004C5551">
        <w:rPr>
          <w:color w:val="000000"/>
        </w:rPr>
        <w:t>sociálne služby na podporu rodiny s deťmi</w:t>
      </w:r>
    </w:p>
    <w:p w:rsidR="006812B6" w:rsidRPr="004C5551" w:rsidRDefault="006812B6" w:rsidP="006812B6">
      <w:pPr>
        <w:pStyle w:val="Odsekzoznamu"/>
        <w:rPr>
          <w:b/>
          <w:color w:val="000000"/>
        </w:rPr>
      </w:pPr>
      <w:r w:rsidRPr="004C5551">
        <w:rPr>
          <w:color w:val="000000"/>
        </w:rPr>
        <w:t>sociálne služby na riešenie nepriaznivej sociálnej situácie z dôvodu ťažkého zdravotného postihnutia, nepriaznivého zdravotného stavu alebo z dôvodu dovŕšenia dôchodkového veku</w:t>
      </w:r>
    </w:p>
    <w:p w:rsidR="006812B6" w:rsidRPr="004C5551" w:rsidRDefault="006812B6" w:rsidP="006812B6">
      <w:pPr>
        <w:pStyle w:val="Odsekzoznamu"/>
        <w:rPr>
          <w:b/>
          <w:color w:val="000000"/>
        </w:rPr>
      </w:pPr>
      <w:r w:rsidRPr="004C5551">
        <w:t>sociálne služby s použitím telekomunikačných technológií</w:t>
      </w:r>
    </w:p>
    <w:p w:rsidR="006812B6" w:rsidRPr="004C5551" w:rsidRDefault="006812B6" w:rsidP="006812B6">
      <w:pPr>
        <w:pStyle w:val="Odsekzoznamu"/>
        <w:rPr>
          <w:b/>
        </w:rPr>
      </w:pPr>
      <w:r w:rsidRPr="004C5551">
        <w:t>podporné služby</w:t>
      </w:r>
    </w:p>
    <w:p w:rsidR="006812B6" w:rsidRPr="004C5551" w:rsidRDefault="006812B6" w:rsidP="006812B6">
      <w:pPr>
        <w:rPr>
          <w:szCs w:val="22"/>
        </w:rPr>
      </w:pPr>
    </w:p>
    <w:p w:rsidR="006812B6" w:rsidRPr="004C5551" w:rsidRDefault="006812B6" w:rsidP="006812B6">
      <w:pPr>
        <w:ind w:firstLine="708"/>
        <w:rPr>
          <w:szCs w:val="22"/>
        </w:rPr>
      </w:pPr>
      <w:r w:rsidRPr="004C5551">
        <w:rPr>
          <w:szCs w:val="22"/>
        </w:rPr>
        <w:t>Na účely poskytovania sociálnych služieb, ktoré majú charakter dlhodobej starostlivosti a ktoré sa poskytujú fyzickým osobám odkázaným na pomoc inej fyzickej osoby</w:t>
      </w:r>
      <w:r w:rsidR="00037763" w:rsidRPr="004C5551">
        <w:rPr>
          <w:szCs w:val="22"/>
        </w:rPr>
        <w:t>,</w:t>
      </w:r>
      <w:r w:rsidRPr="004C5551">
        <w:rPr>
          <w:szCs w:val="22"/>
        </w:rPr>
        <w:t xml:space="preserve"> zákon o sociálnych službách upravuje zdravotnú a sociálnu posudkovú činnosť, na základe ktorej sa určuje odkázanosť fyzickej osoby na sociálnu službu. Zákon o sociálnych službách rieši poskytovanie zdravotnej starostlivosti v rozsahu ošetrovateľskej starostlivosti vo vybraných zariadeniach sociálnych služieb priamo sestrami, t.j. zamestnancami týchto zariadení a zároveň je upravená možnosť poskytovania sociálnej služby v zdravotníckom zariadení ústavnej starostlivosti. V osobitnej časti zákona je upravené financovanie neverejných poskytovateľov</w:t>
      </w:r>
      <w:r w:rsidR="00DE2C7D" w:rsidRPr="004C5551">
        <w:rPr>
          <w:szCs w:val="22"/>
        </w:rPr>
        <w:t xml:space="preserve"> sociálnych služieb (ďalej len „ poskytovateľ“) </w:t>
      </w:r>
      <w:r w:rsidRPr="004C5551">
        <w:rPr>
          <w:szCs w:val="22"/>
        </w:rPr>
        <w:t>za splnenia zákonom stanovených podmienok a financovanie neverejných poskytovateľov vybraných druhov sociálnych služieb na lokálnej úrovni zo štátneho rozpočtu na základe pridelených finančných prostriedkov z kapitoly rozpočtu MPSVR SR. Pri financovaní sú neverejní poskytovatelia rozlišovaní z toho hľadiska, či majú neziskový charakter alebo či ide o podnikateľské subjekty, nakoľko nie je možné z verejných zdrojov podporovať poskytovateľov, ktorí ich poskytujú za účelom dosiahnutia zisku.</w:t>
      </w:r>
    </w:p>
    <w:p w:rsidR="006812B6" w:rsidRPr="004C5551" w:rsidRDefault="006812B6" w:rsidP="006812B6">
      <w:pPr>
        <w:ind w:firstLine="708"/>
        <w:rPr>
          <w:szCs w:val="22"/>
        </w:rPr>
      </w:pPr>
      <w:r w:rsidRPr="004C5551">
        <w:rPr>
          <w:szCs w:val="22"/>
        </w:rPr>
        <w:t xml:space="preserve">Zákon o sociálnych službách upravuje výkon dohľadu nad dodržiavaním tohto zákona a ostatných všeobecne záväzných právnych predpisov pri poskytovaní sociálnych služieb, ktorý vykonáva ministerstvo. Tento ústredný orgán </w:t>
      </w:r>
      <w:r w:rsidR="00DE2C7D" w:rsidRPr="004C5551">
        <w:rPr>
          <w:szCs w:val="22"/>
        </w:rPr>
        <w:t xml:space="preserve">štátnej správy </w:t>
      </w:r>
      <w:r w:rsidRPr="004C5551">
        <w:rPr>
          <w:szCs w:val="22"/>
        </w:rPr>
        <w:t>bude s účinnosťou od 1. 1. 2016 hodnotiť aj kvalitu poskytovaných sociálnych služieb na základe nových podmienok kvality, ktoré sú upravené v prílohe č. 2 zákona</w:t>
      </w:r>
      <w:r w:rsidR="00DE2C7D" w:rsidRPr="004C5551">
        <w:rPr>
          <w:szCs w:val="22"/>
        </w:rPr>
        <w:t xml:space="preserve"> o sociálnych službách. </w:t>
      </w:r>
      <w:r w:rsidRPr="004C5551">
        <w:rPr>
          <w:szCs w:val="22"/>
        </w:rPr>
        <w:t>MPSVR SR udeľuje akreditáciu na vzdelávacie programy a</w:t>
      </w:r>
      <w:r w:rsidR="0054485C" w:rsidRPr="004C5551">
        <w:rPr>
          <w:szCs w:val="22"/>
        </w:rPr>
        <w:t xml:space="preserve"> akreditáciu na odbornú činnosť ( spolu 63 akreditovaných subjektov, v tom 20 akreditovaných subjektov, zameraných na vzdelávací program, </w:t>
      </w:r>
      <w:r w:rsidR="000871B3" w:rsidRPr="004C5551">
        <w:rPr>
          <w:rFonts w:eastAsia="Calibri"/>
          <w:szCs w:val="22"/>
        </w:rPr>
        <w:t xml:space="preserve">12 na odbornú činnosť, </w:t>
      </w:r>
      <w:r w:rsidR="0054485C" w:rsidRPr="004C5551">
        <w:rPr>
          <w:szCs w:val="22"/>
        </w:rPr>
        <w:t xml:space="preserve">17 akreditovaných subjektov, </w:t>
      </w:r>
      <w:r w:rsidR="0054485C" w:rsidRPr="004C5551">
        <w:rPr>
          <w:rFonts w:eastAsia="Calibri"/>
          <w:szCs w:val="22"/>
        </w:rPr>
        <w:t>ktorým bola predĺžená akreditácia na vzdelávacie programy</w:t>
      </w:r>
      <w:r w:rsidR="000871B3" w:rsidRPr="004C5551">
        <w:rPr>
          <w:rFonts w:eastAsia="Calibri"/>
          <w:szCs w:val="22"/>
        </w:rPr>
        <w:t xml:space="preserve"> a 14, ktorým bola predĺžená akreditácia na</w:t>
      </w:r>
      <w:r w:rsidR="004F5A0D" w:rsidRPr="004C5551">
        <w:rPr>
          <w:rFonts w:eastAsia="Calibri"/>
          <w:szCs w:val="22"/>
        </w:rPr>
        <w:t> </w:t>
      </w:r>
      <w:r w:rsidR="000871B3" w:rsidRPr="004C5551">
        <w:rPr>
          <w:rFonts w:eastAsia="Calibri"/>
          <w:szCs w:val="22"/>
        </w:rPr>
        <w:t>odbornú činnosť).</w:t>
      </w:r>
    </w:p>
    <w:p w:rsidR="006812B6" w:rsidRPr="004C5551" w:rsidRDefault="006812B6" w:rsidP="006812B6">
      <w:pPr>
        <w:pStyle w:val="Default"/>
        <w:ind w:firstLine="708"/>
        <w:jc w:val="both"/>
        <w:rPr>
          <w:rFonts w:ascii="Times New Roman" w:hAnsi="Times New Roman" w:cs="Times New Roman"/>
          <w:sz w:val="22"/>
          <w:szCs w:val="22"/>
        </w:rPr>
      </w:pPr>
      <w:r w:rsidRPr="004C5551">
        <w:rPr>
          <w:rFonts w:ascii="Times New Roman" w:hAnsi="Times New Roman" w:cs="Times New Roman"/>
          <w:sz w:val="22"/>
          <w:szCs w:val="22"/>
        </w:rPr>
        <w:t xml:space="preserve">Dňa 28. 11. 2013 bol Národnou radou SR schválený </w:t>
      </w:r>
      <w:r w:rsidRPr="004C5551">
        <w:rPr>
          <w:rFonts w:ascii="Times New Roman" w:hAnsi="Times New Roman" w:cs="Times New Roman"/>
          <w:b/>
          <w:sz w:val="22"/>
          <w:szCs w:val="22"/>
        </w:rPr>
        <w:t>zákon</w:t>
      </w:r>
      <w:r w:rsidRPr="004C5551">
        <w:rPr>
          <w:rFonts w:ascii="Times New Roman" w:hAnsi="Times New Roman" w:cs="Times New Roman"/>
          <w:sz w:val="22"/>
          <w:szCs w:val="22"/>
        </w:rPr>
        <w:t xml:space="preserve"> </w:t>
      </w:r>
      <w:r w:rsidRPr="004C5551">
        <w:rPr>
          <w:rFonts w:ascii="Times New Roman" w:hAnsi="Times New Roman" w:cs="Times New Roman"/>
          <w:b/>
          <w:sz w:val="22"/>
          <w:szCs w:val="22"/>
        </w:rPr>
        <w:t>č. 485/2013 Z. z</w:t>
      </w:r>
      <w:r w:rsidRPr="004C5551">
        <w:rPr>
          <w:rFonts w:ascii="Times New Roman" w:hAnsi="Times New Roman" w:cs="Times New Roman"/>
          <w:sz w:val="22"/>
          <w:szCs w:val="22"/>
        </w:rPr>
        <w:t xml:space="preserve">., ktorý </w:t>
      </w:r>
      <w:r w:rsidR="00A03FDB" w:rsidRPr="004C5551">
        <w:rPr>
          <w:rFonts w:ascii="Times New Roman" w:hAnsi="Times New Roman" w:cs="Times New Roman"/>
          <w:sz w:val="22"/>
          <w:szCs w:val="22"/>
        </w:rPr>
        <w:t xml:space="preserve">s účinnosťou od 1.1.2014 menil a dopĺňal zákon o sociálnych službách. </w:t>
      </w:r>
      <w:r w:rsidRPr="004C5551">
        <w:rPr>
          <w:rFonts w:ascii="Times New Roman" w:hAnsi="Times New Roman" w:cs="Times New Roman"/>
          <w:sz w:val="22"/>
          <w:szCs w:val="22"/>
        </w:rPr>
        <w:t xml:space="preserve">Cieľom tejto novely zákona o sociálnych službách bolo zlepšenie </w:t>
      </w:r>
      <w:r w:rsidRPr="004C5551">
        <w:rPr>
          <w:rFonts w:ascii="Times New Roman" w:hAnsi="Times New Roman" w:cs="Times New Roman"/>
          <w:bCs/>
          <w:sz w:val="22"/>
          <w:szCs w:val="22"/>
        </w:rPr>
        <w:t>kvality sociálnych služieb, ich udržateľnosť a dostupnosť.</w:t>
      </w:r>
      <w:r w:rsidRPr="004C5551">
        <w:rPr>
          <w:rFonts w:ascii="Times New Roman" w:hAnsi="Times New Roman" w:cs="Times New Roman"/>
          <w:sz w:val="22"/>
          <w:szCs w:val="22"/>
        </w:rPr>
        <w:t xml:space="preserve"> </w:t>
      </w:r>
    </w:p>
    <w:p w:rsidR="006812B6" w:rsidRPr="004C5551" w:rsidRDefault="006812B6" w:rsidP="006812B6">
      <w:pPr>
        <w:ind w:firstLine="705"/>
        <w:rPr>
          <w:bCs/>
          <w:szCs w:val="22"/>
        </w:rPr>
      </w:pPr>
      <w:r w:rsidRPr="004C5551">
        <w:rPr>
          <w:bCs/>
          <w:szCs w:val="22"/>
        </w:rPr>
        <w:t xml:space="preserve">Za pozitívne možno pokladať zmeny týkajúce sa zvýšenia ochrany príjmu </w:t>
      </w:r>
      <w:r w:rsidR="00A03FDB" w:rsidRPr="004C5551">
        <w:rPr>
          <w:bCs/>
          <w:szCs w:val="22"/>
        </w:rPr>
        <w:t>prijímateľa sociálnej služby (ďalej len „prijímateľ“)</w:t>
      </w:r>
      <w:r w:rsidRPr="004C5551">
        <w:rPr>
          <w:bCs/>
          <w:szCs w:val="22"/>
        </w:rPr>
        <w:t xml:space="preserve"> pred neprimeranou úhradou. Zámerom bolo zabezpečiť ochranu príjmu tým prijímateľom, ktorých príjmy sú veľmi nízke, t.j. sú pod hranicou zákonom určených súm životného minima alebo len nepatrne presahujúce túto hranicu. Keďže prioritou vlády SR je vytvoriť v sociálnych službách také podmienky, ktoré umožnia občanom zotrvať čo najdlhšie v ich prirodzenom prostredí a poskytovať komunitne orientované sociálne služby v súlade s princípmi deinštitucionalizácie a so záväzkami SR prijatými v medzinárodných dokumentoch, viaceré zmeny sú zamerané na dosiahnutie týchto cieľov. Ide o zmeny, ktorými sa obmedzuje kapacita pri zriaďovaní nových zariadení sociálnych služieb tak</w:t>
      </w:r>
      <w:r w:rsidR="00037763" w:rsidRPr="004C5551">
        <w:rPr>
          <w:bCs/>
          <w:szCs w:val="22"/>
        </w:rPr>
        <w:t>,</w:t>
      </w:r>
      <w:r w:rsidRPr="004C5551">
        <w:rPr>
          <w:bCs/>
          <w:szCs w:val="22"/>
        </w:rPr>
        <w:t xml:space="preserve"> aby vznikali zariadenia rodinného typu, ale aj o určenie vekových hraníc pre vybrané sociálne služby. Zaviedla sa nová skupina sociálnych služieb krízovej intervencie, kam patria aj komunitné centrá a terénna sociálna služba krízovej intervencie, ktoré budú dôležitým nástrojom riešenia problémov v segregovaných komunitách a doteraz nemali legislatívnu oporu. Zaviedli sa tak ďalšie nové druhy sociálnych služieb, ako aj nové druhy odborných činností. Za významnú možno považovať podrobnú úpravu podmienok kvality sociálnych služieb a systém ich hodnotenia. S kvalitou poskytovania sociálnych služieb súvisí aj kvalitný proces akreditácie vzdelávacích programov a odborných činností v sociálnych službách, preto boli bližšie špecifikované a precizované podmienky akreditácie. Upravili sa a sprísnili sa podmienky registrácie a finančnej podpory z verejných zdrojov a zabezpečilo sa zvýšenie objektivity posudzovania odkázanosti na</w:t>
      </w:r>
      <w:r w:rsidR="004F5A0D" w:rsidRPr="004C5551">
        <w:rPr>
          <w:bCs/>
          <w:szCs w:val="22"/>
        </w:rPr>
        <w:t> </w:t>
      </w:r>
      <w:r w:rsidRPr="004C5551">
        <w:rPr>
          <w:bCs/>
          <w:szCs w:val="22"/>
        </w:rPr>
        <w:t>pomoc inej osoby.</w:t>
      </w:r>
    </w:p>
    <w:p w:rsidR="006812B6" w:rsidRPr="004C5551" w:rsidRDefault="006812B6" w:rsidP="006812B6">
      <w:pPr>
        <w:ind w:firstLine="705"/>
        <w:rPr>
          <w:color w:val="000000" w:themeColor="text1"/>
        </w:rPr>
      </w:pPr>
      <w:r w:rsidRPr="004C5551">
        <w:rPr>
          <w:color w:val="000000" w:themeColor="text1"/>
          <w:szCs w:val="22"/>
        </w:rPr>
        <w:t xml:space="preserve">Dňom 1. júla 2014 nadobudol účinnosť </w:t>
      </w:r>
      <w:r w:rsidR="00460DEB" w:rsidRPr="004C5551">
        <w:rPr>
          <w:b/>
          <w:color w:val="000000" w:themeColor="text1"/>
          <w:szCs w:val="22"/>
        </w:rPr>
        <w:t>zákon č. 185/2014 Z.</w:t>
      </w:r>
      <w:r w:rsidR="00460DEB" w:rsidRPr="004C5551">
        <w:rPr>
          <w:b/>
          <w:color w:val="000000" w:themeColor="text1"/>
        </w:rPr>
        <w:t xml:space="preserve"> </w:t>
      </w:r>
      <w:r w:rsidR="00460DEB" w:rsidRPr="004C5551">
        <w:rPr>
          <w:b/>
          <w:color w:val="000000" w:themeColor="text1"/>
          <w:szCs w:val="22"/>
        </w:rPr>
        <w:t>z.</w:t>
      </w:r>
      <w:r w:rsidRPr="004C5551">
        <w:rPr>
          <w:color w:val="000000" w:themeColor="text1"/>
          <w:szCs w:val="22"/>
        </w:rPr>
        <w:t>, ktorým sa mení a dopĺňa zákon č. 578/2004 Z.</w:t>
      </w:r>
      <w:r w:rsidRPr="004C5551">
        <w:rPr>
          <w:color w:val="000000" w:themeColor="text1"/>
        </w:rPr>
        <w:t xml:space="preserve"> </w:t>
      </w:r>
      <w:r w:rsidRPr="004C5551">
        <w:rPr>
          <w:color w:val="000000" w:themeColor="text1"/>
          <w:szCs w:val="22"/>
        </w:rPr>
        <w:t>z. o poskytovateľoch zdravotnej starostlivosti, zdravotníckych pracovníkoch, stavovských organizáciách v zdravotníctve a o zmene a doplnení niektorých zákonov v znení neskorších predpisov a o zmene a doplnení niektorých zákonov, ktorým sa novelizoval aj zákon o sociálnych službách. Novou právnou úpravou sa zabezpečila previazanosť právnej úpravy poskytovania zdravotnej starostlivosti</w:t>
      </w:r>
      <w:r w:rsidR="003D4864" w:rsidRPr="004C5551">
        <w:rPr>
          <w:color w:val="000000" w:themeColor="text1"/>
          <w:szCs w:val="22"/>
        </w:rPr>
        <w:t xml:space="preserve"> </w:t>
      </w:r>
      <w:r w:rsidRPr="004C5551">
        <w:rPr>
          <w:color w:val="000000" w:themeColor="text1"/>
          <w:szCs w:val="22"/>
        </w:rPr>
        <w:t>v právnych predpisoch v oblasti zdravotnej starostlivosti s právnou úpravou poskytovania zdravotnej starostlivosti v rozsahu ošetrovateľskej starostlivosti vo</w:t>
      </w:r>
      <w:r w:rsidR="004F5A0D" w:rsidRPr="004C5551">
        <w:rPr>
          <w:color w:val="000000" w:themeColor="text1"/>
          <w:szCs w:val="22"/>
        </w:rPr>
        <w:t> </w:t>
      </w:r>
      <w:r w:rsidRPr="004C5551">
        <w:rPr>
          <w:color w:val="000000" w:themeColor="text1"/>
          <w:szCs w:val="22"/>
        </w:rPr>
        <w:t>vybraných zariadeniach sociálnych služieb (zariadenie pre seniorov, zariadenie opatrovateľskej služby, domov sociálnych služieb, špecializované zariadenie), ustanovenou v zákone o sociálnych službách. V tejto súvislosti sa upravila nová forma poskytovania zdravotnej starostlivosti, ktorou je ošetrovateľská starostlivosť v zariadeniach sociálnych služieb</w:t>
      </w:r>
      <w:r w:rsidR="0081510B" w:rsidRPr="004C5551">
        <w:rPr>
          <w:color w:val="000000" w:themeColor="text1"/>
          <w:szCs w:val="22"/>
        </w:rPr>
        <w:t>,</w:t>
      </w:r>
      <w:r w:rsidR="003D4864" w:rsidRPr="004C5551">
        <w:rPr>
          <w:color w:val="000000" w:themeColor="text1"/>
          <w:szCs w:val="22"/>
        </w:rPr>
        <w:t xml:space="preserve"> </w:t>
      </w:r>
      <w:r w:rsidRPr="004C5551">
        <w:rPr>
          <w:color w:val="000000" w:themeColor="text1"/>
          <w:szCs w:val="22"/>
        </w:rPr>
        <w:t>poskytovaná v súlade so štandardnými ošetrovateľskými postupmi. Zo zdrojov verejného zdravotného poistenia je možné s účinnosťou od</w:t>
      </w:r>
      <w:r w:rsidR="004F5A0D" w:rsidRPr="004C5551">
        <w:rPr>
          <w:color w:val="000000" w:themeColor="text1"/>
          <w:szCs w:val="22"/>
        </w:rPr>
        <w:t> </w:t>
      </w:r>
      <w:r w:rsidRPr="004C5551">
        <w:rPr>
          <w:color w:val="000000" w:themeColor="text1"/>
          <w:szCs w:val="22"/>
        </w:rPr>
        <w:t>1.</w:t>
      </w:r>
      <w:r w:rsidR="004F5A0D" w:rsidRPr="004C5551">
        <w:rPr>
          <w:color w:val="000000" w:themeColor="text1"/>
          <w:szCs w:val="22"/>
        </w:rPr>
        <w:t> </w:t>
      </w:r>
      <w:r w:rsidRPr="004C5551">
        <w:rPr>
          <w:color w:val="000000" w:themeColor="text1"/>
          <w:szCs w:val="22"/>
        </w:rPr>
        <w:t>júla 2014 uhrádzať 9 zdravotných výkonov ošetrovateľskej starostlivosti, poskytovaných týmito zariadeniami sociálnych služieb prostredníctvom ich zamestnancov, ktorí spĺňajú podmienky na výkon zdravotníckeho povolania. Ide o zákonom ustanovenú možnosť uzatvárania zmluvy o poskytovaní ošetrovateľskej starostlivosti medzi zdravotnou poisťovňou a zariadením sociálnych služieb.</w:t>
      </w:r>
    </w:p>
    <w:p w:rsidR="006812B6" w:rsidRPr="004C5551" w:rsidRDefault="006812B6" w:rsidP="006812B6">
      <w:pPr>
        <w:ind w:firstLine="705"/>
        <w:rPr>
          <w:bCs/>
          <w:szCs w:val="22"/>
        </w:rPr>
      </w:pPr>
    </w:p>
    <w:p w:rsidR="00F75B6B" w:rsidRPr="004C5551" w:rsidRDefault="006812B6" w:rsidP="006812B6">
      <w:pPr>
        <w:pStyle w:val="Zarkazkladnhotextu"/>
        <w:ind w:left="0" w:firstLine="708"/>
        <w:rPr>
          <w:b w:val="0"/>
          <w:color w:val="000000" w:themeColor="text1"/>
          <w:sz w:val="22"/>
          <w:szCs w:val="22"/>
          <w:lang w:val="sk-SK"/>
        </w:rPr>
      </w:pPr>
      <w:r w:rsidRPr="004C5551">
        <w:rPr>
          <w:b w:val="0"/>
          <w:color w:val="000000" w:themeColor="text1"/>
          <w:sz w:val="22"/>
          <w:szCs w:val="22"/>
          <w:lang w:val="sk-SK"/>
        </w:rPr>
        <w:t>V snahe zabezpečiť kontinuitu a efektivitu poskytovaných sociálnych služieb a súčasne v snahe podporiť zotrvanie ľudí odkázaných na pomoc čo najdlhšie v ich prirodzenom rodinnom prostredí sa MPSVR SR</w:t>
      </w:r>
      <w:r w:rsidR="003D4864" w:rsidRPr="004C5551">
        <w:rPr>
          <w:b w:val="0"/>
          <w:color w:val="000000" w:themeColor="text1"/>
          <w:sz w:val="22"/>
          <w:szCs w:val="22"/>
          <w:lang w:val="sk-SK"/>
        </w:rPr>
        <w:t xml:space="preserve"> </w:t>
      </w:r>
      <w:r w:rsidRPr="004C5551">
        <w:rPr>
          <w:b w:val="0"/>
          <w:color w:val="000000" w:themeColor="text1"/>
          <w:sz w:val="22"/>
          <w:szCs w:val="22"/>
          <w:lang w:val="sk-SK"/>
        </w:rPr>
        <w:t>naďalej venuje procesu deinšitucionalizácie sociálnych služieb na Slovensku. Vláda SR schválila dňa 30. 11. 2011 Stratégiu deinštitucionalizácie systému sociálnych služieb a</w:t>
      </w:r>
      <w:r w:rsidR="004F5A0D" w:rsidRPr="004C5551">
        <w:rPr>
          <w:b w:val="0"/>
          <w:color w:val="000000" w:themeColor="text1"/>
          <w:sz w:val="22"/>
          <w:szCs w:val="22"/>
          <w:lang w:val="sk-SK"/>
        </w:rPr>
        <w:t> </w:t>
      </w:r>
      <w:r w:rsidRPr="004C5551">
        <w:rPr>
          <w:b w:val="0"/>
          <w:color w:val="000000" w:themeColor="text1"/>
          <w:sz w:val="22"/>
          <w:szCs w:val="22"/>
          <w:lang w:val="sk-SK"/>
        </w:rPr>
        <w:t>náhradnej starostlivosti (ďalej len „Stratégia DI“). Slovenská republika sa týmto dokumentom hlási k</w:t>
      </w:r>
      <w:r w:rsidR="004F5A0D" w:rsidRPr="004C5551">
        <w:rPr>
          <w:b w:val="0"/>
          <w:color w:val="000000" w:themeColor="text1"/>
          <w:sz w:val="22"/>
          <w:szCs w:val="22"/>
          <w:lang w:val="sk-SK"/>
        </w:rPr>
        <w:t> </w:t>
      </w:r>
      <w:r w:rsidRPr="004C5551">
        <w:rPr>
          <w:b w:val="0"/>
          <w:color w:val="000000" w:themeColor="text1"/>
          <w:sz w:val="22"/>
          <w:szCs w:val="22"/>
          <w:lang w:val="sk-SK"/>
        </w:rPr>
        <w:t xml:space="preserve">celosvetovému trendu systematického odstraňovania dôsledkov dlhodobo uplatňovaného, ale už historicky prekonaného modelu inštitucionálnej izolácie a segregácie ľudí vyžadujúcich dlhodobú pomoc a starostlivosť v špecializovaných zariadeniach, menovite detí v náhradnej starostlivosti a ľudí so zdravotným postihnutím, seniorov a jeho nahradenie alternatívnym modelom služieb a opatrení, svojím charakterom čo najviac podobným podmienkam bežného života. Takáto zmena modelu je jedným z cieľov súčasnej politiky EÚ v oblasti sociálnej inklúzie a zdravotného postihnutia a je súčasťou záväzkov SR v medzinárodnej </w:t>
      </w:r>
      <w:proofErr w:type="spellStart"/>
      <w:r w:rsidRPr="004C5551">
        <w:rPr>
          <w:b w:val="0"/>
          <w:color w:val="000000" w:themeColor="text1"/>
          <w:sz w:val="22"/>
          <w:szCs w:val="22"/>
          <w:lang w:val="sk-SK"/>
        </w:rPr>
        <w:t>ľudsko</w:t>
      </w:r>
      <w:proofErr w:type="spellEnd"/>
      <w:r w:rsidRPr="004C5551">
        <w:rPr>
          <w:b w:val="0"/>
          <w:color w:val="000000" w:themeColor="text1"/>
          <w:sz w:val="22"/>
          <w:szCs w:val="22"/>
          <w:lang w:val="sk-SK"/>
        </w:rPr>
        <w:t>–právnej agende, napr. Dohovoru o právach dieťaťa a</w:t>
      </w:r>
      <w:r w:rsidR="004F5A0D" w:rsidRPr="004C5551">
        <w:rPr>
          <w:b w:val="0"/>
          <w:color w:val="000000" w:themeColor="text1"/>
          <w:sz w:val="22"/>
          <w:szCs w:val="22"/>
          <w:lang w:val="sk-SK"/>
        </w:rPr>
        <w:t> </w:t>
      </w:r>
      <w:r w:rsidRPr="004C5551">
        <w:rPr>
          <w:b w:val="0"/>
          <w:color w:val="000000" w:themeColor="text1"/>
          <w:sz w:val="22"/>
          <w:szCs w:val="22"/>
          <w:lang w:val="sk-SK"/>
        </w:rPr>
        <w:t xml:space="preserve">Dohovoru OSN o právach osôb so zdravotným postihnutím. Základným zámerom deinštitucionalizácie v SR je vytvorenie a zabezpečenie podmienok pre nezávislý a slobodný život všetkých </w:t>
      </w:r>
      <w:r w:rsidR="002C0AD3" w:rsidRPr="004C5551">
        <w:rPr>
          <w:b w:val="0"/>
          <w:color w:val="000000" w:themeColor="text1"/>
          <w:sz w:val="22"/>
          <w:szCs w:val="22"/>
          <w:lang w:val="sk-SK"/>
        </w:rPr>
        <w:t>fyzických osôb,</w:t>
      </w:r>
      <w:r w:rsidRPr="004C5551">
        <w:rPr>
          <w:b w:val="0"/>
          <w:color w:val="000000" w:themeColor="text1"/>
          <w:sz w:val="22"/>
          <w:szCs w:val="22"/>
          <w:lang w:val="sk-SK"/>
        </w:rPr>
        <w:t xml:space="preserve"> odkázaných na pomoc spoločnosti, v prirodzenom sociálnom prostredí komunity, prostredníctvom komplexu kvalitných alternatívnych služieb vo verejnom záujme. Dňa</w:t>
      </w:r>
      <w:r w:rsidR="004F5A0D" w:rsidRPr="004C5551">
        <w:rPr>
          <w:b w:val="0"/>
          <w:color w:val="000000" w:themeColor="text1"/>
          <w:sz w:val="22"/>
          <w:szCs w:val="22"/>
          <w:lang w:val="sk-SK"/>
        </w:rPr>
        <w:t xml:space="preserve"> </w:t>
      </w:r>
      <w:r w:rsidRPr="004C5551">
        <w:rPr>
          <w:b w:val="0"/>
          <w:color w:val="000000" w:themeColor="text1"/>
          <w:sz w:val="22"/>
          <w:szCs w:val="22"/>
          <w:lang w:val="sk-SK"/>
        </w:rPr>
        <w:t>14.</w:t>
      </w:r>
      <w:r w:rsidR="004F5A0D" w:rsidRPr="004C5551">
        <w:rPr>
          <w:b w:val="0"/>
          <w:color w:val="000000" w:themeColor="text1"/>
          <w:sz w:val="22"/>
          <w:szCs w:val="22"/>
          <w:lang w:val="sk-SK"/>
        </w:rPr>
        <w:t> </w:t>
      </w:r>
      <w:r w:rsidRPr="004C5551">
        <w:rPr>
          <w:b w:val="0"/>
          <w:color w:val="000000" w:themeColor="text1"/>
          <w:sz w:val="22"/>
          <w:szCs w:val="22"/>
          <w:lang w:val="sk-SK"/>
        </w:rPr>
        <w:t>12. 2011 MPSVR SR schválilo Národný akčný plán prechodu z inštitucionálnej na komunitnú starostlivosť v systéme sociálnych služieb na roky</w:t>
      </w:r>
      <w:r w:rsidR="00F75B6B" w:rsidRPr="004C5551">
        <w:rPr>
          <w:b w:val="0"/>
          <w:color w:val="000000" w:themeColor="text1"/>
          <w:sz w:val="22"/>
          <w:szCs w:val="22"/>
          <w:lang w:val="sk-SK"/>
        </w:rPr>
        <w:t xml:space="preserve"> </w:t>
      </w:r>
      <w:r w:rsidRPr="004C5551">
        <w:rPr>
          <w:b w:val="0"/>
          <w:color w:val="000000" w:themeColor="text1"/>
          <w:sz w:val="22"/>
          <w:szCs w:val="22"/>
          <w:lang w:val="sk-SK"/>
        </w:rPr>
        <w:t xml:space="preserve">2012 – 2015 (ďalej len „Národný akčný plán DI“). Vypracovanie Národného akčného plánu DI je jednou zo základných úloh Stratégie DI. Národný akčný plán DI predstavuje základný plánovací dokument MPSVR SR na naplnenie Stratégie DI v oblasti prechodu z inštitucionálnej na komunitnú starostlivosť v systéme sociálnych služieb v SR v rokoch 2012 – 2015. </w:t>
      </w:r>
    </w:p>
    <w:p w:rsidR="006812B6" w:rsidRPr="004C5551" w:rsidRDefault="006812B6" w:rsidP="006812B6">
      <w:pPr>
        <w:pStyle w:val="Zarkazkladnhotextu"/>
        <w:ind w:left="0" w:firstLine="708"/>
        <w:rPr>
          <w:b w:val="0"/>
          <w:sz w:val="22"/>
          <w:szCs w:val="22"/>
          <w:lang w:val="sk-SK"/>
        </w:rPr>
      </w:pPr>
      <w:r w:rsidRPr="004C5551">
        <w:rPr>
          <w:b w:val="0"/>
          <w:sz w:val="22"/>
          <w:szCs w:val="22"/>
          <w:lang w:val="sk-SK"/>
        </w:rPr>
        <w:t xml:space="preserve">Implementačná agentúra MPSVR SR začala dňa 1. 3. 2013 realizovať Národný projekt – Podpora transformácie a deinštitucionalizácie systému sociálnych služieb, ktorého hlavným cieľom je </w:t>
      </w:r>
      <w:proofErr w:type="spellStart"/>
      <w:r w:rsidRPr="004C5551">
        <w:rPr>
          <w:b w:val="0"/>
          <w:sz w:val="22"/>
          <w:szCs w:val="22"/>
          <w:lang w:val="sk-SK"/>
        </w:rPr>
        <w:t>pilotne</w:t>
      </w:r>
      <w:proofErr w:type="spellEnd"/>
      <w:r w:rsidRPr="004C5551">
        <w:rPr>
          <w:b w:val="0"/>
          <w:sz w:val="22"/>
          <w:szCs w:val="22"/>
          <w:lang w:val="sk-SK"/>
        </w:rPr>
        <w:t xml:space="preserve"> overiť proces prechodu z inštitucionálnej na komunitnú starostlivosť v sociálnych službách.</w:t>
      </w:r>
    </w:p>
    <w:p w:rsidR="00BE4E77" w:rsidRPr="004C5551" w:rsidRDefault="00BE4E77" w:rsidP="00BE4E77">
      <w:pPr>
        <w:rPr>
          <w:szCs w:val="22"/>
        </w:rPr>
      </w:pPr>
      <w:r w:rsidRPr="004C5551">
        <w:rPr>
          <w:szCs w:val="22"/>
        </w:rPr>
        <w:t>V národnom projekte je celkovo zapojených 10 zariadení sociálnych služieb a 6 samosprávnych krajov v rámci celej Slovenskej republiky. Aktivity realizované v národných projektoch sú zamerané na priamu podporu, vzdelávanie a </w:t>
      </w:r>
      <w:proofErr w:type="spellStart"/>
      <w:r w:rsidRPr="004C5551">
        <w:rPr>
          <w:szCs w:val="22"/>
        </w:rPr>
        <w:t>disemináciu</w:t>
      </w:r>
      <w:proofErr w:type="spellEnd"/>
      <w:r w:rsidRPr="004C5551">
        <w:rPr>
          <w:szCs w:val="22"/>
        </w:rPr>
        <w:t xml:space="preserve"> v rámci prechodu z inštitucionálnej na komunitnú starostlivosť.</w:t>
      </w:r>
    </w:p>
    <w:p w:rsidR="006812B6" w:rsidRPr="004C5551" w:rsidRDefault="006812B6" w:rsidP="006812B6">
      <w:pPr>
        <w:shd w:val="clear" w:color="auto" w:fill="FFFFFF"/>
        <w:ind w:firstLine="708"/>
        <w:rPr>
          <w:color w:val="000000" w:themeColor="text1"/>
          <w:szCs w:val="22"/>
        </w:rPr>
      </w:pPr>
      <w:r w:rsidRPr="004C5551">
        <w:rPr>
          <w:color w:val="000000" w:themeColor="text1"/>
          <w:szCs w:val="22"/>
        </w:rPr>
        <w:t>Na snahe podporiť zotrvanie ľudí odkázaných na pomoc čo najdlhšie v ich prirodzenom rodinnom prostredí sa významnou mierou podieľa aj Národný projekt Podpory opatrovateľskej služby, ktorý sa začal realizovať v januári 2014. Projekt sa realizuje v rokoch 2014 až 2015.</w:t>
      </w:r>
    </w:p>
    <w:p w:rsidR="006812B6" w:rsidRPr="004C5551" w:rsidRDefault="006812B6" w:rsidP="006812B6">
      <w:pPr>
        <w:shd w:val="clear" w:color="auto" w:fill="FFFFFF"/>
        <w:ind w:firstLine="708"/>
        <w:rPr>
          <w:color w:val="000000" w:themeColor="text1"/>
          <w:szCs w:val="22"/>
        </w:rPr>
      </w:pPr>
      <w:r w:rsidRPr="004C5551">
        <w:rPr>
          <w:color w:val="000000" w:themeColor="text1"/>
          <w:szCs w:val="22"/>
        </w:rPr>
        <w:t>Cieľom národného projektu je umožniť poskytovať opatrovateľskú službu väčšiemu počtu osôb odkázaných na pomoc inej osoby a vytvoriť predpoklady rozšírenia poskytovania opatrovateľskej služby aj do regiónov, resp. obcí, ktoré doteraz reálne túto formu sociálnych služieb – opatrovateľskú službu poskytovali len v obmedzenom rozsahu alebo vôbec</w:t>
      </w:r>
      <w:r w:rsidR="002C0AD3" w:rsidRPr="004C5551">
        <w:rPr>
          <w:color w:val="000000" w:themeColor="text1"/>
          <w:szCs w:val="22"/>
        </w:rPr>
        <w:t xml:space="preserve"> neposkytovali.</w:t>
      </w:r>
      <w:r w:rsidRPr="004C5551">
        <w:rPr>
          <w:color w:val="000000" w:themeColor="text1"/>
          <w:szCs w:val="22"/>
        </w:rPr>
        <w:t>. Projekt zvýšil dostupnosť opatrovateľskej služby pre občanov s ťažkým zdravotným postihnutím, s</w:t>
      </w:r>
      <w:r w:rsidR="004F5A0D" w:rsidRPr="004C5551">
        <w:rPr>
          <w:color w:val="000000" w:themeColor="text1"/>
          <w:szCs w:val="22"/>
        </w:rPr>
        <w:t> </w:t>
      </w:r>
      <w:r w:rsidRPr="004C5551">
        <w:rPr>
          <w:color w:val="000000" w:themeColor="text1"/>
          <w:szCs w:val="22"/>
        </w:rPr>
        <w:t xml:space="preserve">nepriaznivým zdravotným stavom a pre seniorov a tým znížil dopyt po inštitucionálnej starostlivosti. </w:t>
      </w:r>
    </w:p>
    <w:p w:rsidR="006812B6" w:rsidRPr="004C5551" w:rsidRDefault="006812B6" w:rsidP="006812B6">
      <w:pPr>
        <w:ind w:firstLine="708"/>
        <w:rPr>
          <w:color w:val="000000" w:themeColor="text1"/>
          <w:szCs w:val="22"/>
        </w:rPr>
      </w:pPr>
      <w:r w:rsidRPr="004C5551">
        <w:rPr>
          <w:color w:val="000000" w:themeColor="text1"/>
          <w:szCs w:val="22"/>
        </w:rPr>
        <w:t>Cieľom národného projektu je aj podpora sociálnej inklúzie prostredníctvom podpory novovytvorených pracovných miest pre opatrovateľky/opatrovateľov.</w:t>
      </w:r>
    </w:p>
    <w:p w:rsidR="006812B6" w:rsidRPr="004C5551" w:rsidRDefault="006812B6" w:rsidP="006812B6">
      <w:pPr>
        <w:ind w:firstLine="708"/>
        <w:rPr>
          <w:color w:val="000000" w:themeColor="text1"/>
          <w:lang w:eastAsia="cs-CZ"/>
        </w:rPr>
      </w:pPr>
      <w:r w:rsidRPr="004C5551">
        <w:rPr>
          <w:color w:val="000000" w:themeColor="text1"/>
          <w:szCs w:val="22"/>
        </w:rPr>
        <w:t xml:space="preserve">Realizáciou Národného projektu Podpora opatrovateľskej služby sa zvýšil počet </w:t>
      </w:r>
      <w:r w:rsidR="002C0AD3" w:rsidRPr="004C5551">
        <w:rPr>
          <w:color w:val="000000" w:themeColor="text1"/>
          <w:szCs w:val="22"/>
        </w:rPr>
        <w:t xml:space="preserve">prijímateľov </w:t>
      </w:r>
      <w:r w:rsidRPr="004C5551">
        <w:rPr>
          <w:color w:val="000000" w:themeColor="text1"/>
          <w:szCs w:val="22"/>
        </w:rPr>
        <w:t>opatrovateľskej služby o 3 584</w:t>
      </w:r>
      <w:r w:rsidRPr="004C5551">
        <w:rPr>
          <w:rStyle w:val="Odkaznapoznmkupodiarou"/>
          <w:color w:val="000000" w:themeColor="text1"/>
          <w:szCs w:val="22"/>
        </w:rPr>
        <w:footnoteReference w:id="31"/>
      </w:r>
      <w:r w:rsidRPr="004C5551">
        <w:rPr>
          <w:color w:val="000000" w:themeColor="text1"/>
          <w:szCs w:val="22"/>
        </w:rPr>
        <w:t xml:space="preserve"> a na druhej strane sa vytvorili nové pracovné miesta pre</w:t>
      </w:r>
      <w:r w:rsidR="004F5A0D" w:rsidRPr="004C5551">
        <w:rPr>
          <w:color w:val="000000" w:themeColor="text1"/>
          <w:szCs w:val="22"/>
        </w:rPr>
        <w:t> </w:t>
      </w:r>
      <w:r w:rsidRPr="004C5551">
        <w:rPr>
          <w:color w:val="000000" w:themeColor="text1"/>
          <w:szCs w:val="22"/>
        </w:rPr>
        <w:t>opatrovateľov/opatrovateľky v počte 3 301</w:t>
      </w:r>
      <w:r w:rsidRPr="004C5551">
        <w:rPr>
          <w:rStyle w:val="Odkaznapoznmkupodiarou"/>
          <w:color w:val="000000" w:themeColor="text1"/>
          <w:szCs w:val="22"/>
        </w:rPr>
        <w:footnoteReference w:id="32"/>
      </w:r>
      <w:r w:rsidRPr="004C5551">
        <w:rPr>
          <w:color w:val="000000" w:themeColor="text1"/>
          <w:szCs w:val="22"/>
        </w:rPr>
        <w:t>. Projektom sa pomohlo obciam, ktoré doteraz z finančných dôvodov opatrovateľskú službu neposkytovali alebo ju poskytovali len</w:t>
      </w:r>
      <w:r w:rsidR="003D4864" w:rsidRPr="004C5551">
        <w:rPr>
          <w:color w:val="000000" w:themeColor="text1"/>
          <w:szCs w:val="22"/>
        </w:rPr>
        <w:t xml:space="preserve"> </w:t>
      </w:r>
      <w:r w:rsidRPr="004C5551">
        <w:rPr>
          <w:color w:val="000000" w:themeColor="text1"/>
          <w:szCs w:val="22"/>
        </w:rPr>
        <w:t xml:space="preserve">v nevyhnutnej miere, resp. neverejným poskytovateľom sociálnych služieb, u ktorých zabezpečujú obce poskytovanie opatrovateľskej služby pre svojich občanov. </w:t>
      </w:r>
    </w:p>
    <w:p w:rsidR="00BA55A2" w:rsidRPr="004C5551" w:rsidRDefault="00BA55A2" w:rsidP="00BA55A2">
      <w:pPr>
        <w:pStyle w:val="Nadpis41"/>
        <w:numPr>
          <w:ilvl w:val="0"/>
          <w:numId w:val="0"/>
        </w:numPr>
        <w:ind w:left="864" w:hanging="864"/>
      </w:pPr>
      <w:r w:rsidRPr="004C5551">
        <w:t xml:space="preserve">Spolufinancovanie sociálnych služieb </w:t>
      </w:r>
    </w:p>
    <w:p w:rsidR="00BA55A2" w:rsidRPr="004C5551" w:rsidRDefault="00BA55A2" w:rsidP="00BA55A2">
      <w:pPr>
        <w:ind w:firstLine="567"/>
        <w:rPr>
          <w:color w:val="000000"/>
        </w:rPr>
      </w:pPr>
      <w:r w:rsidRPr="004C5551">
        <w:t>MPSVR SR v roku 2014 poskytlo v súlade so zákonom č. 448/2008 Z. z. o sociálnych službách a o zmene a doplnení zákona č. 455/1991 Zb. o živnostenskom podnikaní (živnostenský zákon) v znení neskorších predpisov rozpočtové prostriedky na spolufinancovanie vybraných druhov sociálnych služieb v zariadeniach sociálnych služieb verejných i neverejných poskytovateľov.</w:t>
      </w:r>
    </w:p>
    <w:p w:rsidR="00BA55A2" w:rsidRPr="004C5551" w:rsidRDefault="00BA55A2" w:rsidP="00BA55A2">
      <w:pPr>
        <w:ind w:firstLine="567"/>
      </w:pPr>
      <w:r w:rsidRPr="004C5551">
        <w:t>Na základe predložených žiadostí a uzatvorených zmluvných v</w:t>
      </w:r>
      <w:r w:rsidR="004F5A0D" w:rsidRPr="004C5551">
        <w:t xml:space="preserve">zťahov so 149 mestami a obcami </w:t>
      </w:r>
      <w:r w:rsidRPr="004C5551">
        <w:t xml:space="preserve">a so 194 neverejnými poskytovateľmi sociálnych služieb boli poskytnuté na spolufinancovanie sociálnych služieb na rok 2014 rozpočtové prostriedky v sume 61 609 660 </w:t>
      </w:r>
      <w:r w:rsidR="00A96FDE" w:rsidRPr="004C5551">
        <w:t>eur</w:t>
      </w:r>
      <w:r w:rsidRPr="004C5551">
        <w:t xml:space="preserve">, z toho 38 801 260 </w:t>
      </w:r>
      <w:r w:rsidR="00A96FDE" w:rsidRPr="004C5551">
        <w:t>eur</w:t>
      </w:r>
      <w:r w:rsidRPr="004C5551">
        <w:t xml:space="preserve"> pre verejných poskytovateľov (310 zariadení) a 22 808 400 </w:t>
      </w:r>
      <w:r w:rsidR="00A96FDE" w:rsidRPr="004C5551">
        <w:t>eur</w:t>
      </w:r>
      <w:r w:rsidRPr="004C5551">
        <w:t xml:space="preserve"> pre neverejných poskytovateľov (291 zariadení) sociálnych služieb nasledovne:</w:t>
      </w:r>
    </w:p>
    <w:p w:rsidR="00BA55A2" w:rsidRPr="004C5551" w:rsidRDefault="00BA55A2" w:rsidP="00C748BD">
      <w:pPr>
        <w:pStyle w:val="Odsekzoznamu"/>
        <w:numPr>
          <w:ilvl w:val="0"/>
          <w:numId w:val="46"/>
        </w:numPr>
      </w:pPr>
      <w:r w:rsidRPr="004C5551">
        <w:t xml:space="preserve">podľa § 71 ods. 6 predmetného zákona </w:t>
      </w:r>
      <w:r w:rsidRPr="004C5551">
        <w:rPr>
          <w:color w:val="000000"/>
        </w:rPr>
        <w:t>–</w:t>
      </w:r>
      <w:r w:rsidRPr="004C5551">
        <w:t xml:space="preserve"> zariadenia sociálnych služieb zriadené alebo založené obcou: denný stacionár (656 512 </w:t>
      </w:r>
      <w:r w:rsidR="00A96FDE" w:rsidRPr="004C5551">
        <w:t>eur</w:t>
      </w:r>
      <w:r w:rsidRPr="004C5551">
        <w:t xml:space="preserve">), domov na pol ceste (10 800 </w:t>
      </w:r>
      <w:r w:rsidR="00A96FDE" w:rsidRPr="004C5551">
        <w:t>eur</w:t>
      </w:r>
      <w:r w:rsidRPr="004C5551">
        <w:t xml:space="preserve">), domov sociálnych služieb (3 936 240 </w:t>
      </w:r>
      <w:r w:rsidR="00A96FDE" w:rsidRPr="004C5551">
        <w:t>eur</w:t>
      </w:r>
      <w:r w:rsidRPr="004C5551">
        <w:t xml:space="preserve">), nocľaháreň (502 080 </w:t>
      </w:r>
      <w:r w:rsidR="00A96FDE" w:rsidRPr="004C5551">
        <w:t>eur</w:t>
      </w:r>
      <w:r w:rsidRPr="004C5551">
        <w:t>), špecializované zariadenie (447 480 </w:t>
      </w:r>
      <w:r w:rsidR="00A96FDE" w:rsidRPr="004C5551">
        <w:t>eur</w:t>
      </w:r>
      <w:r w:rsidRPr="004C5551">
        <w:t xml:space="preserve">), útulok (679 680 </w:t>
      </w:r>
      <w:r w:rsidR="00A96FDE" w:rsidRPr="004C5551">
        <w:t>eur</w:t>
      </w:r>
      <w:r w:rsidRPr="004C5551">
        <w:t xml:space="preserve">), zariadenie podporovaného bývania (44 548 </w:t>
      </w:r>
      <w:r w:rsidR="00A96FDE" w:rsidRPr="004C5551">
        <w:t>eur</w:t>
      </w:r>
      <w:r w:rsidRPr="004C5551">
        <w:t xml:space="preserve">), zariadenie núdzového bývania (608 400 </w:t>
      </w:r>
      <w:r w:rsidR="00A96FDE" w:rsidRPr="004C5551">
        <w:t>eur</w:t>
      </w:r>
      <w:r w:rsidRPr="004C5551">
        <w:t>), zariadenie opatrovateľskej služby (5</w:t>
      </w:r>
      <w:r w:rsidR="004F5A0D" w:rsidRPr="004C5551">
        <w:t> </w:t>
      </w:r>
      <w:r w:rsidRPr="004C5551">
        <w:t>544</w:t>
      </w:r>
      <w:r w:rsidR="004F5A0D" w:rsidRPr="004C5551">
        <w:t> </w:t>
      </w:r>
      <w:r w:rsidRPr="004C5551">
        <w:t>960 </w:t>
      </w:r>
      <w:r w:rsidR="00A96FDE" w:rsidRPr="004C5551">
        <w:t>eur</w:t>
      </w:r>
      <w:r w:rsidRPr="004C5551">
        <w:t xml:space="preserve">) a zariadenie pre seniorov (26 370 560 </w:t>
      </w:r>
      <w:r w:rsidR="00A96FDE" w:rsidRPr="004C5551">
        <w:t>eur</w:t>
      </w:r>
      <w:r w:rsidRPr="004C5551">
        <w:t>),</w:t>
      </w:r>
    </w:p>
    <w:p w:rsidR="00BA55A2" w:rsidRPr="004C5551" w:rsidRDefault="00BA55A2" w:rsidP="00C748BD">
      <w:pPr>
        <w:pStyle w:val="Odsekzoznamu"/>
        <w:numPr>
          <w:ilvl w:val="0"/>
          <w:numId w:val="46"/>
        </w:numPr>
      </w:pPr>
      <w:r w:rsidRPr="004C5551">
        <w:t xml:space="preserve">podľa § 78a zákona o sociálnych službách </w:t>
      </w:r>
      <w:r w:rsidRPr="004C5551">
        <w:rPr>
          <w:color w:val="000000"/>
        </w:rPr>
        <w:t>–</w:t>
      </w:r>
      <w:r w:rsidRPr="004C5551">
        <w:t xml:space="preserve"> neverejní poskytovatelia: denný stacionár (2</w:t>
      </w:r>
      <w:r w:rsidR="004F5A0D" w:rsidRPr="004C5551">
        <w:t> </w:t>
      </w:r>
      <w:r w:rsidRPr="004C5551">
        <w:t>478</w:t>
      </w:r>
      <w:r w:rsidR="004F5A0D" w:rsidRPr="004C5551">
        <w:t> </w:t>
      </w:r>
      <w:r w:rsidRPr="004C5551">
        <w:t xml:space="preserve">480 </w:t>
      </w:r>
      <w:r w:rsidR="00A96FDE" w:rsidRPr="004C5551">
        <w:t>eur</w:t>
      </w:r>
      <w:r w:rsidRPr="004C5551">
        <w:t xml:space="preserve">), nocľaháreň (707 520 </w:t>
      </w:r>
      <w:r w:rsidR="00A96FDE" w:rsidRPr="004C5551">
        <w:t>eur</w:t>
      </w:r>
      <w:r w:rsidRPr="004C5551">
        <w:t>), zariadenie opatrovateľskej služby (1</w:t>
      </w:r>
      <w:r w:rsidR="004F5A0D" w:rsidRPr="004C5551">
        <w:t> </w:t>
      </w:r>
      <w:r w:rsidRPr="004C5551">
        <w:t>962</w:t>
      </w:r>
      <w:r w:rsidR="004F5A0D" w:rsidRPr="004C5551">
        <w:t> </w:t>
      </w:r>
      <w:r w:rsidRPr="004C5551">
        <w:t>240 </w:t>
      </w:r>
      <w:r w:rsidR="00A96FDE" w:rsidRPr="004C5551">
        <w:t>eur</w:t>
      </w:r>
      <w:r w:rsidRPr="004C5551">
        <w:t xml:space="preserve">) a zariadenie pre seniorov (17 660 160 </w:t>
      </w:r>
      <w:r w:rsidR="00A96FDE" w:rsidRPr="004C5551">
        <w:t>eur</w:t>
      </w:r>
      <w:r w:rsidRPr="004C5551">
        <w:t xml:space="preserve">). </w:t>
      </w:r>
    </w:p>
    <w:p w:rsidR="00BA55A2" w:rsidRPr="004C5551" w:rsidRDefault="00BA55A2" w:rsidP="00BA55A2">
      <w:pPr>
        <w:ind w:firstLine="567"/>
      </w:pPr>
    </w:p>
    <w:p w:rsidR="00BA55A2" w:rsidRPr="004C5551" w:rsidRDefault="00BA55A2" w:rsidP="00BA55A2">
      <w:pPr>
        <w:ind w:firstLine="567"/>
      </w:pPr>
      <w:r w:rsidRPr="004C5551">
        <w:t>K 31.12.2014 boli od 54 prijímateľov finančného príspevku vrátené na účet ministerstva finančné prostriedky v</w:t>
      </w:r>
      <w:r w:rsidR="003D4864" w:rsidRPr="004C5551">
        <w:t> </w:t>
      </w:r>
      <w:r w:rsidRPr="004C5551">
        <w:t>sume</w:t>
      </w:r>
      <w:r w:rsidR="003D4864" w:rsidRPr="004C5551">
        <w:t xml:space="preserve"> </w:t>
      </w:r>
      <w:r w:rsidRPr="004C5551">
        <w:t xml:space="preserve">1 671 786 </w:t>
      </w:r>
      <w:r w:rsidR="00A96FDE" w:rsidRPr="004C5551">
        <w:t>eur</w:t>
      </w:r>
      <w:r w:rsidRPr="004C5551">
        <w:t xml:space="preserve">, z toho 791 755 </w:t>
      </w:r>
      <w:r w:rsidR="00A96FDE" w:rsidRPr="004C5551">
        <w:t>eur</w:t>
      </w:r>
      <w:r w:rsidRPr="004C5551">
        <w:t xml:space="preserve"> od verejných a 880 031 </w:t>
      </w:r>
      <w:r w:rsidR="00A96FDE" w:rsidRPr="004C5551">
        <w:t>eur</w:t>
      </w:r>
      <w:r w:rsidRPr="004C5551">
        <w:t xml:space="preserve"> od</w:t>
      </w:r>
      <w:r w:rsidR="004F5A0D" w:rsidRPr="004C5551">
        <w:t> </w:t>
      </w:r>
      <w:r w:rsidRPr="004C5551">
        <w:t xml:space="preserve">neverejných poskytovateľov sociálnej služby, predovšetkým z dôvodu neobsadených miest v zariadeniach sociálnych služieb. Čerpanie rozpočtových prostriedkov (po zaúčtovaní </w:t>
      </w:r>
      <w:proofErr w:type="spellStart"/>
      <w:r w:rsidRPr="004C5551">
        <w:t>vratiek</w:t>
      </w:r>
      <w:proofErr w:type="spellEnd"/>
      <w:r w:rsidRPr="004C5551">
        <w:t xml:space="preserve">) predstavuje 59 937 874 </w:t>
      </w:r>
      <w:r w:rsidR="00A96FDE" w:rsidRPr="004C5551">
        <w:t>eur</w:t>
      </w:r>
      <w:r w:rsidRPr="004C5551">
        <w:t xml:space="preserve">, z toho verejní poskytovatelia použili 38 009 505 </w:t>
      </w:r>
      <w:r w:rsidR="00A96FDE" w:rsidRPr="004C5551">
        <w:t>eur</w:t>
      </w:r>
      <w:r w:rsidRPr="004C5551">
        <w:t xml:space="preserve"> a neverejní poskytovatelia 21 928 369 </w:t>
      </w:r>
      <w:r w:rsidR="00A96FDE" w:rsidRPr="004C5551">
        <w:t>eur</w:t>
      </w:r>
      <w:r w:rsidRPr="004C5551">
        <w:t xml:space="preserve">. V rámci zúčtovania finančných vzťahov so štátnym rozpočtom za rok 2014 vrátili prijímatelia finančného príspevku po 1. 1. 2015 ďalšie rozpočtové prostriedky v sume 5 296 659 </w:t>
      </w:r>
      <w:r w:rsidR="00A96FDE" w:rsidRPr="004C5551">
        <w:t>eur</w:t>
      </w:r>
      <w:r w:rsidRPr="004C5551">
        <w:t xml:space="preserve">, z toho 2 244 997 </w:t>
      </w:r>
      <w:r w:rsidR="00A96FDE" w:rsidRPr="004C5551">
        <w:t>eur</w:t>
      </w:r>
      <w:r w:rsidRPr="004C5551">
        <w:t xml:space="preserve"> od verejných a 3 051 662 </w:t>
      </w:r>
      <w:r w:rsidR="00A96FDE" w:rsidRPr="004C5551">
        <w:t>eur</w:t>
      </w:r>
      <w:r w:rsidRPr="004C5551">
        <w:t xml:space="preserve"> od neverejných poskytovateľov sociálnej služby a prostriedky v sume 514 163 </w:t>
      </w:r>
      <w:r w:rsidR="00A96FDE" w:rsidRPr="004C5551">
        <w:t>eur</w:t>
      </w:r>
      <w:r w:rsidRPr="004C5551">
        <w:t xml:space="preserve"> budú vrátené na základe schválených splátkových kalendárov, resp. budú vymáhané. Na základe toho možno konštatovať, že poskytovatelia sociálnych služieb použili na úhradu oprávnených nákladov na sociálne služby z rozpočtových prostriedkov poskytnutých MPSVR SR v roku 2014 celkom 54 127 052 </w:t>
      </w:r>
      <w:r w:rsidR="00A96FDE" w:rsidRPr="004C5551">
        <w:t>eur</w:t>
      </w:r>
      <w:r w:rsidRPr="004C5551">
        <w:t>, z toho verejní poskytovatelia 35</w:t>
      </w:r>
      <w:r w:rsidR="004F5A0D" w:rsidRPr="004C5551">
        <w:t> </w:t>
      </w:r>
      <w:r w:rsidRPr="004C5551">
        <w:t>764</w:t>
      </w:r>
      <w:r w:rsidR="004F5A0D" w:rsidRPr="004C5551">
        <w:t> </w:t>
      </w:r>
      <w:r w:rsidRPr="004C5551">
        <w:t xml:space="preserve">508 </w:t>
      </w:r>
      <w:r w:rsidR="00A96FDE" w:rsidRPr="004C5551">
        <w:t>eur</w:t>
      </w:r>
      <w:r w:rsidRPr="004C5551">
        <w:t xml:space="preserve"> a neverejní poskytovatelia 18 362 544 </w:t>
      </w:r>
      <w:r w:rsidR="00A96FDE" w:rsidRPr="004C5551">
        <w:t>eur</w:t>
      </w:r>
      <w:r w:rsidRPr="004C5551">
        <w:t xml:space="preserve">. </w:t>
      </w:r>
    </w:p>
    <w:p w:rsidR="00BA55A2" w:rsidRPr="004C5551" w:rsidRDefault="00BA55A2" w:rsidP="00BA55A2">
      <w:pPr>
        <w:ind w:firstLine="567"/>
        <w:rPr>
          <w:color w:val="FF0000"/>
        </w:rPr>
      </w:pPr>
    </w:p>
    <w:p w:rsidR="00BA55A2" w:rsidRPr="004C5551" w:rsidRDefault="00BA55A2" w:rsidP="00BA55A2">
      <w:pPr>
        <w:ind w:firstLine="567"/>
      </w:pPr>
      <w:r w:rsidRPr="004C5551">
        <w:t>MPSVR SR poskytlo nad rámec zákona o sociálnych službách, v súlade so štátnym rozpočtom na rok 2014, jednorazový finančný príspevok neverejným poskytovateľom vybraných druhov sociálnej služby na regionálnej úrovni. Na základe</w:t>
      </w:r>
      <w:r w:rsidR="003D4864" w:rsidRPr="004C5551">
        <w:t xml:space="preserve"> </w:t>
      </w:r>
      <w:r w:rsidRPr="004C5551">
        <w:t>uzatvorených zmlúv s 222 neverejnými poskytovateľmi sociálnej služby boli v roku 2014 poskytnuté rozpočtové prostriedky v sume 10</w:t>
      </w:r>
      <w:r w:rsidR="004F5A0D" w:rsidRPr="004C5551">
        <w:t> </w:t>
      </w:r>
      <w:r w:rsidRPr="004C5551">
        <w:t>115</w:t>
      </w:r>
      <w:r w:rsidR="004F5A0D" w:rsidRPr="004C5551">
        <w:t> </w:t>
      </w:r>
      <w:r w:rsidRPr="004C5551">
        <w:t xml:space="preserve">760 </w:t>
      </w:r>
      <w:r w:rsidR="00A96FDE" w:rsidRPr="004C5551">
        <w:t>eur</w:t>
      </w:r>
      <w:r w:rsidRPr="004C5551">
        <w:t xml:space="preserve"> pre 323 zariadení, a to na štyri druhy sociálnych služieb: domov sociálnych služieb (7 830 000 </w:t>
      </w:r>
      <w:r w:rsidR="00A96FDE" w:rsidRPr="004C5551">
        <w:t>eur</w:t>
      </w:r>
      <w:r w:rsidRPr="004C5551">
        <w:t xml:space="preserve">), zariadenie podporovaného bývania (522 480 </w:t>
      </w:r>
      <w:r w:rsidR="00A96FDE" w:rsidRPr="004C5551">
        <w:t>eur</w:t>
      </w:r>
      <w:r w:rsidRPr="004C5551">
        <w:t>), rehabilitačné stredisko (309</w:t>
      </w:r>
      <w:r w:rsidR="004F5A0D" w:rsidRPr="004C5551">
        <w:t> </w:t>
      </w:r>
      <w:r w:rsidRPr="004C5551">
        <w:t>120</w:t>
      </w:r>
      <w:r w:rsidR="004F5A0D" w:rsidRPr="004C5551">
        <w:t> </w:t>
      </w:r>
      <w:r w:rsidR="00A96FDE" w:rsidRPr="004C5551">
        <w:t>eur</w:t>
      </w:r>
      <w:r w:rsidRPr="004C5551">
        <w:t xml:space="preserve">) a špecializované zariadenie (1 454 160 </w:t>
      </w:r>
      <w:r w:rsidR="00A96FDE" w:rsidRPr="004C5551">
        <w:t>eur</w:t>
      </w:r>
      <w:r w:rsidRPr="004C5551">
        <w:t>).</w:t>
      </w:r>
    </w:p>
    <w:p w:rsidR="00BA55A2" w:rsidRPr="004C5551" w:rsidRDefault="00BA55A2" w:rsidP="00BA55A2">
      <w:pPr>
        <w:ind w:firstLine="567"/>
      </w:pPr>
      <w:r w:rsidRPr="004C5551">
        <w:t xml:space="preserve">K 31.12.2014 boli od 47 prijímateľov jednorazového finančného príspevku vrátené na účet ministerstva finančné prostriedky v sume 401 984 </w:t>
      </w:r>
      <w:r w:rsidR="00A96FDE" w:rsidRPr="004C5551">
        <w:t>eur</w:t>
      </w:r>
      <w:r w:rsidRPr="004C5551">
        <w:t>. V</w:t>
      </w:r>
      <w:r w:rsidR="003D4864" w:rsidRPr="004C5551">
        <w:t xml:space="preserve"> </w:t>
      </w:r>
      <w:r w:rsidRPr="004C5551">
        <w:t>rámci zúčtovania finančných vzťahov so</w:t>
      </w:r>
      <w:r w:rsidR="004F5A0D" w:rsidRPr="004C5551">
        <w:t> </w:t>
      </w:r>
      <w:r w:rsidRPr="004C5551">
        <w:t xml:space="preserve">štátnym rozpočtom za rok 2014 vrátili prijímatelia po 1. 1. 2015 ďalšie rozpočtové prostriedky v sume 1 655 357 </w:t>
      </w:r>
      <w:r w:rsidR="00A96FDE" w:rsidRPr="004C5551">
        <w:t>eur</w:t>
      </w:r>
      <w:r w:rsidRPr="004C5551">
        <w:t>;</w:t>
      </w:r>
      <w:r w:rsidR="003D4864" w:rsidRPr="004C5551">
        <w:t xml:space="preserve"> </w:t>
      </w:r>
      <w:r w:rsidRPr="004C5551">
        <w:t xml:space="preserve">prostriedky v sume 33 600 </w:t>
      </w:r>
      <w:r w:rsidR="00A96FDE" w:rsidRPr="004C5551">
        <w:t>eur</w:t>
      </w:r>
      <w:r w:rsidRPr="004C5551">
        <w:t xml:space="preserve"> budú vymáhané. Na základe toho možno konštatovať, že poskytovatelia sociálnych služieb použili na úhradu oprávnených nákladov na sociálne služby z jednorazového finančného príspevku poskytnutého MPSVR SR v roku 2014 celkom 8</w:t>
      </w:r>
      <w:r w:rsidR="004F5A0D" w:rsidRPr="004C5551">
        <w:t> </w:t>
      </w:r>
      <w:r w:rsidRPr="004C5551">
        <w:t>024</w:t>
      </w:r>
      <w:r w:rsidR="004F5A0D" w:rsidRPr="004C5551">
        <w:t> </w:t>
      </w:r>
      <w:r w:rsidRPr="004C5551">
        <w:t xml:space="preserve">819 </w:t>
      </w:r>
      <w:r w:rsidR="00A96FDE" w:rsidRPr="004C5551">
        <w:t>eur</w:t>
      </w:r>
      <w:r w:rsidRPr="004C5551">
        <w:t xml:space="preserve">. </w:t>
      </w:r>
    </w:p>
    <w:p w:rsidR="00BA55A2" w:rsidRPr="004C5551" w:rsidRDefault="00BA55A2" w:rsidP="00BA55A2">
      <w:pPr>
        <w:pStyle w:val="Zkladntext"/>
        <w:spacing w:after="0"/>
        <w:ind w:firstLine="709"/>
      </w:pPr>
      <w:r w:rsidRPr="004C5551">
        <w:t>Výdavky použité na spolufinancovanie sociálnych služieb v roku 2014 boli v porovnaní s rokom 2013 vyššie o 16 983 625 eur (o 37,6 %), a to najmä z dôvodu poskytnutia jednorazového finančného príspevku, ako i z dôvodu nárastu počtu zariadení o 43. Medziročne vzrástol počet prijímateľov sociálnej služby v zariadeniach verejných i neverejných poskytovateľov, na ktorých bol finančný príspevok poskytnutý o 3 014 osôb.</w:t>
      </w:r>
    </w:p>
    <w:p w:rsidR="006812B6" w:rsidRPr="004C5551" w:rsidRDefault="006812B6" w:rsidP="006812B6">
      <w:pPr>
        <w:pStyle w:val="Nadpis41"/>
        <w:numPr>
          <w:ilvl w:val="0"/>
          <w:numId w:val="0"/>
        </w:numPr>
      </w:pPr>
      <w:r w:rsidRPr="004C5551">
        <w:t>Opatrovateľská služba</w:t>
      </w:r>
    </w:p>
    <w:p w:rsidR="006812B6" w:rsidRPr="004C5551" w:rsidRDefault="006812B6" w:rsidP="006812B6">
      <w:pPr>
        <w:ind w:firstLine="708"/>
        <w:rPr>
          <w:color w:val="000000" w:themeColor="text1"/>
        </w:rPr>
      </w:pPr>
      <w:r w:rsidRPr="004C5551">
        <w:rPr>
          <w:color w:val="000000" w:themeColor="text1"/>
        </w:rPr>
        <w:t xml:space="preserve">V roku 2014 bola opatrovateľská služba v domácnosti poskytovaná zo strany </w:t>
      </w:r>
      <w:r w:rsidRPr="004C5551">
        <w:rPr>
          <w:b/>
          <w:color w:val="000000" w:themeColor="text1"/>
        </w:rPr>
        <w:t>obcí</w:t>
      </w:r>
      <w:r w:rsidR="002C0AD3" w:rsidRPr="004C5551">
        <w:rPr>
          <w:b/>
          <w:color w:val="000000" w:themeColor="text1"/>
        </w:rPr>
        <w:t>, t.j. verejných poskytovateľov</w:t>
      </w:r>
      <w:r w:rsidR="003D4864" w:rsidRPr="004C5551">
        <w:rPr>
          <w:b/>
          <w:color w:val="000000" w:themeColor="text1"/>
        </w:rPr>
        <w:t xml:space="preserve"> </w:t>
      </w:r>
      <w:r w:rsidRPr="004C5551">
        <w:rPr>
          <w:color w:val="000000" w:themeColor="text1"/>
        </w:rPr>
        <w:t>12 152 </w:t>
      </w:r>
      <w:r w:rsidR="002C0AD3" w:rsidRPr="004C5551">
        <w:rPr>
          <w:color w:val="000000" w:themeColor="text1"/>
        </w:rPr>
        <w:t>fyzickým osobám</w:t>
      </w:r>
      <w:r w:rsidRPr="004C5551">
        <w:rPr>
          <w:color w:val="000000" w:themeColor="text1"/>
        </w:rPr>
        <w:t>, čo je oproti roku 2013 nárast o 360 osôb. Predpokladom nárastu</w:t>
      </w:r>
      <w:r w:rsidR="003D4864" w:rsidRPr="004C5551">
        <w:rPr>
          <w:color w:val="000000" w:themeColor="text1"/>
        </w:rPr>
        <w:t xml:space="preserve"> </w:t>
      </w:r>
      <w:r w:rsidRPr="004C5551">
        <w:rPr>
          <w:color w:val="000000" w:themeColor="text1"/>
        </w:rPr>
        <w:t>počtu opatrovaných osôb</w:t>
      </w:r>
      <w:r w:rsidR="003D4864" w:rsidRPr="004C5551">
        <w:rPr>
          <w:color w:val="000000" w:themeColor="text1"/>
        </w:rPr>
        <w:t xml:space="preserve"> </w:t>
      </w:r>
      <w:r w:rsidRPr="004C5551">
        <w:rPr>
          <w:color w:val="000000" w:themeColor="text1"/>
        </w:rPr>
        <w:t>je realizácia podpory poskytovania opatrovateľskej služby cez národný projekt Podpory opatrovateľskej služby.</w:t>
      </w:r>
    </w:p>
    <w:p w:rsidR="006812B6" w:rsidRPr="004C5551" w:rsidRDefault="006812B6" w:rsidP="006812B6">
      <w:pPr>
        <w:ind w:firstLine="708"/>
        <w:rPr>
          <w:color w:val="000000" w:themeColor="text1"/>
        </w:rPr>
      </w:pPr>
      <w:r w:rsidRPr="004C5551">
        <w:rPr>
          <w:color w:val="000000" w:themeColor="text1"/>
        </w:rPr>
        <w:t xml:space="preserve">Záujem o poskytovanie opatrovateľskej služby aj pomocou národného projektu Podpora opatrovateľskej služby v predchádzajúcom programovom období zo strany poskytovateľov a hlavne zo strany osôb odkázaných na pomoc inej osoby potvrdil predpoklad, že terénna forma sociálnej služby v domácom prostredí je žiadanou sociálnou službou. </w:t>
      </w:r>
    </w:p>
    <w:p w:rsidR="006812B6" w:rsidRPr="004C5551" w:rsidRDefault="006812B6" w:rsidP="006812B6">
      <w:pPr>
        <w:ind w:firstLine="708"/>
        <w:rPr>
          <w:color w:val="000000" w:themeColor="text1"/>
        </w:rPr>
      </w:pPr>
      <w:r w:rsidRPr="004C5551">
        <w:rPr>
          <w:color w:val="000000" w:themeColor="text1"/>
        </w:rPr>
        <w:t xml:space="preserve">Opatrovateľskú službu v roku 2014 poskytovalo 4 935 zamestnancov miest a obcí. V porovnaní s rokom 2013 ide rovnako ako pri počte opatrovaných o nárast, a to o 470 zamestnancov. Poskytovanie opatrovateľskej služby je realizované využitím všetkých inštitútov pracovnoprávnych vzťahov (pracovný pomer, dohoda o pracovnej činnosti, dohoda o vykonaní práce). Počty zamestnancov sú prepočítavané na plné pracovné úväzky. </w:t>
      </w:r>
    </w:p>
    <w:p w:rsidR="006812B6" w:rsidRPr="004C5551" w:rsidRDefault="006812B6" w:rsidP="006812B6">
      <w:pPr>
        <w:ind w:firstLine="708"/>
        <w:rPr>
          <w:color w:val="000000" w:themeColor="text1"/>
        </w:rPr>
      </w:pPr>
      <w:r w:rsidRPr="004C5551">
        <w:rPr>
          <w:color w:val="000000" w:themeColor="text1"/>
        </w:rPr>
        <w:t xml:space="preserve">Na poskytovanie opatrovateľskej služby bolo v roku 2014 vynaložených zo strany obcí 28,2 mil. </w:t>
      </w:r>
      <w:r w:rsidR="00F75B6B" w:rsidRPr="004C5551">
        <w:rPr>
          <w:color w:val="000000" w:themeColor="text1"/>
        </w:rPr>
        <w:t>eur</w:t>
      </w:r>
      <w:r w:rsidRPr="004C5551">
        <w:rPr>
          <w:color w:val="000000" w:themeColor="text1"/>
        </w:rPr>
        <w:t>, čo je oproti roku 2013 nárast o 2,3 mil. </w:t>
      </w:r>
      <w:r w:rsidR="00F75B6B" w:rsidRPr="004C5551">
        <w:rPr>
          <w:color w:val="000000" w:themeColor="text1"/>
        </w:rPr>
        <w:t>eur</w:t>
      </w:r>
      <w:r w:rsidRPr="004C5551">
        <w:rPr>
          <w:color w:val="000000" w:themeColor="text1"/>
        </w:rPr>
        <w:t>. Suma vynaložených finančných prostriedkov zodpovedá zvýšenému počtu opatrovaných aj opatrovateľov.</w:t>
      </w:r>
    </w:p>
    <w:p w:rsidR="006812B6" w:rsidRPr="004C5551" w:rsidRDefault="006812B6" w:rsidP="006812B6">
      <w:pPr>
        <w:ind w:firstLine="708"/>
      </w:pPr>
      <w:r w:rsidRPr="004C5551">
        <w:rPr>
          <w:color w:val="000000" w:themeColor="text1"/>
        </w:rPr>
        <w:t xml:space="preserve">Príjmy obcí z úhrad za opatrovateľskú službu v roku 2014 predstavovali cca 5,1 mil. </w:t>
      </w:r>
      <w:r w:rsidR="00F75B6B" w:rsidRPr="004C5551">
        <w:rPr>
          <w:color w:val="000000" w:themeColor="text1"/>
        </w:rPr>
        <w:t>eur</w:t>
      </w:r>
      <w:r w:rsidRPr="004C5551">
        <w:rPr>
          <w:color w:val="000000" w:themeColor="text1"/>
        </w:rPr>
        <w:t>, čo</w:t>
      </w:r>
      <w:r w:rsidR="003D4864" w:rsidRPr="004C5551">
        <w:rPr>
          <w:color w:val="000000" w:themeColor="text1"/>
        </w:rPr>
        <w:t xml:space="preserve"> </w:t>
      </w:r>
      <w:r w:rsidRPr="004C5551">
        <w:rPr>
          <w:color w:val="000000" w:themeColor="text1"/>
        </w:rPr>
        <w:t xml:space="preserve">je oproti roku 2013 nárast o cca 260 000 </w:t>
      </w:r>
      <w:r w:rsidR="00F75B6B" w:rsidRPr="004C5551">
        <w:rPr>
          <w:color w:val="000000" w:themeColor="text1"/>
        </w:rPr>
        <w:t>eur</w:t>
      </w:r>
      <w:r w:rsidRPr="004C5551">
        <w:rPr>
          <w:color w:val="000000" w:themeColor="text1"/>
        </w:rPr>
        <w:t xml:space="preserve">. Dôvodom zvýšenia príjmov v úhradách oproti roku 2013 je zvýšenie počtu </w:t>
      </w:r>
      <w:r w:rsidR="0007763E" w:rsidRPr="004C5551">
        <w:rPr>
          <w:color w:val="000000" w:themeColor="text1"/>
        </w:rPr>
        <w:t>prijímateľov,</w:t>
      </w:r>
      <w:r w:rsidRPr="004C5551">
        <w:rPr>
          <w:color w:val="000000" w:themeColor="text1"/>
        </w:rPr>
        <w:t xml:space="preserve"> ktorí sa</w:t>
      </w:r>
      <w:r w:rsidR="003D4864" w:rsidRPr="004C5551">
        <w:rPr>
          <w:color w:val="000000" w:themeColor="text1"/>
        </w:rPr>
        <w:t xml:space="preserve"> </w:t>
      </w:r>
      <w:r w:rsidRPr="004C5551">
        <w:rPr>
          <w:color w:val="000000" w:themeColor="text1"/>
        </w:rPr>
        <w:t>podieľali na úhrade nákladov na opatrovateľskú službu vo výške 18,11 %. Rozdiel medzi príjmami a výdavkami na opatrovateľskú službu v roku 2014</w:t>
      </w:r>
      <w:r w:rsidRPr="004C5551">
        <w:rPr>
          <w:color w:val="00B0F0"/>
        </w:rPr>
        <w:t xml:space="preserve"> </w:t>
      </w:r>
      <w:r w:rsidRPr="004C5551">
        <w:rPr>
          <w:color w:val="000000" w:themeColor="text1"/>
        </w:rPr>
        <w:t xml:space="preserve">predstavoval 23 mil. </w:t>
      </w:r>
      <w:r w:rsidR="00F75B6B" w:rsidRPr="004C5551">
        <w:rPr>
          <w:color w:val="000000" w:themeColor="text1"/>
        </w:rPr>
        <w:t>eur</w:t>
      </w:r>
      <w:r w:rsidRPr="004C5551">
        <w:rPr>
          <w:color w:val="000000" w:themeColor="text1"/>
        </w:rPr>
        <w:t>, čo je suma, ktorú obce museli uhradiť z vlastných rozpočtov</w:t>
      </w:r>
      <w:r w:rsidRPr="004C5551">
        <w:rPr>
          <w:color w:val="00B0F0"/>
        </w:rPr>
        <w:t>.</w:t>
      </w:r>
      <w:r w:rsidRPr="004C5551">
        <w:rPr>
          <w:color w:val="000000"/>
        </w:rPr>
        <w:t xml:space="preserve"> Š</w:t>
      </w:r>
      <w:r w:rsidRPr="004C5551">
        <w:rPr>
          <w:szCs w:val="22"/>
        </w:rPr>
        <w:t>tatistické údaje sú uvedené v prílohe ku kapitole 3, tabuľka 21.</w:t>
      </w:r>
    </w:p>
    <w:p w:rsidR="006812B6" w:rsidRPr="004C5551" w:rsidRDefault="006812B6" w:rsidP="006812B6">
      <w:pPr>
        <w:ind w:firstLine="708"/>
        <w:rPr>
          <w:color w:val="000000" w:themeColor="text1"/>
        </w:rPr>
      </w:pPr>
      <w:r w:rsidRPr="004C5551">
        <w:rPr>
          <w:color w:val="000000" w:themeColor="text1"/>
        </w:rPr>
        <w:t>Pokiaľ ide o </w:t>
      </w:r>
      <w:r w:rsidRPr="004C5551">
        <w:rPr>
          <w:b/>
          <w:color w:val="000000" w:themeColor="text1"/>
        </w:rPr>
        <w:t xml:space="preserve">neverejných poskytovateľov </w:t>
      </w:r>
      <w:r w:rsidRPr="004C5551">
        <w:rPr>
          <w:color w:val="000000" w:themeColor="text1"/>
        </w:rPr>
        <w:t xml:space="preserve">opatrovateľskej služby, v roku 2014 poskytovalo opatrovateľskú službu 111 neverejných poskytovateľov, čo v porovnaní s rokom 2013 predstavuje nárast o 19 poskytovateľov. Neverejní poskytovatelia v sledovanom období v roku 2014 opatrovali celkom 4 074 </w:t>
      </w:r>
      <w:r w:rsidR="0007763E" w:rsidRPr="004C5551">
        <w:rPr>
          <w:color w:val="000000" w:themeColor="text1"/>
        </w:rPr>
        <w:t>prijímateľov</w:t>
      </w:r>
      <w:r w:rsidRPr="004C5551">
        <w:rPr>
          <w:color w:val="000000" w:themeColor="text1"/>
        </w:rPr>
        <w:t>, čo oproti predchádzajúcemu roku predstavuje výrazný nárast o 2 336 opatrovaných.</w:t>
      </w:r>
      <w:r w:rsidR="003D4864" w:rsidRPr="004C5551">
        <w:rPr>
          <w:color w:val="000000" w:themeColor="text1"/>
        </w:rPr>
        <w:t xml:space="preserve"> </w:t>
      </w:r>
      <w:r w:rsidRPr="004C5551">
        <w:rPr>
          <w:color w:val="000000" w:themeColor="text1"/>
        </w:rPr>
        <w:t>Príjmy neverejných</w:t>
      </w:r>
      <w:r w:rsidR="003D4864" w:rsidRPr="004C5551">
        <w:rPr>
          <w:color w:val="000000" w:themeColor="text1"/>
        </w:rPr>
        <w:t xml:space="preserve"> </w:t>
      </w:r>
      <w:r w:rsidRPr="004C5551">
        <w:rPr>
          <w:color w:val="000000" w:themeColor="text1"/>
        </w:rPr>
        <w:t>poskytovateľov (z rozpočtov obcí, z úhrad od </w:t>
      </w:r>
      <w:r w:rsidR="0007763E" w:rsidRPr="004C5551">
        <w:rPr>
          <w:color w:val="000000" w:themeColor="text1"/>
        </w:rPr>
        <w:t>prijímateľov</w:t>
      </w:r>
      <w:r w:rsidRPr="004C5551">
        <w:rPr>
          <w:color w:val="000000" w:themeColor="text1"/>
        </w:rPr>
        <w:t>, z darov a pod.) za opatrovateľskú službu boli vo výške</w:t>
      </w:r>
      <w:r w:rsidR="00423669" w:rsidRPr="004C5551">
        <w:rPr>
          <w:color w:val="000000" w:themeColor="text1"/>
        </w:rPr>
        <w:t xml:space="preserve"> </w:t>
      </w:r>
      <w:r w:rsidRPr="004C5551">
        <w:rPr>
          <w:color w:val="000000" w:themeColor="text1"/>
        </w:rPr>
        <w:t xml:space="preserve">8,87 mil. </w:t>
      </w:r>
      <w:r w:rsidR="00F75B6B" w:rsidRPr="004C5551">
        <w:rPr>
          <w:color w:val="000000" w:themeColor="text1"/>
        </w:rPr>
        <w:t>eur</w:t>
      </w:r>
      <w:r w:rsidRPr="004C5551">
        <w:rPr>
          <w:color w:val="000000" w:themeColor="text1"/>
        </w:rPr>
        <w:t xml:space="preserve"> , čo je oproti roku 2013 navýšenie o 4,48 mil. </w:t>
      </w:r>
      <w:r w:rsidR="00F75B6B" w:rsidRPr="004C5551">
        <w:rPr>
          <w:color w:val="000000" w:themeColor="text1"/>
        </w:rPr>
        <w:t>eur</w:t>
      </w:r>
      <w:r w:rsidRPr="004C5551">
        <w:rPr>
          <w:color w:val="000000" w:themeColor="text1"/>
        </w:rPr>
        <w:t xml:space="preserve">, pričom ich náklady predstavovali 7,61 mil. </w:t>
      </w:r>
      <w:r w:rsidR="00F75B6B" w:rsidRPr="004C5551">
        <w:rPr>
          <w:color w:val="000000" w:themeColor="text1"/>
        </w:rPr>
        <w:t>eur</w:t>
      </w:r>
      <w:r w:rsidRPr="004C5551">
        <w:rPr>
          <w:color w:val="000000" w:themeColor="text1"/>
        </w:rPr>
        <w:t xml:space="preserve"> (navýšenie o 2,97 mil. </w:t>
      </w:r>
      <w:r w:rsidR="00F75B6B" w:rsidRPr="004C5551">
        <w:rPr>
          <w:color w:val="000000" w:themeColor="text1"/>
        </w:rPr>
        <w:t>eur</w:t>
      </w:r>
      <w:r w:rsidRPr="004C5551">
        <w:rPr>
          <w:color w:val="000000" w:themeColor="text1"/>
        </w:rPr>
        <w:t xml:space="preserve"> oproti predchádzajúcemu roku). </w:t>
      </w:r>
    </w:p>
    <w:p w:rsidR="006812B6" w:rsidRPr="004C5551" w:rsidRDefault="006812B6" w:rsidP="00BB1867">
      <w:pPr>
        <w:pStyle w:val="Nadpis41"/>
        <w:numPr>
          <w:ilvl w:val="0"/>
          <w:numId w:val="0"/>
        </w:numPr>
        <w:ind w:left="864" w:hanging="864"/>
      </w:pPr>
      <w:r w:rsidRPr="004C5551">
        <w:t xml:space="preserve">Prepravná služba </w:t>
      </w:r>
    </w:p>
    <w:p w:rsidR="00BC7E37" w:rsidRPr="004C5551" w:rsidRDefault="006812B6" w:rsidP="00BC7E37">
      <w:pPr>
        <w:ind w:firstLine="708"/>
      </w:pPr>
      <w:r w:rsidRPr="004C5551">
        <w:rPr>
          <w:color w:val="000000" w:themeColor="text1"/>
          <w:szCs w:val="22"/>
        </w:rPr>
        <w:t xml:space="preserve">V roku 2014 bola prepravná služba obcami a mestami poskytnutá 2 887 </w:t>
      </w:r>
      <w:r w:rsidR="002B3E62" w:rsidRPr="004C5551">
        <w:rPr>
          <w:color w:val="000000" w:themeColor="text1"/>
          <w:szCs w:val="22"/>
        </w:rPr>
        <w:t>fyzickým osobám</w:t>
      </w:r>
      <w:r w:rsidRPr="004C5551">
        <w:rPr>
          <w:color w:val="000000" w:themeColor="text1"/>
          <w:szCs w:val="22"/>
        </w:rPr>
        <w:t xml:space="preserve">, čo predstavuje nárast oproti roku 2013 o 576 </w:t>
      </w:r>
      <w:r w:rsidR="002B3E62" w:rsidRPr="004C5551">
        <w:rPr>
          <w:color w:val="000000" w:themeColor="text1"/>
          <w:szCs w:val="22"/>
        </w:rPr>
        <w:t>fyzických osôb</w:t>
      </w:r>
      <w:r w:rsidRPr="004C5551">
        <w:rPr>
          <w:color w:val="000000" w:themeColor="text1"/>
          <w:szCs w:val="22"/>
        </w:rPr>
        <w:t xml:space="preserve">. </w:t>
      </w:r>
      <w:r w:rsidR="00460DEB" w:rsidRPr="004C5551">
        <w:rPr>
          <w:color w:val="000000" w:themeColor="text1"/>
          <w:szCs w:val="22"/>
        </w:rPr>
        <w:t>Obce vynaložili v roku 2014 na poskytovanie prepravnej služby 243,8 tis. </w:t>
      </w:r>
      <w:r w:rsidR="002F1B52" w:rsidRPr="004C5551">
        <w:rPr>
          <w:color w:val="000000" w:themeColor="text1"/>
        </w:rPr>
        <w:t>eur</w:t>
      </w:r>
      <w:r w:rsidR="00460DEB" w:rsidRPr="004C5551">
        <w:rPr>
          <w:color w:val="000000" w:themeColor="text1"/>
          <w:szCs w:val="22"/>
        </w:rPr>
        <w:t>, čo oproti roku 2013 predstavuje pokles o 32,2 tis.</w:t>
      </w:r>
      <w:r w:rsidR="002F1B52" w:rsidRPr="004C5551">
        <w:rPr>
          <w:color w:val="000000" w:themeColor="text1"/>
        </w:rPr>
        <w:t xml:space="preserve"> eur</w:t>
      </w:r>
      <w:r w:rsidR="003E4FA8" w:rsidRPr="004C5551">
        <w:rPr>
          <w:color w:val="000000" w:themeColor="text1"/>
          <w:szCs w:val="22"/>
        </w:rPr>
        <w:t>.</w:t>
      </w:r>
      <w:r w:rsidR="003D4864" w:rsidRPr="004C5551">
        <w:rPr>
          <w:color w:val="000000" w:themeColor="text1"/>
          <w:szCs w:val="22"/>
        </w:rPr>
        <w:t xml:space="preserve"> </w:t>
      </w:r>
      <w:r w:rsidRPr="004C5551">
        <w:rPr>
          <w:color w:val="000000" w:themeColor="text1"/>
          <w:szCs w:val="22"/>
        </w:rPr>
        <w:t>Prepravnú službu v roku 2014 (v roku 2013 to bolo 23 neverejných poskytovateľov) poskytovalo 34 neverejných poskytovateľov pre 7 819 klientov, čo predstavuje nárast oproti roku 2013 o 3 304 klientov. Príjmy neverejných poskytovateľov na prepravnú službu boli vo výške 258,6 tis. </w:t>
      </w:r>
      <w:r w:rsidR="002F1B52" w:rsidRPr="004C5551">
        <w:rPr>
          <w:color w:val="000000" w:themeColor="text1"/>
        </w:rPr>
        <w:t>eur</w:t>
      </w:r>
      <w:r w:rsidR="002F1B52" w:rsidRPr="004C5551">
        <w:rPr>
          <w:color w:val="000000" w:themeColor="text1"/>
          <w:szCs w:val="22"/>
        </w:rPr>
        <w:t xml:space="preserve"> a </w:t>
      </w:r>
      <w:r w:rsidRPr="004C5551">
        <w:rPr>
          <w:color w:val="000000" w:themeColor="text1"/>
          <w:szCs w:val="22"/>
        </w:rPr>
        <w:t>ich výdavky predstavovali 310,9 tis. </w:t>
      </w:r>
      <w:r w:rsidR="002F1B52" w:rsidRPr="004C5551">
        <w:rPr>
          <w:color w:val="000000" w:themeColor="text1"/>
        </w:rPr>
        <w:t>eur</w:t>
      </w:r>
      <w:r w:rsidRPr="004C5551">
        <w:rPr>
          <w:color w:val="000000" w:themeColor="text1"/>
          <w:szCs w:val="22"/>
        </w:rPr>
        <w:t>. Rozdiel vo výške 52,3 tis. </w:t>
      </w:r>
      <w:r w:rsidR="002F1B52" w:rsidRPr="004C5551">
        <w:rPr>
          <w:color w:val="000000" w:themeColor="text1"/>
        </w:rPr>
        <w:t>eur</w:t>
      </w:r>
      <w:r w:rsidRPr="004C5551">
        <w:rPr>
          <w:color w:val="000000" w:themeColor="text1"/>
          <w:szCs w:val="22"/>
        </w:rPr>
        <w:t xml:space="preserve"> neverejní poskytovatelia hradili z vlastných rozpočtov. </w:t>
      </w:r>
      <w:r w:rsidR="00BC7E37" w:rsidRPr="004C5551">
        <w:rPr>
          <w:color w:val="000000"/>
        </w:rPr>
        <w:t>Š</w:t>
      </w:r>
      <w:r w:rsidR="00BC7E37" w:rsidRPr="004C5551">
        <w:rPr>
          <w:szCs w:val="22"/>
        </w:rPr>
        <w:t>tatistické údaje sú uvedené v prílohe ku kapitole 3, tabuľka 22a 29..</w:t>
      </w:r>
    </w:p>
    <w:p w:rsidR="006812B6" w:rsidRPr="004C5551" w:rsidRDefault="006812B6" w:rsidP="00E45AA6">
      <w:pPr>
        <w:pStyle w:val="Nadpis41"/>
        <w:numPr>
          <w:ilvl w:val="0"/>
          <w:numId w:val="0"/>
        </w:numPr>
        <w:ind w:left="864" w:hanging="864"/>
      </w:pPr>
      <w:r w:rsidRPr="004C5551">
        <w:t>Zariadenia sociálnych služieb</w:t>
      </w:r>
      <w:r w:rsidR="00BC7E37" w:rsidRPr="004C5551">
        <w:rPr>
          <w:rStyle w:val="Odkaznapoznmkupodiarou"/>
        </w:rPr>
        <w:footnoteReference w:id="33"/>
      </w:r>
    </w:p>
    <w:p w:rsidR="006812B6" w:rsidRPr="004C5551" w:rsidRDefault="006812B6" w:rsidP="006812B6">
      <w:pPr>
        <w:ind w:firstLine="708"/>
        <w:rPr>
          <w:color w:val="000000" w:themeColor="text1"/>
          <w:szCs w:val="22"/>
        </w:rPr>
      </w:pPr>
      <w:r w:rsidRPr="004C5551">
        <w:rPr>
          <w:color w:val="000000" w:themeColor="text1"/>
        </w:rPr>
        <w:t>K 31. 12. 2013</w:t>
      </w:r>
      <w:r w:rsidR="003D4864" w:rsidRPr="004C5551">
        <w:rPr>
          <w:color w:val="000000" w:themeColor="text1"/>
        </w:rPr>
        <w:t xml:space="preserve"> </w:t>
      </w:r>
      <w:r w:rsidRPr="004C5551">
        <w:rPr>
          <w:color w:val="000000" w:themeColor="text1"/>
        </w:rPr>
        <w:t>bolo v Slovenskej republike 5 413 392 obyvateľov, z toho 43</w:t>
      </w:r>
      <w:r w:rsidR="003D4864" w:rsidRPr="004C5551">
        <w:rPr>
          <w:color w:val="000000" w:themeColor="text1"/>
        </w:rPr>
        <w:t> </w:t>
      </w:r>
      <w:r w:rsidRPr="004C5551">
        <w:rPr>
          <w:color w:val="000000" w:themeColor="text1"/>
        </w:rPr>
        <w:t>845</w:t>
      </w:r>
      <w:r w:rsidR="003D4864" w:rsidRPr="004C5551">
        <w:rPr>
          <w:color w:val="000000" w:themeColor="text1"/>
        </w:rPr>
        <w:t xml:space="preserve"> </w:t>
      </w:r>
      <w:r w:rsidRPr="004C5551">
        <w:rPr>
          <w:color w:val="000000" w:themeColor="text1"/>
        </w:rPr>
        <w:t>(38 263)</w:t>
      </w:r>
      <w:r w:rsidR="00D4331A" w:rsidRPr="004C5551">
        <w:rPr>
          <w:rStyle w:val="Odkaznapoznmkupodiarou"/>
          <w:color w:val="000000" w:themeColor="text1"/>
        </w:rPr>
        <w:footnoteReference w:id="34"/>
      </w:r>
      <w:r w:rsidRPr="004C5551">
        <w:rPr>
          <w:color w:val="000000" w:themeColor="text1"/>
        </w:rPr>
        <w:t xml:space="preserve"> obyvateľom (0,81 %) boli poskytované služby v 1 168 (1084) zariadeniach sociálnych služieb zriadených obcou, vyšším územným celkom alebo neverejným poskytovateľom.</w:t>
      </w:r>
      <w:r w:rsidRPr="004C5551">
        <w:rPr>
          <w:color w:val="000000" w:themeColor="text1"/>
          <w:szCs w:val="22"/>
        </w:rPr>
        <w:t xml:space="preserve"> Sociálne služby, ktoré majú charakter dlhodobej starostlivosti, boli poskytované 36 441 (35293) </w:t>
      </w:r>
      <w:r w:rsidR="002B3E62" w:rsidRPr="004C5551">
        <w:rPr>
          <w:color w:val="000000" w:themeColor="text1"/>
          <w:szCs w:val="22"/>
        </w:rPr>
        <w:t>prijímateľom</w:t>
      </w:r>
      <w:r w:rsidRPr="004C5551">
        <w:rPr>
          <w:color w:val="000000" w:themeColor="text1"/>
          <w:szCs w:val="22"/>
        </w:rPr>
        <w:t xml:space="preserve"> v 995 (915) zariadeniach (zariadenie pre seniorov, domov sociálnych služieb, špecializované zariadenie, denný stacionár, zariadenie podporovaného bývania, rehabilitačné stredisko, zariadenie opatrovateľskej služby).</w:t>
      </w:r>
    </w:p>
    <w:p w:rsidR="006812B6" w:rsidRPr="004C5551" w:rsidRDefault="006812B6" w:rsidP="006812B6">
      <w:pPr>
        <w:pStyle w:val="Zarkazkladnhotextu2"/>
        <w:spacing w:after="0"/>
        <w:ind w:left="0" w:firstLine="709"/>
        <w:rPr>
          <w:color w:val="000000" w:themeColor="text1"/>
          <w:sz w:val="22"/>
          <w:szCs w:val="22"/>
          <w:lang w:val="sk-SK"/>
        </w:rPr>
      </w:pPr>
      <w:r w:rsidRPr="004C5551">
        <w:rPr>
          <w:iCs w:val="0"/>
          <w:color w:val="000000" w:themeColor="text1"/>
          <w:sz w:val="22"/>
          <w:szCs w:val="22"/>
          <w:lang w:val="sk-SK"/>
        </w:rPr>
        <w:t>V roku 2013 bolo v Slovenskej republike spolu vo všetkých druhoch zariadení sociálnych služieb 42</w:t>
      </w:r>
      <w:r w:rsidR="003D4864" w:rsidRPr="004C5551">
        <w:rPr>
          <w:iCs w:val="0"/>
          <w:color w:val="000000" w:themeColor="text1"/>
          <w:sz w:val="22"/>
          <w:szCs w:val="22"/>
          <w:lang w:val="sk-SK"/>
        </w:rPr>
        <w:t> </w:t>
      </w:r>
      <w:r w:rsidRPr="004C5551">
        <w:rPr>
          <w:iCs w:val="0"/>
          <w:color w:val="000000" w:themeColor="text1"/>
          <w:sz w:val="22"/>
          <w:szCs w:val="22"/>
          <w:lang w:val="sk-SK"/>
        </w:rPr>
        <w:t>794</w:t>
      </w:r>
      <w:r w:rsidR="003D4864" w:rsidRPr="004C5551">
        <w:rPr>
          <w:iCs w:val="0"/>
          <w:color w:val="000000" w:themeColor="text1"/>
          <w:sz w:val="22"/>
          <w:szCs w:val="22"/>
          <w:lang w:val="sk-SK"/>
        </w:rPr>
        <w:t xml:space="preserve"> </w:t>
      </w:r>
      <w:r w:rsidRPr="004C5551">
        <w:rPr>
          <w:iCs w:val="0"/>
          <w:color w:val="000000" w:themeColor="text1"/>
          <w:sz w:val="22"/>
          <w:szCs w:val="22"/>
          <w:lang w:val="sk-SK"/>
        </w:rPr>
        <w:t>(40 679) miest, z toho sa celoročná starostlivosť poskytovala v rámci 38 249 (35 792) miest (89,4 %), týždenná starostlivosť 654 (674)miest (1,5 %), denná starostlivosť 2 728 (2</w:t>
      </w:r>
      <w:r w:rsidR="00D4331A" w:rsidRPr="004C5551">
        <w:rPr>
          <w:iCs w:val="0"/>
          <w:color w:val="000000" w:themeColor="text1"/>
          <w:sz w:val="22"/>
          <w:szCs w:val="22"/>
          <w:lang w:val="sk-SK"/>
        </w:rPr>
        <w:t xml:space="preserve"> </w:t>
      </w:r>
      <w:r w:rsidRPr="004C5551">
        <w:rPr>
          <w:iCs w:val="0"/>
          <w:color w:val="000000" w:themeColor="text1"/>
          <w:sz w:val="22"/>
          <w:szCs w:val="22"/>
          <w:lang w:val="sk-SK"/>
        </w:rPr>
        <w:t>645) miest (6,4 %) a prechodne sa starostlivosť poskytovala na 1 027 (1</w:t>
      </w:r>
      <w:r w:rsidR="00D4331A" w:rsidRPr="004C5551">
        <w:rPr>
          <w:iCs w:val="0"/>
          <w:color w:val="000000" w:themeColor="text1"/>
          <w:sz w:val="22"/>
          <w:szCs w:val="22"/>
          <w:lang w:val="sk-SK"/>
        </w:rPr>
        <w:t xml:space="preserve"> </w:t>
      </w:r>
      <w:r w:rsidRPr="004C5551">
        <w:rPr>
          <w:iCs w:val="0"/>
          <w:color w:val="000000" w:themeColor="text1"/>
          <w:sz w:val="22"/>
          <w:szCs w:val="22"/>
          <w:lang w:val="sk-SK"/>
        </w:rPr>
        <w:t>419) miestach (2,7 %).</w:t>
      </w:r>
      <w:r w:rsidRPr="004C5551">
        <w:rPr>
          <w:color w:val="000000" w:themeColor="text1"/>
          <w:sz w:val="22"/>
          <w:szCs w:val="22"/>
          <w:lang w:val="sk-SK"/>
        </w:rPr>
        <w:t xml:space="preserve"> Z celkového počtu miest až 39 004 (36911) miest (91,1 %) pripadá na sociálne služby, ktoré majú charakter dlhodobej starostlivosti.</w:t>
      </w:r>
    </w:p>
    <w:p w:rsidR="006812B6" w:rsidRPr="004C5551" w:rsidRDefault="006812B6" w:rsidP="006812B6">
      <w:pPr>
        <w:pStyle w:val="Zarkazkladnhotextu"/>
        <w:ind w:left="0" w:firstLine="708"/>
        <w:rPr>
          <w:b w:val="0"/>
          <w:color w:val="000000" w:themeColor="text1"/>
          <w:sz w:val="22"/>
          <w:szCs w:val="22"/>
          <w:lang w:val="sk-SK"/>
        </w:rPr>
      </w:pPr>
      <w:r w:rsidRPr="004C5551">
        <w:rPr>
          <w:b w:val="0"/>
          <w:color w:val="000000" w:themeColor="text1"/>
          <w:sz w:val="22"/>
          <w:szCs w:val="22"/>
          <w:lang w:val="sk-SK"/>
        </w:rPr>
        <w:t>Zariadenia sociálnych služieb ku koncu roku 2013</w:t>
      </w:r>
      <w:r w:rsidR="002B3E62" w:rsidRPr="004C5551">
        <w:rPr>
          <w:b w:val="0"/>
          <w:color w:val="000000" w:themeColor="text1"/>
          <w:sz w:val="22"/>
          <w:szCs w:val="22"/>
          <w:lang w:val="sk-SK"/>
        </w:rPr>
        <w:t xml:space="preserve"> poskytovali sociálnu službu</w:t>
      </w:r>
      <w:r w:rsidRPr="004C5551">
        <w:rPr>
          <w:b w:val="0"/>
          <w:color w:val="000000" w:themeColor="text1"/>
          <w:sz w:val="22"/>
          <w:szCs w:val="22"/>
          <w:lang w:val="sk-SK"/>
        </w:rPr>
        <w:t xml:space="preserve"> spolu 43 845 (38</w:t>
      </w:r>
      <w:r w:rsidR="00D4331A" w:rsidRPr="004C5551">
        <w:rPr>
          <w:b w:val="0"/>
          <w:color w:val="000000" w:themeColor="text1"/>
          <w:sz w:val="22"/>
          <w:szCs w:val="22"/>
          <w:lang w:val="sk-SK"/>
        </w:rPr>
        <w:t xml:space="preserve"> </w:t>
      </w:r>
      <w:r w:rsidRPr="004C5551">
        <w:rPr>
          <w:b w:val="0"/>
          <w:color w:val="000000" w:themeColor="text1"/>
          <w:sz w:val="22"/>
          <w:szCs w:val="22"/>
          <w:lang w:val="sk-SK"/>
        </w:rPr>
        <w:t xml:space="preserve">263) </w:t>
      </w:r>
      <w:r w:rsidR="002B3E62" w:rsidRPr="004C5551">
        <w:rPr>
          <w:b w:val="0"/>
          <w:color w:val="000000" w:themeColor="text1"/>
          <w:sz w:val="22"/>
          <w:szCs w:val="22"/>
          <w:lang w:val="sk-SK"/>
        </w:rPr>
        <w:t>prijímateľom</w:t>
      </w:r>
      <w:r w:rsidRPr="004C5551">
        <w:rPr>
          <w:b w:val="0"/>
          <w:color w:val="000000" w:themeColor="text1"/>
          <w:sz w:val="22"/>
          <w:szCs w:val="22"/>
          <w:lang w:val="sk-SK"/>
        </w:rPr>
        <w:t xml:space="preserve">. Z celkového počtu </w:t>
      </w:r>
      <w:r w:rsidR="00D14E2E" w:rsidRPr="004C5551">
        <w:rPr>
          <w:b w:val="0"/>
          <w:color w:val="000000" w:themeColor="text1"/>
          <w:sz w:val="22"/>
          <w:szCs w:val="22"/>
          <w:lang w:val="sk-SK"/>
        </w:rPr>
        <w:t>p</w:t>
      </w:r>
      <w:r w:rsidR="00E32F90" w:rsidRPr="004C5551">
        <w:rPr>
          <w:b w:val="0"/>
          <w:color w:val="000000" w:themeColor="text1"/>
          <w:sz w:val="22"/>
          <w:szCs w:val="22"/>
          <w:lang w:val="sk-SK"/>
        </w:rPr>
        <w:t>rijímateľov v zariadenia</w:t>
      </w:r>
      <w:r w:rsidR="00D14E2E" w:rsidRPr="004C5551">
        <w:rPr>
          <w:b w:val="0"/>
          <w:color w:val="000000" w:themeColor="text1"/>
          <w:sz w:val="22"/>
          <w:szCs w:val="22"/>
          <w:lang w:val="sk-SK"/>
        </w:rPr>
        <w:t>ch</w:t>
      </w:r>
      <w:r w:rsidRPr="004C5551">
        <w:rPr>
          <w:b w:val="0"/>
          <w:color w:val="000000" w:themeColor="text1"/>
          <w:sz w:val="22"/>
          <w:szCs w:val="22"/>
          <w:lang w:val="sk-SK"/>
        </w:rPr>
        <w:t xml:space="preserve"> </w:t>
      </w:r>
      <w:r w:rsidR="00E32F90" w:rsidRPr="004C5551">
        <w:rPr>
          <w:b w:val="0"/>
          <w:color w:val="000000" w:themeColor="text1"/>
          <w:sz w:val="22"/>
          <w:szCs w:val="22"/>
          <w:lang w:val="sk-SK"/>
        </w:rPr>
        <w:t xml:space="preserve">sociálnych služieb </w:t>
      </w:r>
      <w:r w:rsidRPr="004C5551">
        <w:rPr>
          <w:b w:val="0"/>
          <w:color w:val="000000" w:themeColor="text1"/>
          <w:sz w:val="22"/>
          <w:szCs w:val="22"/>
          <w:lang w:val="sk-SK"/>
        </w:rPr>
        <w:t>bolo 30 002 (28</w:t>
      </w:r>
      <w:r w:rsidR="00D4331A" w:rsidRPr="004C5551">
        <w:rPr>
          <w:b w:val="0"/>
          <w:color w:val="000000" w:themeColor="text1"/>
          <w:sz w:val="22"/>
          <w:szCs w:val="22"/>
          <w:lang w:val="sk-SK"/>
        </w:rPr>
        <w:t xml:space="preserve"> </w:t>
      </w:r>
      <w:r w:rsidRPr="004C5551">
        <w:rPr>
          <w:b w:val="0"/>
          <w:color w:val="000000" w:themeColor="text1"/>
          <w:sz w:val="22"/>
          <w:szCs w:val="22"/>
          <w:lang w:val="sk-SK"/>
        </w:rPr>
        <w:t xml:space="preserve">773) </w:t>
      </w:r>
      <w:r w:rsidR="00E32F90" w:rsidRPr="004C5551">
        <w:rPr>
          <w:b w:val="0"/>
          <w:color w:val="000000" w:themeColor="text1"/>
          <w:sz w:val="22"/>
          <w:szCs w:val="22"/>
          <w:lang w:val="sk-SK"/>
        </w:rPr>
        <w:t xml:space="preserve">osôb so zdravotným postihnutím </w:t>
      </w:r>
      <w:r w:rsidRPr="004C5551">
        <w:rPr>
          <w:b w:val="0"/>
          <w:color w:val="000000" w:themeColor="text1"/>
          <w:sz w:val="22"/>
          <w:szCs w:val="22"/>
          <w:lang w:val="sk-SK"/>
        </w:rPr>
        <w:t>(68,4 %) a 24 910 (24</w:t>
      </w:r>
      <w:r w:rsidR="00D4331A" w:rsidRPr="004C5551">
        <w:rPr>
          <w:b w:val="0"/>
          <w:color w:val="000000" w:themeColor="text1"/>
          <w:sz w:val="22"/>
          <w:szCs w:val="22"/>
          <w:lang w:val="sk-SK"/>
        </w:rPr>
        <w:t xml:space="preserve"> </w:t>
      </w:r>
      <w:r w:rsidRPr="004C5551">
        <w:rPr>
          <w:b w:val="0"/>
          <w:color w:val="000000" w:themeColor="text1"/>
          <w:sz w:val="22"/>
          <w:szCs w:val="22"/>
          <w:lang w:val="sk-SK"/>
        </w:rPr>
        <w:t>014) osôb v dôchodkovom veku (56,8 %). Spolu 36 441 (35</w:t>
      </w:r>
      <w:r w:rsidR="00D4331A" w:rsidRPr="004C5551">
        <w:rPr>
          <w:b w:val="0"/>
          <w:color w:val="000000" w:themeColor="text1"/>
          <w:sz w:val="22"/>
          <w:szCs w:val="22"/>
          <w:lang w:val="sk-SK"/>
        </w:rPr>
        <w:t xml:space="preserve"> </w:t>
      </w:r>
      <w:r w:rsidRPr="004C5551">
        <w:rPr>
          <w:b w:val="0"/>
          <w:color w:val="000000" w:themeColor="text1"/>
          <w:sz w:val="22"/>
          <w:szCs w:val="22"/>
          <w:lang w:val="sk-SK"/>
        </w:rPr>
        <w:t xml:space="preserve">293) </w:t>
      </w:r>
      <w:r w:rsidR="003E2D6E" w:rsidRPr="004C5551">
        <w:rPr>
          <w:b w:val="0"/>
          <w:color w:val="000000" w:themeColor="text1"/>
          <w:sz w:val="22"/>
          <w:szCs w:val="22"/>
          <w:lang w:val="sk-SK"/>
        </w:rPr>
        <w:t>prijímateľom</w:t>
      </w:r>
      <w:r w:rsidR="003D4864" w:rsidRPr="004C5551">
        <w:rPr>
          <w:b w:val="0"/>
          <w:color w:val="000000" w:themeColor="text1"/>
          <w:sz w:val="22"/>
          <w:szCs w:val="22"/>
          <w:lang w:val="sk-SK"/>
        </w:rPr>
        <w:t xml:space="preserve"> </w:t>
      </w:r>
      <w:r w:rsidRPr="004C5551">
        <w:rPr>
          <w:b w:val="0"/>
          <w:color w:val="000000" w:themeColor="text1"/>
          <w:sz w:val="22"/>
          <w:szCs w:val="22"/>
          <w:lang w:val="sk-SK"/>
        </w:rPr>
        <w:t>(83,11 %) sa poskytovali sociálne služby tzv. dlhodobej starostlivosti.</w:t>
      </w:r>
    </w:p>
    <w:p w:rsidR="006812B6" w:rsidRPr="004C5551" w:rsidRDefault="006812B6" w:rsidP="006812B6">
      <w:pPr>
        <w:spacing w:line="276" w:lineRule="auto"/>
        <w:ind w:firstLine="708"/>
        <w:rPr>
          <w:color w:val="000000" w:themeColor="text1"/>
        </w:rPr>
      </w:pPr>
      <w:r w:rsidRPr="004C5551">
        <w:rPr>
          <w:color w:val="000000" w:themeColor="text1"/>
        </w:rPr>
        <w:t xml:space="preserve">Celkové výdavky zariadení </w:t>
      </w:r>
      <w:r w:rsidR="003E2D6E" w:rsidRPr="004C5551">
        <w:rPr>
          <w:color w:val="000000" w:themeColor="text1"/>
        </w:rPr>
        <w:t xml:space="preserve">sociálnych služieb </w:t>
      </w:r>
      <w:r w:rsidRPr="004C5551">
        <w:rPr>
          <w:color w:val="000000" w:themeColor="text1"/>
        </w:rPr>
        <w:t>boli k 31. decembru 2013 vo výške</w:t>
      </w:r>
      <w:r w:rsidR="003D4864" w:rsidRPr="004C5551">
        <w:rPr>
          <w:color w:val="000000" w:themeColor="text1"/>
        </w:rPr>
        <w:t xml:space="preserve"> </w:t>
      </w:r>
      <w:r w:rsidRPr="004C5551">
        <w:rPr>
          <w:color w:val="000000" w:themeColor="text1"/>
        </w:rPr>
        <w:t xml:space="preserve">312 759 344 </w:t>
      </w:r>
      <w:r w:rsidR="00A96FDE" w:rsidRPr="004C5551">
        <w:rPr>
          <w:color w:val="000000" w:themeColor="text1"/>
        </w:rPr>
        <w:t xml:space="preserve">eur </w:t>
      </w:r>
      <w:r w:rsidRPr="004C5551">
        <w:rPr>
          <w:color w:val="000000" w:themeColor="text1"/>
        </w:rPr>
        <w:t>(372</w:t>
      </w:r>
      <w:r w:rsidR="00D4331A" w:rsidRPr="004C5551">
        <w:rPr>
          <w:color w:val="000000" w:themeColor="text1"/>
        </w:rPr>
        <w:t> </w:t>
      </w:r>
      <w:r w:rsidRPr="004C5551">
        <w:rPr>
          <w:color w:val="000000" w:themeColor="text1"/>
        </w:rPr>
        <w:t>685</w:t>
      </w:r>
      <w:r w:rsidR="00A96FDE" w:rsidRPr="004C5551">
        <w:rPr>
          <w:color w:val="000000" w:themeColor="text1"/>
        </w:rPr>
        <w:t> </w:t>
      </w:r>
      <w:r w:rsidRPr="004C5551">
        <w:rPr>
          <w:color w:val="000000" w:themeColor="text1"/>
        </w:rPr>
        <w:t>815</w:t>
      </w:r>
      <w:r w:rsidR="00A96FDE" w:rsidRPr="004C5551">
        <w:rPr>
          <w:color w:val="000000" w:themeColor="text1"/>
        </w:rPr>
        <w:t xml:space="preserve"> eur</w:t>
      </w:r>
      <w:r w:rsidRPr="004C5551">
        <w:rPr>
          <w:color w:val="000000" w:themeColor="text1"/>
        </w:rPr>
        <w:t xml:space="preserve">). Z toho až 179 794 860 </w:t>
      </w:r>
      <w:r w:rsidR="00A96FDE" w:rsidRPr="004C5551">
        <w:rPr>
          <w:color w:val="000000" w:themeColor="text1"/>
        </w:rPr>
        <w:t>eur</w:t>
      </w:r>
      <w:r w:rsidRPr="004C5551">
        <w:rPr>
          <w:color w:val="000000" w:themeColor="text1"/>
        </w:rPr>
        <w:t xml:space="preserve"> (217</w:t>
      </w:r>
      <w:r w:rsidR="00D4331A" w:rsidRPr="004C5551">
        <w:rPr>
          <w:color w:val="000000" w:themeColor="text1"/>
        </w:rPr>
        <w:t> </w:t>
      </w:r>
      <w:r w:rsidRPr="004C5551">
        <w:rPr>
          <w:color w:val="000000" w:themeColor="text1"/>
        </w:rPr>
        <w:t>383</w:t>
      </w:r>
      <w:r w:rsidR="00A96FDE" w:rsidRPr="004C5551">
        <w:rPr>
          <w:color w:val="000000" w:themeColor="text1"/>
        </w:rPr>
        <w:t> </w:t>
      </w:r>
      <w:r w:rsidRPr="004C5551">
        <w:rPr>
          <w:color w:val="000000" w:themeColor="text1"/>
        </w:rPr>
        <w:t>477</w:t>
      </w:r>
      <w:r w:rsidR="00A96FDE" w:rsidRPr="004C5551">
        <w:rPr>
          <w:color w:val="000000" w:themeColor="text1"/>
        </w:rPr>
        <w:t xml:space="preserve"> eur</w:t>
      </w:r>
      <w:r w:rsidRPr="004C5551">
        <w:rPr>
          <w:color w:val="000000" w:themeColor="text1"/>
        </w:rPr>
        <w:t>)</w:t>
      </w:r>
      <w:r w:rsidR="00D4331A" w:rsidRPr="004C5551">
        <w:rPr>
          <w:color w:val="000000" w:themeColor="text1"/>
        </w:rPr>
        <w:t xml:space="preserve">, čo je 57,5 %, </w:t>
      </w:r>
      <w:r w:rsidRPr="004C5551">
        <w:rPr>
          <w:color w:val="000000" w:themeColor="text1"/>
        </w:rPr>
        <w:t>bolo vynaložených na mzdy a povinné sociálne poistenie. Ostatné výdavky boli určené na tovary a služby, na obstaranie dlhodobého majetku a na zdravotnú starostlivosť. Výdavky na sociálne služby v zariadeniach tzv. dlhodobej starostlivosti predstavovali sumu 287 398 970(363</w:t>
      </w:r>
      <w:r w:rsidR="00D32805" w:rsidRPr="004C5551">
        <w:rPr>
          <w:color w:val="000000" w:themeColor="text1"/>
        </w:rPr>
        <w:t> </w:t>
      </w:r>
      <w:r w:rsidRPr="004C5551">
        <w:rPr>
          <w:color w:val="000000" w:themeColor="text1"/>
        </w:rPr>
        <w:t>983</w:t>
      </w:r>
      <w:r w:rsidR="00D32805" w:rsidRPr="004C5551">
        <w:rPr>
          <w:color w:val="000000" w:themeColor="text1"/>
        </w:rPr>
        <w:t xml:space="preserve"> </w:t>
      </w:r>
      <w:r w:rsidRPr="004C5551">
        <w:rPr>
          <w:color w:val="000000" w:themeColor="text1"/>
        </w:rPr>
        <w:t>519)</w:t>
      </w:r>
      <w:r w:rsidR="003D4864" w:rsidRPr="004C5551">
        <w:rPr>
          <w:color w:val="000000" w:themeColor="text1"/>
        </w:rPr>
        <w:t xml:space="preserve"> </w:t>
      </w:r>
      <w:r w:rsidR="00A96FDE" w:rsidRPr="004C5551">
        <w:rPr>
          <w:color w:val="000000" w:themeColor="text1"/>
        </w:rPr>
        <w:t>eur</w:t>
      </w:r>
      <w:r w:rsidRPr="004C5551">
        <w:rPr>
          <w:color w:val="000000" w:themeColor="text1"/>
        </w:rPr>
        <w:t>, čo je až 92 % z celkových výdavkov vo všetkých druhoch zariadení sociálnych služieb.</w:t>
      </w:r>
      <w:r w:rsidR="00460DEB" w:rsidRPr="004C5551">
        <w:rPr>
          <w:color w:val="000000" w:themeColor="text1"/>
        </w:rPr>
        <w:t xml:space="preserve"> </w:t>
      </w:r>
    </w:p>
    <w:p w:rsidR="006812B6" w:rsidRPr="004C5551" w:rsidRDefault="00460DEB" w:rsidP="00E41270">
      <w:pPr>
        <w:rPr>
          <w:szCs w:val="22"/>
        </w:rPr>
      </w:pPr>
      <w:r w:rsidRPr="004C5551">
        <w:rPr>
          <w:color w:val="000000" w:themeColor="text1"/>
        </w:rPr>
        <w:tab/>
      </w:r>
      <w:r w:rsidR="00E41270" w:rsidRPr="004C5551">
        <w:rPr>
          <w:color w:val="000000"/>
        </w:rPr>
        <w:t>V zariadeniach sociálnych služieb bolo k 31. decembra 2013 zamestnaných 20 401 zamestnancov, čo predstavuje nárast oproti roku 2012 o 484 zamestnancov. V zariadeniach sociálnych služieb tzv. dlhodobej starostlivosti pracovalo 19 794 zamestnancov (97 % z celkového počtu zamestnancov).</w:t>
      </w:r>
      <w:r w:rsidR="008C36D0" w:rsidRPr="004C5551">
        <w:rPr>
          <w:color w:val="000000"/>
        </w:rPr>
        <w:t xml:space="preserve"> </w:t>
      </w:r>
      <w:r w:rsidR="006812B6" w:rsidRPr="004C5551">
        <w:rPr>
          <w:iCs/>
          <w:szCs w:val="22"/>
        </w:rPr>
        <w:t>Podrobnejšie štatistické údaje sú uvedené v tabuľkách 23 až 2</w:t>
      </w:r>
      <w:r w:rsidR="00361B9E" w:rsidRPr="004C5551">
        <w:rPr>
          <w:iCs/>
          <w:szCs w:val="22"/>
        </w:rPr>
        <w:t>6</w:t>
      </w:r>
      <w:r w:rsidR="006812B6" w:rsidRPr="004C5551">
        <w:rPr>
          <w:szCs w:val="22"/>
        </w:rPr>
        <w:t xml:space="preserve"> v prílohe ku kapitole 3.</w:t>
      </w:r>
      <w:r w:rsidR="006812B6" w:rsidRPr="004C5551">
        <w:rPr>
          <w:rStyle w:val="Odkaznapoznmkupodiarou"/>
          <w:szCs w:val="22"/>
        </w:rPr>
        <w:footnoteReference w:id="35"/>
      </w:r>
    </w:p>
    <w:p w:rsidR="006812B6" w:rsidRPr="004C5551" w:rsidRDefault="006812B6" w:rsidP="006812B6">
      <w:pPr>
        <w:ind w:firstLine="567"/>
        <w:rPr>
          <w:iCs/>
          <w:color w:val="000000" w:themeColor="text1"/>
          <w:szCs w:val="22"/>
          <w:lang w:eastAsia="cs-CZ"/>
        </w:rPr>
      </w:pPr>
      <w:r w:rsidRPr="004C5551">
        <w:rPr>
          <w:iCs/>
          <w:color w:val="000000" w:themeColor="text1"/>
          <w:szCs w:val="22"/>
          <w:lang w:eastAsia="cs-CZ"/>
        </w:rPr>
        <w:t>Pokiaľ ide o </w:t>
      </w:r>
      <w:r w:rsidRPr="004C5551">
        <w:rPr>
          <w:b/>
          <w:iCs/>
          <w:color w:val="000000" w:themeColor="text1"/>
          <w:szCs w:val="22"/>
          <w:lang w:eastAsia="cs-CZ"/>
        </w:rPr>
        <w:t xml:space="preserve">zariadenia sociálnych služieb </w:t>
      </w:r>
      <w:r w:rsidRPr="004C5551">
        <w:rPr>
          <w:iCs/>
          <w:color w:val="000000" w:themeColor="text1"/>
          <w:szCs w:val="22"/>
          <w:lang w:eastAsia="cs-CZ"/>
        </w:rPr>
        <w:t>a</w:t>
      </w:r>
      <w:r w:rsidRPr="004C5551">
        <w:rPr>
          <w:b/>
          <w:iCs/>
          <w:color w:val="000000" w:themeColor="text1"/>
          <w:szCs w:val="22"/>
          <w:lang w:eastAsia="cs-CZ"/>
        </w:rPr>
        <w:t> vybrané druhy sociálnych služieb</w:t>
      </w:r>
      <w:r w:rsidR="00BC7E37" w:rsidRPr="004C5551">
        <w:rPr>
          <w:rStyle w:val="Odkaznapoznmkupodiarou"/>
          <w:b/>
          <w:iCs/>
          <w:color w:val="000000" w:themeColor="text1"/>
          <w:szCs w:val="22"/>
          <w:lang w:eastAsia="cs-CZ"/>
        </w:rPr>
        <w:footnoteReference w:id="36"/>
      </w:r>
      <w:r w:rsidRPr="004C5551">
        <w:rPr>
          <w:iCs/>
          <w:color w:val="000000" w:themeColor="text1"/>
          <w:szCs w:val="22"/>
          <w:lang w:eastAsia="cs-CZ"/>
        </w:rPr>
        <w:t>, ktoré nie sú sledované Štatistickým úradom SR, k 31. 12. 2014 bolo v SR obcami, vyššími územnými celkami alebo neverejnými poskytovateľmi zriadených 21 (15)</w:t>
      </w:r>
      <w:r w:rsidR="003D4864" w:rsidRPr="004C5551">
        <w:rPr>
          <w:iCs/>
          <w:color w:val="000000" w:themeColor="text1"/>
          <w:szCs w:val="22"/>
          <w:lang w:eastAsia="cs-CZ"/>
        </w:rPr>
        <w:t xml:space="preserve"> </w:t>
      </w:r>
      <w:proofErr w:type="spellStart"/>
      <w:r w:rsidRPr="004C5551">
        <w:rPr>
          <w:iCs/>
          <w:color w:val="000000" w:themeColor="text1"/>
          <w:szCs w:val="22"/>
          <w:lang w:eastAsia="cs-CZ"/>
        </w:rPr>
        <w:t>nízkoprahových</w:t>
      </w:r>
      <w:proofErr w:type="spellEnd"/>
      <w:r w:rsidRPr="004C5551">
        <w:rPr>
          <w:iCs/>
          <w:color w:val="000000" w:themeColor="text1"/>
          <w:szCs w:val="22"/>
          <w:lang w:eastAsia="cs-CZ"/>
        </w:rPr>
        <w:t xml:space="preserve"> denných centier s celkovým počtom </w:t>
      </w:r>
      <w:r w:rsidR="0009243D" w:rsidRPr="004C5551">
        <w:rPr>
          <w:iCs/>
          <w:color w:val="000000" w:themeColor="text1"/>
          <w:szCs w:val="22"/>
          <w:lang w:eastAsia="cs-CZ"/>
        </w:rPr>
        <w:t>prijímateľov</w:t>
      </w:r>
      <w:r w:rsidR="00423669" w:rsidRPr="004C5551">
        <w:rPr>
          <w:iCs/>
          <w:color w:val="000000" w:themeColor="text1"/>
          <w:szCs w:val="22"/>
          <w:lang w:eastAsia="cs-CZ"/>
        </w:rPr>
        <w:t xml:space="preserve"> </w:t>
      </w:r>
      <w:r w:rsidRPr="004C5551">
        <w:rPr>
          <w:iCs/>
          <w:color w:val="000000" w:themeColor="text1"/>
          <w:szCs w:val="22"/>
          <w:lang w:eastAsia="cs-CZ"/>
        </w:rPr>
        <w:t xml:space="preserve">16 282 (9 276), 28 (29) </w:t>
      </w:r>
      <w:proofErr w:type="spellStart"/>
      <w:r w:rsidRPr="004C5551">
        <w:rPr>
          <w:iCs/>
          <w:color w:val="000000" w:themeColor="text1"/>
          <w:szCs w:val="22"/>
          <w:lang w:eastAsia="cs-CZ"/>
        </w:rPr>
        <w:t>nízkoprahových</w:t>
      </w:r>
      <w:proofErr w:type="spellEnd"/>
      <w:r w:rsidRPr="004C5551">
        <w:rPr>
          <w:iCs/>
          <w:color w:val="000000" w:themeColor="text1"/>
          <w:szCs w:val="22"/>
          <w:lang w:eastAsia="cs-CZ"/>
        </w:rPr>
        <w:t xml:space="preserve"> sociálnych služieb pre deti a rodinu s celkovým počtom </w:t>
      </w:r>
      <w:r w:rsidR="0009243D" w:rsidRPr="004C5551">
        <w:rPr>
          <w:iCs/>
          <w:color w:val="000000" w:themeColor="text1"/>
          <w:szCs w:val="22"/>
          <w:lang w:eastAsia="cs-CZ"/>
        </w:rPr>
        <w:t xml:space="preserve">prijímateľov </w:t>
      </w:r>
      <w:r w:rsidRPr="004C5551">
        <w:rPr>
          <w:iCs/>
          <w:color w:val="000000" w:themeColor="text1"/>
          <w:szCs w:val="22"/>
          <w:lang w:eastAsia="cs-CZ"/>
        </w:rPr>
        <w:t>4 526 (8 076), 226 (210) denných centier s celkovým počtom</w:t>
      </w:r>
      <w:r w:rsidR="0009243D" w:rsidRPr="004C5551">
        <w:rPr>
          <w:iCs/>
          <w:color w:val="000000" w:themeColor="text1"/>
          <w:szCs w:val="22"/>
          <w:lang w:eastAsia="cs-CZ"/>
        </w:rPr>
        <w:t xml:space="preserve"> prijímateľov</w:t>
      </w:r>
      <w:r w:rsidR="00423669" w:rsidRPr="004C5551">
        <w:rPr>
          <w:iCs/>
          <w:color w:val="000000" w:themeColor="text1"/>
          <w:szCs w:val="22"/>
          <w:lang w:eastAsia="cs-CZ"/>
        </w:rPr>
        <w:t xml:space="preserve"> </w:t>
      </w:r>
      <w:r w:rsidRPr="004C5551">
        <w:rPr>
          <w:iCs/>
          <w:color w:val="000000" w:themeColor="text1"/>
          <w:szCs w:val="22"/>
          <w:lang w:eastAsia="cs-CZ"/>
        </w:rPr>
        <w:t xml:space="preserve">40 885 (38 327), 5 (8) integračných centier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2 688 (382), 134 (98) jedální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19 723 (91 949), 24 (29) práčovní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2 863 (6 162) a 26 (26) stredísk osobnej hygieny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16 809 (8 251). Pomoc pri osobnej starostlivosti o dieťa a podporu zosúlaďovania osobného a pracovného života poskytovali</w:t>
      </w:r>
      <w:r w:rsidR="00423669" w:rsidRPr="004C5551">
        <w:rPr>
          <w:iCs/>
          <w:color w:val="000000" w:themeColor="text1"/>
          <w:szCs w:val="22"/>
          <w:lang w:eastAsia="cs-CZ"/>
        </w:rPr>
        <w:t xml:space="preserve"> </w:t>
      </w:r>
      <w:r w:rsidRPr="004C5551">
        <w:rPr>
          <w:iCs/>
          <w:color w:val="000000" w:themeColor="text1"/>
          <w:szCs w:val="22"/>
          <w:lang w:eastAsia="cs-CZ"/>
        </w:rPr>
        <w:t xml:space="preserve">3 (5) poskytovatelia s celkovým počtom </w:t>
      </w:r>
      <w:r w:rsidR="0009243D" w:rsidRPr="004C5551">
        <w:rPr>
          <w:iCs/>
          <w:color w:val="000000" w:themeColor="text1"/>
          <w:szCs w:val="22"/>
          <w:lang w:eastAsia="cs-CZ"/>
        </w:rPr>
        <w:t xml:space="preserve">prijímateľov 6 </w:t>
      </w:r>
      <w:r w:rsidRPr="004C5551">
        <w:rPr>
          <w:iCs/>
          <w:color w:val="000000" w:themeColor="text1"/>
          <w:szCs w:val="22"/>
          <w:lang w:eastAsia="cs-CZ"/>
        </w:rPr>
        <w:t xml:space="preserve">(7), 8 (6) poskytovateľov sprostredkovávalo osobnú asistenciu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554 (557), 44 (34) poskytovateľov požičiavalo pomôcky s celkovým počtom </w:t>
      </w:r>
      <w:r w:rsidR="0009243D" w:rsidRPr="004C5551">
        <w:rPr>
          <w:iCs/>
          <w:color w:val="000000" w:themeColor="text1"/>
          <w:szCs w:val="22"/>
          <w:lang w:eastAsia="cs-CZ"/>
        </w:rPr>
        <w:t>prijímateľov</w:t>
      </w:r>
      <w:r w:rsidRPr="004C5551">
        <w:rPr>
          <w:iCs/>
          <w:color w:val="000000" w:themeColor="text1"/>
          <w:szCs w:val="22"/>
          <w:lang w:eastAsia="cs-CZ"/>
        </w:rPr>
        <w:t xml:space="preserve"> 1 525 (975), monitorovanie a signalizáciu potreby poskytovalo 9 (6) poskytov</w:t>
      </w:r>
      <w:r w:rsidR="0009243D" w:rsidRPr="004C5551">
        <w:rPr>
          <w:iCs/>
          <w:color w:val="000000" w:themeColor="text1"/>
          <w:szCs w:val="22"/>
          <w:lang w:eastAsia="cs-CZ"/>
        </w:rPr>
        <w:t>ateľov s celkovým počtom</w:t>
      </w:r>
      <w:r w:rsidR="00423669" w:rsidRPr="004C5551">
        <w:rPr>
          <w:iCs/>
          <w:color w:val="000000" w:themeColor="text1"/>
          <w:szCs w:val="22"/>
          <w:lang w:eastAsia="cs-CZ"/>
        </w:rPr>
        <w:t xml:space="preserve"> </w:t>
      </w:r>
      <w:r w:rsidR="0009243D" w:rsidRPr="004C5551">
        <w:rPr>
          <w:iCs/>
          <w:color w:val="000000" w:themeColor="text1"/>
          <w:szCs w:val="22"/>
          <w:lang w:eastAsia="cs-CZ"/>
        </w:rPr>
        <w:t>prijímateľov</w:t>
      </w:r>
      <w:r w:rsidRPr="004C5551">
        <w:rPr>
          <w:iCs/>
          <w:color w:val="000000" w:themeColor="text1"/>
          <w:szCs w:val="22"/>
          <w:lang w:eastAsia="cs-CZ"/>
        </w:rPr>
        <w:t xml:space="preserve"> 332 (280) a pomoc pri výkone opatrovníckych práv a povinností 17 (7) poskytov</w:t>
      </w:r>
      <w:r w:rsidR="0009243D" w:rsidRPr="004C5551">
        <w:rPr>
          <w:iCs/>
          <w:color w:val="000000" w:themeColor="text1"/>
          <w:szCs w:val="22"/>
          <w:lang w:eastAsia="cs-CZ"/>
        </w:rPr>
        <w:t>ateľov s celkovým počtom prijímateľov</w:t>
      </w:r>
      <w:r w:rsidRPr="004C5551">
        <w:rPr>
          <w:iCs/>
          <w:color w:val="000000" w:themeColor="text1"/>
          <w:szCs w:val="22"/>
          <w:lang w:eastAsia="cs-CZ"/>
        </w:rPr>
        <w:t xml:space="preserve"> 89 (69). </w:t>
      </w:r>
    </w:p>
    <w:p w:rsidR="006812B6" w:rsidRPr="004C5551" w:rsidRDefault="006812B6" w:rsidP="006812B6">
      <w:pPr>
        <w:ind w:firstLine="567"/>
        <w:rPr>
          <w:szCs w:val="22"/>
        </w:rPr>
      </w:pPr>
      <w:r w:rsidRPr="004C5551">
        <w:rPr>
          <w:szCs w:val="22"/>
        </w:rPr>
        <w:t>Štatistické údaje o vybraných sociálnych službách sú uvedené v prílohe ku kapitole 3, tabuľky 2</w:t>
      </w:r>
      <w:r w:rsidR="00361B9E" w:rsidRPr="004C5551">
        <w:rPr>
          <w:szCs w:val="22"/>
        </w:rPr>
        <w:t>7</w:t>
      </w:r>
      <w:r w:rsidRPr="004C5551">
        <w:rPr>
          <w:szCs w:val="22"/>
        </w:rPr>
        <w:t xml:space="preserve"> a </w:t>
      </w:r>
      <w:r w:rsidR="00361B9E" w:rsidRPr="004C5551">
        <w:rPr>
          <w:szCs w:val="22"/>
        </w:rPr>
        <w:t>29</w:t>
      </w:r>
      <w:r w:rsidRPr="004C5551">
        <w:rPr>
          <w:szCs w:val="22"/>
        </w:rPr>
        <w:t>.</w:t>
      </w:r>
    </w:p>
    <w:p w:rsidR="006812B6" w:rsidRPr="004C5551" w:rsidRDefault="006812B6" w:rsidP="006812B6">
      <w:pPr>
        <w:ind w:firstLine="567"/>
        <w:rPr>
          <w:color w:val="000000" w:themeColor="text1"/>
        </w:rPr>
      </w:pPr>
      <w:r w:rsidRPr="004C5551">
        <w:rPr>
          <w:szCs w:val="22"/>
        </w:rPr>
        <w:t xml:space="preserve"> </w:t>
      </w:r>
      <w:r w:rsidRPr="004C5551">
        <w:rPr>
          <w:color w:val="000000" w:themeColor="text1"/>
          <w:szCs w:val="22"/>
          <w:lang w:eastAsia="cs-CZ"/>
        </w:rPr>
        <w:t xml:space="preserve">V roku 2014 bolo do </w:t>
      </w:r>
      <w:r w:rsidRPr="004C5551">
        <w:rPr>
          <w:b/>
          <w:color w:val="000000" w:themeColor="text1"/>
          <w:szCs w:val="22"/>
          <w:lang w:eastAsia="cs-CZ"/>
        </w:rPr>
        <w:t>poradovníkov</w:t>
      </w:r>
      <w:r w:rsidRPr="004C5551">
        <w:rPr>
          <w:color w:val="000000" w:themeColor="text1"/>
          <w:szCs w:val="22"/>
          <w:lang w:eastAsia="cs-CZ"/>
        </w:rPr>
        <w:t xml:space="preserve"> čakateľov na poskytovanie </w:t>
      </w:r>
      <w:r w:rsidR="0009243D" w:rsidRPr="004C5551">
        <w:rPr>
          <w:color w:val="000000" w:themeColor="text1"/>
          <w:szCs w:val="22"/>
          <w:lang w:eastAsia="cs-CZ"/>
        </w:rPr>
        <w:t>sociálnych služieb</w:t>
      </w:r>
      <w:r w:rsidRPr="004C5551">
        <w:rPr>
          <w:color w:val="000000" w:themeColor="text1"/>
          <w:szCs w:val="22"/>
          <w:lang w:eastAsia="cs-CZ"/>
        </w:rPr>
        <w:t xml:space="preserve"> v zariadeniach sociálnych služieb zaradených celkovo 4 521 (4 156) </w:t>
      </w:r>
      <w:r w:rsidR="0009243D" w:rsidRPr="004C5551">
        <w:rPr>
          <w:color w:val="000000" w:themeColor="text1"/>
          <w:szCs w:val="22"/>
          <w:lang w:eastAsia="cs-CZ"/>
        </w:rPr>
        <w:t>fyzických osôb</w:t>
      </w:r>
      <w:r w:rsidRPr="004C5551">
        <w:rPr>
          <w:color w:val="000000" w:themeColor="text1"/>
          <w:szCs w:val="22"/>
          <w:lang w:eastAsia="cs-CZ"/>
        </w:rPr>
        <w:t>,</w:t>
      </w:r>
      <w:r w:rsidR="00423669" w:rsidRPr="004C5551">
        <w:rPr>
          <w:color w:val="000000" w:themeColor="text1"/>
          <w:szCs w:val="22"/>
          <w:lang w:eastAsia="cs-CZ"/>
        </w:rPr>
        <w:t xml:space="preserve"> </w:t>
      </w:r>
      <w:r w:rsidRPr="004C5551">
        <w:rPr>
          <w:color w:val="000000" w:themeColor="text1"/>
          <w:szCs w:val="22"/>
          <w:lang w:eastAsia="cs-CZ"/>
        </w:rPr>
        <w:t>z toho najviac v domovoch sociálnych služieb, a to 2 513 osôb (56</w:t>
      </w:r>
      <w:r w:rsidR="008D495A" w:rsidRPr="004C5551">
        <w:rPr>
          <w:color w:val="000000" w:themeColor="text1"/>
          <w:szCs w:val="22"/>
          <w:lang w:eastAsia="cs-CZ"/>
        </w:rPr>
        <w:t xml:space="preserve"> </w:t>
      </w:r>
      <w:r w:rsidRPr="004C5551">
        <w:rPr>
          <w:color w:val="000000" w:themeColor="text1"/>
          <w:szCs w:val="22"/>
          <w:lang w:eastAsia="cs-CZ"/>
        </w:rPr>
        <w:t>%) a v zariadeniach pre seniorov 1 717 osôb (38</w:t>
      </w:r>
      <w:r w:rsidR="003F212C" w:rsidRPr="004C5551">
        <w:rPr>
          <w:color w:val="000000" w:themeColor="text1"/>
          <w:szCs w:val="22"/>
          <w:lang w:eastAsia="cs-CZ"/>
        </w:rPr>
        <w:t> </w:t>
      </w:r>
      <w:r w:rsidRPr="004C5551">
        <w:rPr>
          <w:color w:val="000000" w:themeColor="text1"/>
          <w:szCs w:val="22"/>
          <w:lang w:eastAsia="cs-CZ"/>
        </w:rPr>
        <w:t xml:space="preserve">%). Celkový počet čakateľov oproti roku 2013 stúpol o 365 osôb. </w:t>
      </w:r>
    </w:p>
    <w:p w:rsidR="006812B6" w:rsidRPr="004C5551" w:rsidRDefault="006812B6" w:rsidP="006812B6">
      <w:pPr>
        <w:ind w:firstLine="567"/>
        <w:rPr>
          <w:szCs w:val="22"/>
        </w:rPr>
      </w:pPr>
      <w:r w:rsidRPr="004C5551">
        <w:rPr>
          <w:iCs/>
          <w:szCs w:val="22"/>
        </w:rPr>
        <w:t>Podrobnejšie štatistické údaje sú uvedené v tabuľke 2</w:t>
      </w:r>
      <w:r w:rsidR="00361B9E" w:rsidRPr="004C5551">
        <w:rPr>
          <w:iCs/>
          <w:szCs w:val="22"/>
        </w:rPr>
        <w:t>8</w:t>
      </w:r>
      <w:r w:rsidRPr="004C5551">
        <w:rPr>
          <w:szCs w:val="22"/>
        </w:rPr>
        <w:t xml:space="preserve"> v prílohe ku kapitole 3. </w:t>
      </w:r>
    </w:p>
    <w:p w:rsidR="006812B6" w:rsidRPr="004C5551" w:rsidRDefault="006812B6" w:rsidP="00E45AA6">
      <w:pPr>
        <w:pStyle w:val="Nadpis41"/>
        <w:numPr>
          <w:ilvl w:val="0"/>
          <w:numId w:val="0"/>
        </w:numPr>
        <w:ind w:left="864" w:hanging="864"/>
      </w:pPr>
      <w:r w:rsidRPr="004C5551">
        <w:t>Neverejní poskytovatelia sociálnych služieb</w:t>
      </w:r>
    </w:p>
    <w:p w:rsidR="006812B6" w:rsidRPr="004C5551" w:rsidRDefault="006812B6" w:rsidP="006812B6">
      <w:pPr>
        <w:ind w:firstLine="567"/>
        <w:rPr>
          <w:color w:val="000000" w:themeColor="text1"/>
          <w:szCs w:val="22"/>
        </w:rPr>
      </w:pPr>
      <w:r w:rsidRPr="004C5551">
        <w:rPr>
          <w:iCs/>
          <w:color w:val="000000" w:themeColor="text1"/>
        </w:rPr>
        <w:t xml:space="preserve">K 31. 12. 2014 poskytovalo sociálne služby (okrem sociálnych služieb v zariadeniach, ktoré sú sledované Štatistickým úradom SR) 418 (383) neverejných poskytovateľov, čo predstavuje nárast oproti roku </w:t>
      </w:r>
      <w:r w:rsidR="00756709" w:rsidRPr="004C5551">
        <w:rPr>
          <w:iCs/>
          <w:color w:val="000000" w:themeColor="text1"/>
        </w:rPr>
        <w:t xml:space="preserve">2013 </w:t>
      </w:r>
      <w:r w:rsidRPr="004C5551">
        <w:rPr>
          <w:iCs/>
          <w:color w:val="000000" w:themeColor="text1"/>
        </w:rPr>
        <w:t xml:space="preserve">o 35 poskytovateľov. Neverejní poskytovatelia poskytovali sociálne služby celkom 83 137 </w:t>
      </w:r>
      <w:r w:rsidR="00BD5C8A" w:rsidRPr="004C5551">
        <w:rPr>
          <w:iCs/>
          <w:color w:val="000000" w:themeColor="text1"/>
          <w:szCs w:val="22"/>
          <w:lang w:eastAsia="cs-CZ"/>
        </w:rPr>
        <w:t>prijímateľom</w:t>
      </w:r>
      <w:r w:rsidRPr="004C5551">
        <w:rPr>
          <w:iCs/>
          <w:color w:val="000000" w:themeColor="text1"/>
        </w:rPr>
        <w:t xml:space="preserve">, čo je o 9 249 viac </w:t>
      </w:r>
      <w:r w:rsidR="008D495A" w:rsidRPr="004C5551">
        <w:rPr>
          <w:iCs/>
          <w:color w:val="000000" w:themeColor="text1"/>
        </w:rPr>
        <w:t xml:space="preserve">(73 888) </w:t>
      </w:r>
      <w:r w:rsidRPr="004C5551">
        <w:rPr>
          <w:iCs/>
          <w:color w:val="000000" w:themeColor="text1"/>
        </w:rPr>
        <w:t xml:space="preserve">ako v roku 2013. Celkové príjmy neverejných poskytovateľov </w:t>
      </w:r>
      <w:r w:rsidRPr="004C5551">
        <w:rPr>
          <w:color w:val="000000" w:themeColor="text1"/>
        </w:rPr>
        <w:t>(z rozpočtov obcí, z úhrad</w:t>
      </w:r>
      <w:r w:rsidR="00BD5C8A" w:rsidRPr="004C5551">
        <w:rPr>
          <w:color w:val="000000" w:themeColor="text1"/>
        </w:rPr>
        <w:t xml:space="preserve"> od </w:t>
      </w:r>
      <w:r w:rsidR="00BD5C8A" w:rsidRPr="004C5551">
        <w:rPr>
          <w:iCs/>
          <w:color w:val="000000" w:themeColor="text1"/>
          <w:szCs w:val="22"/>
          <w:lang w:eastAsia="cs-CZ"/>
        </w:rPr>
        <w:t>prijímateľov</w:t>
      </w:r>
      <w:r w:rsidRPr="004C5551">
        <w:rPr>
          <w:color w:val="000000" w:themeColor="text1"/>
        </w:rPr>
        <w:t xml:space="preserve">, z darov a pod.) </w:t>
      </w:r>
      <w:r w:rsidRPr="004C5551">
        <w:rPr>
          <w:iCs/>
          <w:color w:val="000000" w:themeColor="text1"/>
        </w:rPr>
        <w:t>predstavovali sumu takmer 12, 80 mil. </w:t>
      </w:r>
      <w:r w:rsidR="00A96FDE" w:rsidRPr="004C5551">
        <w:rPr>
          <w:iCs/>
          <w:color w:val="000000" w:themeColor="text1"/>
        </w:rPr>
        <w:t>eur</w:t>
      </w:r>
      <w:r w:rsidRPr="004C5551">
        <w:rPr>
          <w:iCs/>
          <w:color w:val="000000" w:themeColor="text1"/>
        </w:rPr>
        <w:t>, celkové výdavky neverejných poskytovateľov dosiahli sumu 11,98 mil. </w:t>
      </w:r>
      <w:r w:rsidR="00A96FDE" w:rsidRPr="004C5551">
        <w:rPr>
          <w:iCs/>
          <w:color w:val="000000" w:themeColor="text1"/>
        </w:rPr>
        <w:t>eur</w:t>
      </w:r>
      <w:r w:rsidRPr="004C5551">
        <w:rPr>
          <w:iCs/>
          <w:color w:val="000000" w:themeColor="text1"/>
        </w:rPr>
        <w:t>.</w:t>
      </w:r>
      <w:r w:rsidRPr="004C5551">
        <w:rPr>
          <w:color w:val="000000" w:themeColor="text1"/>
          <w:szCs w:val="22"/>
        </w:rPr>
        <w:t xml:space="preserve"> </w:t>
      </w:r>
    </w:p>
    <w:p w:rsidR="006812B6" w:rsidRPr="004C5551" w:rsidRDefault="006812B6" w:rsidP="006812B6">
      <w:pPr>
        <w:ind w:firstLine="567"/>
        <w:rPr>
          <w:szCs w:val="22"/>
        </w:rPr>
      </w:pPr>
      <w:r w:rsidRPr="004C5551">
        <w:rPr>
          <w:iCs/>
          <w:szCs w:val="22"/>
        </w:rPr>
        <w:t xml:space="preserve">Ďalšie štatistické údaje obsahuje príloha ku kapitole 3, tabuľka </w:t>
      </w:r>
      <w:r w:rsidR="00361B9E" w:rsidRPr="004C5551">
        <w:rPr>
          <w:iCs/>
          <w:szCs w:val="22"/>
        </w:rPr>
        <w:t>29</w:t>
      </w:r>
      <w:r w:rsidRPr="004C5551">
        <w:rPr>
          <w:szCs w:val="22"/>
        </w:rPr>
        <w:t>.</w:t>
      </w:r>
    </w:p>
    <w:p w:rsidR="002B6349" w:rsidRPr="004C5551" w:rsidRDefault="002B6349" w:rsidP="00ED16E0">
      <w:pPr>
        <w:pStyle w:val="Nadpis41"/>
        <w:numPr>
          <w:ilvl w:val="0"/>
          <w:numId w:val="0"/>
        </w:numPr>
        <w:ind w:left="864"/>
      </w:pPr>
    </w:p>
    <w:p w:rsidR="002B6349" w:rsidRPr="004C5551" w:rsidRDefault="002B6349" w:rsidP="00ED16E0">
      <w:pPr>
        <w:pStyle w:val="Nadpis41"/>
        <w:numPr>
          <w:ilvl w:val="0"/>
          <w:numId w:val="0"/>
        </w:numPr>
        <w:ind w:left="864"/>
      </w:pPr>
    </w:p>
    <w:p w:rsidR="002B6349" w:rsidRPr="004C5551" w:rsidRDefault="002B6349" w:rsidP="00ED16E0">
      <w:pPr>
        <w:pStyle w:val="Nadpis41"/>
        <w:numPr>
          <w:ilvl w:val="0"/>
          <w:numId w:val="0"/>
        </w:numPr>
        <w:ind w:left="864"/>
      </w:pPr>
    </w:p>
    <w:p w:rsidR="002B6349" w:rsidRPr="004C5551" w:rsidRDefault="002B6349" w:rsidP="00ED16E0">
      <w:pPr>
        <w:pStyle w:val="Nadpis41"/>
        <w:numPr>
          <w:ilvl w:val="0"/>
          <w:numId w:val="0"/>
        </w:numPr>
        <w:ind w:left="864"/>
      </w:pPr>
    </w:p>
    <w:p w:rsidR="002B6349" w:rsidRPr="004C5551" w:rsidRDefault="002B6349" w:rsidP="00ED16E0">
      <w:pPr>
        <w:pStyle w:val="Nadpis41"/>
        <w:numPr>
          <w:ilvl w:val="0"/>
          <w:numId w:val="0"/>
        </w:numPr>
        <w:ind w:left="864"/>
      </w:pPr>
    </w:p>
    <w:p w:rsidR="00AD2A62" w:rsidRPr="004C5551" w:rsidRDefault="00AD2A62" w:rsidP="003F212C">
      <w:pPr>
        <w:pStyle w:val="Nadpis41"/>
        <w:numPr>
          <w:ilvl w:val="0"/>
          <w:numId w:val="0"/>
        </w:numPr>
        <w:ind w:left="864" w:hanging="864"/>
      </w:pPr>
      <w:r w:rsidRPr="004C5551">
        <w:t xml:space="preserve">Dohľad nad poskytovaním sociálnych </w:t>
      </w:r>
      <w:r w:rsidR="008B50FE" w:rsidRPr="004C5551">
        <w:t>služieb</w:t>
      </w:r>
    </w:p>
    <w:p w:rsidR="00C656BD" w:rsidRPr="004C5551" w:rsidRDefault="00C656BD" w:rsidP="003B0E51">
      <w:pPr>
        <w:widowControl w:val="0"/>
        <w:suppressAutoHyphens/>
        <w:ind w:firstLine="431"/>
        <w:rPr>
          <w:iCs/>
          <w:szCs w:val="22"/>
        </w:rPr>
      </w:pPr>
      <w:r w:rsidRPr="004C5551">
        <w:rPr>
          <w:rFonts w:eastAsia="Lucida Sans Unicode"/>
          <w:kern w:val="2"/>
          <w:lang w:eastAsia="ar-SA"/>
        </w:rPr>
        <w:t xml:space="preserve">Podľa § 98 a § 99 zákona </w:t>
      </w:r>
      <w:r w:rsidRPr="004C5551">
        <w:t>č. 448/2008 Z. z. o sociálnych službách a o zmene a doplnení zákona č. 455/1991 Zb. o živnostenskom podnikaní v znení neskorších predpisov v znení neskorších predpisov</w:t>
      </w:r>
      <w:r w:rsidRPr="004C5551">
        <w:rPr>
          <w:b/>
        </w:rPr>
        <w:t xml:space="preserve"> </w:t>
      </w:r>
      <w:r w:rsidRPr="004C5551">
        <w:rPr>
          <w:iCs/>
          <w:szCs w:val="22"/>
        </w:rPr>
        <w:t>štát prostredníctvom MPSVR SR vykonáva dohľad</w:t>
      </w:r>
      <w:r w:rsidRPr="004C5551">
        <w:rPr>
          <w:rStyle w:val="Odkaznapoznmkupodiarou"/>
          <w:rFonts w:eastAsia="Lucida Sans Unicode"/>
          <w:kern w:val="2"/>
          <w:lang w:eastAsia="ar-SA"/>
        </w:rPr>
        <w:footnoteReference w:id="37"/>
      </w:r>
      <w:r w:rsidRPr="004C5551">
        <w:rPr>
          <w:iCs/>
          <w:szCs w:val="22"/>
        </w:rPr>
        <w:t xml:space="preserve"> nad dodržiavaním zákona o sociálnych službách a všeobecne záväzných právnych predpisov pri: </w:t>
      </w:r>
    </w:p>
    <w:p w:rsidR="00C656BD" w:rsidRPr="004C5551" w:rsidRDefault="00C656BD" w:rsidP="003200FE">
      <w:pPr>
        <w:pStyle w:val="Odsekzoznamu"/>
      </w:pPr>
      <w:r w:rsidRPr="004C5551">
        <w:t xml:space="preserve">poskytovaní sociálnych služieb a spôsobe ich vykonávania, najmä z hľadiska dodržiavania základných ľudských práv a slobôd, </w:t>
      </w:r>
    </w:p>
    <w:p w:rsidR="00C656BD" w:rsidRPr="004C5551" w:rsidRDefault="00C656BD" w:rsidP="003200FE">
      <w:pPr>
        <w:pStyle w:val="Odsekzoznamu"/>
      </w:pPr>
      <w:r w:rsidRPr="004C5551">
        <w:t xml:space="preserve">uzatváraní zmlúv o poskytovaní sociálnej služby, </w:t>
      </w:r>
    </w:p>
    <w:p w:rsidR="00C656BD" w:rsidRPr="004C5551" w:rsidRDefault="00C656BD" w:rsidP="003200FE">
      <w:pPr>
        <w:pStyle w:val="Odsekzoznamu"/>
      </w:pPr>
      <w:r w:rsidRPr="004C5551">
        <w:t>dodržiavaní záväzkov zo zmluvy o poskytovaní sociálnej služby,</w:t>
      </w:r>
    </w:p>
    <w:p w:rsidR="00C50C97" w:rsidRPr="004C5551" w:rsidRDefault="00C656BD" w:rsidP="00C50C97">
      <w:pPr>
        <w:pStyle w:val="Odsekzoznamu"/>
      </w:pPr>
      <w:r w:rsidRPr="004C5551">
        <w:t xml:space="preserve">vykonávaní odborných činností, na ktoré bola udelená akreditácia. </w:t>
      </w:r>
    </w:p>
    <w:p w:rsidR="00C50C97" w:rsidRPr="004C5551" w:rsidRDefault="00C50C97" w:rsidP="00BE4E77">
      <w:pPr>
        <w:pStyle w:val="Odsekzoznamu"/>
        <w:numPr>
          <w:ilvl w:val="0"/>
          <w:numId w:val="0"/>
        </w:numPr>
        <w:ind w:left="720"/>
      </w:pPr>
    </w:p>
    <w:p w:rsidR="00C656BD" w:rsidRPr="004C5551" w:rsidRDefault="00C656BD" w:rsidP="003B0E51">
      <w:pPr>
        <w:widowControl w:val="0"/>
        <w:suppressAutoHyphens/>
        <w:ind w:firstLine="431"/>
        <w:rPr>
          <w:rFonts w:eastAsia="Lucida Sans Unicode"/>
          <w:kern w:val="2"/>
          <w:lang w:eastAsia="ar-SA"/>
        </w:rPr>
      </w:pPr>
      <w:r w:rsidRPr="004C5551">
        <w:rPr>
          <w:rFonts w:eastAsia="Lucida Sans Unicode"/>
          <w:kern w:val="2"/>
          <w:lang w:eastAsia="ar-SA"/>
        </w:rPr>
        <w:t xml:space="preserve">Pri výkone dohľadu </w:t>
      </w:r>
      <w:r w:rsidR="00EB0666" w:rsidRPr="004C5551">
        <w:rPr>
          <w:rFonts w:eastAsia="Lucida Sans Unicode"/>
          <w:kern w:val="2"/>
          <w:lang w:eastAsia="ar-SA"/>
        </w:rPr>
        <w:t xml:space="preserve">nad poskytovaním sociálnych služieb (ďalej len „dohľad“) </w:t>
      </w:r>
      <w:r w:rsidRPr="004C5551">
        <w:rPr>
          <w:rFonts w:eastAsia="Lucida Sans Unicode"/>
          <w:kern w:val="2"/>
          <w:lang w:eastAsia="ar-SA"/>
        </w:rPr>
        <w:t>ministerstvo postupuje podľa „Smernice Ministerstva práce, sociálnych vecí a rodiny Slovenskej republiky č.</w:t>
      </w:r>
      <w:r w:rsidR="004F3C97" w:rsidRPr="004C5551">
        <w:rPr>
          <w:rFonts w:eastAsia="Lucida Sans Unicode"/>
          <w:kern w:val="2"/>
          <w:lang w:eastAsia="ar-SA"/>
        </w:rPr>
        <w:t> </w:t>
      </w:r>
      <w:r w:rsidRPr="004C5551">
        <w:rPr>
          <w:rFonts w:eastAsia="Lucida Sans Unicode"/>
          <w:kern w:val="2"/>
          <w:lang w:eastAsia="ar-SA"/>
        </w:rPr>
        <w:t>50/2012 z 18. decembra 2012 na výkon dohľadu nad poskytovaním sociálnych služieb“ účinnej od</w:t>
      </w:r>
      <w:r w:rsidR="004F3C97" w:rsidRPr="004C5551">
        <w:rPr>
          <w:rFonts w:eastAsia="Lucida Sans Unicode"/>
          <w:kern w:val="2"/>
          <w:lang w:eastAsia="ar-SA"/>
        </w:rPr>
        <w:t> </w:t>
      </w:r>
      <w:r w:rsidRPr="004C5551">
        <w:rPr>
          <w:rFonts w:eastAsia="Lucida Sans Unicode"/>
          <w:kern w:val="2"/>
          <w:lang w:eastAsia="ar-SA"/>
        </w:rPr>
        <w:t xml:space="preserve">1. januára 2013 a dodatku č. 1 z 19. septembra 2013 účinného od 20. septembra 2013. </w:t>
      </w:r>
    </w:p>
    <w:p w:rsidR="00460DEB" w:rsidRPr="004C5551" w:rsidRDefault="00B64C21" w:rsidP="00460DEB">
      <w:pPr>
        <w:jc w:val="left"/>
        <w:rPr>
          <w:rFonts w:eastAsia="Lucida Sans Unicode"/>
        </w:rPr>
      </w:pPr>
      <w:r w:rsidRPr="004C5551">
        <w:t>Tabuľka 3.2</w:t>
      </w:r>
      <w:r w:rsidR="00E831C1" w:rsidRPr="004C5551">
        <w:t>9</w:t>
      </w:r>
      <w:r w:rsidR="0016196A" w:rsidRPr="004C5551">
        <w:t xml:space="preserve"> </w:t>
      </w:r>
      <w:r w:rsidR="00650C4E" w:rsidRPr="004C5551">
        <w:rPr>
          <w:rFonts w:eastAsia="Lucida Sans Unicode"/>
        </w:rPr>
        <w:t>Prehľad výkonu dohľadu a výkonu kontrol splnenia opatrení</w:t>
      </w:r>
      <w:r w:rsidR="00073D95" w:rsidRPr="004C5551">
        <w:rPr>
          <w:rFonts w:eastAsia="Lucida Sans Unicode"/>
        </w:rPr>
        <w:t xml:space="preserve"> </w:t>
      </w:r>
      <w:r w:rsidR="00650C4E" w:rsidRPr="004C5551">
        <w:rPr>
          <w:rFonts w:eastAsia="Lucida Sans Unicode"/>
        </w:rPr>
        <w:t>v roku 2014</w:t>
      </w:r>
    </w:p>
    <w:p w:rsidR="00C50C97" w:rsidRPr="004C5551" w:rsidRDefault="00C50C97" w:rsidP="00650C4E">
      <w:pPr>
        <w:spacing w:line="276" w:lineRule="auto"/>
        <w:rPr>
          <w:b/>
          <w:szCs w:val="22"/>
        </w:rPr>
      </w:pPr>
    </w:p>
    <w:p w:rsidR="00650C4E" w:rsidRPr="004C5551" w:rsidRDefault="00650C4E" w:rsidP="00650C4E">
      <w:pPr>
        <w:spacing w:line="276" w:lineRule="auto"/>
        <w:rPr>
          <w:b/>
          <w:szCs w:val="22"/>
        </w:rPr>
      </w:pPr>
      <w:r w:rsidRPr="004C5551">
        <w:rPr>
          <w:b/>
          <w:szCs w:val="22"/>
        </w:rPr>
        <w:t xml:space="preserve">Prehľad výkonu dohľadu v roku 2014 </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1"/>
        <w:gridCol w:w="697"/>
      </w:tblGrid>
      <w:tr w:rsidR="00650C4E" w:rsidRPr="004C5551" w:rsidTr="002D6646">
        <w:tc>
          <w:tcPr>
            <w:tcW w:w="8591" w:type="dxa"/>
            <w:hideMark/>
          </w:tcPr>
          <w:p w:rsidR="00650C4E" w:rsidRPr="004C5551" w:rsidRDefault="00650C4E" w:rsidP="00073D95">
            <w:pPr>
              <w:spacing w:line="276" w:lineRule="auto"/>
              <w:rPr>
                <w:b/>
              </w:rPr>
            </w:pPr>
            <w:r w:rsidRPr="004C5551">
              <w:rPr>
                <w:szCs w:val="22"/>
              </w:rPr>
              <w:t>Počet prenesených dohľadov z roku 2013 a ukončených v</w:t>
            </w:r>
            <w:r w:rsidR="00073D95" w:rsidRPr="004C5551">
              <w:rPr>
                <w:szCs w:val="22"/>
              </w:rPr>
              <w:t xml:space="preserve"> </w:t>
            </w:r>
            <w:r w:rsidRPr="004C5551">
              <w:rPr>
                <w:szCs w:val="22"/>
              </w:rPr>
              <w:t>roku 2014</w:t>
            </w:r>
          </w:p>
        </w:tc>
        <w:tc>
          <w:tcPr>
            <w:tcW w:w="697" w:type="dxa"/>
            <w:hideMark/>
          </w:tcPr>
          <w:p w:rsidR="00650C4E" w:rsidRPr="004C5551" w:rsidRDefault="00650C4E" w:rsidP="00014525">
            <w:pPr>
              <w:spacing w:line="276" w:lineRule="auto"/>
              <w:jc w:val="center"/>
              <w:rPr>
                <w:b/>
              </w:rPr>
            </w:pPr>
            <w:r w:rsidRPr="004C5551">
              <w:rPr>
                <w:b/>
                <w:szCs w:val="22"/>
              </w:rPr>
              <w:t>4</w:t>
            </w:r>
          </w:p>
        </w:tc>
      </w:tr>
      <w:tr w:rsidR="00650C4E" w:rsidRPr="004C5551" w:rsidTr="002D6646">
        <w:tc>
          <w:tcPr>
            <w:tcW w:w="8591" w:type="dxa"/>
            <w:hideMark/>
          </w:tcPr>
          <w:p w:rsidR="00650C4E" w:rsidRPr="004C5551" w:rsidRDefault="00650C4E" w:rsidP="00073D95">
            <w:pPr>
              <w:spacing w:line="276" w:lineRule="auto"/>
              <w:rPr>
                <w:b/>
              </w:rPr>
            </w:pPr>
            <w:r w:rsidRPr="004C5551">
              <w:rPr>
                <w:szCs w:val="22"/>
              </w:rPr>
              <w:t>Počet začatých a ukončených dohľadov v</w:t>
            </w:r>
            <w:r w:rsidR="00073D95" w:rsidRPr="004C5551">
              <w:rPr>
                <w:szCs w:val="22"/>
              </w:rPr>
              <w:t xml:space="preserve"> </w:t>
            </w:r>
            <w:r w:rsidRPr="004C5551">
              <w:rPr>
                <w:szCs w:val="22"/>
              </w:rPr>
              <w:t xml:space="preserve">r. 2014 podľa plánu zamerania činnosti </w:t>
            </w:r>
          </w:p>
        </w:tc>
        <w:tc>
          <w:tcPr>
            <w:tcW w:w="697" w:type="dxa"/>
            <w:hideMark/>
          </w:tcPr>
          <w:p w:rsidR="00650C4E" w:rsidRPr="004C5551" w:rsidRDefault="00650C4E" w:rsidP="00014525">
            <w:pPr>
              <w:spacing w:line="276" w:lineRule="auto"/>
              <w:jc w:val="center"/>
              <w:rPr>
                <w:b/>
              </w:rPr>
            </w:pPr>
            <w:r w:rsidRPr="004C5551">
              <w:rPr>
                <w:b/>
                <w:szCs w:val="22"/>
              </w:rPr>
              <w:t>5</w:t>
            </w:r>
          </w:p>
        </w:tc>
      </w:tr>
      <w:tr w:rsidR="00650C4E" w:rsidRPr="004C5551" w:rsidTr="002D6646">
        <w:tc>
          <w:tcPr>
            <w:tcW w:w="8591" w:type="dxa"/>
            <w:hideMark/>
          </w:tcPr>
          <w:p w:rsidR="00650C4E" w:rsidRPr="004C5551" w:rsidRDefault="00650C4E" w:rsidP="00073D95">
            <w:pPr>
              <w:spacing w:line="276" w:lineRule="auto"/>
              <w:rPr>
                <w:b/>
                <w:bCs/>
              </w:rPr>
            </w:pPr>
            <w:r w:rsidRPr="004C5551">
              <w:rPr>
                <w:bCs/>
                <w:szCs w:val="22"/>
              </w:rPr>
              <w:t>Počet začatých a ukončených dohľadov nad rámec zamerania v</w:t>
            </w:r>
            <w:r w:rsidR="00073D95" w:rsidRPr="004C5551">
              <w:rPr>
                <w:bCs/>
                <w:szCs w:val="22"/>
              </w:rPr>
              <w:t xml:space="preserve"> </w:t>
            </w:r>
            <w:r w:rsidRPr="004C5551">
              <w:rPr>
                <w:bCs/>
                <w:szCs w:val="22"/>
              </w:rPr>
              <w:t>rok 2014</w:t>
            </w:r>
          </w:p>
        </w:tc>
        <w:tc>
          <w:tcPr>
            <w:tcW w:w="697" w:type="dxa"/>
            <w:hideMark/>
          </w:tcPr>
          <w:p w:rsidR="00650C4E" w:rsidRPr="004C5551" w:rsidRDefault="00650C4E" w:rsidP="00014525">
            <w:pPr>
              <w:spacing w:line="276" w:lineRule="auto"/>
              <w:jc w:val="center"/>
              <w:rPr>
                <w:b/>
              </w:rPr>
            </w:pPr>
            <w:r w:rsidRPr="004C5551">
              <w:rPr>
                <w:b/>
                <w:szCs w:val="22"/>
              </w:rPr>
              <w:t>3</w:t>
            </w:r>
          </w:p>
        </w:tc>
      </w:tr>
      <w:tr w:rsidR="00650C4E" w:rsidRPr="004C5551" w:rsidTr="002D6646">
        <w:tc>
          <w:tcPr>
            <w:tcW w:w="8591" w:type="dxa"/>
            <w:hideMark/>
          </w:tcPr>
          <w:p w:rsidR="00650C4E" w:rsidRPr="004C5551" w:rsidRDefault="00650C4E" w:rsidP="00073D95">
            <w:pPr>
              <w:spacing w:line="276" w:lineRule="auto"/>
              <w:rPr>
                <w:b/>
              </w:rPr>
            </w:pPr>
            <w:r w:rsidRPr="004C5551">
              <w:rPr>
                <w:b/>
                <w:bCs/>
                <w:szCs w:val="22"/>
              </w:rPr>
              <w:t>Celkový počet vykonaných a ukončených dohľadov v</w:t>
            </w:r>
            <w:r w:rsidR="00073D95" w:rsidRPr="004C5551">
              <w:rPr>
                <w:b/>
                <w:bCs/>
                <w:szCs w:val="22"/>
              </w:rPr>
              <w:t xml:space="preserve"> </w:t>
            </w:r>
            <w:r w:rsidRPr="004C5551">
              <w:rPr>
                <w:b/>
                <w:bCs/>
                <w:szCs w:val="22"/>
              </w:rPr>
              <w:t>roku 2014</w:t>
            </w:r>
          </w:p>
        </w:tc>
        <w:tc>
          <w:tcPr>
            <w:tcW w:w="697" w:type="dxa"/>
            <w:hideMark/>
          </w:tcPr>
          <w:p w:rsidR="00650C4E" w:rsidRPr="004C5551" w:rsidRDefault="00650C4E" w:rsidP="00014525">
            <w:pPr>
              <w:spacing w:line="276" w:lineRule="auto"/>
              <w:jc w:val="center"/>
              <w:rPr>
                <w:b/>
              </w:rPr>
            </w:pPr>
            <w:r w:rsidRPr="004C5551">
              <w:rPr>
                <w:b/>
                <w:szCs w:val="22"/>
              </w:rPr>
              <w:t>12</w:t>
            </w:r>
          </w:p>
        </w:tc>
      </w:tr>
      <w:tr w:rsidR="00650C4E" w:rsidRPr="004C5551" w:rsidTr="002D6646">
        <w:tc>
          <w:tcPr>
            <w:tcW w:w="8591" w:type="dxa"/>
            <w:hideMark/>
          </w:tcPr>
          <w:p w:rsidR="00650C4E" w:rsidRPr="004C5551" w:rsidRDefault="00650C4E" w:rsidP="00014525">
            <w:pPr>
              <w:spacing w:line="276" w:lineRule="auto"/>
              <w:rPr>
                <w:bCs/>
              </w:rPr>
            </w:pPr>
            <w:r w:rsidRPr="004C5551">
              <w:rPr>
                <w:bCs/>
                <w:szCs w:val="22"/>
              </w:rPr>
              <w:t>Počet začatých a neukončených dohľadov v roku 2014 podľa plánu zamerania činnosti odboru dohľadu</w:t>
            </w:r>
          </w:p>
        </w:tc>
        <w:tc>
          <w:tcPr>
            <w:tcW w:w="697" w:type="dxa"/>
            <w:hideMark/>
          </w:tcPr>
          <w:p w:rsidR="00650C4E" w:rsidRPr="004C5551" w:rsidRDefault="00650C4E" w:rsidP="00014525">
            <w:pPr>
              <w:spacing w:line="276" w:lineRule="auto"/>
              <w:jc w:val="center"/>
              <w:rPr>
                <w:b/>
              </w:rPr>
            </w:pPr>
            <w:r w:rsidRPr="004C5551">
              <w:rPr>
                <w:b/>
                <w:szCs w:val="22"/>
              </w:rPr>
              <w:t>1</w:t>
            </w:r>
          </w:p>
        </w:tc>
      </w:tr>
      <w:tr w:rsidR="00650C4E" w:rsidRPr="004C5551" w:rsidTr="002D6646">
        <w:tc>
          <w:tcPr>
            <w:tcW w:w="8591" w:type="dxa"/>
            <w:hideMark/>
          </w:tcPr>
          <w:p w:rsidR="00650C4E" w:rsidRPr="004C5551" w:rsidRDefault="00650C4E" w:rsidP="00014525">
            <w:pPr>
              <w:spacing w:line="276" w:lineRule="auto"/>
              <w:rPr>
                <w:bCs/>
              </w:rPr>
            </w:pPr>
            <w:r w:rsidRPr="004C5551">
              <w:rPr>
                <w:bCs/>
                <w:szCs w:val="22"/>
              </w:rPr>
              <w:t>Počet začatých a neukončených dohľadov v roku 2014 mimo zamerania činnosti odboru dohľadu</w:t>
            </w:r>
          </w:p>
        </w:tc>
        <w:tc>
          <w:tcPr>
            <w:tcW w:w="697" w:type="dxa"/>
            <w:hideMark/>
          </w:tcPr>
          <w:p w:rsidR="00650C4E" w:rsidRPr="004C5551" w:rsidRDefault="00650C4E" w:rsidP="00014525">
            <w:pPr>
              <w:spacing w:line="276" w:lineRule="auto"/>
              <w:jc w:val="center"/>
              <w:rPr>
                <w:b/>
              </w:rPr>
            </w:pPr>
            <w:r w:rsidRPr="004C5551">
              <w:rPr>
                <w:b/>
                <w:szCs w:val="22"/>
              </w:rPr>
              <w:t>2</w:t>
            </w:r>
          </w:p>
        </w:tc>
      </w:tr>
    </w:tbl>
    <w:p w:rsidR="00650C4E" w:rsidRPr="004C5551" w:rsidRDefault="00650C4E" w:rsidP="00650C4E">
      <w:pPr>
        <w:spacing w:line="276" w:lineRule="auto"/>
        <w:rPr>
          <w:b/>
          <w:szCs w:val="22"/>
        </w:rPr>
      </w:pPr>
      <w:r w:rsidRPr="004C5551">
        <w:rPr>
          <w:b/>
          <w:szCs w:val="22"/>
        </w:rPr>
        <w:t>Prehľad výkonu kontrol splnenia opatrení</w:t>
      </w:r>
      <w:r w:rsidR="00073D95" w:rsidRPr="004C5551">
        <w:rPr>
          <w:b/>
          <w:szCs w:val="22"/>
        </w:rPr>
        <w:t xml:space="preserve"> </w:t>
      </w:r>
      <w:r w:rsidRPr="004C5551">
        <w:rPr>
          <w:b/>
          <w:szCs w:val="22"/>
        </w:rPr>
        <w:t>v roku 2014</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5"/>
        <w:gridCol w:w="693"/>
      </w:tblGrid>
      <w:tr w:rsidR="00650C4E" w:rsidRPr="004C5551" w:rsidTr="002D6646">
        <w:tc>
          <w:tcPr>
            <w:tcW w:w="8595" w:type="dxa"/>
            <w:hideMark/>
          </w:tcPr>
          <w:p w:rsidR="00650C4E" w:rsidRPr="004C5551" w:rsidRDefault="00650C4E" w:rsidP="004A5701">
            <w:pPr>
              <w:spacing w:line="276" w:lineRule="auto"/>
            </w:pPr>
            <w:r w:rsidRPr="004C5551">
              <w:rPr>
                <w:szCs w:val="22"/>
              </w:rPr>
              <w:t>Počet vykonaných</w:t>
            </w:r>
            <w:r w:rsidR="004A5701" w:rsidRPr="004C5551">
              <w:rPr>
                <w:szCs w:val="22"/>
              </w:rPr>
              <w:t xml:space="preserve"> </w:t>
            </w:r>
            <w:r w:rsidRPr="004C5551">
              <w:rPr>
                <w:szCs w:val="22"/>
              </w:rPr>
              <w:t>kontrol splnenia prijatých opatrení z roku 2013 a ukončených v roku 2014</w:t>
            </w:r>
          </w:p>
        </w:tc>
        <w:tc>
          <w:tcPr>
            <w:tcW w:w="693" w:type="dxa"/>
            <w:hideMark/>
          </w:tcPr>
          <w:p w:rsidR="00650C4E" w:rsidRPr="004C5551" w:rsidRDefault="00650C4E" w:rsidP="00014525">
            <w:pPr>
              <w:spacing w:line="276" w:lineRule="auto"/>
              <w:jc w:val="center"/>
              <w:rPr>
                <w:b/>
              </w:rPr>
            </w:pPr>
            <w:r w:rsidRPr="004C5551">
              <w:rPr>
                <w:b/>
                <w:szCs w:val="22"/>
              </w:rPr>
              <w:t>0</w:t>
            </w:r>
          </w:p>
        </w:tc>
      </w:tr>
      <w:tr w:rsidR="00650C4E" w:rsidRPr="004C5551" w:rsidTr="002D6646">
        <w:tc>
          <w:tcPr>
            <w:tcW w:w="8595" w:type="dxa"/>
            <w:hideMark/>
          </w:tcPr>
          <w:p w:rsidR="00650C4E" w:rsidRPr="004C5551" w:rsidRDefault="00650C4E" w:rsidP="00073D95">
            <w:pPr>
              <w:spacing w:line="276" w:lineRule="auto"/>
              <w:rPr>
                <w:b/>
              </w:rPr>
            </w:pPr>
            <w:r w:rsidRPr="004C5551">
              <w:rPr>
                <w:szCs w:val="22"/>
              </w:rPr>
              <w:t>Počet</w:t>
            </w:r>
            <w:r w:rsidR="00073D95" w:rsidRPr="004C5551">
              <w:rPr>
                <w:szCs w:val="22"/>
              </w:rPr>
              <w:t xml:space="preserve"> </w:t>
            </w:r>
            <w:r w:rsidRPr="004C5551">
              <w:rPr>
                <w:szCs w:val="22"/>
              </w:rPr>
              <w:t>naplánovaných kontrol splnenia prijatých opatrení na rok 2014</w:t>
            </w:r>
          </w:p>
        </w:tc>
        <w:tc>
          <w:tcPr>
            <w:tcW w:w="693" w:type="dxa"/>
            <w:hideMark/>
          </w:tcPr>
          <w:p w:rsidR="00650C4E" w:rsidRPr="004C5551" w:rsidRDefault="00650C4E" w:rsidP="00014525">
            <w:pPr>
              <w:spacing w:line="276" w:lineRule="auto"/>
              <w:jc w:val="center"/>
              <w:rPr>
                <w:b/>
              </w:rPr>
            </w:pPr>
            <w:r w:rsidRPr="004C5551">
              <w:rPr>
                <w:b/>
                <w:szCs w:val="22"/>
              </w:rPr>
              <w:t>1</w:t>
            </w:r>
          </w:p>
        </w:tc>
      </w:tr>
      <w:tr w:rsidR="00650C4E" w:rsidRPr="004C5551" w:rsidTr="002D6646">
        <w:tc>
          <w:tcPr>
            <w:tcW w:w="8595" w:type="dxa"/>
            <w:hideMark/>
          </w:tcPr>
          <w:p w:rsidR="00650C4E" w:rsidRPr="004C5551" w:rsidRDefault="00650C4E" w:rsidP="00014525">
            <w:pPr>
              <w:spacing w:line="276" w:lineRule="auto"/>
              <w:rPr>
                <w:b/>
              </w:rPr>
            </w:pPr>
            <w:r w:rsidRPr="004C5551">
              <w:rPr>
                <w:szCs w:val="22"/>
              </w:rPr>
              <w:t xml:space="preserve">Počet vykonaných kontrol splnenia prijatých opatrení v roku 2014 </w:t>
            </w:r>
          </w:p>
        </w:tc>
        <w:tc>
          <w:tcPr>
            <w:tcW w:w="693" w:type="dxa"/>
            <w:hideMark/>
          </w:tcPr>
          <w:p w:rsidR="00650C4E" w:rsidRPr="004C5551" w:rsidRDefault="00650C4E" w:rsidP="00014525">
            <w:pPr>
              <w:spacing w:line="276" w:lineRule="auto"/>
              <w:jc w:val="center"/>
              <w:rPr>
                <w:b/>
              </w:rPr>
            </w:pPr>
            <w:r w:rsidRPr="004C5551">
              <w:rPr>
                <w:b/>
                <w:szCs w:val="22"/>
              </w:rPr>
              <w:t>0</w:t>
            </w:r>
          </w:p>
        </w:tc>
      </w:tr>
      <w:tr w:rsidR="00650C4E" w:rsidRPr="004C5551" w:rsidTr="002D6646">
        <w:tc>
          <w:tcPr>
            <w:tcW w:w="8595" w:type="dxa"/>
            <w:hideMark/>
          </w:tcPr>
          <w:p w:rsidR="00650C4E" w:rsidRPr="004C5551" w:rsidRDefault="00650C4E" w:rsidP="00073D95">
            <w:pPr>
              <w:spacing w:line="276" w:lineRule="auto"/>
              <w:rPr>
                <w:b/>
              </w:rPr>
            </w:pPr>
            <w:r w:rsidRPr="004C5551">
              <w:rPr>
                <w:szCs w:val="22"/>
              </w:rPr>
              <w:t>Počet neuskutočnených</w:t>
            </w:r>
            <w:r w:rsidR="00073D95" w:rsidRPr="004C5551">
              <w:rPr>
                <w:szCs w:val="22"/>
              </w:rPr>
              <w:t xml:space="preserve"> </w:t>
            </w:r>
            <w:r w:rsidRPr="004C5551">
              <w:rPr>
                <w:szCs w:val="22"/>
              </w:rPr>
              <w:t>kontrol splnenia prijatých opatrení, prenesených do roku 2015</w:t>
            </w:r>
          </w:p>
        </w:tc>
        <w:tc>
          <w:tcPr>
            <w:tcW w:w="693" w:type="dxa"/>
            <w:hideMark/>
          </w:tcPr>
          <w:p w:rsidR="00650C4E" w:rsidRPr="004C5551" w:rsidRDefault="00650C4E" w:rsidP="00014525">
            <w:pPr>
              <w:spacing w:line="276" w:lineRule="auto"/>
              <w:jc w:val="center"/>
              <w:rPr>
                <w:b/>
              </w:rPr>
            </w:pPr>
            <w:r w:rsidRPr="004C5551">
              <w:rPr>
                <w:b/>
                <w:szCs w:val="22"/>
              </w:rPr>
              <w:t>0</w:t>
            </w:r>
          </w:p>
        </w:tc>
      </w:tr>
    </w:tbl>
    <w:p w:rsidR="00650C4E" w:rsidRPr="004C5551" w:rsidRDefault="00650C4E" w:rsidP="003B0E51">
      <w:pPr>
        <w:pStyle w:val="Odsekzoznamu"/>
        <w:numPr>
          <w:ilvl w:val="0"/>
          <w:numId w:val="0"/>
        </w:numPr>
        <w:spacing w:before="120"/>
        <w:ind w:firstLine="431"/>
        <w:rPr>
          <w:rFonts w:eastAsia="Lucida Sans Unicode"/>
          <w:kern w:val="2"/>
          <w:szCs w:val="22"/>
          <w:lang w:eastAsia="ar-SA"/>
        </w:rPr>
      </w:pPr>
      <w:r w:rsidRPr="004C5551">
        <w:rPr>
          <w:rFonts w:eastAsia="Lucida Sans Unicode"/>
          <w:kern w:val="2"/>
          <w:szCs w:val="22"/>
          <w:lang w:eastAsia="ar-SA"/>
        </w:rPr>
        <w:t>U </w:t>
      </w:r>
      <w:r w:rsidR="00256F64" w:rsidRPr="004C5551">
        <w:rPr>
          <w:rFonts w:eastAsia="Lucida Sans Unicode"/>
          <w:kern w:val="2"/>
          <w:szCs w:val="22"/>
          <w:lang w:eastAsia="ar-SA"/>
        </w:rPr>
        <w:t xml:space="preserve">11 z celkového počtu 12 </w:t>
      </w:r>
      <w:r w:rsidRPr="004C5551">
        <w:rPr>
          <w:rFonts w:eastAsia="Lucida Sans Unicode"/>
          <w:kern w:val="2"/>
          <w:szCs w:val="22"/>
          <w:lang w:eastAsia="ar-SA"/>
        </w:rPr>
        <w:t>verejnýc</w:t>
      </w:r>
      <w:r w:rsidR="00256F64" w:rsidRPr="004C5551">
        <w:rPr>
          <w:rFonts w:eastAsia="Lucida Sans Unicode"/>
          <w:kern w:val="2"/>
          <w:szCs w:val="22"/>
          <w:lang w:eastAsia="ar-SA"/>
        </w:rPr>
        <w:t>h aj neverejných poskytovateľov</w:t>
      </w:r>
      <w:r w:rsidRPr="004C5551">
        <w:rPr>
          <w:rFonts w:eastAsia="Lucida Sans Unicode"/>
          <w:kern w:val="2"/>
          <w:szCs w:val="22"/>
          <w:lang w:eastAsia="ar-SA"/>
        </w:rPr>
        <w:t xml:space="preserve">, u ktorých boli vykonané dohľady v roku 2014, boli zistené porušenia Ústavy SR, zákona o sociálnych službách a iných všeobecne záväzných právnych predpisov. </w:t>
      </w:r>
    </w:p>
    <w:p w:rsidR="00650C4E" w:rsidRPr="004C5551" w:rsidRDefault="00650C4E" w:rsidP="003200FE">
      <w:pPr>
        <w:rPr>
          <w:rFonts w:eastAsia="Lucida Sans Unicode"/>
          <w:b/>
          <w:iCs/>
          <w:kern w:val="2"/>
          <w:szCs w:val="22"/>
          <w:lang w:eastAsia="ar-SA"/>
        </w:rPr>
      </w:pPr>
      <w:r w:rsidRPr="004C5551">
        <w:rPr>
          <w:rFonts w:eastAsia="Lucida Sans Unicode"/>
          <w:b/>
          <w:iCs/>
          <w:kern w:val="2"/>
          <w:szCs w:val="22"/>
          <w:lang w:eastAsia="ar-SA"/>
        </w:rPr>
        <w:t xml:space="preserve">Vykonanými dohľadmi v roku 2014 boli zistené najmä: </w:t>
      </w:r>
    </w:p>
    <w:p w:rsidR="00650C4E" w:rsidRPr="004C5551" w:rsidRDefault="00650C4E" w:rsidP="009C55E3">
      <w:pPr>
        <w:pStyle w:val="Odsekzoznamu"/>
        <w:numPr>
          <w:ilvl w:val="0"/>
          <w:numId w:val="25"/>
        </w:numPr>
        <w:suppressAutoHyphens/>
        <w:spacing w:after="200"/>
        <w:ind w:left="284" w:hanging="284"/>
        <w:contextualSpacing/>
        <w:rPr>
          <w:szCs w:val="22"/>
        </w:rPr>
      </w:pPr>
      <w:r w:rsidRPr="004C5551">
        <w:rPr>
          <w:szCs w:val="22"/>
        </w:rPr>
        <w:t>Porušenia</w:t>
      </w:r>
      <w:r w:rsidR="00073D95" w:rsidRPr="004C5551">
        <w:rPr>
          <w:szCs w:val="22"/>
        </w:rPr>
        <w:t xml:space="preserve"> </w:t>
      </w:r>
      <w:r w:rsidRPr="004C5551">
        <w:rPr>
          <w:szCs w:val="22"/>
        </w:rPr>
        <w:t>zákona č. 460/1992 Zb. Ústava Slovenskej republiky v znení neskorších predpisov</w:t>
      </w:r>
      <w:r w:rsidR="00073D95" w:rsidRPr="004C5551">
        <w:rPr>
          <w:szCs w:val="22"/>
        </w:rPr>
        <w:t xml:space="preserve"> </w:t>
      </w:r>
      <w:r w:rsidRPr="004C5551">
        <w:rPr>
          <w:szCs w:val="22"/>
        </w:rPr>
        <w:t>vo</w:t>
      </w:r>
      <w:r w:rsidR="002D6646" w:rsidRPr="004C5551">
        <w:rPr>
          <w:szCs w:val="22"/>
        </w:rPr>
        <w:t> </w:t>
      </w:r>
      <w:r w:rsidRPr="004C5551">
        <w:rPr>
          <w:szCs w:val="22"/>
        </w:rPr>
        <w:t>vnútorných predpisoch poskytovateľov, ktoré nemajú oporu v právnom poriadku SR spočívajúce v:</w:t>
      </w:r>
    </w:p>
    <w:p w:rsidR="00650C4E" w:rsidRPr="004C5551" w:rsidRDefault="00650C4E" w:rsidP="009C55E3">
      <w:pPr>
        <w:pStyle w:val="Odsekzoznamu"/>
        <w:numPr>
          <w:ilvl w:val="0"/>
          <w:numId w:val="27"/>
        </w:numPr>
        <w:suppressAutoHyphens/>
        <w:spacing w:after="200"/>
        <w:contextualSpacing/>
        <w:rPr>
          <w:szCs w:val="22"/>
        </w:rPr>
      </w:pPr>
      <w:r w:rsidRPr="004C5551">
        <w:rPr>
          <w:szCs w:val="22"/>
        </w:rPr>
        <w:t>obmedzení slobody pohybu</w:t>
      </w:r>
      <w:r w:rsidR="0075738B" w:rsidRPr="004C5551">
        <w:rPr>
          <w:szCs w:val="22"/>
        </w:rPr>
        <w:t xml:space="preserve"> </w:t>
      </w:r>
      <w:r w:rsidR="0075738B" w:rsidRPr="004C5551">
        <w:rPr>
          <w:iCs/>
          <w:color w:val="000000" w:themeColor="text1"/>
          <w:szCs w:val="22"/>
          <w:lang w:eastAsia="cs-CZ"/>
        </w:rPr>
        <w:t>prijímateľov</w:t>
      </w:r>
      <w:r w:rsidRPr="004C5551">
        <w:rPr>
          <w:szCs w:val="22"/>
        </w:rPr>
        <w:t>,</w:t>
      </w:r>
    </w:p>
    <w:p w:rsidR="00650C4E" w:rsidRPr="004C5551" w:rsidRDefault="00650C4E" w:rsidP="009C55E3">
      <w:pPr>
        <w:pStyle w:val="Odsekzoznamu"/>
        <w:numPr>
          <w:ilvl w:val="0"/>
          <w:numId w:val="27"/>
        </w:numPr>
        <w:suppressAutoHyphens/>
        <w:spacing w:after="200"/>
        <w:contextualSpacing/>
        <w:rPr>
          <w:szCs w:val="22"/>
        </w:rPr>
      </w:pPr>
      <w:r w:rsidRPr="004C5551">
        <w:rPr>
          <w:szCs w:val="22"/>
        </w:rPr>
        <w:t>zákazoch a príkazoch bez opory v zákonoch.</w:t>
      </w:r>
    </w:p>
    <w:p w:rsidR="00650C4E" w:rsidRPr="004C5551" w:rsidRDefault="00650C4E" w:rsidP="009C55E3">
      <w:pPr>
        <w:pStyle w:val="Odsekzoznamu"/>
        <w:numPr>
          <w:ilvl w:val="0"/>
          <w:numId w:val="25"/>
        </w:numPr>
        <w:spacing w:after="200"/>
        <w:ind w:left="284" w:hanging="284"/>
        <w:contextualSpacing/>
        <w:rPr>
          <w:szCs w:val="22"/>
        </w:rPr>
      </w:pPr>
      <w:r w:rsidRPr="004C5551">
        <w:rPr>
          <w:szCs w:val="22"/>
        </w:rPr>
        <w:t>Porušenia</w:t>
      </w:r>
      <w:r w:rsidR="00073D95" w:rsidRPr="004C5551">
        <w:rPr>
          <w:szCs w:val="22"/>
        </w:rPr>
        <w:t xml:space="preserve"> </w:t>
      </w:r>
      <w:r w:rsidRPr="004C5551">
        <w:rPr>
          <w:szCs w:val="22"/>
        </w:rPr>
        <w:t>zákona o sociálnych službách spočívajúce v:</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práv prijímateľov,</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povi</w:t>
      </w:r>
      <w:r w:rsidR="0075738B" w:rsidRPr="004C5551">
        <w:rPr>
          <w:szCs w:val="22"/>
        </w:rPr>
        <w:t xml:space="preserve">nností poskytovateľov </w:t>
      </w:r>
      <w:r w:rsidR="00287AEA" w:rsidRPr="004C5551">
        <w:rPr>
          <w:szCs w:val="22"/>
        </w:rPr>
        <w:t>pri </w:t>
      </w:r>
      <w:r w:rsidRPr="004C5551">
        <w:rPr>
          <w:szCs w:val="22"/>
        </w:rPr>
        <w:t xml:space="preserve">plánovaní poskytovania sociálnej služby podľa individuálnych potrieb, schopností a cieľov prijímateľa, </w:t>
      </w:r>
    </w:p>
    <w:p w:rsidR="00650C4E" w:rsidRPr="004C5551" w:rsidRDefault="00650C4E" w:rsidP="003200FE">
      <w:pPr>
        <w:pStyle w:val="Odsekzoznamu"/>
        <w:numPr>
          <w:ilvl w:val="0"/>
          <w:numId w:val="18"/>
        </w:numPr>
        <w:spacing w:after="200"/>
        <w:ind w:left="720"/>
        <w:contextualSpacing/>
        <w:rPr>
          <w:szCs w:val="22"/>
        </w:rPr>
      </w:pPr>
      <w:r w:rsidRPr="004C5551">
        <w:rPr>
          <w:szCs w:val="22"/>
        </w:rPr>
        <w:t>neplnení procedurálnych, personálnych a prevádzkových podmienok poskytovateľa,</w:t>
      </w:r>
    </w:p>
    <w:p w:rsidR="00650C4E" w:rsidRPr="004C5551" w:rsidRDefault="00650C4E" w:rsidP="003200FE">
      <w:pPr>
        <w:pStyle w:val="Odsekzoznamu"/>
        <w:numPr>
          <w:ilvl w:val="0"/>
          <w:numId w:val="18"/>
        </w:numPr>
        <w:spacing w:after="200"/>
        <w:ind w:left="720"/>
        <w:contextualSpacing/>
        <w:rPr>
          <w:szCs w:val="22"/>
        </w:rPr>
      </w:pPr>
      <w:r w:rsidRPr="004C5551">
        <w:rPr>
          <w:szCs w:val="22"/>
        </w:rPr>
        <w:t xml:space="preserve">neuskutočňovaní programu </w:t>
      </w:r>
      <w:proofErr w:type="spellStart"/>
      <w:r w:rsidRPr="004C5551">
        <w:rPr>
          <w:szCs w:val="22"/>
        </w:rPr>
        <w:t>supervízie</w:t>
      </w:r>
      <w:proofErr w:type="spellEnd"/>
      <w:r w:rsidRPr="004C5551">
        <w:rPr>
          <w:szCs w:val="22"/>
        </w:rPr>
        <w:t xml:space="preserve">, </w:t>
      </w:r>
    </w:p>
    <w:p w:rsidR="00650C4E" w:rsidRPr="004C5551" w:rsidRDefault="00650C4E" w:rsidP="003200FE">
      <w:pPr>
        <w:pStyle w:val="Odsekzoznamu"/>
        <w:numPr>
          <w:ilvl w:val="0"/>
          <w:numId w:val="18"/>
        </w:numPr>
        <w:spacing w:after="200"/>
        <w:ind w:left="720"/>
        <w:contextualSpacing/>
        <w:rPr>
          <w:color w:val="00B050"/>
          <w:szCs w:val="22"/>
        </w:rPr>
      </w:pPr>
      <w:r w:rsidRPr="004C5551">
        <w:rPr>
          <w:szCs w:val="22"/>
        </w:rPr>
        <w:t>porušovaní zákona pri úschove cenných vecí prijímateľa</w:t>
      </w:r>
      <w:r w:rsidRPr="004C5551">
        <w:rPr>
          <w:color w:val="00B050"/>
          <w:szCs w:val="22"/>
        </w:rPr>
        <w:t xml:space="preserve">, </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povinností poskytovateľa pri ochrane života, zdravia a dôstojnosti prijímateľa,</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povinnosti poskytovateľa pri vykonávaní odborných, obslužných a ďalších činností, zabezpečení vykonávania týchto činností alebo utvárania podmienok na ich vykonávanie v rozsahu ustanovenom zákonom a pre druh sociálnej služby, ktorý poskytuje,</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zákona pri prijímaní darov,</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zákona pri určovaní úhrady za sociálnu službu,</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zákona pri uzatváraní zmlúv o poskytovaní sociálnej služby a dodržiavaní záväzkov zo zmluvy,</w:t>
      </w:r>
    </w:p>
    <w:p w:rsidR="00650C4E" w:rsidRPr="004C5551" w:rsidRDefault="00650C4E" w:rsidP="003200FE">
      <w:pPr>
        <w:pStyle w:val="Odsekzoznamu"/>
        <w:numPr>
          <w:ilvl w:val="0"/>
          <w:numId w:val="18"/>
        </w:numPr>
        <w:spacing w:after="200"/>
        <w:ind w:left="720"/>
        <w:contextualSpacing/>
        <w:rPr>
          <w:szCs w:val="22"/>
        </w:rPr>
      </w:pPr>
      <w:r w:rsidRPr="004C5551">
        <w:rPr>
          <w:szCs w:val="22"/>
        </w:rPr>
        <w:t>porušovaní zákona pri vedení evidencie prijímateľov.</w:t>
      </w:r>
    </w:p>
    <w:p w:rsidR="00650C4E" w:rsidRPr="004C5551" w:rsidRDefault="00650C4E" w:rsidP="009C55E3">
      <w:pPr>
        <w:pStyle w:val="Odsekzoznamu"/>
        <w:numPr>
          <w:ilvl w:val="0"/>
          <w:numId w:val="26"/>
        </w:numPr>
        <w:suppressAutoHyphens/>
        <w:autoSpaceDN w:val="0"/>
        <w:spacing w:after="200"/>
        <w:ind w:left="284" w:hanging="284"/>
        <w:contextualSpacing/>
        <w:textAlignment w:val="baseline"/>
        <w:rPr>
          <w:szCs w:val="22"/>
        </w:rPr>
      </w:pPr>
      <w:r w:rsidRPr="004C5551">
        <w:rPr>
          <w:szCs w:val="22"/>
        </w:rPr>
        <w:t>Porušenia</w:t>
      </w:r>
      <w:r w:rsidR="00073D95" w:rsidRPr="004C5551">
        <w:rPr>
          <w:szCs w:val="22"/>
        </w:rPr>
        <w:t xml:space="preserve"> </w:t>
      </w:r>
      <w:r w:rsidRPr="004C5551">
        <w:rPr>
          <w:szCs w:val="22"/>
        </w:rPr>
        <w:t>zákona</w:t>
      </w:r>
      <w:r w:rsidR="00073D95" w:rsidRPr="004C5551">
        <w:rPr>
          <w:szCs w:val="22"/>
        </w:rPr>
        <w:t xml:space="preserve"> </w:t>
      </w:r>
      <w:r w:rsidRPr="004C5551">
        <w:rPr>
          <w:szCs w:val="22"/>
        </w:rPr>
        <w:t>č. 40/1964 Zb. Občiansky zákonník v znení neskorších predpisov spočívajúce v:</w:t>
      </w:r>
    </w:p>
    <w:p w:rsidR="00650C4E" w:rsidRPr="004C5551" w:rsidRDefault="00650C4E" w:rsidP="003200FE">
      <w:pPr>
        <w:pStyle w:val="Odsekzoznamu"/>
        <w:numPr>
          <w:ilvl w:val="0"/>
          <w:numId w:val="18"/>
        </w:numPr>
        <w:suppressAutoHyphens/>
        <w:autoSpaceDN w:val="0"/>
        <w:spacing w:after="200"/>
        <w:ind w:left="720"/>
        <w:contextualSpacing/>
        <w:textAlignment w:val="baseline"/>
        <w:rPr>
          <w:szCs w:val="22"/>
        </w:rPr>
      </w:pPr>
      <w:r w:rsidRPr="004C5551">
        <w:rPr>
          <w:szCs w:val="22"/>
        </w:rPr>
        <w:t>porušovaní zákona pri kolízii záujmov zákonného zástupcu a zastúpeného,</w:t>
      </w:r>
    </w:p>
    <w:p w:rsidR="00650C4E" w:rsidRPr="004C5551" w:rsidRDefault="00650C4E" w:rsidP="003200FE">
      <w:pPr>
        <w:pStyle w:val="Odsekzoznamu"/>
        <w:numPr>
          <w:ilvl w:val="0"/>
          <w:numId w:val="18"/>
        </w:numPr>
        <w:suppressAutoHyphens/>
        <w:autoSpaceDN w:val="0"/>
        <w:spacing w:after="200"/>
        <w:ind w:left="720"/>
        <w:contextualSpacing/>
        <w:textAlignment w:val="baseline"/>
        <w:rPr>
          <w:szCs w:val="22"/>
        </w:rPr>
      </w:pPr>
      <w:r w:rsidRPr="004C5551">
        <w:rPr>
          <w:szCs w:val="22"/>
        </w:rPr>
        <w:t>porušovaní povinnosti dbať, aby sa pri úprave zmluvných vzťahov odstránilo všetko, čo by mohlo viesť k vzniku rozporov,</w:t>
      </w:r>
    </w:p>
    <w:p w:rsidR="00650C4E" w:rsidRPr="004C5551" w:rsidRDefault="00650C4E" w:rsidP="003200FE">
      <w:pPr>
        <w:pStyle w:val="Odsekzoznamu"/>
        <w:numPr>
          <w:ilvl w:val="0"/>
          <w:numId w:val="18"/>
        </w:numPr>
        <w:suppressAutoHyphens/>
        <w:autoSpaceDN w:val="0"/>
        <w:spacing w:after="200"/>
        <w:ind w:left="720"/>
        <w:contextualSpacing/>
        <w:textAlignment w:val="baseline"/>
        <w:rPr>
          <w:szCs w:val="22"/>
        </w:rPr>
      </w:pPr>
      <w:r w:rsidRPr="004C5551">
        <w:rPr>
          <w:szCs w:val="22"/>
        </w:rPr>
        <w:t>nesprávnom určení začiatku plynutia lehoty.</w:t>
      </w:r>
    </w:p>
    <w:p w:rsidR="00650C4E" w:rsidRPr="004C5551" w:rsidRDefault="00650C4E" w:rsidP="009C55E3">
      <w:pPr>
        <w:pStyle w:val="Odsekzoznamu"/>
        <w:numPr>
          <w:ilvl w:val="0"/>
          <w:numId w:val="28"/>
        </w:numPr>
        <w:spacing w:after="200"/>
        <w:ind w:left="284" w:hanging="284"/>
        <w:contextualSpacing/>
        <w:rPr>
          <w:szCs w:val="22"/>
          <w:lang w:eastAsia="cs-CZ"/>
        </w:rPr>
      </w:pPr>
      <w:r w:rsidRPr="004C5551">
        <w:rPr>
          <w:szCs w:val="22"/>
        </w:rPr>
        <w:t xml:space="preserve">Porušenia zákona </w:t>
      </w:r>
      <w:r w:rsidRPr="004C5551">
        <w:rPr>
          <w:szCs w:val="22"/>
          <w:lang w:eastAsia="cs-CZ"/>
        </w:rPr>
        <w:t>č. 576/2004 Z. z. o zdravotnej starostlivosti, službách súvisiacich s</w:t>
      </w:r>
      <w:r w:rsidR="00496DA9" w:rsidRPr="004C5551">
        <w:rPr>
          <w:szCs w:val="22"/>
          <w:lang w:eastAsia="cs-CZ"/>
        </w:rPr>
        <w:t> </w:t>
      </w:r>
      <w:r w:rsidRPr="004C5551">
        <w:rPr>
          <w:szCs w:val="22"/>
          <w:lang w:eastAsia="cs-CZ"/>
        </w:rPr>
        <w:t xml:space="preserve">poskytovaním zdravotnej starostlivosti a o zmene a doplnení niektorých zákonov v znení neskorších predpisov spočívajúce v nerešpektovaní práva </w:t>
      </w:r>
      <w:r w:rsidR="008D4AC2" w:rsidRPr="004C5551">
        <w:rPr>
          <w:szCs w:val="22"/>
          <w:lang w:eastAsia="cs-CZ"/>
        </w:rPr>
        <w:t>prijímateľa na</w:t>
      </w:r>
      <w:r w:rsidRPr="004C5551">
        <w:rPr>
          <w:szCs w:val="22"/>
          <w:lang w:eastAsia="cs-CZ"/>
        </w:rPr>
        <w:t xml:space="preserve"> výber poskytovateľa zdravotnej starostlivosti.</w:t>
      </w:r>
    </w:p>
    <w:p w:rsidR="00650C4E" w:rsidRPr="004C5551" w:rsidRDefault="00650C4E" w:rsidP="009C55E3">
      <w:pPr>
        <w:pStyle w:val="Odsekzoznamu"/>
        <w:numPr>
          <w:ilvl w:val="0"/>
          <w:numId w:val="28"/>
        </w:numPr>
        <w:spacing w:after="200"/>
        <w:ind w:left="284" w:hanging="284"/>
        <w:contextualSpacing/>
        <w:rPr>
          <w:bCs/>
          <w:szCs w:val="22"/>
        </w:rPr>
      </w:pPr>
      <w:r w:rsidRPr="004C5551">
        <w:rPr>
          <w:szCs w:val="22"/>
        </w:rPr>
        <w:t>Porušenia</w:t>
      </w:r>
      <w:r w:rsidR="00073D95" w:rsidRPr="004C5551">
        <w:rPr>
          <w:szCs w:val="22"/>
        </w:rPr>
        <w:t xml:space="preserve"> </w:t>
      </w:r>
      <w:r w:rsidRPr="004C5551">
        <w:rPr>
          <w:szCs w:val="22"/>
        </w:rPr>
        <w:t>z</w:t>
      </w:r>
      <w:r w:rsidRPr="004C5551">
        <w:rPr>
          <w:bCs/>
          <w:szCs w:val="22"/>
        </w:rPr>
        <w:t>ákona č. 447/2008 Z. z. o peňažných príspevkoch na kompenzáciu ťažkého zdravotného postihnutia v znení neskorších zákonov</w:t>
      </w:r>
      <w:r w:rsidRPr="004C5551">
        <w:rPr>
          <w:szCs w:val="22"/>
        </w:rPr>
        <w:t xml:space="preserve"> v nadväznosti na § 72 ods. 8 zákona o</w:t>
      </w:r>
      <w:r w:rsidR="00496DA9" w:rsidRPr="004C5551">
        <w:rPr>
          <w:szCs w:val="22"/>
        </w:rPr>
        <w:t> </w:t>
      </w:r>
      <w:r w:rsidRPr="004C5551">
        <w:rPr>
          <w:szCs w:val="22"/>
        </w:rPr>
        <w:t>sociálnych službách</w:t>
      </w:r>
      <w:r w:rsidRPr="004C5551">
        <w:rPr>
          <w:bCs/>
          <w:szCs w:val="22"/>
        </w:rPr>
        <w:t xml:space="preserve"> spočívajúce v nesprávnom posudzovaní a zisťovaní príjmu prijímateľa na</w:t>
      </w:r>
      <w:r w:rsidR="00496DA9" w:rsidRPr="004C5551">
        <w:rPr>
          <w:bCs/>
          <w:szCs w:val="22"/>
        </w:rPr>
        <w:t> </w:t>
      </w:r>
      <w:r w:rsidRPr="004C5551">
        <w:rPr>
          <w:bCs/>
          <w:szCs w:val="22"/>
        </w:rPr>
        <w:t>účely určenia úhrady.</w:t>
      </w:r>
    </w:p>
    <w:p w:rsidR="00650C4E" w:rsidRPr="004C5551" w:rsidRDefault="00650C4E" w:rsidP="009C55E3">
      <w:pPr>
        <w:pStyle w:val="Odsekzoznamu"/>
        <w:numPr>
          <w:ilvl w:val="0"/>
          <w:numId w:val="28"/>
        </w:numPr>
        <w:suppressAutoHyphens/>
        <w:spacing w:after="200"/>
        <w:ind w:left="284" w:hanging="284"/>
        <w:contextualSpacing/>
        <w:rPr>
          <w:bCs/>
          <w:kern w:val="24"/>
          <w:szCs w:val="22"/>
        </w:rPr>
      </w:pPr>
      <w:r w:rsidRPr="004C5551">
        <w:rPr>
          <w:bCs/>
          <w:kern w:val="24"/>
          <w:szCs w:val="22"/>
        </w:rPr>
        <w:t>Porušenie</w:t>
      </w:r>
      <w:r w:rsidR="00073D95" w:rsidRPr="004C5551">
        <w:rPr>
          <w:bCs/>
          <w:kern w:val="24"/>
          <w:szCs w:val="22"/>
        </w:rPr>
        <w:t xml:space="preserve"> </w:t>
      </w:r>
      <w:r w:rsidRPr="004C5551">
        <w:rPr>
          <w:bCs/>
          <w:kern w:val="24"/>
          <w:szCs w:val="22"/>
          <w:lang w:eastAsia="cs-CZ"/>
        </w:rPr>
        <w:t>z</w:t>
      </w:r>
      <w:r w:rsidRPr="004C5551">
        <w:rPr>
          <w:szCs w:val="22"/>
          <w:lang w:eastAsia="cs-CZ"/>
        </w:rPr>
        <w:t>ákona č. 224/2006 Z. z. o občianskych preukazoch a o zmene a doplnení niektorých zákonov v znení neskorších predpisov spočívajúci v</w:t>
      </w:r>
      <w:r w:rsidR="00073D95" w:rsidRPr="004C5551">
        <w:rPr>
          <w:szCs w:val="22"/>
          <w:lang w:eastAsia="cs-CZ"/>
        </w:rPr>
        <w:t xml:space="preserve"> </w:t>
      </w:r>
      <w:r w:rsidRPr="004C5551">
        <w:rPr>
          <w:szCs w:val="22"/>
          <w:lang w:eastAsia="cs-CZ"/>
        </w:rPr>
        <w:t xml:space="preserve">nariadení </w:t>
      </w:r>
      <w:r w:rsidRPr="004C5551">
        <w:rPr>
          <w:bCs/>
          <w:kern w:val="24"/>
          <w:szCs w:val="22"/>
        </w:rPr>
        <w:t>povinnosti prijímateľa odovzdať poskytovateľovi občiansky preukaz.</w:t>
      </w:r>
    </w:p>
    <w:p w:rsidR="00650C4E" w:rsidRPr="004C5551" w:rsidRDefault="00650C4E" w:rsidP="009C55E3">
      <w:pPr>
        <w:pStyle w:val="Odsekzoznamu"/>
        <w:numPr>
          <w:ilvl w:val="0"/>
          <w:numId w:val="26"/>
        </w:numPr>
        <w:suppressAutoHyphens/>
        <w:spacing w:after="200"/>
        <w:ind w:left="284" w:hanging="284"/>
        <w:contextualSpacing/>
        <w:rPr>
          <w:bCs/>
          <w:kern w:val="24"/>
          <w:szCs w:val="22"/>
        </w:rPr>
      </w:pPr>
      <w:r w:rsidRPr="004C5551">
        <w:rPr>
          <w:szCs w:val="22"/>
        </w:rPr>
        <w:t>Porušenia</w:t>
      </w:r>
      <w:r w:rsidR="00073D95" w:rsidRPr="004C5551">
        <w:rPr>
          <w:szCs w:val="22"/>
        </w:rPr>
        <w:t xml:space="preserve"> </w:t>
      </w:r>
      <w:r w:rsidRPr="004C5551">
        <w:rPr>
          <w:szCs w:val="22"/>
        </w:rPr>
        <w:t xml:space="preserve">všeobecne </w:t>
      </w:r>
      <w:r w:rsidR="008D4AC2" w:rsidRPr="004C5551">
        <w:rPr>
          <w:szCs w:val="22"/>
        </w:rPr>
        <w:t>záväzných nariadení</w:t>
      </w:r>
      <w:r w:rsidRPr="004C5551">
        <w:rPr>
          <w:szCs w:val="22"/>
        </w:rPr>
        <w:t xml:space="preserve"> zriaďovateľa.</w:t>
      </w:r>
    </w:p>
    <w:p w:rsidR="00650C4E" w:rsidRPr="004C5551" w:rsidRDefault="00650C4E" w:rsidP="009C55E3">
      <w:pPr>
        <w:pStyle w:val="Odsekzoznamu"/>
        <w:numPr>
          <w:ilvl w:val="0"/>
          <w:numId w:val="26"/>
        </w:numPr>
        <w:suppressAutoHyphens/>
        <w:spacing w:after="200"/>
        <w:ind w:left="284" w:hanging="284"/>
        <w:contextualSpacing/>
        <w:rPr>
          <w:bCs/>
          <w:kern w:val="24"/>
          <w:szCs w:val="22"/>
        </w:rPr>
      </w:pPr>
      <w:r w:rsidRPr="004C5551">
        <w:rPr>
          <w:szCs w:val="22"/>
        </w:rPr>
        <w:t>Porušenia</w:t>
      </w:r>
      <w:r w:rsidR="00073D95" w:rsidRPr="004C5551">
        <w:rPr>
          <w:szCs w:val="22"/>
        </w:rPr>
        <w:t xml:space="preserve"> </w:t>
      </w:r>
      <w:r w:rsidRPr="004C5551">
        <w:rPr>
          <w:szCs w:val="22"/>
        </w:rPr>
        <w:t>zmlúv o poskytovaní sociálnej služby spočívajúce v nedodržiavaní záväzkov zo zmluvy.</w:t>
      </w:r>
    </w:p>
    <w:p w:rsidR="00650C4E" w:rsidRPr="004C5551" w:rsidRDefault="00650C4E" w:rsidP="009C55E3">
      <w:pPr>
        <w:pStyle w:val="Odsekzoznamu"/>
        <w:numPr>
          <w:ilvl w:val="0"/>
          <w:numId w:val="26"/>
        </w:numPr>
        <w:suppressAutoHyphens/>
        <w:spacing w:after="200"/>
        <w:ind w:left="284" w:hanging="284"/>
        <w:contextualSpacing/>
        <w:rPr>
          <w:bCs/>
          <w:kern w:val="24"/>
          <w:szCs w:val="22"/>
        </w:rPr>
      </w:pPr>
      <w:r w:rsidRPr="004C5551">
        <w:rPr>
          <w:bCs/>
          <w:kern w:val="24"/>
          <w:szCs w:val="22"/>
        </w:rPr>
        <w:t>Porušenia</w:t>
      </w:r>
      <w:r w:rsidR="00073D95" w:rsidRPr="004C5551">
        <w:rPr>
          <w:bCs/>
          <w:kern w:val="24"/>
          <w:szCs w:val="22"/>
        </w:rPr>
        <w:t xml:space="preserve"> </w:t>
      </w:r>
      <w:r w:rsidRPr="004C5551">
        <w:rPr>
          <w:bCs/>
          <w:kern w:val="24"/>
          <w:szCs w:val="22"/>
        </w:rPr>
        <w:t xml:space="preserve">rozhodnutí súdov o ustanovení opatrovníka pre prijímateľa spočívajúce v nepresnom </w:t>
      </w:r>
      <w:r w:rsidR="004F3C97" w:rsidRPr="004C5551">
        <w:rPr>
          <w:bCs/>
          <w:kern w:val="24"/>
          <w:szCs w:val="22"/>
        </w:rPr>
        <w:t>–</w:t>
      </w:r>
      <w:r w:rsidRPr="004C5551">
        <w:rPr>
          <w:bCs/>
          <w:kern w:val="24"/>
          <w:szCs w:val="22"/>
        </w:rPr>
        <w:t xml:space="preserve"> zmätočnom uvádzaní súdom ustanoveného opatrovníka prijímateľa</w:t>
      </w:r>
      <w:r w:rsidR="00073D95" w:rsidRPr="004C5551">
        <w:rPr>
          <w:bCs/>
          <w:kern w:val="24"/>
          <w:szCs w:val="22"/>
        </w:rPr>
        <w:t xml:space="preserve"> </w:t>
      </w:r>
      <w:r w:rsidRPr="004C5551">
        <w:rPr>
          <w:bCs/>
          <w:kern w:val="24"/>
          <w:szCs w:val="22"/>
        </w:rPr>
        <w:t>v zmluvách o poskytovaní sociálnej služby (označenie zmluvnej strany).</w:t>
      </w:r>
    </w:p>
    <w:p w:rsidR="00B64C21" w:rsidRPr="004C5551" w:rsidRDefault="00B64C21" w:rsidP="00287AEA">
      <w:pPr>
        <w:pStyle w:val="Odsekzoznamu"/>
        <w:numPr>
          <w:ilvl w:val="0"/>
          <w:numId w:val="0"/>
        </w:numPr>
        <w:rPr>
          <w:i/>
          <w:caps/>
          <w:szCs w:val="22"/>
        </w:rPr>
      </w:pPr>
    </w:p>
    <w:p w:rsidR="00650C4E" w:rsidRPr="004C5551" w:rsidRDefault="00650C4E" w:rsidP="003200FE">
      <w:pPr>
        <w:suppressAutoHyphens/>
        <w:spacing w:after="200"/>
        <w:contextualSpacing/>
        <w:rPr>
          <w:bCs/>
          <w:kern w:val="24"/>
          <w:sz w:val="24"/>
        </w:rPr>
      </w:pPr>
      <w:r w:rsidRPr="004C5551">
        <w:rPr>
          <w:rFonts w:eastAsia="Lucida Sans Unicode"/>
          <w:b/>
          <w:kern w:val="2"/>
          <w:lang w:eastAsia="ar-SA"/>
        </w:rPr>
        <w:t>Evidencia, sledovanie a vyhodnocovanie oznámení poskytovateľov o použití prostriedkov netelesného a telesného obmedzenia</w:t>
      </w:r>
    </w:p>
    <w:p w:rsidR="00650C4E" w:rsidRPr="004C5551" w:rsidRDefault="00650C4E" w:rsidP="003200FE">
      <w:pPr>
        <w:widowControl w:val="0"/>
        <w:suppressAutoHyphens/>
        <w:jc w:val="left"/>
        <w:rPr>
          <w:rFonts w:eastAsia="Lucida Sans Unicode"/>
          <w:b/>
          <w:i/>
          <w:kern w:val="2"/>
          <w:lang w:eastAsia="ar-SA"/>
        </w:rPr>
      </w:pPr>
    </w:p>
    <w:p w:rsidR="00650C4E" w:rsidRPr="004C5551" w:rsidRDefault="00650C4E" w:rsidP="003B0E51">
      <w:pPr>
        <w:ind w:firstLine="431"/>
      </w:pPr>
      <w:r w:rsidRPr="004C5551">
        <w:t>Poskytovatelia</w:t>
      </w:r>
      <w:r w:rsidR="00073D95" w:rsidRPr="004C5551">
        <w:t xml:space="preserve"> </w:t>
      </w:r>
      <w:r w:rsidRPr="004C5551">
        <w:t>podľa § 10 ods. 5 a 6 zákona o sociálnych službách aj v roku 2014 viedli register</w:t>
      </w:r>
      <w:r w:rsidR="0075738B" w:rsidRPr="004C5551">
        <w:t xml:space="preserve"> </w:t>
      </w:r>
      <w:r w:rsidRPr="004C5551">
        <w:t>o</w:t>
      </w:r>
      <w:r w:rsidR="004F3C97" w:rsidRPr="004C5551">
        <w:t> </w:t>
      </w:r>
      <w:r w:rsidRPr="004C5551">
        <w:t xml:space="preserve">použití prostriedkov netelesných a telesných obmedzení, ktoré sú podľa § 10 ods. 6 uvedeného zákona povinní bezodkladne po použití oznámiť ministerstvu. Údaje z tohto registra boli monitorované a využívané pri plánovaní a samotnej realizácii dohľadov. Počet oznámení o použití prostriedkov netelesných a telesných obmedzení doručených ministerstvu má podľa evidencie v jednotlivých rokoch od roku 2009, t. j. od účinnosti zákona o sociálnych službách, narastajúci charakter. Každoročne narastá počet zaslaných oznámení </w:t>
      </w:r>
      <w:r w:rsidR="0075738B" w:rsidRPr="004C5551">
        <w:t xml:space="preserve">najmä </w:t>
      </w:r>
      <w:r w:rsidRPr="004C5551">
        <w:t xml:space="preserve">od poskytovateľov, u ktorých bol vykonaný dohľad. </w:t>
      </w:r>
    </w:p>
    <w:p w:rsidR="00650C4E" w:rsidRPr="004C5551" w:rsidRDefault="00650C4E"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2B6349" w:rsidRPr="004C5551" w:rsidRDefault="002B6349" w:rsidP="003200FE">
      <w:pPr>
        <w:ind w:firstLine="567"/>
      </w:pPr>
    </w:p>
    <w:p w:rsidR="00B64C21" w:rsidRPr="004C5551" w:rsidRDefault="00B64C21" w:rsidP="00287AEA">
      <w:pPr>
        <w:pStyle w:val="Nadpis7"/>
        <w:rPr>
          <w:lang w:eastAsia="cs-CZ"/>
        </w:rPr>
      </w:pPr>
      <w:r w:rsidRPr="004C5551">
        <w:rPr>
          <w:lang w:eastAsia="cs-CZ"/>
        </w:rPr>
        <w:t>Graf 3.1</w:t>
      </w:r>
      <w:r w:rsidR="00AB3F7F" w:rsidRPr="004C5551">
        <w:rPr>
          <w:lang w:eastAsia="cs-CZ"/>
        </w:rPr>
        <w:t>6</w:t>
      </w:r>
      <w:r w:rsidR="0016196A" w:rsidRPr="004C5551">
        <w:rPr>
          <w:lang w:eastAsia="cs-CZ"/>
        </w:rPr>
        <w:t xml:space="preserve"> </w:t>
      </w:r>
      <w:r w:rsidRPr="004C5551">
        <w:rPr>
          <w:lang w:eastAsia="cs-CZ"/>
        </w:rPr>
        <w:t>Grafické znázornenie počtu oznámení od poskytovateľov zaslaných ministerstvu v rokoch 20</w:t>
      </w:r>
      <w:r w:rsidR="00501A4C" w:rsidRPr="004C5551">
        <w:rPr>
          <w:lang w:eastAsia="cs-CZ"/>
        </w:rPr>
        <w:t>1</w:t>
      </w:r>
      <w:r w:rsidRPr="004C5551">
        <w:rPr>
          <w:lang w:eastAsia="cs-CZ"/>
        </w:rPr>
        <w:t xml:space="preserve">0 </w:t>
      </w:r>
      <w:r w:rsidR="00D818CE" w:rsidRPr="004C5551">
        <w:rPr>
          <w:color w:val="000000" w:themeColor="text1"/>
        </w:rPr>
        <w:t>–</w:t>
      </w:r>
      <w:r w:rsidRPr="004C5551">
        <w:rPr>
          <w:lang w:eastAsia="cs-CZ"/>
        </w:rPr>
        <w:t xml:space="preserve"> 201</w:t>
      </w:r>
      <w:r w:rsidR="00501A4C" w:rsidRPr="004C5551">
        <w:rPr>
          <w:lang w:eastAsia="cs-CZ"/>
        </w:rPr>
        <w:t>4</w:t>
      </w:r>
    </w:p>
    <w:p w:rsidR="00501A4C" w:rsidRPr="004C5551" w:rsidRDefault="00501A4C" w:rsidP="00287AEA">
      <w:pPr>
        <w:pStyle w:val="zdroj"/>
        <w:ind w:firstLine="0"/>
        <w:jc w:val="center"/>
      </w:pPr>
      <w:r w:rsidRPr="004C5551">
        <w:rPr>
          <w:noProof/>
        </w:rPr>
        <w:drawing>
          <wp:inline distT="0" distB="0" distL="0" distR="0" wp14:anchorId="60A52556" wp14:editId="3A962FCE">
            <wp:extent cx="5486400" cy="2543175"/>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64C21" w:rsidRPr="004C5551" w:rsidRDefault="00E23ECE" w:rsidP="00287AEA">
      <w:pPr>
        <w:pStyle w:val="zdroj"/>
      </w:pPr>
      <w:r w:rsidRPr="004C5551">
        <w:t>Zdroj: MPSVR SR</w:t>
      </w:r>
    </w:p>
    <w:p w:rsidR="00B64C21" w:rsidRPr="004C5551" w:rsidRDefault="00B64C21" w:rsidP="00E60AEE"/>
    <w:p w:rsidR="00B915AD" w:rsidRPr="004C5551" w:rsidRDefault="00650C4E" w:rsidP="003B0E51">
      <w:pPr>
        <w:ind w:firstLine="431"/>
        <w:rPr>
          <w:b/>
        </w:rPr>
      </w:pPr>
      <w:r w:rsidRPr="004C5551">
        <w:t>Narastajúci počet doručených oznámení o použití prostriedkov telesných a netelesných obmedzení poukazuje na skutočnosť, že sa každoročne zvyšuje počet poskytovateľov plniacich si túto povinnosť, ustanovenú v § 10 ods. 6 zákona o sociálnych službách. V niektorých prípadoch plnenie uvedenej povinnosti súvisí s plnením opatrení na odstránenie zistených nedostatkov prijatých na základe vykonaného dohľadu u daného poskytovateľa. Na základe doručených oznámení poskytovateľov o použitých prostriedkoch obmedzení bolo pri poskytovaní sociálnej služby v roku 2014 zaznamenaných celkom 320 obmedzení a z toho bolo</w:t>
      </w:r>
      <w:r w:rsidR="00073D95" w:rsidRPr="004C5551">
        <w:t xml:space="preserve"> </w:t>
      </w:r>
      <w:r w:rsidRPr="004C5551">
        <w:t xml:space="preserve">64 netelesných obmedzení a 256 telesných obmedzení. </w:t>
      </w:r>
    </w:p>
    <w:p w:rsidR="00B64C21" w:rsidRPr="004C5551" w:rsidRDefault="00E23ECE" w:rsidP="00B915AD">
      <w:pPr>
        <w:pStyle w:val="Nadpis7"/>
      </w:pPr>
      <w:r w:rsidRPr="004C5551">
        <w:t>Tabuľka 3.</w:t>
      </w:r>
      <w:r w:rsidR="009B7B4B" w:rsidRPr="004C5551">
        <w:t>27</w:t>
      </w:r>
      <w:r w:rsidRPr="004C5551">
        <w:t xml:space="preserve"> </w:t>
      </w:r>
      <w:r w:rsidR="00B64C21" w:rsidRPr="004C5551">
        <w:t>Rozdelenie oznámení o použitých prostriedkoch netelesných a telesných obmedzení doručených ministerstvu v roku 2013 podľa jednotlivých krajov</w:t>
      </w:r>
    </w:p>
    <w:tbl>
      <w:tblPr>
        <w:tblStyle w:val="Mkatabulky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ayout w:type="fixed"/>
        <w:tblLook w:val="04A0" w:firstRow="1" w:lastRow="0" w:firstColumn="1" w:lastColumn="0" w:noHBand="0" w:noVBand="1"/>
      </w:tblPr>
      <w:tblGrid>
        <w:gridCol w:w="1928"/>
        <w:gridCol w:w="1757"/>
        <w:gridCol w:w="1928"/>
        <w:gridCol w:w="1020"/>
      </w:tblGrid>
      <w:tr w:rsidR="00650C4E" w:rsidRPr="004C5551" w:rsidTr="00B915AD">
        <w:trPr>
          <w:trHeight w:val="270"/>
          <w:jc w:val="center"/>
        </w:trPr>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650C4E" w:rsidRPr="004C5551" w:rsidRDefault="00650C4E" w:rsidP="00014525">
            <w:pPr>
              <w:spacing w:line="276" w:lineRule="auto"/>
              <w:jc w:val="center"/>
              <w:rPr>
                <w:b/>
                <w:bCs/>
                <w:color w:val="FFFFFF" w:themeColor="background1"/>
                <w:szCs w:val="22"/>
                <w:lang w:eastAsia="en-US"/>
              </w:rPr>
            </w:pPr>
            <w:r w:rsidRPr="004C5551">
              <w:rPr>
                <w:b/>
                <w:bCs/>
                <w:color w:val="FFFFFF" w:themeColor="background1"/>
                <w:szCs w:val="22"/>
                <w:lang w:eastAsia="en-US"/>
              </w:rPr>
              <w:t>Kraj</w:t>
            </w:r>
          </w:p>
        </w:tc>
        <w:tc>
          <w:tcPr>
            <w:tcW w:w="175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650C4E" w:rsidRPr="004C5551" w:rsidRDefault="00650C4E" w:rsidP="00014525">
            <w:pPr>
              <w:spacing w:line="276" w:lineRule="auto"/>
              <w:jc w:val="center"/>
              <w:rPr>
                <w:b/>
                <w:bCs/>
                <w:color w:val="FFFFFF" w:themeColor="background1"/>
                <w:szCs w:val="22"/>
                <w:lang w:eastAsia="en-US"/>
              </w:rPr>
            </w:pPr>
            <w:r w:rsidRPr="004C5551">
              <w:rPr>
                <w:b/>
                <w:bCs/>
                <w:color w:val="FFFFFF" w:themeColor="background1"/>
                <w:szCs w:val="22"/>
                <w:lang w:eastAsia="en-US"/>
              </w:rPr>
              <w:t>Počet oznámení od verejných poskytovateľov</w:t>
            </w:r>
          </w:p>
        </w:tc>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650C4E" w:rsidRPr="004C5551" w:rsidRDefault="00650C4E" w:rsidP="00014525">
            <w:pPr>
              <w:spacing w:line="276" w:lineRule="auto"/>
              <w:jc w:val="center"/>
              <w:rPr>
                <w:b/>
                <w:bCs/>
                <w:color w:val="FFFFFF" w:themeColor="background1"/>
                <w:szCs w:val="22"/>
                <w:lang w:eastAsia="en-US"/>
              </w:rPr>
            </w:pPr>
            <w:r w:rsidRPr="004C5551">
              <w:rPr>
                <w:b/>
                <w:bCs/>
                <w:color w:val="FFFFFF" w:themeColor="background1"/>
                <w:szCs w:val="22"/>
                <w:lang w:eastAsia="en-US"/>
              </w:rPr>
              <w:t>Počet oznámení od neverejných poskytovateľov</w:t>
            </w:r>
          </w:p>
        </w:tc>
        <w:tc>
          <w:tcPr>
            <w:tcW w:w="102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650C4E" w:rsidRPr="004C5551" w:rsidRDefault="00650C4E" w:rsidP="00014525">
            <w:pPr>
              <w:spacing w:line="276" w:lineRule="auto"/>
              <w:jc w:val="center"/>
              <w:rPr>
                <w:b/>
                <w:bCs/>
                <w:color w:val="FFFFFF" w:themeColor="background1"/>
                <w:szCs w:val="22"/>
                <w:lang w:eastAsia="en-US"/>
              </w:rPr>
            </w:pPr>
            <w:r w:rsidRPr="004C5551">
              <w:rPr>
                <w:b/>
                <w:bCs/>
                <w:color w:val="FFFFFF" w:themeColor="background1"/>
                <w:szCs w:val="22"/>
                <w:lang w:eastAsia="en-US"/>
              </w:rPr>
              <w:t>Spolu</w:t>
            </w:r>
          </w:p>
        </w:tc>
      </w:tr>
      <w:tr w:rsidR="00650C4E" w:rsidRPr="004C5551" w:rsidTr="00B915AD">
        <w:trPr>
          <w:trHeight w:val="255"/>
          <w:jc w:val="center"/>
        </w:trPr>
        <w:tc>
          <w:tcPr>
            <w:tcW w:w="1928" w:type="dxa"/>
            <w:tcBorders>
              <w:top w:val="single" w:sz="6" w:space="0" w:color="BF0000" w:themeColor="accent3" w:themeShade="BF"/>
            </w:tcBorders>
            <w:noWrap/>
            <w:hideMark/>
          </w:tcPr>
          <w:p w:rsidR="00650C4E" w:rsidRPr="004C5551" w:rsidRDefault="00650C4E" w:rsidP="00014525">
            <w:pPr>
              <w:spacing w:line="276" w:lineRule="auto"/>
              <w:rPr>
                <w:szCs w:val="22"/>
                <w:lang w:eastAsia="en-US"/>
              </w:rPr>
            </w:pPr>
            <w:r w:rsidRPr="004C5551">
              <w:rPr>
                <w:szCs w:val="22"/>
                <w:lang w:eastAsia="en-US"/>
              </w:rPr>
              <w:t>Bratislavský</w:t>
            </w:r>
          </w:p>
        </w:tc>
        <w:tc>
          <w:tcPr>
            <w:tcW w:w="1757" w:type="dxa"/>
            <w:tcBorders>
              <w:top w:val="single" w:sz="6" w:space="0" w:color="BF0000" w:themeColor="accent3" w:themeShade="BF"/>
            </w:tcBorders>
            <w:noWrap/>
            <w:hideMark/>
          </w:tcPr>
          <w:p w:rsidR="00650C4E" w:rsidRPr="004C5551" w:rsidRDefault="00650C4E" w:rsidP="00014525">
            <w:pPr>
              <w:spacing w:line="276" w:lineRule="auto"/>
              <w:ind w:right="542"/>
              <w:jc w:val="right"/>
              <w:rPr>
                <w:szCs w:val="22"/>
                <w:lang w:eastAsia="en-US"/>
              </w:rPr>
            </w:pPr>
            <w:r w:rsidRPr="004C5551">
              <w:rPr>
                <w:szCs w:val="22"/>
                <w:lang w:eastAsia="en-US"/>
              </w:rPr>
              <w:t>5</w:t>
            </w:r>
          </w:p>
        </w:tc>
        <w:tc>
          <w:tcPr>
            <w:tcW w:w="1928" w:type="dxa"/>
            <w:tcBorders>
              <w:top w:val="single" w:sz="6" w:space="0" w:color="BF0000" w:themeColor="accent3" w:themeShade="BF"/>
            </w:tcBorders>
            <w:hideMark/>
          </w:tcPr>
          <w:p w:rsidR="00650C4E" w:rsidRPr="004C5551" w:rsidRDefault="00650C4E" w:rsidP="00014525">
            <w:pPr>
              <w:spacing w:line="276" w:lineRule="auto"/>
              <w:ind w:right="627"/>
              <w:jc w:val="right"/>
              <w:rPr>
                <w:szCs w:val="22"/>
                <w:lang w:eastAsia="en-US"/>
              </w:rPr>
            </w:pPr>
            <w:r w:rsidRPr="004C5551">
              <w:rPr>
                <w:szCs w:val="22"/>
                <w:lang w:eastAsia="en-US"/>
              </w:rPr>
              <w:t>14</w:t>
            </w:r>
          </w:p>
        </w:tc>
        <w:tc>
          <w:tcPr>
            <w:tcW w:w="1020" w:type="dxa"/>
            <w:tcBorders>
              <w:top w:val="single" w:sz="6" w:space="0" w:color="BF0000" w:themeColor="accent3" w:themeShade="BF"/>
            </w:tcBorders>
            <w:hideMark/>
          </w:tcPr>
          <w:p w:rsidR="00650C4E" w:rsidRPr="004C5551" w:rsidRDefault="00650C4E" w:rsidP="00014525">
            <w:pPr>
              <w:spacing w:line="276" w:lineRule="auto"/>
              <w:ind w:right="230"/>
              <w:jc w:val="right"/>
              <w:rPr>
                <w:szCs w:val="22"/>
                <w:lang w:eastAsia="en-US"/>
              </w:rPr>
            </w:pPr>
            <w:r w:rsidRPr="004C5551">
              <w:rPr>
                <w:szCs w:val="22"/>
                <w:lang w:eastAsia="en-US"/>
              </w:rPr>
              <w:t>19</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Trnavský</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38</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0</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38</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 xml:space="preserve">Nitriansky </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16</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3</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19</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Trenčiansky</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117</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0</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117</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Žilinský</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16</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0</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16</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Banskobystrický</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9</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1</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10</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Košický</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6</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23</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29</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szCs w:val="22"/>
                <w:lang w:eastAsia="en-US"/>
              </w:rPr>
            </w:pPr>
            <w:r w:rsidRPr="004C5551">
              <w:rPr>
                <w:szCs w:val="22"/>
                <w:lang w:eastAsia="en-US"/>
              </w:rPr>
              <w:t>Prešovský</w:t>
            </w:r>
          </w:p>
        </w:tc>
        <w:tc>
          <w:tcPr>
            <w:tcW w:w="1757" w:type="dxa"/>
            <w:noWrap/>
            <w:hideMark/>
          </w:tcPr>
          <w:p w:rsidR="00650C4E" w:rsidRPr="004C5551" w:rsidRDefault="00650C4E" w:rsidP="00014525">
            <w:pPr>
              <w:spacing w:line="276" w:lineRule="auto"/>
              <w:ind w:right="542"/>
              <w:jc w:val="right"/>
              <w:rPr>
                <w:szCs w:val="22"/>
                <w:lang w:eastAsia="en-US"/>
              </w:rPr>
            </w:pPr>
            <w:r w:rsidRPr="004C5551">
              <w:rPr>
                <w:szCs w:val="22"/>
                <w:lang w:eastAsia="en-US"/>
              </w:rPr>
              <w:t>72</w:t>
            </w:r>
          </w:p>
        </w:tc>
        <w:tc>
          <w:tcPr>
            <w:tcW w:w="1928" w:type="dxa"/>
            <w:hideMark/>
          </w:tcPr>
          <w:p w:rsidR="00650C4E" w:rsidRPr="004C5551" w:rsidRDefault="00650C4E" w:rsidP="00014525">
            <w:pPr>
              <w:spacing w:line="276" w:lineRule="auto"/>
              <w:ind w:right="627"/>
              <w:jc w:val="right"/>
              <w:rPr>
                <w:szCs w:val="22"/>
                <w:lang w:eastAsia="en-US"/>
              </w:rPr>
            </w:pPr>
            <w:r w:rsidRPr="004C5551">
              <w:rPr>
                <w:szCs w:val="22"/>
                <w:lang w:eastAsia="en-US"/>
              </w:rPr>
              <w:t>0</w:t>
            </w:r>
          </w:p>
        </w:tc>
        <w:tc>
          <w:tcPr>
            <w:tcW w:w="1020" w:type="dxa"/>
            <w:hideMark/>
          </w:tcPr>
          <w:p w:rsidR="00650C4E" w:rsidRPr="004C5551" w:rsidRDefault="00650C4E" w:rsidP="00014525">
            <w:pPr>
              <w:spacing w:line="276" w:lineRule="auto"/>
              <w:ind w:right="230"/>
              <w:jc w:val="right"/>
              <w:rPr>
                <w:szCs w:val="22"/>
                <w:lang w:eastAsia="en-US"/>
              </w:rPr>
            </w:pPr>
            <w:r w:rsidRPr="004C5551">
              <w:rPr>
                <w:szCs w:val="22"/>
                <w:lang w:eastAsia="en-US"/>
              </w:rPr>
              <w:t>72</w:t>
            </w:r>
          </w:p>
        </w:tc>
      </w:tr>
      <w:tr w:rsidR="00650C4E" w:rsidRPr="004C5551" w:rsidTr="00B915AD">
        <w:trPr>
          <w:trHeight w:val="255"/>
          <w:jc w:val="center"/>
        </w:trPr>
        <w:tc>
          <w:tcPr>
            <w:tcW w:w="1928" w:type="dxa"/>
            <w:noWrap/>
            <w:hideMark/>
          </w:tcPr>
          <w:p w:rsidR="00650C4E" w:rsidRPr="004C5551" w:rsidRDefault="00650C4E" w:rsidP="00014525">
            <w:pPr>
              <w:spacing w:line="276" w:lineRule="auto"/>
              <w:rPr>
                <w:b/>
                <w:bCs/>
                <w:szCs w:val="22"/>
                <w:lang w:eastAsia="en-US"/>
              </w:rPr>
            </w:pPr>
            <w:r w:rsidRPr="004C5551">
              <w:rPr>
                <w:b/>
                <w:bCs/>
                <w:szCs w:val="22"/>
                <w:lang w:eastAsia="en-US"/>
              </w:rPr>
              <w:t>SPOLU</w:t>
            </w:r>
          </w:p>
        </w:tc>
        <w:tc>
          <w:tcPr>
            <w:tcW w:w="1757" w:type="dxa"/>
            <w:noWrap/>
            <w:hideMark/>
          </w:tcPr>
          <w:p w:rsidR="00650C4E" w:rsidRPr="004C5551" w:rsidRDefault="00650C4E" w:rsidP="00014525">
            <w:pPr>
              <w:spacing w:line="276" w:lineRule="auto"/>
              <w:ind w:right="542"/>
              <w:jc w:val="right"/>
              <w:rPr>
                <w:b/>
                <w:bCs/>
                <w:szCs w:val="22"/>
                <w:lang w:eastAsia="en-US"/>
              </w:rPr>
            </w:pPr>
            <w:r w:rsidRPr="004C5551">
              <w:rPr>
                <w:b/>
                <w:bCs/>
                <w:szCs w:val="22"/>
                <w:lang w:eastAsia="en-US"/>
              </w:rPr>
              <w:t>279</w:t>
            </w:r>
          </w:p>
        </w:tc>
        <w:tc>
          <w:tcPr>
            <w:tcW w:w="1928" w:type="dxa"/>
            <w:hideMark/>
          </w:tcPr>
          <w:p w:rsidR="00650C4E" w:rsidRPr="004C5551" w:rsidRDefault="00650C4E" w:rsidP="00014525">
            <w:pPr>
              <w:spacing w:line="276" w:lineRule="auto"/>
              <w:ind w:right="627"/>
              <w:jc w:val="right"/>
              <w:rPr>
                <w:b/>
                <w:bCs/>
                <w:szCs w:val="22"/>
                <w:lang w:eastAsia="en-US"/>
              </w:rPr>
            </w:pPr>
            <w:r w:rsidRPr="004C5551">
              <w:rPr>
                <w:b/>
                <w:bCs/>
                <w:szCs w:val="22"/>
                <w:lang w:eastAsia="en-US"/>
              </w:rPr>
              <w:t>41</w:t>
            </w:r>
          </w:p>
        </w:tc>
        <w:tc>
          <w:tcPr>
            <w:tcW w:w="1020" w:type="dxa"/>
            <w:hideMark/>
          </w:tcPr>
          <w:p w:rsidR="00650C4E" w:rsidRPr="004C5551" w:rsidRDefault="00650C4E" w:rsidP="00014525">
            <w:pPr>
              <w:spacing w:line="276" w:lineRule="auto"/>
              <w:ind w:right="230"/>
              <w:jc w:val="right"/>
              <w:rPr>
                <w:b/>
                <w:bCs/>
                <w:szCs w:val="22"/>
                <w:lang w:eastAsia="en-US"/>
              </w:rPr>
            </w:pPr>
            <w:r w:rsidRPr="004C5551">
              <w:rPr>
                <w:b/>
                <w:bCs/>
                <w:szCs w:val="22"/>
                <w:lang w:eastAsia="en-US"/>
              </w:rPr>
              <w:t>320</w:t>
            </w:r>
          </w:p>
        </w:tc>
      </w:tr>
    </w:tbl>
    <w:p w:rsidR="00650C4E" w:rsidRPr="004C5551" w:rsidRDefault="00650C4E" w:rsidP="00B915AD">
      <w:pPr>
        <w:pStyle w:val="zdroj"/>
        <w:ind w:firstLine="1276"/>
      </w:pPr>
      <w:r w:rsidRPr="004C5551">
        <w:t>Zdroj: MPSVR SR</w:t>
      </w:r>
    </w:p>
    <w:p w:rsidR="00650C4E" w:rsidRPr="004C5551" w:rsidRDefault="00650C4E" w:rsidP="00650C4E">
      <w:pPr>
        <w:widowControl w:val="0"/>
        <w:suppressAutoHyphens/>
        <w:spacing w:line="276" w:lineRule="auto"/>
        <w:rPr>
          <w:rFonts w:eastAsia="Lucida Sans Unicode"/>
          <w:b/>
          <w:color w:val="000000"/>
          <w:kern w:val="2"/>
          <w:lang w:eastAsia="ar-SA"/>
        </w:rPr>
      </w:pPr>
      <w:bookmarkStart w:id="684" w:name="_Toc313879239"/>
      <w:bookmarkStart w:id="685" w:name="_Toc356482746"/>
      <w:bookmarkStart w:id="686" w:name="_Toc325438257"/>
    </w:p>
    <w:p w:rsidR="00650C4E" w:rsidRPr="004C5551" w:rsidRDefault="00650C4E" w:rsidP="00650C4E">
      <w:pPr>
        <w:spacing w:line="276" w:lineRule="auto"/>
        <w:rPr>
          <w:b/>
        </w:rPr>
      </w:pPr>
      <w:r w:rsidRPr="004C5551">
        <w:rPr>
          <w:b/>
        </w:rPr>
        <w:t>Pokuty za správne delikty</w:t>
      </w:r>
    </w:p>
    <w:p w:rsidR="00650C4E" w:rsidRPr="004C5551" w:rsidRDefault="00650C4E" w:rsidP="003B0E51">
      <w:pPr>
        <w:ind w:firstLine="431"/>
        <w:rPr>
          <w:szCs w:val="22"/>
        </w:rPr>
      </w:pPr>
      <w:r w:rsidRPr="004C5551">
        <w:rPr>
          <w:szCs w:val="22"/>
        </w:rPr>
        <w:t>Za porušenia zákona o sociálnych službách, ktoré naplnili skutkovú podstatu správneho deliktu podľa § 101 zákona o sociálnych službách, ministerstvo v roku 2014 právoplatným rozhodnutím uložilo trom poskytovateľom</w:t>
      </w:r>
      <w:r w:rsidR="004A5701" w:rsidRPr="004C5551">
        <w:rPr>
          <w:szCs w:val="22"/>
        </w:rPr>
        <w:t xml:space="preserve"> </w:t>
      </w:r>
      <w:r w:rsidRPr="004C5551">
        <w:rPr>
          <w:szCs w:val="22"/>
        </w:rPr>
        <w:t xml:space="preserve">pokuty v súhrnnej výške 1 250 </w:t>
      </w:r>
      <w:r w:rsidR="000860E9" w:rsidRPr="004C5551">
        <w:rPr>
          <w:szCs w:val="22"/>
        </w:rPr>
        <w:t>eur</w:t>
      </w:r>
      <w:r w:rsidRPr="004C5551">
        <w:rPr>
          <w:szCs w:val="22"/>
        </w:rPr>
        <w:t>.</w:t>
      </w:r>
    </w:p>
    <w:p w:rsidR="00D93C8A" w:rsidRPr="004C5551" w:rsidRDefault="004E0E6B" w:rsidP="00ED16E0">
      <w:pPr>
        <w:pStyle w:val="Nadpis6"/>
      </w:pPr>
      <w:bookmarkStart w:id="687" w:name="_Toc422233439"/>
      <w:r w:rsidRPr="004C5551">
        <w:t xml:space="preserve">Dotácie na podporu rozvoja sociálnej oblasti v pôsobnosti </w:t>
      </w:r>
      <w:bookmarkEnd w:id="684"/>
      <w:bookmarkEnd w:id="685"/>
      <w:r w:rsidR="00AE1B26" w:rsidRPr="004C5551">
        <w:t>MPSVR SR</w:t>
      </w:r>
      <w:bookmarkEnd w:id="687"/>
    </w:p>
    <w:p w:rsidR="003B6DBF" w:rsidRPr="004C5551" w:rsidRDefault="003B6DBF" w:rsidP="003B0E51">
      <w:pPr>
        <w:pStyle w:val="Zkladntext"/>
        <w:tabs>
          <w:tab w:val="left" w:pos="851"/>
        </w:tabs>
        <w:spacing w:after="0"/>
        <w:ind w:firstLine="431"/>
        <w:rPr>
          <w:szCs w:val="22"/>
        </w:rPr>
      </w:pPr>
      <w:r w:rsidRPr="004C5551">
        <w:rPr>
          <w:szCs w:val="22"/>
        </w:rPr>
        <w:t>MPSVR SR poskytovalo v roku 2014</w:t>
      </w:r>
      <w:r w:rsidR="004A5701" w:rsidRPr="004C5551">
        <w:rPr>
          <w:szCs w:val="22"/>
        </w:rPr>
        <w:t xml:space="preserve"> </w:t>
      </w:r>
      <w:r w:rsidRPr="004C5551">
        <w:rPr>
          <w:szCs w:val="22"/>
        </w:rPr>
        <w:t>dotácie z rozpočtu kapitoly v s</w:t>
      </w:r>
      <w:r w:rsidR="00B915AD" w:rsidRPr="004C5551">
        <w:rPr>
          <w:szCs w:val="22"/>
        </w:rPr>
        <w:t xml:space="preserve">úlade so zákonom </w:t>
      </w:r>
      <w:r w:rsidR="00B915AD" w:rsidRPr="004C5551">
        <w:rPr>
          <w:szCs w:val="22"/>
        </w:rPr>
        <w:br/>
        <w:t>č. 544/2010 Z. </w:t>
      </w:r>
      <w:r w:rsidRPr="004C5551">
        <w:rPr>
          <w:szCs w:val="22"/>
        </w:rPr>
        <w:t>z. o dotáciách v</w:t>
      </w:r>
      <w:r w:rsidR="002A3CB9" w:rsidRPr="004C5551">
        <w:rPr>
          <w:szCs w:val="22"/>
        </w:rPr>
        <w:t> </w:t>
      </w:r>
      <w:r w:rsidRPr="004C5551">
        <w:rPr>
          <w:szCs w:val="22"/>
        </w:rPr>
        <w:t>pôsobnosti</w:t>
      </w:r>
      <w:r w:rsidR="002A3CB9" w:rsidRPr="004C5551">
        <w:rPr>
          <w:szCs w:val="22"/>
        </w:rPr>
        <w:t xml:space="preserve"> MPSVR SR </w:t>
      </w:r>
      <w:r w:rsidRPr="004C5551">
        <w:rPr>
          <w:szCs w:val="22"/>
        </w:rPr>
        <w:t>v znení č.</w:t>
      </w:r>
      <w:r w:rsidR="00B915AD" w:rsidRPr="004C5551">
        <w:rPr>
          <w:szCs w:val="22"/>
        </w:rPr>
        <w:t> </w:t>
      </w:r>
      <w:r w:rsidRPr="004C5551">
        <w:rPr>
          <w:szCs w:val="22"/>
        </w:rPr>
        <w:t>393/2012 Z.</w:t>
      </w:r>
      <w:r w:rsidR="008D4AC2" w:rsidRPr="004C5551">
        <w:rPr>
          <w:szCs w:val="22"/>
        </w:rPr>
        <w:t> </w:t>
      </w:r>
      <w:r w:rsidRPr="004C5551">
        <w:rPr>
          <w:szCs w:val="22"/>
        </w:rPr>
        <w:t>z. (ďalej len „zákon“). Celkovo boli poskytnuté dotáci</w:t>
      </w:r>
      <w:r w:rsidR="00B915AD" w:rsidRPr="004C5551">
        <w:rPr>
          <w:szCs w:val="22"/>
        </w:rPr>
        <w:t xml:space="preserve">e v sume 2 368 712 </w:t>
      </w:r>
      <w:r w:rsidR="00A96FDE" w:rsidRPr="004C5551">
        <w:rPr>
          <w:szCs w:val="22"/>
        </w:rPr>
        <w:t>eur</w:t>
      </w:r>
      <w:r w:rsidR="00B915AD" w:rsidRPr="004C5551">
        <w:rPr>
          <w:szCs w:val="22"/>
        </w:rPr>
        <w:t xml:space="preserve">, z toho </w:t>
      </w:r>
      <w:r w:rsidRPr="004C5551">
        <w:rPr>
          <w:szCs w:val="22"/>
        </w:rPr>
        <w:t xml:space="preserve">2 208 952 </w:t>
      </w:r>
      <w:r w:rsidR="00A96FDE" w:rsidRPr="004C5551">
        <w:rPr>
          <w:szCs w:val="22"/>
        </w:rPr>
        <w:t>eur</w:t>
      </w:r>
      <w:r w:rsidRPr="004C5551">
        <w:rPr>
          <w:szCs w:val="22"/>
        </w:rPr>
        <w:t xml:space="preserve"> právnickým osobám.</w:t>
      </w:r>
    </w:p>
    <w:p w:rsidR="003B6DBF" w:rsidRPr="004C5551" w:rsidRDefault="003B6DBF" w:rsidP="003B0E51">
      <w:pPr>
        <w:pStyle w:val="Zkladntext"/>
        <w:tabs>
          <w:tab w:val="left" w:pos="851"/>
        </w:tabs>
        <w:spacing w:after="0"/>
        <w:ind w:firstLine="431"/>
        <w:rPr>
          <w:szCs w:val="22"/>
        </w:rPr>
      </w:pPr>
      <w:r w:rsidRPr="004C5551">
        <w:rPr>
          <w:szCs w:val="22"/>
        </w:rPr>
        <w:t>Dotácie na podporu rozvoja sociálnych služieb a dotácie na podporu vykonávania opatrení sociálnoprávnej ochrany detí a sociálnej kurately (§ 3 zákona) boli poskytnuté</w:t>
      </w:r>
      <w:r w:rsidR="004A5701" w:rsidRPr="004C5551">
        <w:rPr>
          <w:szCs w:val="22"/>
        </w:rPr>
        <w:t xml:space="preserve"> </w:t>
      </w:r>
      <w:r w:rsidRPr="004C5551">
        <w:rPr>
          <w:szCs w:val="22"/>
        </w:rPr>
        <w:t xml:space="preserve">v sume 1 476 017 </w:t>
      </w:r>
      <w:r w:rsidR="00A96FDE" w:rsidRPr="004C5551">
        <w:rPr>
          <w:szCs w:val="22"/>
        </w:rPr>
        <w:t>eur</w:t>
      </w:r>
      <w:r w:rsidRPr="004C5551">
        <w:rPr>
          <w:szCs w:val="22"/>
        </w:rPr>
        <w:t xml:space="preserve"> (podporených</w:t>
      </w:r>
      <w:r w:rsidR="004A5701" w:rsidRPr="004C5551">
        <w:rPr>
          <w:szCs w:val="22"/>
        </w:rPr>
        <w:t xml:space="preserve"> </w:t>
      </w:r>
      <w:r w:rsidRPr="004C5551">
        <w:rPr>
          <w:szCs w:val="22"/>
        </w:rPr>
        <w:t xml:space="preserve">166 žiadostí), z toho z kapitálových transferov v sume 1 022 700 </w:t>
      </w:r>
      <w:r w:rsidR="00A96FDE" w:rsidRPr="004C5551">
        <w:rPr>
          <w:szCs w:val="22"/>
        </w:rPr>
        <w:t>eur</w:t>
      </w:r>
      <w:r w:rsidRPr="004C5551">
        <w:rPr>
          <w:szCs w:val="22"/>
        </w:rPr>
        <w:t xml:space="preserve"> na kúpu osobných a špeciálnych motorových vozidiel, technických zariadení na zlepšenie manipulácie s klientmi s obmedzenou schopnosťou pohybu, materiálového vybavenia, na vytváranie bezbariérového prostredia a na rekonštrukcie a stavebné úpravy. Na podporu rekondičných aktivít (§6) boli poskytnuté výdavky v sume 556 322 </w:t>
      </w:r>
      <w:r w:rsidR="00A96FDE" w:rsidRPr="004C5551">
        <w:rPr>
          <w:szCs w:val="22"/>
        </w:rPr>
        <w:t>eur</w:t>
      </w:r>
      <w:r w:rsidRPr="004C5551">
        <w:rPr>
          <w:szCs w:val="22"/>
        </w:rPr>
        <w:t xml:space="preserve"> </w:t>
      </w:r>
      <w:r w:rsidRPr="004C5551">
        <w:t xml:space="preserve">(27 </w:t>
      </w:r>
      <w:r w:rsidRPr="004C5551">
        <w:rPr>
          <w:szCs w:val="22"/>
        </w:rPr>
        <w:t xml:space="preserve">žiadostí), na podporu členstva v medzinárodnej organizácii v sociálnej oblasti (§ 7) v sume 32 291 </w:t>
      </w:r>
      <w:r w:rsidR="00A96FDE" w:rsidRPr="004C5551">
        <w:rPr>
          <w:szCs w:val="22"/>
        </w:rPr>
        <w:t>eur</w:t>
      </w:r>
      <w:r w:rsidR="004A5701" w:rsidRPr="004C5551">
        <w:rPr>
          <w:szCs w:val="22"/>
        </w:rPr>
        <w:t xml:space="preserve"> </w:t>
      </w:r>
      <w:r w:rsidRPr="004C5551">
        <w:rPr>
          <w:szCs w:val="22"/>
        </w:rPr>
        <w:t>(20 žiadostí) a na podporu edičnej činnosti (§</w:t>
      </w:r>
      <w:r w:rsidR="00B915AD" w:rsidRPr="004C5551">
        <w:rPr>
          <w:szCs w:val="22"/>
        </w:rPr>
        <w:t> </w:t>
      </w:r>
      <w:r w:rsidRPr="004C5551">
        <w:rPr>
          <w:szCs w:val="22"/>
        </w:rPr>
        <w:t>8) v sume 126 942</w:t>
      </w:r>
      <w:r w:rsidR="002A3CB9" w:rsidRPr="004C5551">
        <w:rPr>
          <w:szCs w:val="22"/>
        </w:rPr>
        <w:t xml:space="preserve"> </w:t>
      </w:r>
      <w:r w:rsidR="00A96FDE" w:rsidRPr="004C5551">
        <w:rPr>
          <w:szCs w:val="22"/>
        </w:rPr>
        <w:t>eur</w:t>
      </w:r>
      <w:r w:rsidRPr="004C5551">
        <w:rPr>
          <w:szCs w:val="22"/>
        </w:rPr>
        <w:t xml:space="preserve"> (20 žiadostí), z toho 4 000 </w:t>
      </w:r>
      <w:r w:rsidR="00A96FDE" w:rsidRPr="004C5551">
        <w:rPr>
          <w:szCs w:val="22"/>
        </w:rPr>
        <w:t>eur</w:t>
      </w:r>
      <w:r w:rsidRPr="004C5551">
        <w:rPr>
          <w:szCs w:val="22"/>
        </w:rPr>
        <w:t xml:space="preserve"> na protidrogovú politiku. V rámci dotácií na</w:t>
      </w:r>
      <w:r w:rsidR="00B915AD" w:rsidRPr="004C5551">
        <w:rPr>
          <w:szCs w:val="22"/>
        </w:rPr>
        <w:t> </w:t>
      </w:r>
      <w:r w:rsidRPr="004C5551">
        <w:rPr>
          <w:szCs w:val="22"/>
        </w:rPr>
        <w:t>podporu rekondičných aktivít boli na dotácie zamerané na predchádzanie sociálnemu vylúčeniu a</w:t>
      </w:r>
      <w:r w:rsidR="00B915AD" w:rsidRPr="004C5551">
        <w:rPr>
          <w:szCs w:val="22"/>
        </w:rPr>
        <w:t> </w:t>
      </w:r>
      <w:r w:rsidRPr="004C5551">
        <w:rPr>
          <w:szCs w:val="22"/>
        </w:rPr>
        <w:t>na</w:t>
      </w:r>
      <w:r w:rsidR="00B915AD" w:rsidRPr="004C5551">
        <w:rPr>
          <w:szCs w:val="22"/>
        </w:rPr>
        <w:t> </w:t>
      </w:r>
      <w:r w:rsidRPr="004C5551">
        <w:rPr>
          <w:szCs w:val="22"/>
        </w:rPr>
        <w:t>podporu obnovenia psychickej a fyzickej kondície fyzickej osoby, ktorá je poberateľom starobného, predčasného starobného alebo výsluhového dôchodku a nevykonáva činnosť, ktorá zakladá nárok na</w:t>
      </w:r>
      <w:r w:rsidR="00A96FDE" w:rsidRPr="004C5551">
        <w:rPr>
          <w:szCs w:val="22"/>
        </w:rPr>
        <w:t> </w:t>
      </w:r>
      <w:r w:rsidRPr="004C5551">
        <w:rPr>
          <w:szCs w:val="22"/>
        </w:rPr>
        <w:t>príjem zo závislej činnosti</w:t>
      </w:r>
      <w:r w:rsidR="004A5701" w:rsidRPr="004C5551">
        <w:rPr>
          <w:szCs w:val="22"/>
        </w:rPr>
        <w:t xml:space="preserve"> </w:t>
      </w:r>
      <w:r w:rsidRPr="004C5551">
        <w:rPr>
          <w:szCs w:val="22"/>
        </w:rPr>
        <w:t xml:space="preserve">alebo z podnikania poskytnuté </w:t>
      </w:r>
      <w:r w:rsidR="00BE4E77" w:rsidRPr="004C5551">
        <w:rPr>
          <w:szCs w:val="22"/>
        </w:rPr>
        <w:t>trom</w:t>
      </w:r>
      <w:r w:rsidR="00423669" w:rsidRPr="004C5551">
        <w:rPr>
          <w:szCs w:val="22"/>
        </w:rPr>
        <w:t xml:space="preserve"> </w:t>
      </w:r>
      <w:r w:rsidRPr="004C5551">
        <w:rPr>
          <w:szCs w:val="22"/>
        </w:rPr>
        <w:t>subjektom výdavky v sume 476</w:t>
      </w:r>
      <w:r w:rsidR="00A96FDE" w:rsidRPr="004C5551">
        <w:rPr>
          <w:szCs w:val="22"/>
        </w:rPr>
        <w:t> </w:t>
      </w:r>
      <w:r w:rsidRPr="004C5551">
        <w:rPr>
          <w:szCs w:val="22"/>
        </w:rPr>
        <w:t>200</w:t>
      </w:r>
      <w:r w:rsidR="00A96FDE" w:rsidRPr="004C5551">
        <w:rPr>
          <w:szCs w:val="22"/>
        </w:rPr>
        <w:t> eur</w:t>
      </w:r>
      <w:r w:rsidRPr="004C5551">
        <w:rPr>
          <w:szCs w:val="22"/>
        </w:rPr>
        <w:t>; prostredníctvom nich bol poskytnutý príspevok na rekreácie 9 824 žiadateľom. V súlade so zákonom č. 393/2012 Z.</w:t>
      </w:r>
      <w:r w:rsidR="008D4AC2" w:rsidRPr="004C5551">
        <w:rPr>
          <w:szCs w:val="22"/>
        </w:rPr>
        <w:t> </w:t>
      </w:r>
      <w:r w:rsidRPr="004C5551">
        <w:rPr>
          <w:szCs w:val="22"/>
        </w:rPr>
        <w:t>z., ktorým bol novelizovaný zákon</w:t>
      </w:r>
      <w:r w:rsidR="00E50E7E" w:rsidRPr="004C5551">
        <w:rPr>
          <w:szCs w:val="22"/>
        </w:rPr>
        <w:t xml:space="preserve">, </w:t>
      </w:r>
      <w:r w:rsidRPr="004C5551">
        <w:rPr>
          <w:szCs w:val="22"/>
        </w:rPr>
        <w:t xml:space="preserve">ministerstvo poskytlo dotáciu na podporu humanitárnej pomoci právnickým osobám (§9 ods.3) v sume 17 380 </w:t>
      </w:r>
      <w:r w:rsidR="00A96FDE" w:rsidRPr="004C5551">
        <w:rPr>
          <w:szCs w:val="22"/>
        </w:rPr>
        <w:t>eur</w:t>
      </w:r>
      <w:r w:rsidRPr="004C5551">
        <w:rPr>
          <w:szCs w:val="22"/>
        </w:rPr>
        <w:t xml:space="preserve"> (2</w:t>
      </w:r>
      <w:r w:rsidR="00BE4E77" w:rsidRPr="004C5551">
        <w:rPr>
          <w:szCs w:val="22"/>
        </w:rPr>
        <w:t xml:space="preserve"> žiadosti</w:t>
      </w:r>
      <w:r w:rsidRPr="004C5551">
        <w:rPr>
          <w:szCs w:val="22"/>
        </w:rPr>
        <w:t>).</w:t>
      </w:r>
      <w:r w:rsidR="004A5701" w:rsidRPr="004C5551">
        <w:rPr>
          <w:szCs w:val="22"/>
        </w:rPr>
        <w:t xml:space="preserve"> </w:t>
      </w:r>
      <w:r w:rsidRPr="004C5551">
        <w:rPr>
          <w:szCs w:val="22"/>
        </w:rPr>
        <w:t>Z hľadiska právnej formy</w:t>
      </w:r>
      <w:r w:rsidR="004A5701" w:rsidRPr="004C5551">
        <w:rPr>
          <w:szCs w:val="22"/>
        </w:rPr>
        <w:t xml:space="preserve"> </w:t>
      </w:r>
      <w:r w:rsidRPr="004C5551">
        <w:rPr>
          <w:szCs w:val="22"/>
        </w:rPr>
        <w:t>príjemcu dotácie</w:t>
      </w:r>
      <w:r w:rsidR="004A5701" w:rsidRPr="004C5551">
        <w:rPr>
          <w:szCs w:val="22"/>
        </w:rPr>
        <w:t xml:space="preserve"> </w:t>
      </w:r>
      <w:r w:rsidRPr="004C5551">
        <w:rPr>
          <w:szCs w:val="22"/>
        </w:rPr>
        <w:t xml:space="preserve">boli rozpočtové prostriedky poskytnuté obciam a vyšším územným celkom pre zariadenia v ich zriaďovateľskej pôsobnosti v sume 792 655 </w:t>
      </w:r>
      <w:r w:rsidR="00A96FDE" w:rsidRPr="004C5551">
        <w:rPr>
          <w:szCs w:val="22"/>
        </w:rPr>
        <w:t>eur</w:t>
      </w:r>
      <w:r w:rsidRPr="004C5551">
        <w:rPr>
          <w:szCs w:val="22"/>
        </w:rPr>
        <w:t xml:space="preserve">, občianskym združeniam v sume 634 392 </w:t>
      </w:r>
      <w:r w:rsidR="00A96FDE" w:rsidRPr="004C5551">
        <w:rPr>
          <w:szCs w:val="22"/>
        </w:rPr>
        <w:t>eur</w:t>
      </w:r>
      <w:r w:rsidRPr="004C5551">
        <w:rPr>
          <w:szCs w:val="22"/>
        </w:rPr>
        <w:t xml:space="preserve">, odborovej organizácii v sume 266 200 </w:t>
      </w:r>
      <w:r w:rsidR="00A96FDE" w:rsidRPr="004C5551">
        <w:rPr>
          <w:szCs w:val="22"/>
        </w:rPr>
        <w:t>eur</w:t>
      </w:r>
      <w:r w:rsidRPr="004C5551">
        <w:rPr>
          <w:szCs w:val="22"/>
        </w:rPr>
        <w:t xml:space="preserve">, neziskovým organizáciám v sume 375 305 </w:t>
      </w:r>
      <w:r w:rsidR="00A96FDE" w:rsidRPr="004C5551">
        <w:rPr>
          <w:szCs w:val="22"/>
        </w:rPr>
        <w:t>eur</w:t>
      </w:r>
      <w:r w:rsidRPr="004C5551">
        <w:rPr>
          <w:szCs w:val="22"/>
        </w:rPr>
        <w:t xml:space="preserve"> a cirkevným organizáciám v sume 140 400 </w:t>
      </w:r>
      <w:r w:rsidR="00A96FDE" w:rsidRPr="004C5551">
        <w:rPr>
          <w:szCs w:val="22"/>
        </w:rPr>
        <w:t>eur</w:t>
      </w:r>
      <w:r w:rsidRPr="004C5551">
        <w:rPr>
          <w:szCs w:val="22"/>
        </w:rPr>
        <w:t xml:space="preserve">. </w:t>
      </w:r>
    </w:p>
    <w:p w:rsidR="003B6DBF" w:rsidRPr="004C5551" w:rsidRDefault="003B6DBF" w:rsidP="003B0E51">
      <w:pPr>
        <w:pStyle w:val="Zkladntext"/>
        <w:tabs>
          <w:tab w:val="left" w:pos="851"/>
        </w:tabs>
        <w:spacing w:after="0"/>
        <w:ind w:firstLine="431"/>
        <w:rPr>
          <w:szCs w:val="22"/>
        </w:rPr>
      </w:pPr>
      <w:r w:rsidRPr="004C5551">
        <w:rPr>
          <w:szCs w:val="22"/>
        </w:rPr>
        <w:t>V súlade s § 9 ods.1 zákona bola poskytnutá</w:t>
      </w:r>
      <w:r w:rsidR="004A5701" w:rsidRPr="004C5551">
        <w:rPr>
          <w:szCs w:val="22"/>
        </w:rPr>
        <w:t xml:space="preserve"> </w:t>
      </w:r>
      <w:r w:rsidRPr="004C5551">
        <w:rPr>
          <w:szCs w:val="22"/>
        </w:rPr>
        <w:t xml:space="preserve">dotácia fyzickým osobám na podporu humanitárnej pomoci v sume 159 760 </w:t>
      </w:r>
      <w:r w:rsidR="00A96FDE" w:rsidRPr="004C5551">
        <w:rPr>
          <w:szCs w:val="22"/>
        </w:rPr>
        <w:t>eur</w:t>
      </w:r>
      <w:r w:rsidRPr="004C5551">
        <w:rPr>
          <w:szCs w:val="22"/>
        </w:rPr>
        <w:t xml:space="preserve"> pre 459 fyzických</w:t>
      </w:r>
      <w:r w:rsidR="004A5701" w:rsidRPr="004C5551">
        <w:rPr>
          <w:szCs w:val="22"/>
        </w:rPr>
        <w:t xml:space="preserve"> </w:t>
      </w:r>
      <w:r w:rsidRPr="004C5551">
        <w:rPr>
          <w:szCs w:val="22"/>
        </w:rPr>
        <w:t>osôb v krízovej životnej situácii alebo v mimoriadne nepria</w:t>
      </w:r>
      <w:r w:rsidR="00E50E7E" w:rsidRPr="004C5551">
        <w:rPr>
          <w:szCs w:val="22"/>
        </w:rPr>
        <w:t>znivej sociálnej situácii</w:t>
      </w:r>
      <w:r w:rsidRPr="004C5551">
        <w:rPr>
          <w:szCs w:val="22"/>
        </w:rPr>
        <w:t xml:space="preserve"> na podporu riešenia tejto situácie. </w:t>
      </w:r>
    </w:p>
    <w:p w:rsidR="00AF7B26" w:rsidRPr="004C5551" w:rsidRDefault="00EE0DB2" w:rsidP="00343B47">
      <w:pPr>
        <w:pStyle w:val="Nadpis7"/>
      </w:pPr>
      <w:bookmarkStart w:id="688" w:name="_Toc294027510"/>
      <w:bookmarkStart w:id="689" w:name="_Toc294029749"/>
      <w:bookmarkStart w:id="690" w:name="_Toc313879240"/>
      <w:bookmarkStart w:id="691" w:name="_Toc356482747"/>
      <w:bookmarkEnd w:id="688"/>
      <w:bookmarkEnd w:id="689"/>
      <w:r w:rsidRPr="004C5551">
        <w:rPr>
          <w:lang w:eastAsia="cs-CZ"/>
        </w:rPr>
        <w:t>Tabuľka</w:t>
      </w:r>
      <w:r w:rsidR="00AF7B26" w:rsidRPr="004C5551">
        <w:rPr>
          <w:lang w:eastAsia="cs-CZ"/>
        </w:rPr>
        <w:t xml:space="preserve"> 3.</w:t>
      </w:r>
      <w:r w:rsidR="009B7B4B" w:rsidRPr="004C5551">
        <w:rPr>
          <w:lang w:eastAsia="cs-CZ"/>
        </w:rPr>
        <w:t>28</w:t>
      </w:r>
      <w:r w:rsidR="00AF7B26" w:rsidRPr="004C5551">
        <w:rPr>
          <w:lang w:eastAsia="cs-CZ"/>
        </w:rPr>
        <w:t xml:space="preserve"> Poskytovanie dotácií v pôsobnosti MPSVR SR</w:t>
      </w:r>
      <w:bookmarkEnd w:id="690"/>
      <w:bookmarkEnd w:id="691"/>
    </w:p>
    <w:tbl>
      <w:tblPr>
        <w:tblW w:w="9075" w:type="dxa"/>
        <w:jc w:val="center"/>
        <w:tblInd w:w="489"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0" w:type="dxa"/>
          <w:right w:w="0" w:type="dxa"/>
        </w:tblCellMar>
        <w:tblLook w:val="0000" w:firstRow="0" w:lastRow="0" w:firstColumn="0" w:lastColumn="0" w:noHBand="0" w:noVBand="0"/>
      </w:tblPr>
      <w:tblGrid>
        <w:gridCol w:w="2271"/>
        <w:gridCol w:w="1257"/>
        <w:gridCol w:w="1044"/>
        <w:gridCol w:w="1119"/>
        <w:gridCol w:w="1261"/>
        <w:gridCol w:w="1068"/>
        <w:gridCol w:w="1082"/>
        <w:gridCol w:w="11"/>
      </w:tblGrid>
      <w:tr w:rsidR="00EE093F" w:rsidRPr="004C5551" w:rsidTr="002B6349">
        <w:trPr>
          <w:trHeight w:val="433"/>
          <w:jc w:val="center"/>
        </w:trPr>
        <w:tc>
          <w:tcPr>
            <w:tcW w:w="2271" w:type="dxa"/>
            <w:vMerge w:val="restart"/>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bookmarkStart w:id="692" w:name="_Toc294027511"/>
            <w:bookmarkStart w:id="693" w:name="_Toc294029750"/>
            <w:bookmarkStart w:id="694" w:name="_Toc313879241"/>
            <w:bookmarkEnd w:id="692"/>
            <w:bookmarkEnd w:id="693"/>
            <w:bookmarkEnd w:id="694"/>
            <w:r w:rsidRPr="004C5551">
              <w:rPr>
                <w:b/>
                <w:color w:val="FFFFFF"/>
                <w:szCs w:val="22"/>
              </w:rPr>
              <w:t>Účel poskytovania dotácií:</w:t>
            </w:r>
          </w:p>
        </w:tc>
        <w:tc>
          <w:tcPr>
            <w:tcW w:w="3395" w:type="dxa"/>
            <w:gridSpan w:val="3"/>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r w:rsidRPr="004C5551">
              <w:rPr>
                <w:b/>
                <w:color w:val="FFFFFF"/>
                <w:szCs w:val="22"/>
              </w:rPr>
              <w:t>Podporené projekty</w:t>
            </w:r>
          </w:p>
        </w:tc>
        <w:tc>
          <w:tcPr>
            <w:tcW w:w="3398" w:type="dxa"/>
            <w:gridSpan w:val="3"/>
            <w:shd w:val="clear" w:color="auto" w:fill="BF0000" w:themeFill="accent3" w:themeFillShade="BF"/>
            <w:tcMar>
              <w:top w:w="0" w:type="dxa"/>
              <w:left w:w="70" w:type="dxa"/>
              <w:bottom w:w="0" w:type="dxa"/>
              <w:right w:w="70" w:type="dxa"/>
            </w:tcMar>
            <w:vAlign w:val="center"/>
          </w:tcPr>
          <w:p w:rsidR="00EE093F" w:rsidRPr="004C5551" w:rsidRDefault="00EE093F" w:rsidP="000860E9">
            <w:pPr>
              <w:jc w:val="center"/>
              <w:rPr>
                <w:rFonts w:ascii="Calibri" w:hAnsi="Calibri"/>
                <w:b/>
                <w:color w:val="FFFFFF"/>
                <w:szCs w:val="22"/>
              </w:rPr>
            </w:pPr>
            <w:r w:rsidRPr="004C5551">
              <w:rPr>
                <w:b/>
                <w:color w:val="FFFFFF"/>
                <w:szCs w:val="22"/>
              </w:rPr>
              <w:t>Poskytnuté finančné prostriedky</w:t>
            </w:r>
            <w:r w:rsidR="000860E9" w:rsidRPr="004C5551">
              <w:rPr>
                <w:b/>
                <w:color w:val="FFFFFF"/>
                <w:szCs w:val="22"/>
              </w:rPr>
              <w:t xml:space="preserve"> </w:t>
            </w:r>
            <w:r w:rsidRPr="004C5551">
              <w:rPr>
                <w:b/>
                <w:color w:val="FFFFFF"/>
                <w:szCs w:val="22"/>
              </w:rPr>
              <w:t>v </w:t>
            </w:r>
            <w:r w:rsidR="000860E9" w:rsidRPr="004C5551">
              <w:rPr>
                <w:b/>
                <w:color w:val="FFFFFF"/>
                <w:szCs w:val="22"/>
              </w:rPr>
              <w:t>€</w:t>
            </w:r>
          </w:p>
        </w:tc>
        <w:tc>
          <w:tcPr>
            <w:tcW w:w="11" w:type="dxa"/>
            <w:vAlign w:val="center"/>
          </w:tcPr>
          <w:p w:rsidR="00EE093F" w:rsidRPr="004C5551" w:rsidRDefault="00EE093F" w:rsidP="00014525">
            <w:pPr>
              <w:rPr>
                <w:color w:val="000000"/>
              </w:rPr>
            </w:pPr>
          </w:p>
        </w:tc>
      </w:tr>
      <w:tr w:rsidR="00EE093F" w:rsidRPr="004C5551" w:rsidTr="002B6349">
        <w:trPr>
          <w:trHeight w:val="210"/>
          <w:jc w:val="center"/>
        </w:trPr>
        <w:tc>
          <w:tcPr>
            <w:tcW w:w="2271" w:type="dxa"/>
            <w:vMerge/>
            <w:shd w:val="clear" w:color="auto" w:fill="BF0000" w:themeFill="accent3" w:themeFillShade="BF"/>
            <w:vAlign w:val="center"/>
          </w:tcPr>
          <w:p w:rsidR="00EE093F" w:rsidRPr="004C5551" w:rsidRDefault="00EE093F" w:rsidP="00014525">
            <w:pPr>
              <w:jc w:val="center"/>
              <w:rPr>
                <w:rFonts w:ascii="Calibri" w:hAnsi="Calibri"/>
                <w:b/>
                <w:color w:val="FFFFFF"/>
                <w:szCs w:val="22"/>
              </w:rPr>
            </w:pPr>
          </w:p>
        </w:tc>
        <w:tc>
          <w:tcPr>
            <w:tcW w:w="1241" w:type="dxa"/>
            <w:shd w:val="clear" w:color="auto" w:fill="BF0000" w:themeFill="accent3" w:themeFillShade="BF"/>
            <w:noWrap/>
            <w:vAlign w:val="center"/>
          </w:tcPr>
          <w:p w:rsidR="00EE093F" w:rsidRPr="004C5551" w:rsidRDefault="00EE093F" w:rsidP="00014525">
            <w:pPr>
              <w:jc w:val="center"/>
              <w:rPr>
                <w:rFonts w:ascii="Calibri" w:hAnsi="Calibri"/>
                <w:b/>
                <w:color w:val="FFFFFF"/>
                <w:szCs w:val="22"/>
              </w:rPr>
            </w:pPr>
            <w:r w:rsidRPr="004C5551">
              <w:rPr>
                <w:b/>
                <w:color w:val="FFFFFF"/>
                <w:szCs w:val="22"/>
              </w:rPr>
              <w:t>rok 2013</w:t>
            </w:r>
          </w:p>
        </w:tc>
        <w:tc>
          <w:tcPr>
            <w:tcW w:w="1036" w:type="dxa"/>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r w:rsidRPr="004C5551">
              <w:rPr>
                <w:b/>
                <w:color w:val="FFFFFF"/>
                <w:szCs w:val="22"/>
              </w:rPr>
              <w:t>rok 2014</w:t>
            </w:r>
          </w:p>
        </w:tc>
        <w:tc>
          <w:tcPr>
            <w:tcW w:w="1119" w:type="dxa"/>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r w:rsidRPr="004C5551">
              <w:rPr>
                <w:b/>
                <w:color w:val="FFFFFF"/>
                <w:szCs w:val="22"/>
              </w:rPr>
              <w:t>Index 2014/2013</w:t>
            </w:r>
          </w:p>
        </w:tc>
        <w:tc>
          <w:tcPr>
            <w:tcW w:w="1261" w:type="dxa"/>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r w:rsidRPr="004C5551">
              <w:rPr>
                <w:b/>
                <w:color w:val="FFFFFF"/>
                <w:szCs w:val="22"/>
              </w:rPr>
              <w:t>rok 2013</w:t>
            </w:r>
          </w:p>
        </w:tc>
        <w:tc>
          <w:tcPr>
            <w:tcW w:w="1068" w:type="dxa"/>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rFonts w:ascii="Calibri" w:hAnsi="Calibri"/>
                <w:b/>
                <w:color w:val="FFFFFF"/>
                <w:szCs w:val="22"/>
              </w:rPr>
            </w:pPr>
            <w:r w:rsidRPr="004C5551">
              <w:rPr>
                <w:b/>
                <w:color w:val="FFFFFF"/>
                <w:szCs w:val="22"/>
              </w:rPr>
              <w:t>rok 2014</w:t>
            </w:r>
          </w:p>
        </w:tc>
        <w:tc>
          <w:tcPr>
            <w:tcW w:w="1068" w:type="dxa"/>
            <w:shd w:val="clear" w:color="auto" w:fill="BF0000" w:themeFill="accent3" w:themeFillShade="BF"/>
            <w:noWrap/>
            <w:tcMar>
              <w:top w:w="0" w:type="dxa"/>
              <w:left w:w="70" w:type="dxa"/>
              <w:bottom w:w="0" w:type="dxa"/>
              <w:right w:w="70" w:type="dxa"/>
            </w:tcMar>
            <w:vAlign w:val="center"/>
          </w:tcPr>
          <w:p w:rsidR="00EE093F" w:rsidRPr="004C5551" w:rsidRDefault="00EE093F" w:rsidP="00014525">
            <w:pPr>
              <w:jc w:val="center"/>
              <w:rPr>
                <w:b/>
                <w:color w:val="FFFFFF"/>
                <w:szCs w:val="22"/>
              </w:rPr>
            </w:pPr>
            <w:r w:rsidRPr="004C5551">
              <w:rPr>
                <w:b/>
                <w:color w:val="FFFFFF"/>
                <w:szCs w:val="22"/>
              </w:rPr>
              <w:t>Index 2014/2013</w:t>
            </w:r>
          </w:p>
        </w:tc>
        <w:tc>
          <w:tcPr>
            <w:tcW w:w="11" w:type="dxa"/>
            <w:vAlign w:val="center"/>
          </w:tcPr>
          <w:p w:rsidR="00EE093F" w:rsidRPr="004C5551" w:rsidRDefault="00EE093F" w:rsidP="00014525">
            <w:pPr>
              <w:rPr>
                <w:color w:val="000000"/>
              </w:rPr>
            </w:pPr>
          </w:p>
        </w:tc>
      </w:tr>
      <w:tr w:rsidR="00EE093F" w:rsidRPr="004C5551" w:rsidTr="002B6349">
        <w:trPr>
          <w:trHeight w:val="234"/>
          <w:jc w:val="center"/>
        </w:trPr>
        <w:tc>
          <w:tcPr>
            <w:tcW w:w="2271" w:type="dxa"/>
            <w:vAlign w:val="center"/>
          </w:tcPr>
          <w:p w:rsidR="00EE093F" w:rsidRPr="004C5551" w:rsidRDefault="00EE093F" w:rsidP="00014525">
            <w:pPr>
              <w:rPr>
                <w:rFonts w:ascii="Calibri" w:hAnsi="Calibri"/>
                <w:color w:val="000000"/>
                <w:sz w:val="20"/>
                <w:szCs w:val="20"/>
                <w:lang w:eastAsia="en-US"/>
              </w:rPr>
            </w:pPr>
            <w:r w:rsidRPr="004C5551">
              <w:rPr>
                <w:color w:val="000000"/>
              </w:rPr>
              <w:t>–</w:t>
            </w:r>
            <w:r w:rsidRPr="004C5551">
              <w:rPr>
                <w:color w:val="000000"/>
                <w:sz w:val="20"/>
                <w:szCs w:val="20"/>
                <w:lang w:eastAsia="en-US"/>
              </w:rPr>
              <w:t xml:space="preserve"> na podporu rozvoja sociálnych služieb a na podporu vykonávania opatrení sociálnoprávnej ochrany detí a sociálnej kurately</w:t>
            </w:r>
          </w:p>
        </w:tc>
        <w:tc>
          <w:tcPr>
            <w:tcW w:w="1241" w:type="dxa"/>
            <w:vAlign w:val="center"/>
          </w:tcPr>
          <w:p w:rsidR="00EE093F" w:rsidRPr="004C5551" w:rsidRDefault="00EE093F" w:rsidP="00014525">
            <w:pPr>
              <w:jc w:val="right"/>
              <w:rPr>
                <w:rFonts w:ascii="Calibri" w:hAnsi="Calibri"/>
                <w:lang w:eastAsia="en-US"/>
              </w:rPr>
            </w:pPr>
            <w:r w:rsidRPr="004C5551">
              <w:rPr>
                <w:lang w:eastAsia="en-US"/>
              </w:rPr>
              <w:t>175</w:t>
            </w:r>
          </w:p>
        </w:tc>
        <w:tc>
          <w:tcPr>
            <w:tcW w:w="1036" w:type="dxa"/>
            <w:vAlign w:val="center"/>
          </w:tcPr>
          <w:p w:rsidR="00EE093F" w:rsidRPr="004C5551" w:rsidRDefault="00EE093F" w:rsidP="00014525">
            <w:pPr>
              <w:jc w:val="right"/>
              <w:rPr>
                <w:lang w:eastAsia="en-US"/>
              </w:rPr>
            </w:pPr>
            <w:r w:rsidRPr="004C5551">
              <w:rPr>
                <w:lang w:eastAsia="en-US"/>
              </w:rPr>
              <w:t>166</w:t>
            </w:r>
          </w:p>
        </w:tc>
        <w:tc>
          <w:tcPr>
            <w:tcW w:w="1119" w:type="dxa"/>
            <w:noWrap/>
            <w:tcMar>
              <w:top w:w="0" w:type="dxa"/>
              <w:left w:w="70" w:type="dxa"/>
              <w:bottom w:w="0" w:type="dxa"/>
              <w:right w:w="70" w:type="dxa"/>
            </w:tcMar>
            <w:vAlign w:val="center"/>
          </w:tcPr>
          <w:p w:rsidR="00EE093F" w:rsidRPr="004C5551" w:rsidRDefault="00EE093F" w:rsidP="00014525">
            <w:pPr>
              <w:jc w:val="right"/>
              <w:rPr>
                <w:rFonts w:ascii="Calibri" w:hAnsi="Calibri"/>
                <w:lang w:eastAsia="en-US"/>
              </w:rPr>
            </w:pPr>
            <w:r w:rsidRPr="004C5551">
              <w:rPr>
                <w:lang w:eastAsia="en-US"/>
              </w:rPr>
              <w:t>94,9</w:t>
            </w:r>
          </w:p>
        </w:tc>
        <w:tc>
          <w:tcPr>
            <w:tcW w:w="1261" w:type="dxa"/>
            <w:tcMar>
              <w:top w:w="0" w:type="dxa"/>
              <w:left w:w="70" w:type="dxa"/>
              <w:bottom w:w="0" w:type="dxa"/>
              <w:right w:w="70" w:type="dxa"/>
            </w:tcMar>
            <w:vAlign w:val="center"/>
          </w:tcPr>
          <w:p w:rsidR="00EE093F" w:rsidRPr="004C5551" w:rsidRDefault="00EE093F" w:rsidP="00014525">
            <w:pPr>
              <w:jc w:val="right"/>
              <w:rPr>
                <w:rFonts w:ascii="Calibri" w:hAnsi="Calibri"/>
                <w:lang w:eastAsia="en-US"/>
              </w:rPr>
            </w:pPr>
            <w:r w:rsidRPr="004C5551">
              <w:rPr>
                <w:lang w:eastAsia="en-US"/>
              </w:rPr>
              <w:t>1 300 131</w:t>
            </w:r>
          </w:p>
        </w:tc>
        <w:tc>
          <w:tcPr>
            <w:tcW w:w="1068" w:type="dxa"/>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1 476 017</w:t>
            </w:r>
          </w:p>
        </w:tc>
        <w:tc>
          <w:tcPr>
            <w:tcW w:w="1068"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113,5</w:t>
            </w:r>
          </w:p>
        </w:tc>
        <w:tc>
          <w:tcPr>
            <w:tcW w:w="11" w:type="dxa"/>
            <w:vAlign w:val="center"/>
          </w:tcPr>
          <w:p w:rsidR="00EE093F" w:rsidRPr="004C5551" w:rsidRDefault="00EE093F" w:rsidP="00014525">
            <w:pPr>
              <w:rPr>
                <w:color w:val="000000"/>
              </w:rPr>
            </w:pPr>
          </w:p>
        </w:tc>
      </w:tr>
      <w:tr w:rsidR="00EE093F" w:rsidRPr="004C5551" w:rsidTr="002B6349">
        <w:trPr>
          <w:trHeight w:val="234"/>
          <w:jc w:val="center"/>
        </w:trPr>
        <w:tc>
          <w:tcPr>
            <w:tcW w:w="2271" w:type="dxa"/>
            <w:vAlign w:val="center"/>
          </w:tcPr>
          <w:p w:rsidR="00EE093F" w:rsidRPr="004C5551" w:rsidRDefault="00EE093F" w:rsidP="00014525">
            <w:pPr>
              <w:rPr>
                <w:color w:val="000000"/>
                <w:sz w:val="20"/>
                <w:szCs w:val="20"/>
                <w:lang w:eastAsia="en-US"/>
              </w:rPr>
            </w:pPr>
            <w:r w:rsidRPr="004C5551">
              <w:rPr>
                <w:color w:val="000000"/>
              </w:rPr>
              <w:t>–</w:t>
            </w:r>
            <w:r w:rsidRPr="004C5551">
              <w:rPr>
                <w:color w:val="000000"/>
                <w:sz w:val="20"/>
                <w:szCs w:val="20"/>
                <w:lang w:eastAsia="en-US"/>
              </w:rPr>
              <w:t xml:space="preserve"> na podporu rekondičných aktivít, členstva v medzi</w:t>
            </w:r>
            <w:r w:rsidRPr="004C5551">
              <w:rPr>
                <w:color w:val="000000"/>
                <w:sz w:val="20"/>
                <w:szCs w:val="20"/>
                <w:lang w:eastAsia="en-US"/>
              </w:rPr>
              <w:softHyphen/>
              <w:t>národných organizáciách, podporu edičnej činnosti a humanitárnej pomoci právnickým osobám</w:t>
            </w:r>
          </w:p>
        </w:tc>
        <w:tc>
          <w:tcPr>
            <w:tcW w:w="1241" w:type="dxa"/>
            <w:noWrap/>
            <w:vAlign w:val="center"/>
          </w:tcPr>
          <w:p w:rsidR="00EE093F" w:rsidRPr="004C5551" w:rsidRDefault="00EE093F" w:rsidP="00014525">
            <w:pPr>
              <w:jc w:val="right"/>
              <w:rPr>
                <w:rFonts w:ascii="Calibri" w:hAnsi="Calibri"/>
                <w:lang w:eastAsia="en-US"/>
              </w:rPr>
            </w:pPr>
            <w:r w:rsidRPr="004C5551">
              <w:rPr>
                <w:rFonts w:ascii="Calibri" w:hAnsi="Calibri"/>
                <w:lang w:eastAsia="en-US"/>
              </w:rPr>
              <w:t>58</w:t>
            </w:r>
          </w:p>
        </w:tc>
        <w:tc>
          <w:tcPr>
            <w:tcW w:w="1036" w:type="dxa"/>
            <w:noWrap/>
            <w:vAlign w:val="center"/>
          </w:tcPr>
          <w:p w:rsidR="00EE093F" w:rsidRPr="004C5551" w:rsidRDefault="00EE093F" w:rsidP="00014525">
            <w:pPr>
              <w:jc w:val="right"/>
              <w:rPr>
                <w:lang w:eastAsia="en-US"/>
              </w:rPr>
            </w:pPr>
            <w:r w:rsidRPr="004C5551">
              <w:rPr>
                <w:lang w:eastAsia="en-US"/>
              </w:rPr>
              <w:t>70</w:t>
            </w:r>
          </w:p>
        </w:tc>
        <w:tc>
          <w:tcPr>
            <w:tcW w:w="1119"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120,7</w:t>
            </w:r>
          </w:p>
        </w:tc>
        <w:tc>
          <w:tcPr>
            <w:tcW w:w="1261"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780 994</w:t>
            </w:r>
          </w:p>
        </w:tc>
        <w:tc>
          <w:tcPr>
            <w:tcW w:w="1068"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732 935</w:t>
            </w:r>
          </w:p>
        </w:tc>
        <w:tc>
          <w:tcPr>
            <w:tcW w:w="1068"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93,9</w:t>
            </w:r>
          </w:p>
        </w:tc>
        <w:tc>
          <w:tcPr>
            <w:tcW w:w="11" w:type="dxa"/>
            <w:vAlign w:val="center"/>
          </w:tcPr>
          <w:p w:rsidR="00EE093F" w:rsidRPr="004C5551" w:rsidRDefault="00EE093F" w:rsidP="00014525">
            <w:pPr>
              <w:rPr>
                <w:color w:val="000000"/>
              </w:rPr>
            </w:pPr>
          </w:p>
        </w:tc>
      </w:tr>
      <w:tr w:rsidR="00EE093F" w:rsidRPr="004C5551" w:rsidTr="002B6349">
        <w:trPr>
          <w:trHeight w:val="234"/>
          <w:jc w:val="center"/>
        </w:trPr>
        <w:tc>
          <w:tcPr>
            <w:tcW w:w="2271" w:type="dxa"/>
            <w:vAlign w:val="center"/>
          </w:tcPr>
          <w:p w:rsidR="00EE093F" w:rsidRPr="004C5551" w:rsidRDefault="00EE093F" w:rsidP="00014525">
            <w:pPr>
              <w:rPr>
                <w:rFonts w:ascii="Calibri" w:hAnsi="Calibri"/>
                <w:color w:val="000000"/>
                <w:sz w:val="20"/>
                <w:szCs w:val="20"/>
                <w:lang w:eastAsia="en-US"/>
              </w:rPr>
            </w:pPr>
            <w:r w:rsidRPr="004C5551">
              <w:rPr>
                <w:color w:val="000000"/>
              </w:rPr>
              <w:t>–</w:t>
            </w:r>
            <w:r w:rsidRPr="004C5551">
              <w:rPr>
                <w:color w:val="000000"/>
                <w:sz w:val="20"/>
                <w:szCs w:val="20"/>
                <w:lang w:eastAsia="en-US"/>
              </w:rPr>
              <w:t xml:space="preserve"> na podporu humanitárnej pomoci (fyzické osoby)</w:t>
            </w:r>
          </w:p>
        </w:tc>
        <w:tc>
          <w:tcPr>
            <w:tcW w:w="1241" w:type="dxa"/>
            <w:noWrap/>
            <w:vAlign w:val="center"/>
          </w:tcPr>
          <w:p w:rsidR="00EE093F" w:rsidRPr="004C5551" w:rsidRDefault="00EE093F" w:rsidP="00014525">
            <w:pPr>
              <w:jc w:val="right"/>
              <w:rPr>
                <w:lang w:eastAsia="en-US"/>
              </w:rPr>
            </w:pPr>
            <w:r w:rsidRPr="004C5551">
              <w:rPr>
                <w:lang w:eastAsia="en-US"/>
              </w:rPr>
              <w:t>1 000*</w:t>
            </w:r>
          </w:p>
        </w:tc>
        <w:tc>
          <w:tcPr>
            <w:tcW w:w="1036" w:type="dxa"/>
            <w:noWrap/>
            <w:vAlign w:val="center"/>
          </w:tcPr>
          <w:p w:rsidR="00EE093F" w:rsidRPr="004C5551" w:rsidRDefault="00EE093F" w:rsidP="00014525">
            <w:pPr>
              <w:jc w:val="right"/>
              <w:rPr>
                <w:lang w:eastAsia="en-US"/>
              </w:rPr>
            </w:pPr>
            <w:r w:rsidRPr="004C5551">
              <w:rPr>
                <w:lang w:eastAsia="en-US"/>
              </w:rPr>
              <w:t>459</w:t>
            </w:r>
          </w:p>
        </w:tc>
        <w:tc>
          <w:tcPr>
            <w:tcW w:w="1119"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45,9</w:t>
            </w:r>
          </w:p>
        </w:tc>
        <w:tc>
          <w:tcPr>
            <w:tcW w:w="1261"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145 824*</w:t>
            </w:r>
          </w:p>
        </w:tc>
        <w:tc>
          <w:tcPr>
            <w:tcW w:w="1068"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159 760</w:t>
            </w:r>
          </w:p>
        </w:tc>
        <w:tc>
          <w:tcPr>
            <w:tcW w:w="1068" w:type="dxa"/>
            <w:noWrap/>
            <w:tcMar>
              <w:top w:w="0" w:type="dxa"/>
              <w:left w:w="70" w:type="dxa"/>
              <w:bottom w:w="0" w:type="dxa"/>
              <w:right w:w="70" w:type="dxa"/>
            </w:tcMar>
            <w:vAlign w:val="center"/>
          </w:tcPr>
          <w:p w:rsidR="00EE093F" w:rsidRPr="004C5551" w:rsidRDefault="00EE093F" w:rsidP="00014525">
            <w:pPr>
              <w:jc w:val="right"/>
              <w:rPr>
                <w:lang w:eastAsia="en-US"/>
              </w:rPr>
            </w:pPr>
            <w:r w:rsidRPr="004C5551">
              <w:rPr>
                <w:lang w:eastAsia="en-US"/>
              </w:rPr>
              <w:t>109,6</w:t>
            </w:r>
          </w:p>
        </w:tc>
        <w:tc>
          <w:tcPr>
            <w:tcW w:w="11" w:type="dxa"/>
            <w:vAlign w:val="center"/>
          </w:tcPr>
          <w:p w:rsidR="00EE093F" w:rsidRPr="004C5551" w:rsidRDefault="00EE093F" w:rsidP="00014525">
            <w:pPr>
              <w:rPr>
                <w:color w:val="000000"/>
              </w:rPr>
            </w:pPr>
          </w:p>
        </w:tc>
      </w:tr>
    </w:tbl>
    <w:p w:rsidR="00EE093F" w:rsidRPr="004C5551" w:rsidRDefault="00EE093F" w:rsidP="00EE093F">
      <w:pPr>
        <w:rPr>
          <w:i/>
          <w:color w:val="000000"/>
          <w:sz w:val="20"/>
          <w:szCs w:val="20"/>
        </w:rPr>
      </w:pPr>
      <w:r w:rsidRPr="004C5551">
        <w:rPr>
          <w:i/>
          <w:color w:val="000000"/>
          <w:sz w:val="20"/>
          <w:szCs w:val="20"/>
        </w:rPr>
        <w:t xml:space="preserve">* z toho 58 789 </w:t>
      </w:r>
      <w:r w:rsidR="00A96FDE" w:rsidRPr="004C5551">
        <w:rPr>
          <w:i/>
          <w:color w:val="000000"/>
          <w:sz w:val="20"/>
          <w:szCs w:val="20"/>
        </w:rPr>
        <w:t>eur</w:t>
      </w:r>
      <w:r w:rsidRPr="004C5551">
        <w:rPr>
          <w:i/>
          <w:color w:val="000000"/>
          <w:sz w:val="20"/>
          <w:szCs w:val="20"/>
        </w:rPr>
        <w:t xml:space="preserve"> na zabezpečenie stravy pre 698 detí Základne školy s materskou školou v Lomničke</w:t>
      </w:r>
    </w:p>
    <w:p w:rsidR="00EE093F" w:rsidRPr="004C5551" w:rsidRDefault="00EE093F" w:rsidP="00EE093F">
      <w:pPr>
        <w:rPr>
          <w:i/>
          <w:iCs/>
          <w:color w:val="000000"/>
          <w:sz w:val="20"/>
          <w:szCs w:val="20"/>
        </w:rPr>
      </w:pPr>
      <w:r w:rsidRPr="004C5551">
        <w:rPr>
          <w:i/>
          <w:iCs/>
          <w:color w:val="000000"/>
          <w:sz w:val="20"/>
          <w:szCs w:val="20"/>
        </w:rPr>
        <w:t xml:space="preserve"> Zdroj: Návrh záverečného účtu za rok 201</w:t>
      </w:r>
      <w:r w:rsidR="002A3CB9" w:rsidRPr="004C5551">
        <w:rPr>
          <w:i/>
          <w:iCs/>
          <w:color w:val="000000"/>
          <w:sz w:val="20"/>
          <w:szCs w:val="20"/>
        </w:rPr>
        <w:t>4</w:t>
      </w:r>
    </w:p>
    <w:p w:rsidR="00C55A5E" w:rsidRPr="004C5551" w:rsidRDefault="00C55A5E" w:rsidP="004F3C97">
      <w:pPr>
        <w:pStyle w:val="Nadpis6"/>
      </w:pPr>
      <w:bookmarkStart w:id="695" w:name="_Toc356482748"/>
      <w:bookmarkStart w:id="696" w:name="_Toc422233440"/>
      <w:bookmarkEnd w:id="686"/>
      <w:r w:rsidRPr="004C5551">
        <w:t>Európsky integrovaný systém štatistiky sociálnej ochrany</w:t>
      </w:r>
      <w:r w:rsidR="00BA55A2" w:rsidRPr="004C5551">
        <w:t xml:space="preserve"> </w:t>
      </w:r>
      <w:r w:rsidRPr="004C5551">
        <w:t>(Metodika ESSPROS)</w:t>
      </w:r>
      <w:bookmarkEnd w:id="695"/>
      <w:bookmarkEnd w:id="696"/>
    </w:p>
    <w:p w:rsidR="00C55A5E" w:rsidRPr="004C5551" w:rsidRDefault="00C55A5E" w:rsidP="003B0E51">
      <w:pPr>
        <w:ind w:firstLine="431"/>
        <w:rPr>
          <w:color w:val="000000" w:themeColor="text1"/>
          <w:szCs w:val="22"/>
        </w:rPr>
      </w:pPr>
      <w:r w:rsidRPr="004C5551">
        <w:rPr>
          <w:color w:val="000000" w:themeColor="text1"/>
          <w:szCs w:val="22"/>
        </w:rPr>
        <w:t xml:space="preserve">V zmysle platnej Lisabonskej zmluvy sú členské štáty EÚ a Európska únia ako celok povinné pri definovaní a implementovaní svojich politík klásť dôraz na plnú zamestnanosť, sociálnu ochranu pre všetkých občanov a boj proti sociálnej </w:t>
      </w:r>
      <w:proofErr w:type="spellStart"/>
      <w:r w:rsidRPr="004C5551">
        <w:rPr>
          <w:color w:val="000000" w:themeColor="text1"/>
          <w:szCs w:val="22"/>
        </w:rPr>
        <w:t>exklúzii</w:t>
      </w:r>
      <w:proofErr w:type="spellEnd"/>
      <w:r w:rsidRPr="004C5551">
        <w:rPr>
          <w:color w:val="000000" w:themeColor="text1"/>
          <w:szCs w:val="22"/>
        </w:rPr>
        <w:t>.</w:t>
      </w:r>
    </w:p>
    <w:p w:rsidR="00C55A5E" w:rsidRPr="004C5551" w:rsidRDefault="009A509B" w:rsidP="003B0E51">
      <w:pPr>
        <w:ind w:firstLine="431"/>
        <w:rPr>
          <w:bCs/>
        </w:rPr>
      </w:pPr>
      <w:r w:rsidRPr="004C5551">
        <w:t xml:space="preserve">Z dôvodu monitorovania vývoja sociálnej ochrany v členských štátoch EÚ vyžaduje Európska komisia (EK) prístup k aktuálnym a podrobným údajom a informáciám o systémoch, súčasnom stave a rozvoji sociálnej ochrany v členských štátoch. Jedným zo základných nástrojov štatistického sledovania sociálnej ochrany je </w:t>
      </w:r>
      <w:r w:rsidRPr="004C5551">
        <w:rPr>
          <w:b/>
        </w:rPr>
        <w:t>Európsky systém jednotných štatistík sociálnej ochrany (Metodika ESSPROS</w:t>
      </w:r>
      <w:r w:rsidRPr="004C5551">
        <w:rPr>
          <w:rStyle w:val="Odkaznapoznmkupodiarou"/>
          <w:b/>
          <w:color w:val="333300"/>
        </w:rPr>
        <w:footnoteReference w:id="38"/>
      </w:r>
      <w:r w:rsidRPr="004C5551">
        <w:rPr>
          <w:b/>
        </w:rPr>
        <w:t xml:space="preserve">). </w:t>
      </w:r>
      <w:r w:rsidRPr="004C5551">
        <w:t xml:space="preserve">Počnúc rokom 2008 (referenčný rok 2006) poskytujú členské štáty EÚ údaje na základe </w:t>
      </w:r>
      <w:r w:rsidRPr="004C5551">
        <w:rPr>
          <w:bCs/>
        </w:rPr>
        <w:t xml:space="preserve">Nariadenia </w:t>
      </w:r>
      <w:r w:rsidRPr="004C5551">
        <w:t xml:space="preserve">Európskeho parlamentu a Rady (ES) </w:t>
      </w:r>
      <w:r w:rsidRPr="004C5551">
        <w:rPr>
          <w:bCs/>
        </w:rPr>
        <w:t>č. 458/2007</w:t>
      </w:r>
      <w:r w:rsidRPr="004C5551">
        <w:rPr>
          <w:rStyle w:val="Odkaznapoznmkupodiarou"/>
          <w:bCs/>
          <w:color w:val="333300"/>
        </w:rPr>
        <w:footnoteReference w:id="39"/>
      </w:r>
      <w:r w:rsidRPr="004C5551">
        <w:rPr>
          <w:bCs/>
        </w:rPr>
        <w:t xml:space="preserve"> </w:t>
      </w:r>
      <w:r w:rsidRPr="004C5551">
        <w:t>o európskom systéme integrovanej štatistiky sociálnej ochrany (ESSPROS)</w:t>
      </w:r>
      <w:r w:rsidRPr="004C5551">
        <w:rPr>
          <w:bCs/>
        </w:rPr>
        <w:t xml:space="preserve"> so štyrmi implementačnými nariadeniami Komisie</w:t>
      </w:r>
      <w:r w:rsidRPr="004C5551">
        <w:rPr>
          <w:noProof/>
        </w:rPr>
        <w:t xml:space="preserve"> č. 1322/2007</w:t>
      </w:r>
      <w:r w:rsidRPr="004C5551">
        <w:rPr>
          <w:rStyle w:val="Odkaznapoznmkupodiarou"/>
          <w:noProof/>
          <w:color w:val="333300"/>
        </w:rPr>
        <w:footnoteReference w:id="40"/>
      </w:r>
      <w:r w:rsidRPr="004C5551">
        <w:rPr>
          <w:noProof/>
        </w:rPr>
        <w:t>, č. 10/2008</w:t>
      </w:r>
      <w:r w:rsidRPr="004C5551">
        <w:rPr>
          <w:rStyle w:val="Odkaznapoznmkupodiarou"/>
          <w:noProof/>
          <w:color w:val="333300"/>
        </w:rPr>
        <w:footnoteReference w:id="41"/>
      </w:r>
      <w:r w:rsidRPr="004C5551">
        <w:rPr>
          <w:noProof/>
        </w:rPr>
        <w:t>, č. 110/2011</w:t>
      </w:r>
      <w:r w:rsidRPr="004C5551">
        <w:rPr>
          <w:rStyle w:val="Odkaznapoznmkupodiarou"/>
          <w:noProof/>
          <w:color w:val="333300"/>
        </w:rPr>
        <w:footnoteReference w:id="42"/>
      </w:r>
      <w:r w:rsidRPr="004C5551">
        <w:rPr>
          <w:noProof/>
        </w:rPr>
        <w:t xml:space="preserve"> a č. 263/2011</w:t>
      </w:r>
      <w:r w:rsidRPr="004C5551">
        <w:rPr>
          <w:rStyle w:val="Odkaznapoznmkupodiarou"/>
          <w:noProof/>
          <w:color w:val="333300"/>
        </w:rPr>
        <w:footnoteReference w:id="43"/>
      </w:r>
      <w:r w:rsidRPr="004C5551">
        <w:rPr>
          <w:noProof/>
        </w:rPr>
        <w:t>.</w:t>
      </w:r>
    </w:p>
    <w:p w:rsidR="00CF33E6" w:rsidRPr="004C5551" w:rsidRDefault="00C55A5E" w:rsidP="003B0E51">
      <w:pPr>
        <w:ind w:firstLine="431"/>
        <w:rPr>
          <w:bCs/>
        </w:rPr>
      </w:pPr>
      <w:r w:rsidRPr="004C5551">
        <w:rPr>
          <w:bCs/>
        </w:rPr>
        <w:t xml:space="preserve">Štatistický systém ESSPROS pozostáva z nasledovných modulov: </w:t>
      </w:r>
    </w:p>
    <w:p w:rsidR="00CF33E6" w:rsidRPr="004C5551" w:rsidRDefault="00C55A5E" w:rsidP="003B0E51">
      <w:pPr>
        <w:pStyle w:val="Odsekzoznamu"/>
        <w:ind w:firstLine="431"/>
      </w:pPr>
      <w:r w:rsidRPr="004C5551">
        <w:t>Príjmy a výdavky</w:t>
      </w:r>
      <w:r w:rsidR="00CF33E6" w:rsidRPr="004C5551">
        <w:t xml:space="preserve"> na sociálnu ochranu</w:t>
      </w:r>
    </w:p>
    <w:p w:rsidR="00CF33E6" w:rsidRPr="004C5551" w:rsidRDefault="00C55A5E" w:rsidP="003B0E51">
      <w:pPr>
        <w:pStyle w:val="Odsekzoznamu"/>
        <w:ind w:firstLine="431"/>
      </w:pPr>
      <w:r w:rsidRPr="004C5551">
        <w:t>Kvalitatívne informácie</w:t>
      </w:r>
    </w:p>
    <w:p w:rsidR="00CF33E6" w:rsidRPr="004C5551" w:rsidRDefault="00C55A5E" w:rsidP="003B0E51">
      <w:pPr>
        <w:pStyle w:val="Odsekzoznamu"/>
        <w:ind w:firstLine="431"/>
      </w:pPr>
      <w:r w:rsidRPr="004C5551">
        <w:t xml:space="preserve">Počet poberateľov dôchodkov </w:t>
      </w:r>
      <w:r w:rsidR="00CF33E6" w:rsidRPr="004C5551">
        <w:t>s elimináciou duplicity</w:t>
      </w:r>
    </w:p>
    <w:p w:rsidR="00C55A5E" w:rsidRPr="004C5551" w:rsidRDefault="00C55A5E" w:rsidP="003B0E51">
      <w:pPr>
        <w:pStyle w:val="Odsekzoznamu"/>
        <w:ind w:firstLine="431"/>
      </w:pPr>
      <w:r w:rsidRPr="004C5551">
        <w:t>Čisté výdavky na dávky.</w:t>
      </w:r>
    </w:p>
    <w:p w:rsidR="00C55A5E" w:rsidRPr="004C5551" w:rsidRDefault="00C55A5E" w:rsidP="003B0E51">
      <w:pPr>
        <w:ind w:firstLine="431"/>
        <w:rPr>
          <w:rFonts w:ascii="Arial" w:hAnsi="Arial" w:cs="Arial"/>
          <w:b/>
          <w:sz w:val="16"/>
          <w:szCs w:val="16"/>
        </w:rPr>
      </w:pPr>
    </w:p>
    <w:p w:rsidR="00C55A5E" w:rsidRPr="004C5551" w:rsidRDefault="00C55A5E" w:rsidP="003B0E51">
      <w:pPr>
        <w:pStyle w:val="Subtheme"/>
        <w:spacing w:after="0"/>
        <w:ind w:firstLine="431"/>
        <w:rPr>
          <w:b w:val="0"/>
          <w:noProof w:val="0"/>
          <w:color w:val="000000" w:themeColor="text1"/>
          <w:szCs w:val="22"/>
          <w:lang w:val="sk-SK" w:eastAsia="cs-CZ"/>
        </w:rPr>
      </w:pPr>
      <w:r w:rsidRPr="004C5551">
        <w:rPr>
          <w:b w:val="0"/>
          <w:noProof w:val="0"/>
          <w:color w:val="000000" w:themeColor="text1"/>
          <w:szCs w:val="22"/>
          <w:lang w:val="sk-SK" w:eastAsia="cs-CZ"/>
        </w:rPr>
        <w:t xml:space="preserve">Medzinárodne porovnateľné údaje o príjmoch a výdavkoch na </w:t>
      </w:r>
      <w:r w:rsidR="001302DA" w:rsidRPr="004C5551">
        <w:rPr>
          <w:b w:val="0"/>
          <w:noProof w:val="0"/>
          <w:color w:val="000000" w:themeColor="text1"/>
          <w:szCs w:val="22"/>
          <w:lang w:val="sk-SK" w:eastAsia="cs-CZ"/>
        </w:rPr>
        <w:t>sociálnu ochranu sú dostupné na </w:t>
      </w:r>
      <w:r w:rsidRPr="004C5551">
        <w:rPr>
          <w:b w:val="0"/>
          <w:noProof w:val="0"/>
          <w:color w:val="000000" w:themeColor="text1"/>
          <w:szCs w:val="22"/>
          <w:lang w:val="sk-SK" w:eastAsia="cs-CZ"/>
        </w:rPr>
        <w:t xml:space="preserve">webovej stránke </w:t>
      </w:r>
      <w:proofErr w:type="spellStart"/>
      <w:r w:rsidRPr="004C5551">
        <w:rPr>
          <w:b w:val="0"/>
          <w:noProof w:val="0"/>
          <w:color w:val="000000" w:themeColor="text1"/>
          <w:szCs w:val="22"/>
          <w:lang w:val="sk-SK" w:eastAsia="cs-CZ"/>
        </w:rPr>
        <w:t>Eurostat-u</w:t>
      </w:r>
      <w:proofErr w:type="spellEnd"/>
      <w:r w:rsidRPr="004C5551">
        <w:rPr>
          <w:b w:val="0"/>
          <w:noProof w:val="0"/>
          <w:color w:val="000000" w:themeColor="text1"/>
          <w:szCs w:val="22"/>
          <w:lang w:val="sk-SK" w:eastAsia="cs-CZ"/>
        </w:rPr>
        <w:t xml:space="preserve"> (EK)</w:t>
      </w:r>
      <w:r w:rsidRPr="004C5551">
        <w:rPr>
          <w:rStyle w:val="Odkaznapoznmkupodiarou"/>
          <w:b w:val="0"/>
          <w:noProof w:val="0"/>
          <w:color w:val="000000" w:themeColor="text1"/>
          <w:szCs w:val="22"/>
          <w:lang w:val="sk-SK" w:eastAsia="cs-CZ"/>
        </w:rPr>
        <w:footnoteReference w:id="44"/>
      </w:r>
      <w:r w:rsidRPr="004C5551">
        <w:rPr>
          <w:b w:val="0"/>
          <w:noProof w:val="0"/>
          <w:color w:val="000000" w:themeColor="text1"/>
          <w:szCs w:val="22"/>
          <w:lang w:val="sk-SK" w:eastAsia="cs-CZ"/>
        </w:rPr>
        <w:t xml:space="preserve"> za členské štáty EÚ a v publikáciách ŠÚ SR. Najnovšie údaje sú za rok 201</w:t>
      </w:r>
      <w:r w:rsidR="009A509B" w:rsidRPr="004C5551">
        <w:rPr>
          <w:b w:val="0"/>
          <w:noProof w:val="0"/>
          <w:color w:val="000000" w:themeColor="text1"/>
          <w:szCs w:val="22"/>
          <w:lang w:val="sk-SK" w:eastAsia="cs-CZ"/>
        </w:rPr>
        <w:t>2</w:t>
      </w:r>
      <w:r w:rsidRPr="004C5551">
        <w:rPr>
          <w:b w:val="0"/>
          <w:noProof w:val="0"/>
          <w:color w:val="000000" w:themeColor="text1"/>
          <w:szCs w:val="22"/>
          <w:lang w:val="sk-SK" w:eastAsia="cs-CZ"/>
        </w:rPr>
        <w:t>.</w:t>
      </w:r>
    </w:p>
    <w:p w:rsidR="00C55A5E" w:rsidRPr="004C5551" w:rsidRDefault="00C55A5E" w:rsidP="003B0E51">
      <w:pPr>
        <w:ind w:firstLine="431"/>
        <w:rPr>
          <w:color w:val="000000" w:themeColor="text1"/>
          <w:szCs w:val="22"/>
        </w:rPr>
      </w:pPr>
      <w:r w:rsidRPr="004C5551">
        <w:rPr>
          <w:b/>
          <w:bCs/>
          <w:color w:val="000000" w:themeColor="text1"/>
          <w:szCs w:val="22"/>
        </w:rPr>
        <w:t xml:space="preserve">Príjmy programov sociálnej </w:t>
      </w:r>
      <w:r w:rsidR="008B50FE" w:rsidRPr="004C5551">
        <w:rPr>
          <w:b/>
          <w:bCs/>
          <w:color w:val="000000" w:themeColor="text1"/>
          <w:szCs w:val="22"/>
        </w:rPr>
        <w:t>ochrany</w:t>
      </w:r>
      <w:r w:rsidR="008B50FE" w:rsidRPr="004C5551">
        <w:rPr>
          <w:color w:val="000000" w:themeColor="text1"/>
          <w:szCs w:val="22"/>
        </w:rPr>
        <w:t xml:space="preserve"> </w:t>
      </w:r>
      <w:r w:rsidRPr="004C5551">
        <w:rPr>
          <w:color w:val="000000" w:themeColor="text1"/>
          <w:szCs w:val="22"/>
        </w:rPr>
        <w:t>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r w:rsidR="00E43F60" w:rsidRPr="004C5551">
        <w:rPr>
          <w:color w:val="000000" w:themeColor="text1"/>
          <w:szCs w:val="22"/>
        </w:rPr>
        <w:t>.</w:t>
      </w:r>
    </w:p>
    <w:p w:rsidR="00C55A5E" w:rsidRPr="004C5551" w:rsidRDefault="00C55A5E" w:rsidP="003B0E51">
      <w:pPr>
        <w:ind w:firstLine="431"/>
        <w:rPr>
          <w:b/>
          <w:color w:val="000000" w:themeColor="text1"/>
          <w:szCs w:val="22"/>
          <w:lang w:eastAsia="cs-CZ"/>
        </w:rPr>
      </w:pPr>
      <w:r w:rsidRPr="004C5551">
        <w:rPr>
          <w:b/>
          <w:bCs/>
          <w:color w:val="000000" w:themeColor="text1"/>
          <w:szCs w:val="22"/>
        </w:rPr>
        <w:t>Výdavky</w:t>
      </w:r>
      <w:r w:rsidRPr="004C5551">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w:t>
      </w:r>
      <w:r w:rsidR="008B50FE" w:rsidRPr="004C5551">
        <w:rPr>
          <w:color w:val="000000" w:themeColor="text1"/>
          <w:szCs w:val="22"/>
        </w:rPr>
        <w:t xml:space="preserve">je </w:t>
      </w:r>
      <w:r w:rsidRPr="004C5551">
        <w:rPr>
          <w:color w:val="000000" w:themeColor="text1"/>
          <w:szCs w:val="22"/>
        </w:rPr>
        <w:t>oslobodiť domácnosti a jednotlivcov od bremien definovaných rizík alebo potrieb za predpokladu, že neexistuje ani simultánna a ani individuálna dohoda</w:t>
      </w:r>
      <w:r w:rsidR="00E43F60" w:rsidRPr="004C5551">
        <w:rPr>
          <w:color w:val="000000" w:themeColor="text1"/>
          <w:szCs w:val="22"/>
        </w:rPr>
        <w:t>.</w:t>
      </w:r>
    </w:p>
    <w:p w:rsidR="00C64D14" w:rsidRPr="004C5551" w:rsidRDefault="00C64D14" w:rsidP="00C55A5E">
      <w:pPr>
        <w:rPr>
          <w:color w:val="000000" w:themeColor="text1"/>
          <w:szCs w:val="22"/>
        </w:rPr>
      </w:pPr>
    </w:p>
    <w:p w:rsidR="00C55A5E" w:rsidRPr="004C5551" w:rsidRDefault="00C55A5E" w:rsidP="00C55A5E">
      <w:pPr>
        <w:rPr>
          <w:color w:val="000000" w:themeColor="text1"/>
          <w:szCs w:val="22"/>
        </w:rPr>
      </w:pPr>
      <w:r w:rsidRPr="004C5551">
        <w:rPr>
          <w:color w:val="000000" w:themeColor="text1"/>
          <w:szCs w:val="22"/>
        </w:rPr>
        <w:t xml:space="preserve">Manuál ESSPROS klasifikuje sociálne dávky podľa </w:t>
      </w:r>
      <w:r w:rsidRPr="004C5551">
        <w:rPr>
          <w:color w:val="000000" w:themeColor="text1"/>
          <w:szCs w:val="22"/>
          <w:u w:val="single"/>
        </w:rPr>
        <w:t>8 nasledovných účelov</w:t>
      </w:r>
      <w:r w:rsidRPr="004C5551">
        <w:rPr>
          <w:color w:val="000000" w:themeColor="text1"/>
          <w:szCs w:val="22"/>
        </w:rPr>
        <w:t xml:space="preserve">: </w:t>
      </w:r>
    </w:p>
    <w:p w:rsidR="00C55A5E" w:rsidRPr="004C5551" w:rsidRDefault="00C55A5E" w:rsidP="00C03C4E">
      <w:pPr>
        <w:pStyle w:val="Odsekzoznamu"/>
        <w:ind w:left="1134"/>
      </w:pPr>
      <w:r w:rsidRPr="004C5551">
        <w:t>choroba/zdravotná starostlivosť</w:t>
      </w:r>
    </w:p>
    <w:p w:rsidR="00C55A5E" w:rsidRPr="004C5551" w:rsidRDefault="00C55A5E" w:rsidP="00C03C4E">
      <w:pPr>
        <w:pStyle w:val="Odsekzoznamu"/>
        <w:ind w:left="1134"/>
      </w:pPr>
      <w:r w:rsidRPr="004C5551">
        <w:t xml:space="preserve">invalidita </w:t>
      </w:r>
    </w:p>
    <w:p w:rsidR="00C55A5E" w:rsidRPr="004C5551" w:rsidRDefault="00C55A5E" w:rsidP="00C03C4E">
      <w:pPr>
        <w:pStyle w:val="Odsekzoznamu"/>
        <w:ind w:left="1134"/>
      </w:pPr>
      <w:r w:rsidRPr="004C5551">
        <w:t xml:space="preserve">staroba </w:t>
      </w:r>
    </w:p>
    <w:p w:rsidR="00C55A5E" w:rsidRPr="004C5551" w:rsidRDefault="00C55A5E" w:rsidP="00C03C4E">
      <w:pPr>
        <w:pStyle w:val="Odsekzoznamu"/>
        <w:ind w:left="1134"/>
      </w:pPr>
      <w:r w:rsidRPr="004C5551">
        <w:t xml:space="preserve">pozostalí </w:t>
      </w:r>
    </w:p>
    <w:p w:rsidR="00C55A5E" w:rsidRPr="004C5551" w:rsidRDefault="00C55A5E" w:rsidP="00C03C4E">
      <w:pPr>
        <w:pStyle w:val="Odsekzoznamu"/>
        <w:ind w:left="1134"/>
      </w:pPr>
      <w:r w:rsidRPr="004C5551">
        <w:t xml:space="preserve">rodina/deti </w:t>
      </w:r>
    </w:p>
    <w:p w:rsidR="00C55A5E" w:rsidRPr="004C5551" w:rsidRDefault="00C55A5E" w:rsidP="00C03C4E">
      <w:pPr>
        <w:pStyle w:val="Odsekzoznamu"/>
        <w:ind w:left="1134"/>
      </w:pPr>
      <w:r w:rsidRPr="004C5551">
        <w:t xml:space="preserve">nezamestnanosť </w:t>
      </w:r>
    </w:p>
    <w:p w:rsidR="00C55A5E" w:rsidRPr="004C5551" w:rsidRDefault="00C55A5E" w:rsidP="00C03C4E">
      <w:pPr>
        <w:pStyle w:val="Odsekzoznamu"/>
        <w:ind w:left="1134"/>
      </w:pPr>
      <w:r w:rsidRPr="004C5551">
        <w:t>bývanie</w:t>
      </w:r>
    </w:p>
    <w:p w:rsidR="00C55A5E" w:rsidRPr="004C5551" w:rsidRDefault="00C55A5E" w:rsidP="009A509B">
      <w:pPr>
        <w:pStyle w:val="Odsekzoznamu"/>
        <w:spacing w:after="120"/>
        <w:ind w:left="1134" w:hanging="357"/>
      </w:pPr>
      <w:r w:rsidRPr="004C5551">
        <w:t xml:space="preserve">sociálne vylúčenie. </w:t>
      </w:r>
    </w:p>
    <w:p w:rsidR="00C55A5E" w:rsidRPr="004C5551" w:rsidRDefault="00C55A5E" w:rsidP="003B0E51">
      <w:pPr>
        <w:ind w:firstLine="431"/>
        <w:rPr>
          <w:color w:val="000000" w:themeColor="text1"/>
          <w:szCs w:val="22"/>
        </w:rPr>
      </w:pPr>
      <w:r w:rsidRPr="004C5551">
        <w:rPr>
          <w:b/>
          <w:color w:val="000000" w:themeColor="text1"/>
          <w:szCs w:val="22"/>
        </w:rPr>
        <w:t xml:space="preserve">Výdavky na sociálne </w:t>
      </w:r>
      <w:r w:rsidR="009A509B" w:rsidRPr="004C5551">
        <w:rPr>
          <w:b/>
          <w:color w:val="000000"/>
        </w:rPr>
        <w:t>dávky (hrubé)</w:t>
      </w:r>
      <w:r w:rsidR="009A509B" w:rsidRPr="004C5551">
        <w:rPr>
          <w:rStyle w:val="Odkaznapoznmkupodiarou"/>
          <w:b/>
          <w:color w:val="000000"/>
        </w:rPr>
        <w:footnoteReference w:id="45"/>
      </w:r>
      <w:r w:rsidR="009A509B" w:rsidRPr="004C5551">
        <w:rPr>
          <w:color w:val="000000"/>
        </w:rPr>
        <w:t xml:space="preserve"> </w:t>
      </w:r>
      <w:r w:rsidRPr="004C5551">
        <w:rPr>
          <w:color w:val="000000" w:themeColor="text1"/>
          <w:szCs w:val="22"/>
        </w:rPr>
        <w:t xml:space="preserve">sú zapísané bez odčítania daní alebo iných povinných poplatkov platených poberateľom (napr. sociálne príspevky). </w:t>
      </w:r>
    </w:p>
    <w:p w:rsidR="004F3C97" w:rsidRPr="004C5551" w:rsidRDefault="004F3C97">
      <w:pPr>
        <w:jc w:val="left"/>
        <w:rPr>
          <w:b/>
          <w:color w:val="000000" w:themeColor="text1"/>
          <w:lang w:eastAsia="cs-CZ"/>
        </w:rPr>
      </w:pPr>
      <w:bookmarkStart w:id="697" w:name="_Toc356482749"/>
      <w:r w:rsidRPr="004C5551">
        <w:rPr>
          <w:color w:val="000000" w:themeColor="text1"/>
          <w:lang w:eastAsia="cs-CZ"/>
        </w:rPr>
        <w:br w:type="page"/>
      </w:r>
    </w:p>
    <w:p w:rsidR="00C55A5E" w:rsidRPr="004C5551" w:rsidRDefault="00EE0DB2" w:rsidP="00AA2DD6">
      <w:pPr>
        <w:pStyle w:val="Nadpis7"/>
        <w:rPr>
          <w:color w:val="000000" w:themeColor="text1"/>
          <w:lang w:eastAsia="cs-CZ"/>
        </w:rPr>
      </w:pPr>
      <w:r w:rsidRPr="004C5551">
        <w:rPr>
          <w:color w:val="000000" w:themeColor="text1"/>
          <w:lang w:eastAsia="cs-CZ"/>
        </w:rPr>
        <w:t>Tabuľka</w:t>
      </w:r>
      <w:r w:rsidR="00D13958" w:rsidRPr="004C5551">
        <w:rPr>
          <w:color w:val="000000" w:themeColor="text1"/>
          <w:lang w:eastAsia="cs-CZ"/>
        </w:rPr>
        <w:t xml:space="preserve"> </w:t>
      </w:r>
      <w:r w:rsidR="00C55A5E" w:rsidRPr="004C5551">
        <w:rPr>
          <w:color w:val="000000" w:themeColor="text1"/>
          <w:lang w:eastAsia="cs-CZ"/>
        </w:rPr>
        <w:t>3.</w:t>
      </w:r>
      <w:r w:rsidR="009B7B4B" w:rsidRPr="004C5551">
        <w:rPr>
          <w:color w:val="000000" w:themeColor="text1"/>
          <w:lang w:eastAsia="cs-CZ"/>
        </w:rPr>
        <w:t>29</w:t>
      </w:r>
      <w:r w:rsidR="008B50FE" w:rsidRPr="004C5551">
        <w:rPr>
          <w:color w:val="000000" w:themeColor="text1"/>
          <w:lang w:eastAsia="cs-CZ"/>
        </w:rPr>
        <w:t xml:space="preserve"> </w:t>
      </w:r>
      <w:r w:rsidR="00C55A5E" w:rsidRPr="004C5551">
        <w:rPr>
          <w:color w:val="000000" w:themeColor="text1"/>
          <w:lang w:eastAsia="cs-CZ"/>
        </w:rPr>
        <w:t>Programy sociálnej ochrany</w:t>
      </w:r>
      <w:bookmarkEnd w:id="697"/>
    </w:p>
    <w:tbl>
      <w:tblPr>
        <w:tblStyle w:val="LightList-Accent11"/>
        <w:tblW w:w="0" w:type="auto"/>
        <w:jc w:val="center"/>
        <w:tblBorders>
          <w:top w:val="single" w:sz="8" w:space="0" w:color="A42C1E" w:themeColor="accent2" w:themeShade="BF"/>
          <w:left w:val="single" w:sz="8" w:space="0" w:color="A42C1E" w:themeColor="accent2" w:themeShade="BF"/>
          <w:bottom w:val="single" w:sz="8" w:space="0" w:color="A42C1E" w:themeColor="accent2" w:themeShade="BF"/>
          <w:right w:val="single" w:sz="8" w:space="0" w:color="A42C1E" w:themeColor="accent2" w:themeShade="BF"/>
          <w:insideH w:val="single" w:sz="8" w:space="0" w:color="A42C1E" w:themeColor="accent2" w:themeShade="BF"/>
          <w:insideV w:val="single" w:sz="8" w:space="0" w:color="A42C1E" w:themeColor="accent2" w:themeShade="BF"/>
        </w:tblBorders>
        <w:tblLook w:val="0000" w:firstRow="0" w:lastRow="0" w:firstColumn="0" w:lastColumn="0" w:noHBand="0" w:noVBand="0"/>
      </w:tblPr>
      <w:tblGrid>
        <w:gridCol w:w="436"/>
        <w:gridCol w:w="3783"/>
        <w:gridCol w:w="605"/>
        <w:gridCol w:w="4215"/>
      </w:tblGrid>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shd w:val="clear" w:color="auto" w:fill="A42C1E" w:themeFill="accent2" w:themeFillShade="BF"/>
          </w:tcPr>
          <w:p w:rsidR="00C55A5E" w:rsidRPr="004C5551" w:rsidRDefault="00C55A5E" w:rsidP="008C302F">
            <w:pPr>
              <w:jc w:val="center"/>
              <w:rPr>
                <w:b/>
                <w:color w:val="FFFFFF" w:themeColor="background1"/>
              </w:rPr>
            </w:pPr>
            <w:r w:rsidRPr="004C5551">
              <w:rPr>
                <w:b/>
                <w:color w:val="FFFFFF" w:themeColor="background1"/>
              </w:rPr>
              <w:t>Č.</w:t>
            </w:r>
          </w:p>
        </w:tc>
        <w:tc>
          <w:tcPr>
            <w:tcW w:w="3783" w:type="dxa"/>
            <w:tcBorders>
              <w:top w:val="none" w:sz="0" w:space="0" w:color="auto"/>
              <w:bottom w:val="none" w:sz="0" w:space="0" w:color="auto"/>
            </w:tcBorders>
            <w:shd w:val="clear" w:color="auto" w:fill="A42C1E" w:themeFill="accent2" w:themeFillShade="BF"/>
          </w:tcPr>
          <w:p w:rsidR="00C55A5E" w:rsidRPr="004C5551"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C5551">
              <w:rPr>
                <w:b/>
                <w:color w:val="FFFFFF" w:themeColor="background1"/>
              </w:rPr>
              <w:t>Názov programu</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shd w:val="clear" w:color="auto" w:fill="A42C1E" w:themeFill="accent2" w:themeFillShade="BF"/>
          </w:tcPr>
          <w:p w:rsidR="00C55A5E" w:rsidRPr="004C5551" w:rsidRDefault="00C55A5E" w:rsidP="008C302F">
            <w:pPr>
              <w:jc w:val="center"/>
              <w:rPr>
                <w:b/>
                <w:color w:val="FFFFFF" w:themeColor="background1"/>
              </w:rPr>
            </w:pPr>
            <w:r w:rsidRPr="004C5551">
              <w:rPr>
                <w:b/>
                <w:color w:val="FFFFFF" w:themeColor="background1"/>
              </w:rPr>
              <w:t>Č.</w:t>
            </w:r>
          </w:p>
        </w:tc>
        <w:tc>
          <w:tcPr>
            <w:tcW w:w="4215" w:type="dxa"/>
            <w:tcBorders>
              <w:top w:val="none" w:sz="0" w:space="0" w:color="auto"/>
              <w:bottom w:val="none" w:sz="0" w:space="0" w:color="auto"/>
              <w:right w:val="none" w:sz="0" w:space="0" w:color="auto"/>
            </w:tcBorders>
            <w:shd w:val="clear" w:color="auto" w:fill="A42C1E" w:themeFill="accent2" w:themeFillShade="BF"/>
          </w:tcPr>
          <w:p w:rsidR="00C55A5E" w:rsidRPr="004C5551"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C5551">
              <w:rPr>
                <w:b/>
                <w:color w:val="FFFFFF" w:themeColor="background1"/>
              </w:rPr>
              <w:t>Názov programu</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Nemocenské poistenie</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12</w:t>
            </w:r>
          </w:p>
        </w:tc>
        <w:tc>
          <w:tcPr>
            <w:tcW w:w="4215" w:type="dxa"/>
          </w:tcPr>
          <w:p w:rsidR="00C55A5E" w:rsidRPr="004C5551" w:rsidRDefault="00C55A5E" w:rsidP="003A467E">
            <w:pPr>
              <w:pStyle w:val="Pta"/>
              <w:tabs>
                <w:tab w:val="clear" w:pos="4536"/>
                <w:tab w:val="clear" w:pos="9072"/>
              </w:tabs>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 xml:space="preserve">Sociálne služby – </w:t>
            </w:r>
            <w:r w:rsidR="003A467E" w:rsidRPr="004C5551">
              <w:rPr>
                <w:color w:val="000000" w:themeColor="text1"/>
                <w:szCs w:val="22"/>
              </w:rPr>
              <w:t>neziskové inštitúcie slúžiace domácnostiam</w:t>
            </w:r>
            <w:r w:rsidRPr="004C5551">
              <w:rPr>
                <w:color w:val="000000" w:themeColor="text1"/>
                <w:szCs w:val="22"/>
              </w:rPr>
              <w:t xml:space="preserve"> a súkromný sektor</w:t>
            </w:r>
          </w:p>
        </w:tc>
      </w:tr>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2</w:t>
            </w:r>
          </w:p>
        </w:tc>
        <w:tc>
          <w:tcPr>
            <w:tcW w:w="3783" w:type="dxa"/>
            <w:tcBorders>
              <w:top w:val="none" w:sz="0" w:space="0" w:color="auto"/>
              <w:bottom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 xml:space="preserve">Dôchodkové poistenie </w:t>
            </w:r>
            <w:r w:rsidR="00D818CE" w:rsidRPr="004C5551">
              <w:rPr>
                <w:color w:val="000000" w:themeColor="text1"/>
              </w:rPr>
              <w:t>–</w:t>
            </w:r>
            <w:r w:rsidRPr="004C5551">
              <w:rPr>
                <w:color w:val="000000" w:themeColor="text1"/>
                <w:szCs w:val="22"/>
              </w:rPr>
              <w:t xml:space="preserve"> ukončené</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13</w:t>
            </w:r>
          </w:p>
        </w:tc>
        <w:tc>
          <w:tcPr>
            <w:tcW w:w="4215" w:type="dxa"/>
            <w:tcBorders>
              <w:top w:val="none" w:sz="0" w:space="0" w:color="auto"/>
              <w:bottom w:val="none" w:sz="0" w:space="0" w:color="auto"/>
              <w:right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Sociálne poistenie – silové zložky</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3</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Poistenie v nezamestnanosti</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14</w:t>
            </w:r>
          </w:p>
        </w:tc>
        <w:tc>
          <w:tcPr>
            <w:tcW w:w="4215"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Sociálne zľavy na cestovnom</w:t>
            </w:r>
          </w:p>
        </w:tc>
      </w:tr>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4</w:t>
            </w:r>
          </w:p>
        </w:tc>
        <w:tc>
          <w:tcPr>
            <w:tcW w:w="3783" w:type="dxa"/>
            <w:tcBorders>
              <w:top w:val="none" w:sz="0" w:space="0" w:color="auto"/>
              <w:bottom w:val="none" w:sz="0" w:space="0" w:color="auto"/>
            </w:tcBorders>
          </w:tcPr>
          <w:p w:rsidR="00C55A5E" w:rsidRPr="004C5551" w:rsidRDefault="00C55A5E" w:rsidP="00C05B66">
            <w:pPr>
              <w:pStyle w:val="Pta"/>
              <w:tabs>
                <w:tab w:val="clear" w:pos="4536"/>
                <w:tab w:val="clear" w:pos="9072"/>
              </w:tabs>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Zdravotné poistenie</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15</w:t>
            </w:r>
          </w:p>
        </w:tc>
        <w:tc>
          <w:tcPr>
            <w:tcW w:w="4215" w:type="dxa"/>
            <w:tcBorders>
              <w:top w:val="none" w:sz="0" w:space="0" w:color="auto"/>
              <w:bottom w:val="none" w:sz="0" w:space="0" w:color="auto"/>
              <w:right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 xml:space="preserve">Sociálne služby </w:t>
            </w:r>
            <w:r w:rsidR="003A467E" w:rsidRPr="004C5551">
              <w:rPr>
                <w:color w:val="000000" w:themeColor="text1"/>
                <w:szCs w:val="22"/>
              </w:rPr>
              <w:t>–</w:t>
            </w:r>
            <w:r w:rsidRPr="004C5551">
              <w:rPr>
                <w:color w:val="000000" w:themeColor="text1"/>
                <w:szCs w:val="22"/>
              </w:rPr>
              <w:t xml:space="preserve"> </w:t>
            </w:r>
            <w:r w:rsidR="003A467E" w:rsidRPr="004C5551">
              <w:rPr>
                <w:color w:val="000000" w:themeColor="text1"/>
                <w:szCs w:val="22"/>
              </w:rPr>
              <w:t>vyššie územné celky</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5</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Štátna sociálna podpora</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16</w:t>
            </w:r>
          </w:p>
        </w:tc>
        <w:tc>
          <w:tcPr>
            <w:tcW w:w="4215"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 xml:space="preserve">Garančné poistenie </w:t>
            </w:r>
          </w:p>
        </w:tc>
      </w:tr>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6</w:t>
            </w:r>
          </w:p>
        </w:tc>
        <w:tc>
          <w:tcPr>
            <w:tcW w:w="3783" w:type="dxa"/>
            <w:tcBorders>
              <w:top w:val="none" w:sz="0" w:space="0" w:color="auto"/>
              <w:bottom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Štátna sociálna pomoc</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17</w:t>
            </w:r>
          </w:p>
        </w:tc>
        <w:tc>
          <w:tcPr>
            <w:tcW w:w="4215" w:type="dxa"/>
            <w:tcBorders>
              <w:top w:val="none" w:sz="0" w:space="0" w:color="auto"/>
              <w:bottom w:val="none" w:sz="0" w:space="0" w:color="auto"/>
              <w:right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Rezervný fond solidarity</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7</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Imputované dávky – verejný sektor</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18</w:t>
            </w:r>
          </w:p>
        </w:tc>
        <w:tc>
          <w:tcPr>
            <w:tcW w:w="4215"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Starobné poistenie</w:t>
            </w:r>
          </w:p>
        </w:tc>
      </w:tr>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8</w:t>
            </w:r>
          </w:p>
        </w:tc>
        <w:tc>
          <w:tcPr>
            <w:tcW w:w="3783" w:type="dxa"/>
            <w:tcBorders>
              <w:top w:val="none" w:sz="0" w:space="0" w:color="auto"/>
              <w:bottom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Imputované dávky – súkromný sektor</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19</w:t>
            </w:r>
          </w:p>
        </w:tc>
        <w:tc>
          <w:tcPr>
            <w:tcW w:w="4215" w:type="dxa"/>
            <w:tcBorders>
              <w:top w:val="none" w:sz="0" w:space="0" w:color="auto"/>
              <w:bottom w:val="none" w:sz="0" w:space="0" w:color="auto"/>
              <w:right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Invalidné poistenie</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9</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Sociálna pomoc samosprávy</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20</w:t>
            </w:r>
          </w:p>
        </w:tc>
        <w:tc>
          <w:tcPr>
            <w:tcW w:w="4215"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Starobné dôchodkové sporenie</w:t>
            </w:r>
          </w:p>
        </w:tc>
      </w:tr>
      <w:tr w:rsidR="00C55A5E" w:rsidRPr="004C5551"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10</w:t>
            </w:r>
          </w:p>
        </w:tc>
        <w:tc>
          <w:tcPr>
            <w:tcW w:w="3783" w:type="dxa"/>
            <w:tcBorders>
              <w:top w:val="none" w:sz="0" w:space="0" w:color="auto"/>
              <w:bottom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Úrazové poistenie</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21</w:t>
            </w:r>
          </w:p>
        </w:tc>
        <w:tc>
          <w:tcPr>
            <w:tcW w:w="4215" w:type="dxa"/>
            <w:tcBorders>
              <w:top w:val="none" w:sz="0" w:space="0" w:color="auto"/>
              <w:bottom w:val="none" w:sz="0" w:space="0" w:color="auto"/>
              <w:right w:val="none" w:sz="0" w:space="0" w:color="auto"/>
            </w:tcBorders>
          </w:tcPr>
          <w:p w:rsidR="00C55A5E" w:rsidRPr="004C5551"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4C5551">
              <w:rPr>
                <w:color w:val="000000" w:themeColor="text1"/>
                <w:szCs w:val="22"/>
              </w:rPr>
              <w:t>Politiky trhu práce</w:t>
            </w:r>
          </w:p>
        </w:tc>
      </w:tr>
      <w:tr w:rsidR="00C55A5E" w:rsidRPr="004C5551"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11</w:t>
            </w:r>
          </w:p>
        </w:tc>
        <w:tc>
          <w:tcPr>
            <w:tcW w:w="3783"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Doplnkové dôchodkové poistenie</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bottom w:val="none" w:sz="0" w:space="0" w:color="auto"/>
              <w:right w:val="none" w:sz="0" w:space="0" w:color="auto"/>
            </w:tcBorders>
          </w:tcPr>
          <w:p w:rsidR="00C55A5E" w:rsidRPr="004C5551" w:rsidRDefault="00C55A5E" w:rsidP="00C05B66">
            <w:pPr>
              <w:spacing w:before="20"/>
              <w:rPr>
                <w:color w:val="000000" w:themeColor="text1"/>
                <w:szCs w:val="22"/>
              </w:rPr>
            </w:pPr>
            <w:r w:rsidRPr="004C5551">
              <w:rPr>
                <w:color w:val="000000" w:themeColor="text1"/>
                <w:szCs w:val="22"/>
              </w:rPr>
              <w:t>22</w:t>
            </w:r>
          </w:p>
        </w:tc>
        <w:tc>
          <w:tcPr>
            <w:tcW w:w="4215" w:type="dxa"/>
          </w:tcPr>
          <w:p w:rsidR="00C55A5E" w:rsidRPr="004C5551"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C5551">
              <w:rPr>
                <w:color w:val="000000" w:themeColor="text1"/>
                <w:szCs w:val="22"/>
              </w:rPr>
              <w:t>Príspevky na dôchodkové sporenie</w:t>
            </w:r>
          </w:p>
        </w:tc>
      </w:tr>
    </w:tbl>
    <w:p w:rsidR="00A307FA" w:rsidRPr="004C5551" w:rsidRDefault="00C55A5E" w:rsidP="009B7B4B">
      <w:pPr>
        <w:spacing w:before="120"/>
        <w:ind w:firstLine="431"/>
        <w:rPr>
          <w:color w:val="000000" w:themeColor="text1"/>
          <w:szCs w:val="22"/>
        </w:rPr>
      </w:pPr>
      <w:r w:rsidRPr="004C5551">
        <w:rPr>
          <w:color w:val="000000" w:themeColor="text1"/>
          <w:szCs w:val="22"/>
        </w:rPr>
        <w:t>Členské štáty EÚ majú výrazne odlišné systémy financovania sociálnej ochrany v závislosti na</w:t>
      </w:r>
      <w:r w:rsidR="00CC296B" w:rsidRPr="004C5551">
        <w:rPr>
          <w:color w:val="000000" w:themeColor="text1"/>
          <w:szCs w:val="22"/>
        </w:rPr>
        <w:t> </w:t>
      </w:r>
      <w:r w:rsidRPr="004C5551">
        <w:rPr>
          <w:color w:val="000000" w:themeColor="text1"/>
          <w:szCs w:val="22"/>
        </w:rPr>
        <w:t>tom, či uprednostňujú poisťovacie systémy (5</w:t>
      </w:r>
      <w:r w:rsidR="009A509B" w:rsidRPr="004C5551">
        <w:rPr>
          <w:color w:val="000000" w:themeColor="text1"/>
          <w:szCs w:val="22"/>
        </w:rPr>
        <w:t>5</w:t>
      </w:r>
      <w:r w:rsidRPr="004C5551">
        <w:rPr>
          <w:color w:val="000000" w:themeColor="text1"/>
          <w:szCs w:val="22"/>
        </w:rPr>
        <w:t>,</w:t>
      </w:r>
      <w:r w:rsidR="00C637BB" w:rsidRPr="004C5551">
        <w:rPr>
          <w:color w:val="000000" w:themeColor="text1"/>
          <w:szCs w:val="22"/>
        </w:rPr>
        <w:t>2</w:t>
      </w:r>
      <w:r w:rsidR="009425AA" w:rsidRPr="004C5551">
        <w:rPr>
          <w:color w:val="000000" w:themeColor="text1"/>
          <w:szCs w:val="22"/>
        </w:rPr>
        <w:t> %</w:t>
      </w:r>
      <w:r w:rsidRPr="004C5551">
        <w:rPr>
          <w:color w:val="000000" w:themeColor="text1"/>
          <w:szCs w:val="22"/>
        </w:rPr>
        <w:t xml:space="preserve"> z celkových príjmov na úrovni EU2</w:t>
      </w:r>
      <w:r w:rsidR="00C637BB" w:rsidRPr="004C5551">
        <w:rPr>
          <w:color w:val="000000" w:themeColor="text1"/>
          <w:szCs w:val="22"/>
        </w:rPr>
        <w:t>8</w:t>
      </w:r>
      <w:r w:rsidRPr="004C5551">
        <w:rPr>
          <w:color w:val="000000" w:themeColor="text1"/>
          <w:szCs w:val="22"/>
        </w:rPr>
        <w:t xml:space="preserve"> v roku 201</w:t>
      </w:r>
      <w:r w:rsidR="009A509B" w:rsidRPr="004C5551">
        <w:rPr>
          <w:color w:val="000000" w:themeColor="text1"/>
          <w:szCs w:val="22"/>
        </w:rPr>
        <w:t>2</w:t>
      </w:r>
      <w:r w:rsidRPr="004C5551">
        <w:rPr>
          <w:color w:val="000000" w:themeColor="text1"/>
          <w:szCs w:val="22"/>
        </w:rPr>
        <w:t xml:space="preserve"> tvorili sociálne príspevky) alebo financovanie z verejných rozpočtov (</w:t>
      </w:r>
      <w:r w:rsidR="00C637BB" w:rsidRPr="004C5551">
        <w:rPr>
          <w:color w:val="000000" w:themeColor="text1"/>
          <w:szCs w:val="22"/>
        </w:rPr>
        <w:t>4</w:t>
      </w:r>
      <w:r w:rsidR="009A509B" w:rsidRPr="004C5551">
        <w:rPr>
          <w:color w:val="000000" w:themeColor="text1"/>
          <w:szCs w:val="22"/>
        </w:rPr>
        <w:t>1,1</w:t>
      </w:r>
      <w:r w:rsidR="00C637BB" w:rsidRPr="004C5551">
        <w:rPr>
          <w:color w:val="000000" w:themeColor="text1"/>
          <w:szCs w:val="22"/>
        </w:rPr>
        <w:t>2</w:t>
      </w:r>
      <w:r w:rsidR="009425AA" w:rsidRPr="004C5551">
        <w:rPr>
          <w:color w:val="000000" w:themeColor="text1"/>
          <w:szCs w:val="22"/>
        </w:rPr>
        <w:t> %</w:t>
      </w:r>
      <w:r w:rsidRPr="004C5551">
        <w:rPr>
          <w:color w:val="000000" w:themeColor="text1"/>
          <w:szCs w:val="22"/>
        </w:rPr>
        <w:t xml:space="preserve"> pre</w:t>
      </w:r>
      <w:r w:rsidR="004F3C97" w:rsidRPr="004C5551">
        <w:rPr>
          <w:color w:val="000000" w:themeColor="text1"/>
          <w:szCs w:val="22"/>
        </w:rPr>
        <w:t> </w:t>
      </w:r>
      <w:r w:rsidRPr="004C5551">
        <w:rPr>
          <w:color w:val="000000" w:themeColor="text1"/>
          <w:szCs w:val="22"/>
        </w:rPr>
        <w:t>EU2</w:t>
      </w:r>
      <w:r w:rsidR="00C637BB" w:rsidRPr="004C5551">
        <w:rPr>
          <w:color w:val="000000" w:themeColor="text1"/>
          <w:szCs w:val="22"/>
        </w:rPr>
        <w:t>8</w:t>
      </w:r>
      <w:r w:rsidRPr="004C5551">
        <w:rPr>
          <w:color w:val="000000" w:themeColor="text1"/>
          <w:szCs w:val="22"/>
        </w:rPr>
        <w:t>)</w:t>
      </w:r>
      <w:r w:rsidR="00A307FA" w:rsidRPr="004C5551">
        <w:rPr>
          <w:color w:val="000000" w:themeColor="text1"/>
          <w:szCs w:val="22"/>
        </w:rPr>
        <w:t>n</w:t>
      </w:r>
      <w:r w:rsidRPr="004C5551">
        <w:rPr>
          <w:color w:val="000000" w:themeColor="text1"/>
          <w:szCs w:val="22"/>
        </w:rPr>
        <w:t>asledujúci g</w:t>
      </w:r>
      <w:r w:rsidRPr="004C5551">
        <w:rPr>
          <w:iCs/>
          <w:color w:val="000000" w:themeColor="text1"/>
          <w:szCs w:val="22"/>
        </w:rPr>
        <w:t>raf, tab</w:t>
      </w:r>
      <w:r w:rsidR="003E4367" w:rsidRPr="004C5551">
        <w:rPr>
          <w:iCs/>
          <w:color w:val="000000" w:themeColor="text1"/>
          <w:szCs w:val="22"/>
        </w:rPr>
        <w:t>uľka</w:t>
      </w:r>
      <w:r w:rsidRPr="004C5551">
        <w:rPr>
          <w:iCs/>
          <w:color w:val="000000" w:themeColor="text1"/>
          <w:szCs w:val="22"/>
        </w:rPr>
        <w:t xml:space="preserve"> 3</w:t>
      </w:r>
      <w:r w:rsidR="00361B9E" w:rsidRPr="004C5551">
        <w:rPr>
          <w:iCs/>
          <w:color w:val="000000" w:themeColor="text1"/>
          <w:szCs w:val="22"/>
        </w:rPr>
        <w:t>2</w:t>
      </w:r>
      <w:r w:rsidRPr="004C5551">
        <w:rPr>
          <w:iCs/>
          <w:color w:val="000000" w:themeColor="text1"/>
          <w:szCs w:val="22"/>
        </w:rPr>
        <w:t xml:space="preserve"> v prílohe ku kapitole 3</w:t>
      </w:r>
      <w:r w:rsidRPr="004C5551">
        <w:rPr>
          <w:color w:val="000000" w:themeColor="text1"/>
          <w:szCs w:val="22"/>
        </w:rPr>
        <w:t>).</w:t>
      </w:r>
    </w:p>
    <w:p w:rsidR="00BA55A2" w:rsidRPr="004C5551" w:rsidRDefault="00A307FA" w:rsidP="00BA55A2">
      <w:pPr>
        <w:rPr>
          <w:color w:val="000000" w:themeColor="text1"/>
          <w:szCs w:val="20"/>
        </w:rPr>
      </w:pPr>
      <w:bookmarkStart w:id="698" w:name="_Toc356482750"/>
      <w:r w:rsidRPr="004C5551">
        <w:rPr>
          <w:color w:val="000000" w:themeColor="text1"/>
          <w:szCs w:val="20"/>
        </w:rPr>
        <w:t>(V tejto správe sa uvádzajú údaje na sumárnej úrovni za všetky programy).</w:t>
      </w:r>
    </w:p>
    <w:p w:rsidR="00C55A5E" w:rsidRPr="004C5551" w:rsidRDefault="00C55A5E" w:rsidP="009B7B4B">
      <w:pPr>
        <w:pStyle w:val="Nadpis7"/>
      </w:pPr>
      <w:r w:rsidRPr="004C5551">
        <w:rPr>
          <w:lang w:eastAsia="cs-CZ"/>
        </w:rPr>
        <w:t>Graf 3.</w:t>
      </w:r>
      <w:r w:rsidR="0092082F" w:rsidRPr="004C5551">
        <w:rPr>
          <w:lang w:eastAsia="cs-CZ"/>
        </w:rPr>
        <w:t>1</w:t>
      </w:r>
      <w:r w:rsidR="00AB3F7F" w:rsidRPr="004C5551">
        <w:rPr>
          <w:lang w:eastAsia="cs-CZ"/>
        </w:rPr>
        <w:t>7</w:t>
      </w:r>
      <w:r w:rsidRPr="004C5551">
        <w:t xml:space="preserve"> Štruktúra príjmov na sociálnu ochranu v</w:t>
      </w:r>
      <w:r w:rsidR="002F66EB" w:rsidRPr="004C5551">
        <w:t> </w:t>
      </w:r>
      <w:r w:rsidRPr="004C5551">
        <w:t>EU2</w:t>
      </w:r>
      <w:r w:rsidR="00C637BB" w:rsidRPr="004C5551">
        <w:t>8</w:t>
      </w:r>
      <w:r w:rsidRPr="004C5551">
        <w:t xml:space="preserve"> v roku 201</w:t>
      </w:r>
      <w:bookmarkEnd w:id="698"/>
      <w:r w:rsidR="00C74E66" w:rsidRPr="004C5551">
        <w:t>2</w:t>
      </w:r>
    </w:p>
    <w:p w:rsidR="008C302F" w:rsidRPr="004C5551" w:rsidRDefault="00C637BB" w:rsidP="00C637BB">
      <w:pPr>
        <w:jc w:val="center"/>
      </w:pPr>
      <w:r w:rsidRPr="004C5551">
        <w:rPr>
          <w:noProof/>
        </w:rPr>
        <w:drawing>
          <wp:inline distT="0" distB="0" distL="0" distR="0" wp14:anchorId="2EB4CA54" wp14:editId="68C2BFD8">
            <wp:extent cx="5762445" cy="2251495"/>
            <wp:effectExtent l="0" t="0" r="0" b="0"/>
            <wp:docPr id="2289" name="Graf 2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55A5E" w:rsidRPr="004C5551" w:rsidRDefault="00C55A5E" w:rsidP="008C302F">
      <w:pPr>
        <w:pStyle w:val="zdroj"/>
      </w:pPr>
      <w:r w:rsidRPr="004C5551">
        <w:t xml:space="preserve">Zdroj: </w:t>
      </w:r>
      <w:proofErr w:type="spellStart"/>
      <w:r w:rsidRPr="004C5551">
        <w:t>Eurostat</w:t>
      </w:r>
      <w:proofErr w:type="spellEnd"/>
      <w:r w:rsidR="00D818CE" w:rsidRPr="004C5551">
        <w:t xml:space="preserve"> </w:t>
      </w:r>
      <w:r w:rsidR="00D818CE" w:rsidRPr="004C5551">
        <w:rPr>
          <w:color w:val="000000" w:themeColor="text1"/>
        </w:rPr>
        <w:t xml:space="preserve">– </w:t>
      </w:r>
      <w:r w:rsidRPr="004C5551">
        <w:t>ESSPROS</w:t>
      </w:r>
    </w:p>
    <w:p w:rsidR="00C637BB" w:rsidRPr="004C5551" w:rsidRDefault="00C55A5E" w:rsidP="003B0E51">
      <w:pPr>
        <w:ind w:firstLine="431"/>
      </w:pPr>
      <w:r w:rsidRPr="004C5551">
        <w:t>Rozdiely vo financovaní medzi členskými štátmi EÚ sú spôsobené historickým vývojom. Viac než 7</w:t>
      </w:r>
      <w:r w:rsidR="00355B43" w:rsidRPr="004C5551">
        <w:t>0</w:t>
      </w:r>
      <w:r w:rsidR="009425AA" w:rsidRPr="004C5551">
        <w:t> %</w:t>
      </w:r>
      <w:r w:rsidRPr="004C5551">
        <w:t xml:space="preserve"> zo</w:t>
      </w:r>
      <w:r w:rsidRPr="004C5551">
        <w:rPr>
          <w:rFonts w:cs="Arial"/>
          <w:sz w:val="18"/>
          <w:szCs w:val="18"/>
        </w:rPr>
        <w:t xml:space="preserve"> </w:t>
      </w:r>
      <w:r w:rsidRPr="004C5551">
        <w:t>všetkých príjmov tvorili sociálne príspevky v Estónsku (</w:t>
      </w:r>
      <w:r w:rsidR="00C74E66" w:rsidRPr="004C5551">
        <w:t>80,7</w:t>
      </w:r>
      <w:r w:rsidR="009425AA" w:rsidRPr="004C5551">
        <w:t> %</w:t>
      </w:r>
      <w:r w:rsidRPr="004C5551">
        <w:t>) a Českej republike (73,</w:t>
      </w:r>
      <w:r w:rsidR="00C74E66" w:rsidRPr="004C5551">
        <w:t>8</w:t>
      </w:r>
      <w:r w:rsidR="009425AA" w:rsidRPr="004C5551">
        <w:t> %</w:t>
      </w:r>
      <w:r w:rsidRPr="004C5551">
        <w:t xml:space="preserve">). </w:t>
      </w:r>
      <w:r w:rsidR="009631A7" w:rsidRPr="004C5551">
        <w:t>V </w:t>
      </w:r>
      <w:r w:rsidRPr="004C5551">
        <w:t>Estónsk</w:t>
      </w:r>
      <w:r w:rsidR="009631A7" w:rsidRPr="004C5551">
        <w:t>u bol</w:t>
      </w:r>
      <w:r w:rsidRPr="004C5551">
        <w:t xml:space="preserve"> podiel príjmov od chránených osôb </w:t>
      </w:r>
      <w:r w:rsidR="009631A7" w:rsidRPr="004C5551">
        <w:t xml:space="preserve">nepatrný </w:t>
      </w:r>
      <w:r w:rsidRPr="004C5551">
        <w:t>(</w:t>
      </w:r>
      <w:r w:rsidR="00C637BB" w:rsidRPr="004C5551">
        <w:t>1,</w:t>
      </w:r>
      <w:r w:rsidR="00C74E66" w:rsidRPr="004C5551">
        <w:t>1</w:t>
      </w:r>
      <w:r w:rsidR="009425AA" w:rsidRPr="004C5551">
        <w:t> %</w:t>
      </w:r>
      <w:r w:rsidRPr="004C5551">
        <w:t>). V</w:t>
      </w:r>
      <w:r w:rsidR="00C637BB" w:rsidRPr="004C5551">
        <w:t> </w:t>
      </w:r>
      <w:r w:rsidRPr="004C5551">
        <w:t>Slovinsku</w:t>
      </w:r>
      <w:r w:rsidR="00C637BB" w:rsidRPr="004C5551">
        <w:t>, Holandsku a Chorvátsku je významnejší podiel príjmov od chránených osôb</w:t>
      </w:r>
      <w:r w:rsidRPr="004C5551">
        <w:t xml:space="preserve"> (38,</w:t>
      </w:r>
      <w:r w:rsidR="00C74E66" w:rsidRPr="004C5551">
        <w:t>4</w:t>
      </w:r>
      <w:r w:rsidR="009425AA" w:rsidRPr="004C5551">
        <w:t> %</w:t>
      </w:r>
      <w:r w:rsidR="00C637BB" w:rsidRPr="004C5551">
        <w:t xml:space="preserve"> resp. 3</w:t>
      </w:r>
      <w:r w:rsidR="00C74E66" w:rsidRPr="004C5551">
        <w:t>5</w:t>
      </w:r>
      <w:r w:rsidR="00C637BB" w:rsidRPr="004C5551">
        <w:t>,1</w:t>
      </w:r>
      <w:r w:rsidR="009425AA" w:rsidRPr="004C5551">
        <w:t> %</w:t>
      </w:r>
      <w:r w:rsidR="00C637BB" w:rsidRPr="004C5551">
        <w:t xml:space="preserve"> resp. 33,</w:t>
      </w:r>
      <w:r w:rsidR="00C74E66" w:rsidRPr="004C5551">
        <w:t>5</w:t>
      </w:r>
      <w:r w:rsidR="009425AA" w:rsidRPr="004C5551">
        <w:t> %</w:t>
      </w:r>
      <w:r w:rsidRPr="004C5551">
        <w:t>) ako od zamestnávateľov (26,</w:t>
      </w:r>
      <w:r w:rsidR="00C74E66" w:rsidRPr="004C5551">
        <w:t>6</w:t>
      </w:r>
      <w:r w:rsidR="009425AA" w:rsidRPr="004C5551">
        <w:t> %</w:t>
      </w:r>
      <w:r w:rsidR="00C637BB" w:rsidRPr="004C5551">
        <w:t xml:space="preserve"> resp. 32,</w:t>
      </w:r>
      <w:r w:rsidR="00C74E66" w:rsidRPr="004C5551">
        <w:t>3</w:t>
      </w:r>
      <w:r w:rsidR="009425AA" w:rsidRPr="004C5551">
        <w:t> %</w:t>
      </w:r>
      <w:r w:rsidR="00C637BB" w:rsidRPr="004C5551">
        <w:t xml:space="preserve"> resp. 2</w:t>
      </w:r>
      <w:r w:rsidR="00C74E66" w:rsidRPr="004C5551">
        <w:t>7,7</w:t>
      </w:r>
      <w:r w:rsidR="009425AA" w:rsidRPr="004C5551">
        <w:t> %</w:t>
      </w:r>
      <w:r w:rsidRPr="004C5551">
        <w:t>). Prevažne z</w:t>
      </w:r>
      <w:r w:rsidR="0024160B" w:rsidRPr="004C5551">
        <w:t> </w:t>
      </w:r>
      <w:r w:rsidRPr="004C5551">
        <w:t>príspevkov verejnej správy financovali sociálnu ochranu Dánsko (</w:t>
      </w:r>
      <w:r w:rsidR="00C637BB" w:rsidRPr="004C5551">
        <w:t>7</w:t>
      </w:r>
      <w:r w:rsidR="00C74E66" w:rsidRPr="004C5551">
        <w:t>7,7</w:t>
      </w:r>
      <w:r w:rsidR="009425AA" w:rsidRPr="004C5551">
        <w:t> %</w:t>
      </w:r>
      <w:r w:rsidRPr="004C5551">
        <w:t xml:space="preserve">), </w:t>
      </w:r>
      <w:r w:rsidR="00C637BB" w:rsidRPr="004C5551">
        <w:t>Írsko (69,</w:t>
      </w:r>
      <w:r w:rsidR="00C74E66" w:rsidRPr="004C5551">
        <w:t>4</w:t>
      </w:r>
      <w:r w:rsidR="009425AA" w:rsidRPr="004C5551">
        <w:t> %</w:t>
      </w:r>
      <w:r w:rsidR="00C637BB" w:rsidRPr="004C5551">
        <w:t xml:space="preserve">), </w:t>
      </w:r>
      <w:r w:rsidR="00C74E66" w:rsidRPr="004C5551">
        <w:t xml:space="preserve">Spojené Kráľovstvo (53,2 %), Švédsko (52,2 %), </w:t>
      </w:r>
      <w:r w:rsidR="00C637BB" w:rsidRPr="004C5551">
        <w:t>Cyprus (5</w:t>
      </w:r>
      <w:r w:rsidR="00C74E66" w:rsidRPr="004C5551">
        <w:t>1,3</w:t>
      </w:r>
      <w:r w:rsidR="009425AA" w:rsidRPr="004C5551">
        <w:t> %</w:t>
      </w:r>
      <w:r w:rsidR="00C637BB" w:rsidRPr="004C5551">
        <w:t xml:space="preserve">), </w:t>
      </w:r>
      <w:r w:rsidR="00C74E66" w:rsidRPr="004C5551">
        <w:t xml:space="preserve">Bulharsko (51,1 %), </w:t>
      </w:r>
      <w:r w:rsidRPr="004C5551">
        <w:t>Rumunsko (5</w:t>
      </w:r>
      <w:r w:rsidR="00C74E66" w:rsidRPr="004C5551">
        <w:t>0,7</w:t>
      </w:r>
      <w:r w:rsidR="009425AA" w:rsidRPr="004C5551">
        <w:t> %</w:t>
      </w:r>
      <w:r w:rsidRPr="004C5551">
        <w:t>)</w:t>
      </w:r>
      <w:r w:rsidR="00C74E66" w:rsidRPr="004C5551">
        <w:t xml:space="preserve"> a</w:t>
      </w:r>
      <w:r w:rsidR="00C637BB" w:rsidRPr="004C5551">
        <w:t xml:space="preserve"> Malta (5</w:t>
      </w:r>
      <w:r w:rsidR="00C74E66" w:rsidRPr="004C5551">
        <w:t>0,3</w:t>
      </w:r>
      <w:r w:rsidR="009425AA" w:rsidRPr="004C5551">
        <w:t> %</w:t>
      </w:r>
      <w:r w:rsidR="00C637BB" w:rsidRPr="004C5551">
        <w:t>)</w:t>
      </w:r>
      <w:r w:rsidR="00C74E66" w:rsidRPr="004C5551">
        <w:t>.</w:t>
      </w:r>
    </w:p>
    <w:p w:rsidR="009B7B4B" w:rsidRPr="004C5551" w:rsidRDefault="009B7B4B">
      <w:pPr>
        <w:jc w:val="left"/>
        <w:rPr>
          <w:b/>
        </w:rPr>
      </w:pPr>
      <w:r w:rsidRPr="004C5551">
        <w:br w:type="page"/>
      </w:r>
    </w:p>
    <w:p w:rsidR="00C637BB" w:rsidRPr="004C5551" w:rsidRDefault="00C637BB" w:rsidP="00C637BB">
      <w:pPr>
        <w:pStyle w:val="Nadpis7"/>
      </w:pPr>
      <w:r w:rsidRPr="004C5551">
        <w:t>Graf 3.</w:t>
      </w:r>
      <w:r w:rsidR="00AB3F7F" w:rsidRPr="004C5551">
        <w:t>18</w:t>
      </w:r>
      <w:r w:rsidRPr="004C5551">
        <w:t xml:space="preserve"> Štruktúra príjmov na sociálnu ochranu v SR, 201</w:t>
      </w:r>
      <w:r w:rsidR="0073275C" w:rsidRPr="004C5551">
        <w:t>2</w:t>
      </w:r>
    </w:p>
    <w:p w:rsidR="00C637BB" w:rsidRPr="004C5551" w:rsidRDefault="0073275C" w:rsidP="0027514C">
      <w:pPr>
        <w:jc w:val="center"/>
      </w:pPr>
      <w:r w:rsidRPr="004C5551">
        <w:rPr>
          <w:noProof/>
        </w:rPr>
        <w:t xml:space="preserve"> </w:t>
      </w:r>
      <w:r w:rsidRPr="004C5551">
        <w:rPr>
          <w:noProof/>
        </w:rPr>
        <w:drawing>
          <wp:inline distT="0" distB="0" distL="0" distR="0" wp14:anchorId="1246BEAD" wp14:editId="3F0DBA54">
            <wp:extent cx="5581650" cy="2771775"/>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514C" w:rsidRPr="004C5551" w:rsidRDefault="0027514C" w:rsidP="0027514C">
      <w:pPr>
        <w:pStyle w:val="zdroj"/>
      </w:pPr>
      <w:r w:rsidRPr="004C5551">
        <w:t xml:space="preserve">Zdroj: </w:t>
      </w:r>
      <w:proofErr w:type="spellStart"/>
      <w:r w:rsidRPr="004C5551">
        <w:t>Eurostat</w:t>
      </w:r>
      <w:proofErr w:type="spellEnd"/>
      <w:r w:rsidR="00650CAB" w:rsidRPr="004C5551">
        <w:t xml:space="preserve"> </w:t>
      </w:r>
      <w:r w:rsidR="00D818CE" w:rsidRPr="004C5551">
        <w:rPr>
          <w:color w:val="000000" w:themeColor="text1"/>
        </w:rPr>
        <w:t>–</w:t>
      </w:r>
      <w:r w:rsidR="00650CAB" w:rsidRPr="004C5551">
        <w:t xml:space="preserve"> </w:t>
      </w:r>
      <w:r w:rsidRPr="004C5551">
        <w:t>ESSPROS</w:t>
      </w:r>
    </w:p>
    <w:p w:rsidR="00C637BB" w:rsidRPr="004C5551" w:rsidRDefault="00C637BB" w:rsidP="003B0E51">
      <w:pPr>
        <w:ind w:firstLine="431"/>
        <w:rPr>
          <w:color w:val="000000" w:themeColor="text1"/>
          <w:szCs w:val="22"/>
        </w:rPr>
      </w:pPr>
      <w:r w:rsidRPr="004C5551">
        <w:rPr>
          <w:color w:val="000000" w:themeColor="text1"/>
          <w:szCs w:val="22"/>
        </w:rPr>
        <w:t>V Slovenskej republike v roku 201</w:t>
      </w:r>
      <w:r w:rsidR="0073275C" w:rsidRPr="004C5551">
        <w:rPr>
          <w:color w:val="000000" w:themeColor="text1"/>
          <w:szCs w:val="22"/>
        </w:rPr>
        <w:t>2</w:t>
      </w:r>
      <w:r w:rsidRPr="004C5551">
        <w:rPr>
          <w:color w:val="000000" w:themeColor="text1"/>
          <w:szCs w:val="22"/>
        </w:rPr>
        <w:t xml:space="preserve"> bola štruktúra príjmov na sociálnu ochranu nasledovná: sociálne príspevky </w:t>
      </w:r>
      <w:r w:rsidR="0027514C" w:rsidRPr="004C5551">
        <w:rPr>
          <w:color w:val="000000" w:themeColor="text1"/>
          <w:szCs w:val="22"/>
        </w:rPr>
        <w:t>6</w:t>
      </w:r>
      <w:r w:rsidR="0073275C" w:rsidRPr="004C5551">
        <w:rPr>
          <w:color w:val="000000" w:themeColor="text1"/>
          <w:szCs w:val="22"/>
        </w:rPr>
        <w:t>9</w:t>
      </w:r>
      <w:r w:rsidR="0027514C" w:rsidRPr="004C5551">
        <w:rPr>
          <w:color w:val="000000" w:themeColor="text1"/>
          <w:szCs w:val="22"/>
        </w:rPr>
        <w:t>,</w:t>
      </w:r>
      <w:r w:rsidR="0073275C" w:rsidRPr="004C5551">
        <w:rPr>
          <w:color w:val="000000" w:themeColor="text1"/>
          <w:szCs w:val="22"/>
        </w:rPr>
        <w:t>6</w:t>
      </w:r>
      <w:r w:rsidR="009425AA" w:rsidRPr="004C5551">
        <w:rPr>
          <w:color w:val="000000" w:themeColor="text1"/>
          <w:szCs w:val="22"/>
        </w:rPr>
        <w:t> %</w:t>
      </w:r>
      <w:r w:rsidRPr="004C5551">
        <w:rPr>
          <w:color w:val="000000" w:themeColor="text1"/>
          <w:szCs w:val="22"/>
        </w:rPr>
        <w:t xml:space="preserve"> (od zamestnávateľov 4</w:t>
      </w:r>
      <w:r w:rsidR="0073275C" w:rsidRPr="004C5551">
        <w:rPr>
          <w:color w:val="000000" w:themeColor="text1"/>
          <w:szCs w:val="22"/>
        </w:rPr>
        <w:t>0,8</w:t>
      </w:r>
      <w:r w:rsidR="009425AA" w:rsidRPr="004C5551">
        <w:rPr>
          <w:color w:val="000000" w:themeColor="text1"/>
          <w:szCs w:val="22"/>
        </w:rPr>
        <w:t> %</w:t>
      </w:r>
      <w:r w:rsidR="0027514C" w:rsidRPr="004C5551">
        <w:rPr>
          <w:color w:val="000000" w:themeColor="text1"/>
          <w:szCs w:val="22"/>
        </w:rPr>
        <w:t>, zamestnancov 15,</w:t>
      </w:r>
      <w:r w:rsidR="0073275C" w:rsidRPr="004C5551">
        <w:rPr>
          <w:color w:val="000000" w:themeColor="text1"/>
          <w:szCs w:val="22"/>
        </w:rPr>
        <w:t>0</w:t>
      </w:r>
      <w:r w:rsidR="009425AA" w:rsidRPr="004C5551">
        <w:rPr>
          <w:color w:val="000000" w:themeColor="text1"/>
          <w:szCs w:val="22"/>
        </w:rPr>
        <w:t> %</w:t>
      </w:r>
      <w:r w:rsidRPr="004C5551">
        <w:rPr>
          <w:color w:val="000000" w:themeColor="text1"/>
          <w:szCs w:val="22"/>
        </w:rPr>
        <w:t>, SZČO 3,</w:t>
      </w:r>
      <w:r w:rsidR="0073275C" w:rsidRPr="004C5551">
        <w:rPr>
          <w:color w:val="000000" w:themeColor="text1"/>
          <w:szCs w:val="22"/>
        </w:rPr>
        <w:t>2</w:t>
      </w:r>
      <w:r w:rsidR="009425AA" w:rsidRPr="004C5551">
        <w:rPr>
          <w:color w:val="000000" w:themeColor="text1"/>
          <w:szCs w:val="22"/>
        </w:rPr>
        <w:t> %</w:t>
      </w:r>
      <w:r w:rsidRPr="004C5551">
        <w:rPr>
          <w:color w:val="000000" w:themeColor="text1"/>
          <w:szCs w:val="22"/>
        </w:rPr>
        <w:t xml:space="preserve"> a dobrovoľných platiteľov 0,</w:t>
      </w:r>
      <w:r w:rsidR="0073275C" w:rsidRPr="004C5551">
        <w:rPr>
          <w:color w:val="000000" w:themeColor="text1"/>
          <w:szCs w:val="22"/>
        </w:rPr>
        <w:t>6</w:t>
      </w:r>
      <w:r w:rsidR="009425AA" w:rsidRPr="004C5551">
        <w:rPr>
          <w:color w:val="000000" w:themeColor="text1"/>
          <w:szCs w:val="22"/>
        </w:rPr>
        <w:t> %</w:t>
      </w:r>
      <w:r w:rsidRPr="004C5551">
        <w:rPr>
          <w:color w:val="000000" w:themeColor="text1"/>
          <w:szCs w:val="22"/>
        </w:rPr>
        <w:t xml:space="preserve">), platby verejnej správy </w:t>
      </w:r>
      <w:r w:rsidR="0027514C" w:rsidRPr="004C5551">
        <w:rPr>
          <w:color w:val="000000" w:themeColor="text1"/>
          <w:szCs w:val="22"/>
        </w:rPr>
        <w:t>37</w:t>
      </w:r>
      <w:r w:rsidRPr="004C5551">
        <w:rPr>
          <w:color w:val="000000" w:themeColor="text1"/>
          <w:szCs w:val="22"/>
        </w:rPr>
        <w:t>,</w:t>
      </w:r>
      <w:r w:rsidR="0073275C" w:rsidRPr="004C5551">
        <w:rPr>
          <w:color w:val="000000" w:themeColor="text1"/>
          <w:szCs w:val="22"/>
        </w:rPr>
        <w:t>6</w:t>
      </w:r>
      <w:r w:rsidR="009425AA" w:rsidRPr="004C5551">
        <w:rPr>
          <w:color w:val="000000" w:themeColor="text1"/>
          <w:szCs w:val="22"/>
        </w:rPr>
        <w:t> %</w:t>
      </w:r>
      <w:r w:rsidRPr="004C5551">
        <w:rPr>
          <w:color w:val="000000" w:themeColor="text1"/>
          <w:szCs w:val="22"/>
        </w:rPr>
        <w:t xml:space="preserve"> a iné príjmy </w:t>
      </w:r>
      <w:r w:rsidR="0027514C" w:rsidRPr="004C5551">
        <w:rPr>
          <w:color w:val="000000" w:themeColor="text1"/>
          <w:szCs w:val="22"/>
        </w:rPr>
        <w:t>2,</w:t>
      </w:r>
      <w:r w:rsidR="0073275C" w:rsidRPr="004C5551">
        <w:rPr>
          <w:color w:val="000000" w:themeColor="text1"/>
          <w:szCs w:val="22"/>
        </w:rPr>
        <w:t>9</w:t>
      </w:r>
      <w:r w:rsidR="009425AA" w:rsidRPr="004C5551">
        <w:rPr>
          <w:color w:val="000000" w:themeColor="text1"/>
          <w:szCs w:val="22"/>
        </w:rPr>
        <w:t> %</w:t>
      </w:r>
      <w:r w:rsidRPr="004C5551">
        <w:rPr>
          <w:color w:val="000000" w:themeColor="text1"/>
          <w:szCs w:val="22"/>
        </w:rPr>
        <w:t>.</w:t>
      </w:r>
    </w:p>
    <w:p w:rsidR="00C55A5E" w:rsidRPr="004C5551" w:rsidRDefault="00C55A5E" w:rsidP="00E5059B">
      <w:pPr>
        <w:ind w:firstLine="567"/>
      </w:pPr>
    </w:p>
    <w:p w:rsidR="00C55A5E" w:rsidRPr="004C5551" w:rsidRDefault="00C55A5E" w:rsidP="00AA2DD6">
      <w:pPr>
        <w:pStyle w:val="Nadpis7"/>
        <w:rPr>
          <w:rFonts w:cs="Arial"/>
          <w:i/>
          <w:iCs/>
          <w:szCs w:val="22"/>
        </w:rPr>
      </w:pPr>
      <w:bookmarkStart w:id="699" w:name="_Toc356482751"/>
      <w:r w:rsidRPr="004C5551">
        <w:t>Graf 3.</w:t>
      </w:r>
      <w:r w:rsidR="00AB3F7F" w:rsidRPr="004C5551">
        <w:t>19</w:t>
      </w:r>
      <w:r w:rsidRPr="004C5551">
        <w:t xml:space="preserve"> Hrubé výdavky na sociálnu ochranu v PPS</w:t>
      </w:r>
      <w:r w:rsidRPr="004C5551">
        <w:rPr>
          <w:rStyle w:val="Odkaznapoznmkupodiarou"/>
          <w:b w:val="0"/>
          <w:color w:val="000000" w:themeColor="text1"/>
          <w:szCs w:val="22"/>
        </w:rPr>
        <w:footnoteReference w:id="46"/>
      </w:r>
      <w:r w:rsidRPr="004C5551">
        <w:t xml:space="preserve"> na obyvateľa, 201</w:t>
      </w:r>
      <w:r w:rsidR="0073275C" w:rsidRPr="004C5551">
        <w:t>2</w:t>
      </w:r>
      <w:bookmarkEnd w:id="699"/>
    </w:p>
    <w:p w:rsidR="00B57993" w:rsidRPr="004C5551" w:rsidRDefault="0073275C" w:rsidP="00B57993">
      <w:pPr>
        <w:ind w:left="142"/>
        <w:jc w:val="center"/>
        <w:rPr>
          <w:rFonts w:cs="Arial"/>
          <w:i/>
          <w:iCs/>
          <w:color w:val="333300"/>
          <w:sz w:val="20"/>
          <w:szCs w:val="18"/>
        </w:rPr>
      </w:pPr>
      <w:r w:rsidRPr="004C5551">
        <w:rPr>
          <w:noProof/>
        </w:rPr>
        <w:drawing>
          <wp:inline distT="0" distB="0" distL="0" distR="0" wp14:anchorId="0CB20D4C" wp14:editId="25B4DBDA">
            <wp:extent cx="5748770" cy="2860963"/>
            <wp:effectExtent l="0" t="0" r="4445"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55A5E" w:rsidRPr="004C5551" w:rsidRDefault="00C55A5E" w:rsidP="00932C3E">
      <w:pPr>
        <w:pStyle w:val="zdroj"/>
      </w:pPr>
      <w:r w:rsidRPr="004C5551">
        <w:t xml:space="preserve">Zdroj: </w:t>
      </w:r>
      <w:proofErr w:type="spellStart"/>
      <w:r w:rsidRPr="004C5551">
        <w:t>Eurostat</w:t>
      </w:r>
      <w:proofErr w:type="spellEnd"/>
      <w:r w:rsidR="00D818CE" w:rsidRPr="004C5551">
        <w:t xml:space="preserve"> </w:t>
      </w:r>
      <w:r w:rsidR="00D818CE" w:rsidRPr="004C5551">
        <w:rPr>
          <w:color w:val="000000" w:themeColor="text1"/>
        </w:rPr>
        <w:t>–</w:t>
      </w:r>
      <w:r w:rsidR="00D818CE" w:rsidRPr="004C5551">
        <w:t xml:space="preserve"> </w:t>
      </w:r>
      <w:r w:rsidRPr="004C5551">
        <w:t>ESSPROS</w:t>
      </w:r>
    </w:p>
    <w:p w:rsidR="002B6349" w:rsidRPr="004C5551" w:rsidRDefault="002B6349" w:rsidP="003B0E51">
      <w:pPr>
        <w:ind w:firstLine="431"/>
        <w:rPr>
          <w:iCs/>
          <w:color w:val="000000" w:themeColor="text1"/>
          <w:szCs w:val="22"/>
        </w:rPr>
      </w:pPr>
    </w:p>
    <w:p w:rsidR="002B6349" w:rsidRPr="004C5551" w:rsidRDefault="002B6349" w:rsidP="003B0E51">
      <w:pPr>
        <w:ind w:firstLine="431"/>
        <w:rPr>
          <w:iCs/>
          <w:color w:val="000000" w:themeColor="text1"/>
          <w:szCs w:val="22"/>
        </w:rPr>
      </w:pPr>
    </w:p>
    <w:p w:rsidR="002B6349" w:rsidRPr="004C5551" w:rsidRDefault="002B6349" w:rsidP="003B0E51">
      <w:pPr>
        <w:ind w:firstLine="431"/>
        <w:rPr>
          <w:iCs/>
          <w:color w:val="000000" w:themeColor="text1"/>
          <w:szCs w:val="22"/>
        </w:rPr>
      </w:pPr>
    </w:p>
    <w:p w:rsidR="002B6349" w:rsidRPr="004C5551" w:rsidRDefault="002B6349" w:rsidP="003B0E51">
      <w:pPr>
        <w:ind w:firstLine="431"/>
        <w:rPr>
          <w:iCs/>
          <w:color w:val="000000" w:themeColor="text1"/>
          <w:szCs w:val="22"/>
        </w:rPr>
      </w:pPr>
    </w:p>
    <w:p w:rsidR="00C55A5E" w:rsidRPr="004C5551" w:rsidRDefault="00B57993" w:rsidP="003B0E51">
      <w:pPr>
        <w:ind w:firstLine="431"/>
        <w:rPr>
          <w:color w:val="000000" w:themeColor="text1"/>
          <w:szCs w:val="22"/>
        </w:rPr>
      </w:pPr>
      <w:r w:rsidRPr="004C5551">
        <w:rPr>
          <w:iCs/>
          <w:color w:val="000000" w:themeColor="text1"/>
          <w:szCs w:val="22"/>
        </w:rPr>
        <w:t>Celkové hrubé výdavky na sociálnu ochranu (predchádzajúci graf, tab</w:t>
      </w:r>
      <w:r w:rsidR="003E4367" w:rsidRPr="004C5551">
        <w:rPr>
          <w:iCs/>
          <w:color w:val="000000" w:themeColor="text1"/>
          <w:szCs w:val="22"/>
        </w:rPr>
        <w:t>uľka</w:t>
      </w:r>
      <w:r w:rsidRPr="004C5551">
        <w:rPr>
          <w:iCs/>
          <w:color w:val="000000" w:themeColor="text1"/>
          <w:szCs w:val="22"/>
        </w:rPr>
        <w:t xml:space="preserve"> </w:t>
      </w:r>
      <w:r w:rsidR="00361B9E" w:rsidRPr="004C5551">
        <w:rPr>
          <w:iCs/>
          <w:color w:val="000000" w:themeColor="text1"/>
          <w:szCs w:val="22"/>
        </w:rPr>
        <w:t xml:space="preserve">31 </w:t>
      </w:r>
      <w:r w:rsidRPr="004C5551">
        <w:rPr>
          <w:iCs/>
          <w:color w:val="000000" w:themeColor="text1"/>
          <w:szCs w:val="22"/>
        </w:rPr>
        <w:t>v prílohe ku</w:t>
      </w:r>
      <w:r w:rsidR="001302DA" w:rsidRPr="004C5551">
        <w:rPr>
          <w:iCs/>
          <w:color w:val="000000" w:themeColor="text1"/>
          <w:szCs w:val="22"/>
        </w:rPr>
        <w:t> </w:t>
      </w:r>
      <w:r w:rsidRPr="004C5551">
        <w:rPr>
          <w:iCs/>
          <w:color w:val="000000" w:themeColor="text1"/>
          <w:szCs w:val="22"/>
        </w:rPr>
        <w:t>kapitole 3</w:t>
      </w:r>
      <w:r w:rsidRPr="004C5551">
        <w:rPr>
          <w:color w:val="000000" w:themeColor="text1"/>
          <w:szCs w:val="22"/>
        </w:rPr>
        <w:t xml:space="preserve">) </w:t>
      </w:r>
      <w:r w:rsidRPr="004C5551">
        <w:rPr>
          <w:iCs/>
          <w:color w:val="000000" w:themeColor="text1"/>
          <w:szCs w:val="22"/>
        </w:rPr>
        <w:t>v EU28 v roku 201</w:t>
      </w:r>
      <w:r w:rsidR="006B118F" w:rsidRPr="004C5551">
        <w:rPr>
          <w:iCs/>
          <w:color w:val="000000" w:themeColor="text1"/>
          <w:szCs w:val="22"/>
        </w:rPr>
        <w:t>2</w:t>
      </w:r>
      <w:r w:rsidRPr="004C5551">
        <w:rPr>
          <w:iCs/>
          <w:color w:val="000000" w:themeColor="text1"/>
          <w:szCs w:val="22"/>
        </w:rPr>
        <w:t xml:space="preserve"> dosiahli 7 </w:t>
      </w:r>
      <w:r w:rsidR="006B118F" w:rsidRPr="004C5551">
        <w:rPr>
          <w:iCs/>
          <w:color w:val="000000" w:themeColor="text1"/>
          <w:szCs w:val="22"/>
        </w:rPr>
        <w:t>558</w:t>
      </w:r>
      <w:r w:rsidRPr="004C5551">
        <w:rPr>
          <w:iCs/>
          <w:color w:val="000000" w:themeColor="text1"/>
          <w:szCs w:val="22"/>
        </w:rPr>
        <w:t xml:space="preserve"> PPS na obyvateľa (v SR 3 </w:t>
      </w:r>
      <w:r w:rsidR="006B118F" w:rsidRPr="004C5551">
        <w:rPr>
          <w:iCs/>
          <w:color w:val="000000" w:themeColor="text1"/>
          <w:szCs w:val="22"/>
        </w:rPr>
        <w:t>732</w:t>
      </w:r>
      <w:r w:rsidRPr="004C5551">
        <w:rPr>
          <w:iCs/>
          <w:color w:val="000000" w:themeColor="text1"/>
          <w:szCs w:val="22"/>
        </w:rPr>
        <w:t xml:space="preserve"> PPS na obyvateľa) a 29,</w:t>
      </w:r>
      <w:r w:rsidR="006B118F" w:rsidRPr="004C5551">
        <w:rPr>
          <w:iCs/>
          <w:color w:val="000000" w:themeColor="text1"/>
          <w:szCs w:val="22"/>
        </w:rPr>
        <w:t>5</w:t>
      </w:r>
      <w:r w:rsidR="009425AA" w:rsidRPr="004C5551">
        <w:rPr>
          <w:iCs/>
          <w:color w:val="000000" w:themeColor="text1"/>
          <w:szCs w:val="22"/>
        </w:rPr>
        <w:t> %</w:t>
      </w:r>
      <w:r w:rsidRPr="004C5551">
        <w:rPr>
          <w:iCs/>
          <w:color w:val="000000" w:themeColor="text1"/>
          <w:szCs w:val="22"/>
        </w:rPr>
        <w:t xml:space="preserve"> HDP (v SR 18,</w:t>
      </w:r>
      <w:r w:rsidR="00817C69" w:rsidRPr="004C5551">
        <w:rPr>
          <w:iCs/>
          <w:color w:val="000000" w:themeColor="text1"/>
          <w:szCs w:val="22"/>
        </w:rPr>
        <w:t>4</w:t>
      </w:r>
      <w:r w:rsidR="009425AA" w:rsidRPr="004C5551">
        <w:rPr>
          <w:iCs/>
          <w:color w:val="000000" w:themeColor="text1"/>
          <w:szCs w:val="22"/>
        </w:rPr>
        <w:t> %</w:t>
      </w:r>
      <w:r w:rsidRPr="004C5551">
        <w:rPr>
          <w:iCs/>
          <w:color w:val="000000" w:themeColor="text1"/>
          <w:szCs w:val="22"/>
        </w:rPr>
        <w:t xml:space="preserve">). </w:t>
      </w:r>
      <w:r w:rsidRPr="004C5551">
        <w:rPr>
          <w:color w:val="000000" w:themeColor="text1"/>
          <w:szCs w:val="22"/>
        </w:rPr>
        <w:t>Rozdiely medzi krajinami sú do istej miery úmerné k rozdielnym úrovniam bohatstva, ale tiež odzrkadľujú rozdiely v demografických trendoch, v systémoch sociálnej ochrany, v miere nezamestnanosti a sú ovplyvnené aj ďalšími sociálnymi, inštitucionálnymi a eko</w:t>
      </w:r>
      <w:r w:rsidR="00817C69" w:rsidRPr="004C5551">
        <w:rPr>
          <w:color w:val="000000" w:themeColor="text1"/>
          <w:szCs w:val="22"/>
        </w:rPr>
        <w:softHyphen/>
      </w:r>
      <w:r w:rsidRPr="004C5551">
        <w:rPr>
          <w:color w:val="000000" w:themeColor="text1"/>
          <w:szCs w:val="22"/>
        </w:rPr>
        <w:t>nomickými faktormi.</w:t>
      </w:r>
      <w:r w:rsidR="00C55A5E" w:rsidRPr="004C5551">
        <w:rPr>
          <w:color w:val="000000" w:themeColor="text1"/>
          <w:szCs w:val="22"/>
        </w:rPr>
        <w:t xml:space="preserve"> </w:t>
      </w:r>
    </w:p>
    <w:p w:rsidR="00C55A5E" w:rsidRPr="004C5551" w:rsidRDefault="00B57993" w:rsidP="003B0E51">
      <w:pPr>
        <w:ind w:firstLine="431"/>
        <w:rPr>
          <w:color w:val="000000" w:themeColor="text1"/>
          <w:szCs w:val="22"/>
        </w:rPr>
      </w:pPr>
      <w:r w:rsidRPr="004C5551">
        <w:rPr>
          <w:color w:val="000000" w:themeColor="text1"/>
          <w:szCs w:val="22"/>
        </w:rPr>
        <w:t xml:space="preserve">Štruktúra výdavkov na sociálnu ochranu v Slovenskej republike bola nasledovná: </w:t>
      </w:r>
      <w:r w:rsidR="001302DA" w:rsidRPr="004C5551">
        <w:rPr>
          <w:color w:val="000000" w:themeColor="text1"/>
          <w:szCs w:val="22"/>
        </w:rPr>
        <w:t>výdavky na </w:t>
      </w:r>
      <w:r w:rsidRPr="004C5551">
        <w:rPr>
          <w:color w:val="000000" w:themeColor="text1"/>
          <w:szCs w:val="22"/>
        </w:rPr>
        <w:t>sociálne dávky tvorili 97,2</w:t>
      </w:r>
      <w:r w:rsidR="009425AA" w:rsidRPr="004C5551">
        <w:rPr>
          <w:color w:val="000000" w:themeColor="text1"/>
          <w:szCs w:val="22"/>
        </w:rPr>
        <w:t> %</w:t>
      </w:r>
      <w:r w:rsidRPr="004C5551">
        <w:rPr>
          <w:color w:val="000000" w:themeColor="text1"/>
          <w:szCs w:val="22"/>
        </w:rPr>
        <w:t>,</w:t>
      </w:r>
      <w:r w:rsidR="0016196A" w:rsidRPr="004C5551">
        <w:rPr>
          <w:color w:val="000000" w:themeColor="text1"/>
          <w:szCs w:val="22"/>
        </w:rPr>
        <w:t xml:space="preserve"> </w:t>
      </w:r>
      <w:r w:rsidRPr="004C5551">
        <w:rPr>
          <w:color w:val="000000" w:themeColor="text1"/>
          <w:szCs w:val="22"/>
        </w:rPr>
        <w:t>administratívne náklady 2,6</w:t>
      </w:r>
      <w:r w:rsidR="009425AA" w:rsidRPr="004C5551">
        <w:rPr>
          <w:color w:val="000000" w:themeColor="text1"/>
          <w:szCs w:val="22"/>
        </w:rPr>
        <w:t> %</w:t>
      </w:r>
      <w:r w:rsidRPr="004C5551">
        <w:rPr>
          <w:color w:val="000000" w:themeColor="text1"/>
          <w:szCs w:val="22"/>
        </w:rPr>
        <w:t xml:space="preserve"> a iné výdavky 0,2</w:t>
      </w:r>
      <w:r w:rsidR="009425AA" w:rsidRPr="004C5551">
        <w:rPr>
          <w:color w:val="000000" w:themeColor="text1"/>
          <w:szCs w:val="22"/>
        </w:rPr>
        <w:t> %</w:t>
      </w:r>
      <w:r w:rsidRPr="004C5551">
        <w:rPr>
          <w:color w:val="000000" w:themeColor="text1"/>
          <w:szCs w:val="22"/>
        </w:rPr>
        <w:t>. V členení podľa účelov tvorili výdavky na peňažné a vecné dávky na účel choroba/zdravotná starostlivosť</w:t>
      </w:r>
      <w:r w:rsidR="001302DA" w:rsidRPr="004C5551">
        <w:rPr>
          <w:color w:val="000000" w:themeColor="text1"/>
          <w:szCs w:val="22"/>
        </w:rPr>
        <w:t xml:space="preserve"> </w:t>
      </w:r>
      <w:r w:rsidR="00817C69" w:rsidRPr="004C5551">
        <w:rPr>
          <w:color w:val="000000" w:themeColor="text1"/>
          <w:szCs w:val="22"/>
        </w:rPr>
        <w:t>29,6</w:t>
      </w:r>
      <w:r w:rsidR="009425AA" w:rsidRPr="004C5551">
        <w:rPr>
          <w:color w:val="000000" w:themeColor="text1"/>
          <w:szCs w:val="22"/>
        </w:rPr>
        <w:t> %</w:t>
      </w:r>
      <w:r w:rsidR="001302DA" w:rsidRPr="004C5551">
        <w:rPr>
          <w:color w:val="000000" w:themeColor="text1"/>
          <w:szCs w:val="22"/>
        </w:rPr>
        <w:t xml:space="preserve"> (zo </w:t>
      </w:r>
      <w:r w:rsidRPr="004C5551">
        <w:rPr>
          <w:color w:val="000000" w:themeColor="text1"/>
          <w:szCs w:val="22"/>
        </w:rPr>
        <w:t>všetkých výdavkov na dávky), na účel invalidita 9,0</w:t>
      </w:r>
      <w:r w:rsidR="009425AA" w:rsidRPr="004C5551">
        <w:rPr>
          <w:color w:val="000000" w:themeColor="text1"/>
          <w:szCs w:val="22"/>
        </w:rPr>
        <w:t> %</w:t>
      </w:r>
      <w:r w:rsidRPr="004C5551">
        <w:rPr>
          <w:color w:val="000000" w:themeColor="text1"/>
          <w:szCs w:val="22"/>
        </w:rPr>
        <w:t>, staroba 38,</w:t>
      </w:r>
      <w:r w:rsidR="00817C69" w:rsidRPr="004C5551">
        <w:rPr>
          <w:color w:val="000000" w:themeColor="text1"/>
          <w:szCs w:val="22"/>
        </w:rPr>
        <w:t>8</w:t>
      </w:r>
      <w:r w:rsidR="009425AA" w:rsidRPr="004C5551">
        <w:rPr>
          <w:color w:val="000000" w:themeColor="text1"/>
          <w:szCs w:val="22"/>
        </w:rPr>
        <w:t> %</w:t>
      </w:r>
      <w:r w:rsidRPr="004C5551">
        <w:rPr>
          <w:color w:val="000000" w:themeColor="text1"/>
          <w:szCs w:val="22"/>
        </w:rPr>
        <w:t>, pozostalí 5,</w:t>
      </w:r>
      <w:r w:rsidR="00817C69" w:rsidRPr="004C5551">
        <w:rPr>
          <w:color w:val="000000" w:themeColor="text1"/>
          <w:szCs w:val="22"/>
        </w:rPr>
        <w:t>2</w:t>
      </w:r>
      <w:r w:rsidR="009425AA" w:rsidRPr="004C5551">
        <w:rPr>
          <w:color w:val="000000" w:themeColor="text1"/>
          <w:szCs w:val="22"/>
        </w:rPr>
        <w:t> %</w:t>
      </w:r>
      <w:r w:rsidRPr="004C5551">
        <w:rPr>
          <w:color w:val="000000" w:themeColor="text1"/>
          <w:szCs w:val="22"/>
        </w:rPr>
        <w:t xml:space="preserve">, rodina/deti </w:t>
      </w:r>
      <w:r w:rsidR="00817C69" w:rsidRPr="004C5551">
        <w:rPr>
          <w:color w:val="000000" w:themeColor="text1"/>
          <w:szCs w:val="22"/>
        </w:rPr>
        <w:t>9,9</w:t>
      </w:r>
      <w:r w:rsidR="009425AA" w:rsidRPr="004C5551">
        <w:rPr>
          <w:color w:val="000000" w:themeColor="text1"/>
          <w:szCs w:val="22"/>
        </w:rPr>
        <w:t> %</w:t>
      </w:r>
      <w:r w:rsidRPr="004C5551">
        <w:rPr>
          <w:color w:val="000000" w:themeColor="text1"/>
          <w:szCs w:val="22"/>
        </w:rPr>
        <w:t>, nezamestnanosť 4,</w:t>
      </w:r>
      <w:r w:rsidR="00817C69" w:rsidRPr="004C5551">
        <w:rPr>
          <w:color w:val="000000" w:themeColor="text1"/>
          <w:szCs w:val="22"/>
        </w:rPr>
        <w:t>0</w:t>
      </w:r>
      <w:r w:rsidR="009425AA" w:rsidRPr="004C5551">
        <w:rPr>
          <w:color w:val="000000" w:themeColor="text1"/>
          <w:szCs w:val="22"/>
        </w:rPr>
        <w:t> %</w:t>
      </w:r>
      <w:r w:rsidRPr="004C5551">
        <w:rPr>
          <w:color w:val="000000" w:themeColor="text1"/>
          <w:szCs w:val="22"/>
        </w:rPr>
        <w:t xml:space="preserve"> a bývanie a sociálne vylúčenie 2,</w:t>
      </w:r>
      <w:r w:rsidR="00817C69" w:rsidRPr="004C5551">
        <w:rPr>
          <w:color w:val="000000" w:themeColor="text1"/>
          <w:szCs w:val="22"/>
        </w:rPr>
        <w:t>7</w:t>
      </w:r>
      <w:r w:rsidR="009425AA" w:rsidRPr="004C5551">
        <w:rPr>
          <w:color w:val="000000" w:themeColor="text1"/>
          <w:szCs w:val="22"/>
        </w:rPr>
        <w:t> %</w:t>
      </w:r>
      <w:r w:rsidRPr="004C5551">
        <w:rPr>
          <w:color w:val="000000" w:themeColor="text1"/>
          <w:szCs w:val="22"/>
        </w:rPr>
        <w:t xml:space="preserve">. </w:t>
      </w:r>
    </w:p>
    <w:p w:rsidR="00D75EA9" w:rsidRPr="004C5551" w:rsidRDefault="00B57993" w:rsidP="003B0E51">
      <w:pPr>
        <w:ind w:firstLine="431"/>
        <w:rPr>
          <w:b/>
        </w:rPr>
      </w:pPr>
      <w:r w:rsidRPr="004C5551">
        <w:rPr>
          <w:color w:val="333300"/>
          <w:szCs w:val="22"/>
        </w:rPr>
        <w:t xml:space="preserve">Výdavky na sociálne dávky (nasledujúci graf) na účel </w:t>
      </w:r>
      <w:r w:rsidRPr="004C5551">
        <w:rPr>
          <w:i/>
          <w:iCs/>
          <w:color w:val="333300"/>
          <w:szCs w:val="22"/>
        </w:rPr>
        <w:t>choroba/zdravotná starostlivosť</w:t>
      </w:r>
      <w:r w:rsidRPr="004C5551">
        <w:rPr>
          <w:color w:val="333300"/>
          <w:szCs w:val="22"/>
        </w:rPr>
        <w:t xml:space="preserve"> v EU28 dosiahli 29,</w:t>
      </w:r>
      <w:r w:rsidR="00817C69" w:rsidRPr="004C5551">
        <w:rPr>
          <w:color w:val="333300"/>
          <w:szCs w:val="22"/>
        </w:rPr>
        <w:t>6</w:t>
      </w:r>
      <w:r w:rsidR="009425AA" w:rsidRPr="004C5551">
        <w:rPr>
          <w:color w:val="333300"/>
          <w:szCs w:val="22"/>
        </w:rPr>
        <w:t> %</w:t>
      </w:r>
      <w:r w:rsidRPr="004C5551">
        <w:rPr>
          <w:color w:val="333300"/>
          <w:szCs w:val="22"/>
        </w:rPr>
        <w:t xml:space="preserve"> (zo všetkých dávok), ale v Írsku s najmladšou populáciou až 4</w:t>
      </w:r>
      <w:r w:rsidR="00817C69" w:rsidRPr="004C5551">
        <w:rPr>
          <w:color w:val="333300"/>
          <w:szCs w:val="22"/>
        </w:rPr>
        <w:t>8,7</w:t>
      </w:r>
      <w:r w:rsidR="009425AA" w:rsidRPr="004C5551">
        <w:rPr>
          <w:color w:val="333300"/>
          <w:szCs w:val="22"/>
        </w:rPr>
        <w:t> %</w:t>
      </w:r>
      <w:r w:rsidRPr="004C5551">
        <w:rPr>
          <w:color w:val="333300"/>
          <w:szCs w:val="22"/>
        </w:rPr>
        <w:t xml:space="preserve">. Nadpriemerné podiely v účele </w:t>
      </w:r>
      <w:r w:rsidRPr="004C5551">
        <w:rPr>
          <w:i/>
          <w:color w:val="333300"/>
          <w:szCs w:val="22"/>
        </w:rPr>
        <w:t>invalidita</w:t>
      </w:r>
      <w:r w:rsidRPr="004C5551">
        <w:rPr>
          <w:color w:val="333300"/>
          <w:szCs w:val="22"/>
        </w:rPr>
        <w:t xml:space="preserve"> v porovnaní s priemerom EU28 (7,</w:t>
      </w:r>
      <w:r w:rsidR="00817C69" w:rsidRPr="004C5551">
        <w:rPr>
          <w:color w:val="333300"/>
          <w:szCs w:val="22"/>
        </w:rPr>
        <w:t>4</w:t>
      </w:r>
      <w:r w:rsidR="009425AA" w:rsidRPr="004C5551">
        <w:rPr>
          <w:color w:val="333300"/>
          <w:szCs w:val="22"/>
        </w:rPr>
        <w:t> %</w:t>
      </w:r>
      <w:r w:rsidRPr="004C5551">
        <w:rPr>
          <w:color w:val="333300"/>
          <w:szCs w:val="22"/>
        </w:rPr>
        <w:t>) boli najmä v Chorvátsku (1</w:t>
      </w:r>
      <w:r w:rsidR="00817C69" w:rsidRPr="004C5551">
        <w:rPr>
          <w:color w:val="333300"/>
          <w:szCs w:val="22"/>
        </w:rPr>
        <w:t>6,9</w:t>
      </w:r>
      <w:r w:rsidR="009425AA" w:rsidRPr="004C5551">
        <w:rPr>
          <w:color w:val="333300"/>
          <w:szCs w:val="22"/>
        </w:rPr>
        <w:t> %</w:t>
      </w:r>
      <w:r w:rsidR="001302DA" w:rsidRPr="004C5551">
        <w:rPr>
          <w:color w:val="333300"/>
          <w:szCs w:val="22"/>
        </w:rPr>
        <w:t>) a </w:t>
      </w:r>
      <w:r w:rsidRPr="004C5551">
        <w:rPr>
          <w:color w:val="333300"/>
          <w:szCs w:val="22"/>
        </w:rPr>
        <w:t>vo Švédsku (13,</w:t>
      </w:r>
      <w:r w:rsidR="00817C69" w:rsidRPr="004C5551">
        <w:rPr>
          <w:color w:val="333300"/>
          <w:szCs w:val="22"/>
        </w:rPr>
        <w:t>0</w:t>
      </w:r>
      <w:r w:rsidR="009425AA" w:rsidRPr="004C5551">
        <w:rPr>
          <w:color w:val="333300"/>
          <w:szCs w:val="22"/>
        </w:rPr>
        <w:t> %</w:t>
      </w:r>
      <w:r w:rsidRPr="004C5551">
        <w:rPr>
          <w:color w:val="333300"/>
          <w:szCs w:val="22"/>
        </w:rPr>
        <w:t xml:space="preserve">). V účele </w:t>
      </w:r>
      <w:r w:rsidRPr="004C5551">
        <w:rPr>
          <w:i/>
          <w:color w:val="333300"/>
          <w:szCs w:val="22"/>
        </w:rPr>
        <w:t>staroba</w:t>
      </w:r>
      <w:r w:rsidRPr="004C5551">
        <w:rPr>
          <w:color w:val="333300"/>
          <w:szCs w:val="22"/>
        </w:rPr>
        <w:t xml:space="preserve"> bol nadpolovičný podiel v Lotyšsku (5</w:t>
      </w:r>
      <w:r w:rsidR="00817C69" w:rsidRPr="004C5551">
        <w:rPr>
          <w:color w:val="333300"/>
          <w:szCs w:val="22"/>
        </w:rPr>
        <w:t>1,3</w:t>
      </w:r>
      <w:r w:rsidR="009425AA" w:rsidRPr="004C5551">
        <w:rPr>
          <w:color w:val="333300"/>
          <w:szCs w:val="22"/>
        </w:rPr>
        <w:t> %</w:t>
      </w:r>
      <w:r w:rsidRPr="004C5551">
        <w:rPr>
          <w:color w:val="333300"/>
          <w:szCs w:val="22"/>
        </w:rPr>
        <w:t>) a Taliansku (52,</w:t>
      </w:r>
      <w:r w:rsidR="00817C69" w:rsidRPr="004C5551">
        <w:rPr>
          <w:color w:val="333300"/>
          <w:szCs w:val="22"/>
        </w:rPr>
        <w:t>7</w:t>
      </w:r>
      <w:r w:rsidR="009425AA" w:rsidRPr="004C5551">
        <w:rPr>
          <w:color w:val="333300"/>
          <w:szCs w:val="22"/>
        </w:rPr>
        <w:t> %</w:t>
      </w:r>
      <w:r w:rsidRPr="004C5551">
        <w:rPr>
          <w:color w:val="333300"/>
          <w:szCs w:val="22"/>
        </w:rPr>
        <w:t xml:space="preserve"> oproti priemeru EU28</w:t>
      </w:r>
      <w:r w:rsidR="00817C69" w:rsidRPr="004C5551">
        <w:rPr>
          <w:color w:val="333300"/>
          <w:szCs w:val="22"/>
        </w:rPr>
        <w:t> 40,6</w:t>
      </w:r>
      <w:r w:rsidR="009425AA" w:rsidRPr="004C5551">
        <w:rPr>
          <w:color w:val="333300"/>
          <w:szCs w:val="22"/>
        </w:rPr>
        <w:t> %</w:t>
      </w:r>
      <w:r w:rsidRPr="004C5551">
        <w:rPr>
          <w:color w:val="333300"/>
          <w:szCs w:val="22"/>
        </w:rPr>
        <w:t xml:space="preserve">). Extrémne údaje v účele </w:t>
      </w:r>
      <w:r w:rsidRPr="004C5551">
        <w:rPr>
          <w:i/>
          <w:color w:val="333300"/>
          <w:szCs w:val="22"/>
        </w:rPr>
        <w:t>rodina/deti</w:t>
      </w:r>
      <w:r w:rsidRPr="004C5551">
        <w:rPr>
          <w:color w:val="333300"/>
          <w:szCs w:val="22"/>
        </w:rPr>
        <w:t xml:space="preserve"> boli monitorované v Luxembursku (16,2</w:t>
      </w:r>
      <w:r w:rsidR="009425AA" w:rsidRPr="004C5551">
        <w:rPr>
          <w:color w:val="333300"/>
          <w:szCs w:val="22"/>
        </w:rPr>
        <w:t> %</w:t>
      </w:r>
      <w:r w:rsidRPr="004C5551">
        <w:rPr>
          <w:color w:val="333300"/>
          <w:szCs w:val="22"/>
        </w:rPr>
        <w:t xml:space="preserve"> oproti priemeru EU28 7,</w:t>
      </w:r>
      <w:r w:rsidR="00817C69" w:rsidRPr="004C5551">
        <w:rPr>
          <w:color w:val="333300"/>
          <w:szCs w:val="22"/>
        </w:rPr>
        <w:t>8</w:t>
      </w:r>
      <w:r w:rsidR="009425AA" w:rsidRPr="004C5551">
        <w:rPr>
          <w:color w:val="333300"/>
          <w:szCs w:val="22"/>
        </w:rPr>
        <w:t> %</w:t>
      </w:r>
      <w:r w:rsidRPr="004C5551">
        <w:rPr>
          <w:color w:val="333300"/>
          <w:szCs w:val="22"/>
        </w:rPr>
        <w:t xml:space="preserve">), v účele </w:t>
      </w:r>
      <w:r w:rsidRPr="004C5551">
        <w:rPr>
          <w:i/>
          <w:color w:val="333300"/>
          <w:szCs w:val="22"/>
        </w:rPr>
        <w:t xml:space="preserve">nezamestnanosť </w:t>
      </w:r>
      <w:r w:rsidRPr="004C5551">
        <w:rPr>
          <w:color w:val="333300"/>
          <w:szCs w:val="22"/>
        </w:rPr>
        <w:t>v Španielsku (14,</w:t>
      </w:r>
      <w:r w:rsidR="00817C69" w:rsidRPr="004C5551">
        <w:rPr>
          <w:color w:val="333300"/>
          <w:szCs w:val="22"/>
        </w:rPr>
        <w:t>0</w:t>
      </w:r>
      <w:r w:rsidR="009425AA" w:rsidRPr="004C5551">
        <w:rPr>
          <w:color w:val="333300"/>
          <w:szCs w:val="22"/>
        </w:rPr>
        <w:t> %</w:t>
      </w:r>
      <w:r w:rsidRPr="004C5551">
        <w:rPr>
          <w:color w:val="333300"/>
          <w:szCs w:val="22"/>
        </w:rPr>
        <w:t xml:space="preserve"> oproti priemeru EU28 5,</w:t>
      </w:r>
      <w:r w:rsidR="00817C69" w:rsidRPr="004C5551">
        <w:rPr>
          <w:color w:val="333300"/>
          <w:szCs w:val="22"/>
        </w:rPr>
        <w:t>4</w:t>
      </w:r>
      <w:r w:rsidR="006D0272" w:rsidRPr="004C5551">
        <w:rPr>
          <w:color w:val="333300"/>
          <w:szCs w:val="22"/>
        </w:rPr>
        <w:t> </w:t>
      </w:r>
      <w:r w:rsidRPr="004C5551">
        <w:rPr>
          <w:color w:val="333300"/>
          <w:szCs w:val="22"/>
        </w:rPr>
        <w:t xml:space="preserve">%). Významný podiel na dávky v účeloch </w:t>
      </w:r>
      <w:r w:rsidRPr="004C5551">
        <w:rPr>
          <w:i/>
          <w:color w:val="333300"/>
          <w:szCs w:val="22"/>
        </w:rPr>
        <w:t>bývanie a sociálne vylúčenie</w:t>
      </w:r>
      <w:r w:rsidRPr="004C5551">
        <w:rPr>
          <w:color w:val="333300"/>
          <w:szCs w:val="22"/>
        </w:rPr>
        <w:t xml:space="preserve"> bol prezentovaný na Cypre (</w:t>
      </w:r>
      <w:r w:rsidR="00817C69" w:rsidRPr="004C5551">
        <w:rPr>
          <w:color w:val="333300"/>
          <w:szCs w:val="22"/>
        </w:rPr>
        <w:t>8,6</w:t>
      </w:r>
      <w:r w:rsidR="009425AA" w:rsidRPr="004C5551">
        <w:rPr>
          <w:color w:val="333300"/>
          <w:szCs w:val="22"/>
        </w:rPr>
        <w:t> %</w:t>
      </w:r>
      <w:r w:rsidRPr="004C5551">
        <w:rPr>
          <w:color w:val="333300"/>
          <w:szCs w:val="22"/>
        </w:rPr>
        <w:t>) a v Holandsku (</w:t>
      </w:r>
      <w:r w:rsidR="00817C69" w:rsidRPr="004C5551">
        <w:rPr>
          <w:color w:val="333300"/>
          <w:szCs w:val="22"/>
        </w:rPr>
        <w:t>7,8</w:t>
      </w:r>
      <w:r w:rsidR="009425AA" w:rsidRPr="004C5551">
        <w:rPr>
          <w:color w:val="333300"/>
          <w:szCs w:val="22"/>
        </w:rPr>
        <w:t> %</w:t>
      </w:r>
      <w:r w:rsidRPr="004C5551">
        <w:rPr>
          <w:color w:val="333300"/>
          <w:szCs w:val="22"/>
        </w:rPr>
        <w:t>).</w:t>
      </w:r>
    </w:p>
    <w:p w:rsidR="00C55A5E" w:rsidRPr="004C5551" w:rsidRDefault="00C55A5E" w:rsidP="008C302F">
      <w:pPr>
        <w:pStyle w:val="Nadpis7"/>
      </w:pPr>
      <w:bookmarkStart w:id="700" w:name="_Toc356482752"/>
      <w:r w:rsidRPr="004C5551">
        <w:t>Graf 3.</w:t>
      </w:r>
      <w:r w:rsidR="001C3EB0" w:rsidRPr="004C5551">
        <w:t>2</w:t>
      </w:r>
      <w:r w:rsidR="00AB3F7F" w:rsidRPr="004C5551">
        <w:t>0</w:t>
      </w:r>
      <w:r w:rsidRPr="004C5551">
        <w:t xml:space="preserve"> Štruktúra výdavkov na sociálne dávky podľa účelov, 201</w:t>
      </w:r>
      <w:bookmarkEnd w:id="700"/>
      <w:r w:rsidR="00817C69" w:rsidRPr="004C5551">
        <w:t>2</w:t>
      </w:r>
    </w:p>
    <w:p w:rsidR="00C55A5E" w:rsidRPr="004C5551" w:rsidRDefault="00817C69" w:rsidP="00B57993">
      <w:pPr>
        <w:jc w:val="center"/>
        <w:rPr>
          <w:lang w:eastAsia="cs-CZ"/>
        </w:rPr>
      </w:pPr>
      <w:r w:rsidRPr="004C5551">
        <w:rPr>
          <w:noProof/>
        </w:rPr>
        <w:drawing>
          <wp:inline distT="0" distB="0" distL="0" distR="0" wp14:anchorId="2662F95D" wp14:editId="3E051CFB">
            <wp:extent cx="5760720" cy="2412202"/>
            <wp:effectExtent l="0" t="0" r="0" b="762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55A5E" w:rsidRPr="004C5551" w:rsidRDefault="00C55A5E" w:rsidP="00EF4D53">
      <w:pPr>
        <w:pStyle w:val="zdroj"/>
      </w:pPr>
      <w:r w:rsidRPr="004C5551">
        <w:t xml:space="preserve">Zdroj: </w:t>
      </w:r>
      <w:proofErr w:type="spellStart"/>
      <w:r w:rsidRPr="004C5551">
        <w:t>Eurostat</w:t>
      </w:r>
      <w:proofErr w:type="spellEnd"/>
      <w:r w:rsidR="00D818CE" w:rsidRPr="004C5551">
        <w:t xml:space="preserve"> </w:t>
      </w:r>
      <w:r w:rsidR="00D818CE" w:rsidRPr="004C5551">
        <w:rPr>
          <w:color w:val="000000" w:themeColor="text1"/>
        </w:rPr>
        <w:t xml:space="preserve">– </w:t>
      </w:r>
      <w:r w:rsidR="00451A42" w:rsidRPr="004C5551">
        <w:t>ESSPROS</w:t>
      </w:r>
    </w:p>
    <w:p w:rsidR="00DA0800" w:rsidRPr="004C5551" w:rsidRDefault="00DA0800" w:rsidP="003B0E51">
      <w:pPr>
        <w:ind w:firstLine="431"/>
        <w:rPr>
          <w:iCs/>
          <w:color w:val="333300"/>
          <w:szCs w:val="22"/>
        </w:rPr>
      </w:pPr>
      <w:bookmarkStart w:id="701" w:name="_Toc356482753"/>
      <w:r w:rsidRPr="004C5551">
        <w:rPr>
          <w:szCs w:val="22"/>
          <w:lang w:eastAsia="cs-CZ"/>
        </w:rPr>
        <w:t>V roku 201</w:t>
      </w:r>
      <w:r w:rsidR="00A14B51" w:rsidRPr="004C5551">
        <w:rPr>
          <w:szCs w:val="22"/>
          <w:lang w:eastAsia="cs-CZ"/>
        </w:rPr>
        <w:t>2</w:t>
      </w:r>
      <w:r w:rsidRPr="004C5551">
        <w:rPr>
          <w:szCs w:val="22"/>
          <w:lang w:eastAsia="cs-CZ"/>
        </w:rPr>
        <w:t xml:space="preserve"> sa vyplácalo v SR 5,</w:t>
      </w:r>
      <w:r w:rsidR="00A14B51" w:rsidRPr="004C5551">
        <w:rPr>
          <w:szCs w:val="22"/>
          <w:lang w:eastAsia="cs-CZ"/>
        </w:rPr>
        <w:t>3</w:t>
      </w:r>
      <w:r w:rsidR="009425AA" w:rsidRPr="004C5551">
        <w:rPr>
          <w:szCs w:val="22"/>
          <w:lang w:eastAsia="cs-CZ"/>
        </w:rPr>
        <w:t> %</w:t>
      </w:r>
      <w:r w:rsidRPr="004C5551">
        <w:rPr>
          <w:szCs w:val="22"/>
          <w:lang w:eastAsia="cs-CZ"/>
        </w:rPr>
        <w:t xml:space="preserve"> zo všetkých dávok ako testované na príjem, resp. výšku majetku. Najvyšší bol podiel testovaných dávok v Írsku (27,</w:t>
      </w:r>
      <w:r w:rsidR="00A14B51" w:rsidRPr="004C5551">
        <w:rPr>
          <w:szCs w:val="22"/>
          <w:lang w:eastAsia="cs-CZ"/>
        </w:rPr>
        <w:t>0</w:t>
      </w:r>
      <w:r w:rsidR="009425AA" w:rsidRPr="004C5551">
        <w:rPr>
          <w:szCs w:val="22"/>
          <w:lang w:eastAsia="cs-CZ"/>
        </w:rPr>
        <w:t> %</w:t>
      </w:r>
      <w:r w:rsidRPr="004C5551">
        <w:rPr>
          <w:szCs w:val="22"/>
          <w:lang w:eastAsia="cs-CZ"/>
        </w:rPr>
        <w:t>) a najnižší v Estónsku (</w:t>
      </w:r>
      <w:r w:rsidR="00A14B51" w:rsidRPr="004C5551">
        <w:rPr>
          <w:szCs w:val="22"/>
          <w:lang w:eastAsia="cs-CZ"/>
        </w:rPr>
        <w:t>0,8</w:t>
      </w:r>
      <w:r w:rsidR="009425AA" w:rsidRPr="004C5551">
        <w:rPr>
          <w:szCs w:val="22"/>
          <w:lang w:eastAsia="cs-CZ"/>
        </w:rPr>
        <w:t> %</w:t>
      </w:r>
      <w:r w:rsidRPr="004C5551">
        <w:rPr>
          <w:szCs w:val="22"/>
          <w:lang w:eastAsia="cs-CZ"/>
        </w:rPr>
        <w:t>).</w:t>
      </w:r>
      <w:r w:rsidRPr="004C5551">
        <w:rPr>
          <w:iCs/>
          <w:color w:val="333300"/>
          <w:szCs w:val="22"/>
        </w:rPr>
        <w:t xml:space="preserve"> </w:t>
      </w:r>
    </w:p>
    <w:p w:rsidR="00DA0800" w:rsidRPr="004C5551" w:rsidRDefault="00DA0800" w:rsidP="003B0E51">
      <w:pPr>
        <w:ind w:firstLine="431"/>
        <w:rPr>
          <w:b/>
        </w:rPr>
      </w:pPr>
      <w:r w:rsidRPr="004C5551">
        <w:rPr>
          <w:iCs/>
          <w:color w:val="000000" w:themeColor="text1"/>
          <w:szCs w:val="22"/>
        </w:rPr>
        <w:t>Celkové hrubé výdavky na dôchodky (graf</w:t>
      </w:r>
      <w:r w:rsidR="00932C3E" w:rsidRPr="004C5551">
        <w:rPr>
          <w:iCs/>
          <w:color w:val="000000" w:themeColor="text1"/>
          <w:szCs w:val="22"/>
        </w:rPr>
        <w:t xml:space="preserve"> 3.2</w:t>
      </w:r>
      <w:r w:rsidR="00A14B51" w:rsidRPr="004C5551">
        <w:rPr>
          <w:iCs/>
          <w:color w:val="000000" w:themeColor="text1"/>
          <w:szCs w:val="22"/>
        </w:rPr>
        <w:t>2</w:t>
      </w:r>
      <w:r w:rsidRPr="004C5551">
        <w:rPr>
          <w:i/>
          <w:iCs/>
          <w:color w:val="000000" w:themeColor="text1"/>
          <w:szCs w:val="22"/>
        </w:rPr>
        <w:t xml:space="preserve">, </w:t>
      </w:r>
      <w:r w:rsidRPr="004C5551">
        <w:rPr>
          <w:iCs/>
          <w:color w:val="000000" w:themeColor="text1"/>
          <w:szCs w:val="22"/>
        </w:rPr>
        <w:t>tabuľka 3</w:t>
      </w:r>
      <w:r w:rsidR="00361B9E" w:rsidRPr="004C5551">
        <w:rPr>
          <w:iCs/>
          <w:color w:val="000000" w:themeColor="text1"/>
          <w:szCs w:val="22"/>
        </w:rPr>
        <w:t>3</w:t>
      </w:r>
      <w:r w:rsidRPr="004C5551">
        <w:rPr>
          <w:iCs/>
          <w:color w:val="000000" w:themeColor="text1"/>
          <w:szCs w:val="22"/>
        </w:rPr>
        <w:t xml:space="preserve"> v prílohe ku kapitole</w:t>
      </w:r>
      <w:r w:rsidR="0021385F" w:rsidRPr="004C5551">
        <w:rPr>
          <w:iCs/>
          <w:color w:val="000000" w:themeColor="text1"/>
          <w:szCs w:val="22"/>
        </w:rPr>
        <w:t> </w:t>
      </w:r>
      <w:r w:rsidRPr="004C5551">
        <w:rPr>
          <w:iCs/>
          <w:color w:val="000000" w:themeColor="text1"/>
          <w:szCs w:val="22"/>
        </w:rPr>
        <w:t>3</w:t>
      </w:r>
      <w:r w:rsidRPr="004C5551">
        <w:rPr>
          <w:color w:val="000000" w:themeColor="text1"/>
          <w:szCs w:val="22"/>
        </w:rPr>
        <w:t xml:space="preserve">) </w:t>
      </w:r>
      <w:r w:rsidRPr="004C5551">
        <w:rPr>
          <w:color w:val="000000" w:themeColor="text1"/>
          <w:szCs w:val="22"/>
        </w:rPr>
        <w:br/>
      </w:r>
      <w:r w:rsidRPr="004C5551">
        <w:rPr>
          <w:iCs/>
          <w:color w:val="000000" w:themeColor="text1"/>
          <w:szCs w:val="22"/>
        </w:rPr>
        <w:t>v EU28 v roku 201</w:t>
      </w:r>
      <w:r w:rsidR="00A14B51" w:rsidRPr="004C5551">
        <w:rPr>
          <w:iCs/>
          <w:color w:val="000000" w:themeColor="text1"/>
          <w:szCs w:val="22"/>
        </w:rPr>
        <w:t>2</w:t>
      </w:r>
      <w:r w:rsidRPr="004C5551">
        <w:rPr>
          <w:iCs/>
          <w:color w:val="000000" w:themeColor="text1"/>
          <w:szCs w:val="22"/>
        </w:rPr>
        <w:t xml:space="preserve"> dosiahli 3</w:t>
      </w:r>
      <w:r w:rsidR="00A14B51" w:rsidRPr="004C5551">
        <w:rPr>
          <w:iCs/>
          <w:color w:val="000000" w:themeColor="text1"/>
          <w:szCs w:val="22"/>
        </w:rPr>
        <w:t> 399</w:t>
      </w:r>
      <w:r w:rsidRPr="004C5551">
        <w:rPr>
          <w:iCs/>
          <w:color w:val="000000" w:themeColor="text1"/>
          <w:szCs w:val="22"/>
        </w:rPr>
        <w:t xml:space="preserve"> PPS na obyvateľa (v SR 1</w:t>
      </w:r>
      <w:r w:rsidR="00A14B51" w:rsidRPr="004C5551">
        <w:rPr>
          <w:iCs/>
          <w:color w:val="000000" w:themeColor="text1"/>
          <w:szCs w:val="22"/>
        </w:rPr>
        <w:t> 708</w:t>
      </w:r>
      <w:r w:rsidRPr="004C5551">
        <w:rPr>
          <w:iCs/>
          <w:color w:val="000000" w:themeColor="text1"/>
          <w:szCs w:val="22"/>
        </w:rPr>
        <w:t xml:space="preserve"> PPS na obyvateľa), 2</w:t>
      </w:r>
      <w:r w:rsidR="00A14B51" w:rsidRPr="004C5551">
        <w:rPr>
          <w:iCs/>
          <w:color w:val="000000" w:themeColor="text1"/>
          <w:szCs w:val="22"/>
        </w:rPr>
        <w:t>3 024</w:t>
      </w:r>
      <w:r w:rsidRPr="004C5551">
        <w:rPr>
          <w:iCs/>
          <w:color w:val="000000" w:themeColor="text1"/>
          <w:szCs w:val="22"/>
        </w:rPr>
        <w:t> </w:t>
      </w:r>
      <w:r w:rsidR="000860E9" w:rsidRPr="004C5551">
        <w:rPr>
          <w:iCs/>
          <w:color w:val="000000" w:themeColor="text1"/>
          <w:szCs w:val="22"/>
        </w:rPr>
        <w:t>eur</w:t>
      </w:r>
      <w:r w:rsidRPr="004C5551">
        <w:rPr>
          <w:iCs/>
          <w:color w:val="000000" w:themeColor="text1"/>
          <w:szCs w:val="22"/>
        </w:rPr>
        <w:t xml:space="preserve"> na osobu v stálych cenách roku 2005 (v SR 70</w:t>
      </w:r>
      <w:r w:rsidR="00A14B51" w:rsidRPr="004C5551">
        <w:rPr>
          <w:iCs/>
          <w:color w:val="000000" w:themeColor="text1"/>
          <w:szCs w:val="22"/>
        </w:rPr>
        <w:t>9</w:t>
      </w:r>
      <w:r w:rsidRPr="004C5551">
        <w:rPr>
          <w:iCs/>
          <w:color w:val="000000" w:themeColor="text1"/>
          <w:szCs w:val="22"/>
        </w:rPr>
        <w:t> </w:t>
      </w:r>
      <w:r w:rsidR="000860E9" w:rsidRPr="004C5551">
        <w:rPr>
          <w:iCs/>
          <w:color w:val="000000" w:themeColor="text1"/>
          <w:szCs w:val="22"/>
        </w:rPr>
        <w:t>eur</w:t>
      </w:r>
      <w:r w:rsidRPr="004C5551">
        <w:rPr>
          <w:iCs/>
          <w:color w:val="000000" w:themeColor="text1"/>
          <w:szCs w:val="22"/>
        </w:rPr>
        <w:t xml:space="preserve"> na osobu v stálych cenách) a</w:t>
      </w:r>
      <w:r w:rsidR="00A14B51" w:rsidRPr="004C5551">
        <w:rPr>
          <w:iCs/>
          <w:color w:val="000000" w:themeColor="text1"/>
          <w:szCs w:val="22"/>
        </w:rPr>
        <w:t> 13,2</w:t>
      </w:r>
      <w:r w:rsidR="009425AA" w:rsidRPr="004C5551">
        <w:rPr>
          <w:iCs/>
          <w:color w:val="000000" w:themeColor="text1"/>
          <w:szCs w:val="22"/>
        </w:rPr>
        <w:t> %</w:t>
      </w:r>
      <w:r w:rsidRPr="004C5551">
        <w:rPr>
          <w:iCs/>
          <w:color w:val="000000" w:themeColor="text1"/>
          <w:szCs w:val="22"/>
        </w:rPr>
        <w:t xml:space="preserve"> HDP </w:t>
      </w:r>
      <w:r w:rsidRPr="004C5551">
        <w:rPr>
          <w:iCs/>
          <w:color w:val="000000" w:themeColor="text1"/>
          <w:szCs w:val="22"/>
        </w:rPr>
        <w:br/>
        <w:t>(v SR 8,</w:t>
      </w:r>
      <w:r w:rsidR="00A14B51" w:rsidRPr="004C5551">
        <w:rPr>
          <w:iCs/>
          <w:color w:val="000000" w:themeColor="text1"/>
          <w:szCs w:val="22"/>
        </w:rPr>
        <w:t>4</w:t>
      </w:r>
      <w:r w:rsidR="009425AA" w:rsidRPr="004C5551">
        <w:rPr>
          <w:iCs/>
          <w:color w:val="000000" w:themeColor="text1"/>
          <w:szCs w:val="22"/>
        </w:rPr>
        <w:t> %</w:t>
      </w:r>
      <w:r w:rsidRPr="004C5551">
        <w:rPr>
          <w:iCs/>
          <w:color w:val="000000" w:themeColor="text1"/>
          <w:szCs w:val="22"/>
        </w:rPr>
        <w:t>). Najnižšie výdavky v</w:t>
      </w:r>
      <w:r w:rsidR="009425AA" w:rsidRPr="004C5551">
        <w:rPr>
          <w:iCs/>
          <w:color w:val="000000" w:themeColor="text1"/>
          <w:szCs w:val="22"/>
        </w:rPr>
        <w:t> %</w:t>
      </w:r>
      <w:r w:rsidRPr="004C5551">
        <w:rPr>
          <w:iCs/>
          <w:color w:val="000000" w:themeColor="text1"/>
          <w:szCs w:val="22"/>
        </w:rPr>
        <w:t xml:space="preserve"> HDP prezentovalo Írsko (7,</w:t>
      </w:r>
      <w:r w:rsidR="00A14B51" w:rsidRPr="004C5551">
        <w:rPr>
          <w:iCs/>
          <w:color w:val="000000" w:themeColor="text1"/>
          <w:szCs w:val="22"/>
        </w:rPr>
        <w:t>3</w:t>
      </w:r>
      <w:r w:rsidR="009425AA" w:rsidRPr="004C5551">
        <w:rPr>
          <w:iCs/>
          <w:color w:val="000000" w:themeColor="text1"/>
          <w:szCs w:val="22"/>
        </w:rPr>
        <w:t> %</w:t>
      </w:r>
      <w:r w:rsidRPr="004C5551">
        <w:rPr>
          <w:iCs/>
          <w:color w:val="000000" w:themeColor="text1"/>
          <w:szCs w:val="22"/>
        </w:rPr>
        <w:t xml:space="preserve"> HDP) s najmladšou populáciou v EÚ a</w:t>
      </w:r>
      <w:r w:rsidR="00A14B51" w:rsidRPr="004C5551">
        <w:rPr>
          <w:iCs/>
          <w:color w:val="000000" w:themeColor="text1"/>
          <w:szCs w:val="22"/>
        </w:rPr>
        <w:t> </w:t>
      </w:r>
      <w:r w:rsidRPr="004C5551">
        <w:rPr>
          <w:iCs/>
          <w:color w:val="000000" w:themeColor="text1"/>
          <w:szCs w:val="22"/>
        </w:rPr>
        <w:t>najvyššie</w:t>
      </w:r>
      <w:r w:rsidR="00A14B51" w:rsidRPr="004C5551">
        <w:rPr>
          <w:iCs/>
          <w:color w:val="000000" w:themeColor="text1"/>
          <w:szCs w:val="22"/>
        </w:rPr>
        <w:t xml:space="preserve"> Grécko (17,5 % HDP) a</w:t>
      </w:r>
      <w:r w:rsidRPr="004C5551">
        <w:rPr>
          <w:iCs/>
          <w:color w:val="000000" w:themeColor="text1"/>
          <w:szCs w:val="22"/>
        </w:rPr>
        <w:t xml:space="preserve"> Taliansko (16,</w:t>
      </w:r>
      <w:r w:rsidR="00A14B51" w:rsidRPr="004C5551">
        <w:rPr>
          <w:iCs/>
          <w:color w:val="000000" w:themeColor="text1"/>
          <w:szCs w:val="22"/>
        </w:rPr>
        <w:t>6</w:t>
      </w:r>
      <w:r w:rsidR="009425AA" w:rsidRPr="004C5551">
        <w:rPr>
          <w:iCs/>
          <w:color w:val="000000" w:themeColor="text1"/>
          <w:szCs w:val="22"/>
        </w:rPr>
        <w:t> %</w:t>
      </w:r>
      <w:r w:rsidRPr="004C5551">
        <w:rPr>
          <w:iCs/>
          <w:color w:val="000000" w:themeColor="text1"/>
          <w:szCs w:val="22"/>
        </w:rPr>
        <w:t xml:space="preserve"> HDP) s najstarším obyvateľstvom. Výraznejšie sú rozdiely medzi štátmi EÚ, ak výdavky na dôchodky sú vyjadrené v PPS na osobu. Najnižšie výdavky v PPS na osobu dosiahlo </w:t>
      </w:r>
      <w:r w:rsidR="00A14B51" w:rsidRPr="004C5551">
        <w:rPr>
          <w:iCs/>
          <w:color w:val="000000" w:themeColor="text1"/>
          <w:szCs w:val="22"/>
        </w:rPr>
        <w:t>Bulharsko</w:t>
      </w:r>
      <w:r w:rsidRPr="004C5551">
        <w:rPr>
          <w:iCs/>
          <w:color w:val="000000" w:themeColor="text1"/>
          <w:szCs w:val="22"/>
        </w:rPr>
        <w:t xml:space="preserve"> (</w:t>
      </w:r>
      <w:r w:rsidR="00A14B51" w:rsidRPr="004C5551">
        <w:rPr>
          <w:iCs/>
          <w:color w:val="000000" w:themeColor="text1"/>
          <w:szCs w:val="22"/>
        </w:rPr>
        <w:t>1 073</w:t>
      </w:r>
      <w:r w:rsidRPr="004C5551">
        <w:rPr>
          <w:iCs/>
          <w:color w:val="000000" w:themeColor="text1"/>
          <w:szCs w:val="22"/>
        </w:rPr>
        <w:t>) a najvyššie Luxembursko (5 </w:t>
      </w:r>
      <w:r w:rsidR="00A14B51" w:rsidRPr="004C5551">
        <w:rPr>
          <w:iCs/>
          <w:color w:val="000000" w:themeColor="text1"/>
          <w:szCs w:val="22"/>
        </w:rPr>
        <w:t>825</w:t>
      </w:r>
      <w:r w:rsidRPr="004C5551">
        <w:rPr>
          <w:iCs/>
          <w:color w:val="000000" w:themeColor="text1"/>
          <w:szCs w:val="22"/>
        </w:rPr>
        <w:t>).</w:t>
      </w:r>
    </w:p>
    <w:p w:rsidR="009B7B4B" w:rsidRPr="004C5551" w:rsidRDefault="009B7B4B">
      <w:pPr>
        <w:jc w:val="left"/>
        <w:rPr>
          <w:b/>
        </w:rPr>
      </w:pPr>
      <w:r w:rsidRPr="004C5551">
        <w:br w:type="page"/>
      </w:r>
    </w:p>
    <w:p w:rsidR="00C55A5E" w:rsidRPr="004C5551" w:rsidRDefault="00C55A5E" w:rsidP="008C302F">
      <w:pPr>
        <w:pStyle w:val="Nadpis7"/>
      </w:pPr>
      <w:r w:rsidRPr="004C5551">
        <w:t>Graf 3.</w:t>
      </w:r>
      <w:r w:rsidR="001C3EB0" w:rsidRPr="004C5551">
        <w:t>2</w:t>
      </w:r>
      <w:r w:rsidR="00AB3F7F" w:rsidRPr="004C5551">
        <w:t>1</w:t>
      </w:r>
      <w:r w:rsidRPr="004C5551">
        <w:t xml:space="preserve"> Testované dávky sociálnej ochrany (</w:t>
      </w:r>
      <w:r w:rsidR="009425AA" w:rsidRPr="004C5551">
        <w:t> %</w:t>
      </w:r>
      <w:r w:rsidRPr="004C5551">
        <w:t xml:space="preserve"> zo všetkých sociálnych dávok), 201</w:t>
      </w:r>
      <w:bookmarkEnd w:id="701"/>
      <w:r w:rsidR="007130FE" w:rsidRPr="004C5551">
        <w:t>2</w:t>
      </w:r>
      <w:r w:rsidRPr="004C5551">
        <w:t xml:space="preserve"> </w:t>
      </w:r>
    </w:p>
    <w:p w:rsidR="00451A42" w:rsidRPr="004C5551" w:rsidRDefault="007130FE" w:rsidP="00C55A5E">
      <w:pPr>
        <w:jc w:val="right"/>
        <w:rPr>
          <w:i/>
          <w:iCs/>
          <w:color w:val="333300"/>
          <w:sz w:val="18"/>
          <w:szCs w:val="18"/>
        </w:rPr>
      </w:pPr>
      <w:r w:rsidRPr="004C5551">
        <w:rPr>
          <w:noProof/>
        </w:rPr>
        <w:t xml:space="preserve"> </w:t>
      </w:r>
      <w:r w:rsidRPr="004C5551">
        <w:rPr>
          <w:noProof/>
        </w:rPr>
        <w:drawing>
          <wp:inline distT="0" distB="0" distL="0" distR="0" wp14:anchorId="6535ABDD" wp14:editId="570F1F97">
            <wp:extent cx="5762445" cy="2070339"/>
            <wp:effectExtent l="0" t="0" r="0" b="635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5A5E" w:rsidRPr="004C5551" w:rsidRDefault="00C55A5E" w:rsidP="00451A42">
      <w:pPr>
        <w:pStyle w:val="zdroj"/>
        <w:rPr>
          <w:b/>
        </w:rPr>
      </w:pPr>
      <w:r w:rsidRPr="004C5551">
        <w:t xml:space="preserve">Zdroj </w:t>
      </w:r>
      <w:proofErr w:type="spellStart"/>
      <w:r w:rsidRPr="004C5551">
        <w:t>Eurostat</w:t>
      </w:r>
      <w:proofErr w:type="spellEnd"/>
      <w:r w:rsidR="00D818CE" w:rsidRPr="004C5551">
        <w:t xml:space="preserve"> </w:t>
      </w:r>
      <w:r w:rsidR="00D818CE" w:rsidRPr="004C5551">
        <w:rPr>
          <w:color w:val="000000" w:themeColor="text1"/>
        </w:rPr>
        <w:t xml:space="preserve">– </w:t>
      </w:r>
      <w:r w:rsidRPr="004C5551">
        <w:t>ESSPROS</w:t>
      </w:r>
    </w:p>
    <w:p w:rsidR="00C55A5E" w:rsidRPr="004C5551" w:rsidRDefault="00C55A5E" w:rsidP="008C302F">
      <w:pPr>
        <w:pStyle w:val="Nadpis7"/>
        <w:rPr>
          <w:i/>
          <w:color w:val="333300"/>
          <w:sz w:val="18"/>
          <w:szCs w:val="18"/>
        </w:rPr>
      </w:pPr>
      <w:bookmarkStart w:id="702" w:name="_Toc356482754"/>
      <w:r w:rsidRPr="004C5551">
        <w:t>Graf 3.</w:t>
      </w:r>
      <w:r w:rsidR="001C3EB0" w:rsidRPr="004C5551">
        <w:t>2</w:t>
      </w:r>
      <w:r w:rsidR="00AB3F7F" w:rsidRPr="004C5551">
        <w:t>2</w:t>
      </w:r>
      <w:r w:rsidRPr="004C5551">
        <w:t xml:space="preserve"> Výdavky na dôchodky, 201</w:t>
      </w:r>
      <w:bookmarkEnd w:id="702"/>
      <w:r w:rsidR="001773DC" w:rsidRPr="004C5551">
        <w:t>2</w:t>
      </w:r>
    </w:p>
    <w:p w:rsidR="00C55A5E" w:rsidRPr="004C5551" w:rsidRDefault="007130FE" w:rsidP="00C55A5E">
      <w:pPr>
        <w:rPr>
          <w:lang w:eastAsia="cs-CZ"/>
        </w:rPr>
      </w:pPr>
      <w:r w:rsidRPr="004C5551">
        <w:rPr>
          <w:noProof/>
        </w:rPr>
        <w:drawing>
          <wp:inline distT="0" distB="0" distL="0" distR="0" wp14:anchorId="7A3BC9AE" wp14:editId="62B512A4">
            <wp:extent cx="5760720" cy="2729561"/>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5A5E" w:rsidRPr="004C5551" w:rsidRDefault="00C55A5E" w:rsidP="00451A42">
      <w:pPr>
        <w:pStyle w:val="zdroj"/>
      </w:pPr>
      <w:r w:rsidRPr="004C5551">
        <w:t xml:space="preserve">Zdroj </w:t>
      </w:r>
      <w:proofErr w:type="spellStart"/>
      <w:r w:rsidRPr="004C5551">
        <w:t>Eurostat</w:t>
      </w:r>
      <w:proofErr w:type="spellEnd"/>
      <w:r w:rsidR="00D818CE" w:rsidRPr="004C5551">
        <w:t xml:space="preserve"> </w:t>
      </w:r>
      <w:r w:rsidR="00D818CE" w:rsidRPr="004C5551">
        <w:rPr>
          <w:color w:val="000000" w:themeColor="text1"/>
        </w:rPr>
        <w:t xml:space="preserve">– </w:t>
      </w:r>
      <w:r w:rsidRPr="004C5551">
        <w:t>ESSPROS</w:t>
      </w:r>
    </w:p>
    <w:p w:rsidR="00D66C0B" w:rsidRPr="004C5551" w:rsidRDefault="00D66C0B" w:rsidP="003B0E51">
      <w:pPr>
        <w:ind w:firstLine="431"/>
        <w:rPr>
          <w:iCs/>
          <w:color w:val="000000" w:themeColor="text1"/>
          <w:szCs w:val="22"/>
        </w:rPr>
      </w:pPr>
      <w:r w:rsidRPr="004C5551">
        <w:rPr>
          <w:iCs/>
          <w:color w:val="000000" w:themeColor="text1"/>
          <w:szCs w:val="22"/>
        </w:rPr>
        <w:t>Podľa údajov z modulu „Počet poberateľov dôchodkov“ (bez dvojitého narátavania) najvyšší podiel poberateľov dôchodkov v</w:t>
      </w:r>
      <w:r w:rsidR="001773DC" w:rsidRPr="004C5551">
        <w:rPr>
          <w:iCs/>
          <w:color w:val="000000" w:themeColor="text1"/>
          <w:szCs w:val="22"/>
        </w:rPr>
        <w:t> </w:t>
      </w:r>
      <w:r w:rsidRPr="004C5551">
        <w:rPr>
          <w:iCs/>
          <w:color w:val="000000" w:themeColor="text1"/>
          <w:szCs w:val="22"/>
        </w:rPr>
        <w:t>populácii</w:t>
      </w:r>
      <w:r w:rsidR="001773DC" w:rsidRPr="004C5551">
        <w:rPr>
          <w:iCs/>
          <w:color w:val="000000" w:themeColor="text1"/>
          <w:szCs w:val="22"/>
        </w:rPr>
        <w:t xml:space="preserve"> v krajinách EÚ</w:t>
      </w:r>
      <w:r w:rsidRPr="004C5551">
        <w:rPr>
          <w:iCs/>
          <w:color w:val="000000" w:themeColor="text1"/>
          <w:szCs w:val="22"/>
        </w:rPr>
        <w:t xml:space="preserve"> mal</w:t>
      </w:r>
      <w:r w:rsidR="001773DC" w:rsidRPr="004C5551">
        <w:rPr>
          <w:iCs/>
          <w:color w:val="000000" w:themeColor="text1"/>
          <w:szCs w:val="22"/>
        </w:rPr>
        <w:t>i</w:t>
      </w:r>
      <w:r w:rsidRPr="004C5551">
        <w:rPr>
          <w:iCs/>
          <w:color w:val="000000" w:themeColor="text1"/>
          <w:szCs w:val="22"/>
        </w:rPr>
        <w:t xml:space="preserve"> k 31.12.201</w:t>
      </w:r>
      <w:r w:rsidR="001773DC" w:rsidRPr="004C5551">
        <w:rPr>
          <w:iCs/>
          <w:color w:val="000000" w:themeColor="text1"/>
          <w:szCs w:val="22"/>
        </w:rPr>
        <w:t>2</w:t>
      </w:r>
      <w:r w:rsidRPr="004C5551">
        <w:rPr>
          <w:iCs/>
          <w:color w:val="000000" w:themeColor="text1"/>
          <w:szCs w:val="22"/>
        </w:rPr>
        <w:t xml:space="preserve"> Litva (31,</w:t>
      </w:r>
      <w:r w:rsidR="001773DC" w:rsidRPr="004C5551">
        <w:rPr>
          <w:iCs/>
          <w:color w:val="000000" w:themeColor="text1"/>
          <w:szCs w:val="22"/>
        </w:rPr>
        <w:t>9</w:t>
      </w:r>
      <w:r w:rsidR="009425AA" w:rsidRPr="004C5551">
        <w:rPr>
          <w:iCs/>
          <w:color w:val="000000" w:themeColor="text1"/>
          <w:szCs w:val="22"/>
        </w:rPr>
        <w:t> %</w:t>
      </w:r>
      <w:r w:rsidRPr="004C5551">
        <w:rPr>
          <w:iCs/>
          <w:color w:val="000000" w:themeColor="text1"/>
          <w:szCs w:val="22"/>
        </w:rPr>
        <w:t>) a Estónsko (3</w:t>
      </w:r>
      <w:r w:rsidR="001773DC" w:rsidRPr="004C5551">
        <w:rPr>
          <w:iCs/>
          <w:color w:val="000000" w:themeColor="text1"/>
          <w:szCs w:val="22"/>
        </w:rPr>
        <w:t>1,2</w:t>
      </w:r>
      <w:r w:rsidR="009425AA" w:rsidRPr="004C5551">
        <w:rPr>
          <w:iCs/>
          <w:color w:val="000000" w:themeColor="text1"/>
          <w:szCs w:val="22"/>
        </w:rPr>
        <w:t> %</w:t>
      </w:r>
      <w:r w:rsidRPr="004C5551">
        <w:rPr>
          <w:iCs/>
          <w:color w:val="000000" w:themeColor="text1"/>
          <w:szCs w:val="22"/>
        </w:rPr>
        <w:t>), najnižší prezentoval Cyprus (14,</w:t>
      </w:r>
      <w:r w:rsidR="001773DC" w:rsidRPr="004C5551">
        <w:rPr>
          <w:iCs/>
          <w:color w:val="000000" w:themeColor="text1"/>
          <w:szCs w:val="22"/>
        </w:rPr>
        <w:t>7</w:t>
      </w:r>
      <w:r w:rsidR="009425AA" w:rsidRPr="004C5551">
        <w:rPr>
          <w:iCs/>
          <w:color w:val="000000" w:themeColor="text1"/>
          <w:szCs w:val="22"/>
        </w:rPr>
        <w:t> %</w:t>
      </w:r>
      <w:r w:rsidRPr="004C5551">
        <w:rPr>
          <w:iCs/>
          <w:color w:val="000000" w:themeColor="text1"/>
          <w:szCs w:val="22"/>
        </w:rPr>
        <w:t>) a Írsko (18,</w:t>
      </w:r>
      <w:r w:rsidR="001773DC" w:rsidRPr="004C5551">
        <w:rPr>
          <w:iCs/>
          <w:color w:val="000000" w:themeColor="text1"/>
          <w:szCs w:val="22"/>
        </w:rPr>
        <w:t>7</w:t>
      </w:r>
      <w:r w:rsidR="009425AA" w:rsidRPr="004C5551">
        <w:rPr>
          <w:iCs/>
          <w:color w:val="000000" w:themeColor="text1"/>
          <w:szCs w:val="22"/>
        </w:rPr>
        <w:t> %</w:t>
      </w:r>
      <w:r w:rsidRPr="004C5551">
        <w:rPr>
          <w:iCs/>
          <w:color w:val="000000" w:themeColor="text1"/>
          <w:szCs w:val="22"/>
        </w:rPr>
        <w:t>). V Slovenskej republike ukazovateľ dosiahol 25,</w:t>
      </w:r>
      <w:r w:rsidR="001773DC" w:rsidRPr="004C5551">
        <w:rPr>
          <w:iCs/>
          <w:color w:val="000000" w:themeColor="text1"/>
          <w:szCs w:val="22"/>
        </w:rPr>
        <w:t>4</w:t>
      </w:r>
      <w:r w:rsidR="009425AA" w:rsidRPr="004C5551">
        <w:rPr>
          <w:iCs/>
          <w:color w:val="000000" w:themeColor="text1"/>
          <w:szCs w:val="22"/>
        </w:rPr>
        <w:t> %</w:t>
      </w:r>
      <w:r w:rsidRPr="004C5551">
        <w:rPr>
          <w:iCs/>
          <w:color w:val="000000" w:themeColor="text1"/>
          <w:szCs w:val="22"/>
        </w:rPr>
        <w:t xml:space="preserve">. </w:t>
      </w:r>
    </w:p>
    <w:p w:rsidR="009B7B4B" w:rsidRPr="004C5551" w:rsidRDefault="009B7B4B">
      <w:pPr>
        <w:jc w:val="left"/>
        <w:rPr>
          <w:b/>
        </w:rPr>
      </w:pPr>
      <w:bookmarkStart w:id="703" w:name="_Toc356482756"/>
      <w:bookmarkStart w:id="704" w:name="_Toc356482818"/>
      <w:bookmarkStart w:id="705" w:name="_Toc325438268"/>
      <w:r w:rsidRPr="004C5551">
        <w:br w:type="page"/>
      </w:r>
    </w:p>
    <w:p w:rsidR="00FF5559" w:rsidRPr="004C5551" w:rsidRDefault="00460DEB" w:rsidP="00FF5559">
      <w:pPr>
        <w:pStyle w:val="Nadpis7"/>
      </w:pPr>
      <w:r w:rsidRPr="004C5551">
        <w:t>Graf 3.23 Hrubé a netto výdavky na sociálnu ochranu (% z HDP), 2011</w:t>
      </w:r>
    </w:p>
    <w:p w:rsidR="00FF5559" w:rsidRPr="004C5551" w:rsidRDefault="00543CF2" w:rsidP="00FF5559">
      <w:pPr>
        <w:jc w:val="left"/>
        <w:rPr>
          <w:b/>
        </w:rPr>
      </w:pPr>
      <w:r w:rsidRPr="004C5551">
        <w:rPr>
          <w:noProof/>
        </w:rPr>
        <w:drawing>
          <wp:inline distT="0" distB="0" distL="0" distR="0" wp14:anchorId="57991623" wp14:editId="26F32085">
            <wp:extent cx="5721350" cy="2771775"/>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3358B" w:rsidRPr="004C5551" w:rsidRDefault="00460DEB" w:rsidP="00C3358B">
      <w:pPr>
        <w:pStyle w:val="zdroj"/>
      </w:pPr>
      <w:r w:rsidRPr="004C5551">
        <w:t xml:space="preserve">Zdroj: </w:t>
      </w:r>
      <w:proofErr w:type="spellStart"/>
      <w:r w:rsidRPr="004C5551">
        <w:t>Eurostat</w:t>
      </w:r>
      <w:proofErr w:type="spellEnd"/>
      <w:r w:rsidRPr="004C5551">
        <w:t xml:space="preserve"> </w:t>
      </w:r>
      <w:r w:rsidRPr="004C5551">
        <w:rPr>
          <w:color w:val="000000" w:themeColor="text1"/>
        </w:rPr>
        <w:t xml:space="preserve">– </w:t>
      </w:r>
      <w:r w:rsidRPr="004C5551">
        <w:t xml:space="preserve">ESSPROS </w:t>
      </w:r>
    </w:p>
    <w:p w:rsidR="003844C0" w:rsidRPr="004C5551" w:rsidRDefault="00C3358B" w:rsidP="003B0E51">
      <w:pPr>
        <w:ind w:firstLine="431"/>
        <w:rPr>
          <w:szCs w:val="22"/>
        </w:rPr>
      </w:pPr>
      <w:r w:rsidRPr="004C5551">
        <w:rPr>
          <w:szCs w:val="22"/>
        </w:rPr>
        <w:t>V </w:t>
      </w:r>
      <w:proofErr w:type="spellStart"/>
      <w:r w:rsidRPr="004C5551">
        <w:rPr>
          <w:szCs w:val="22"/>
        </w:rPr>
        <w:t>Eurobáze</w:t>
      </w:r>
      <w:proofErr w:type="spellEnd"/>
      <w:r w:rsidRPr="004C5551">
        <w:rPr>
          <w:szCs w:val="22"/>
        </w:rPr>
        <w:t xml:space="preserve"> sú k dispozícii aj výsledky z modulu „Netto dávky – reštrikčný prístup“ (graf 3.2</w:t>
      </w:r>
      <w:r w:rsidR="0092082F" w:rsidRPr="004C5551">
        <w:rPr>
          <w:szCs w:val="22"/>
        </w:rPr>
        <w:t>6</w:t>
      </w:r>
      <w:r w:rsidRPr="004C5551">
        <w:rPr>
          <w:szCs w:val="22"/>
        </w:rPr>
        <w:t xml:space="preserve">, </w:t>
      </w:r>
      <w:r w:rsidR="00460DEB" w:rsidRPr="004C5551">
        <w:rPr>
          <w:szCs w:val="22"/>
        </w:rPr>
        <w:t>tabuľka 3</w:t>
      </w:r>
      <w:r w:rsidR="00361B9E" w:rsidRPr="004C5551">
        <w:rPr>
          <w:szCs w:val="22"/>
        </w:rPr>
        <w:t>4</w:t>
      </w:r>
      <w:r w:rsidR="00460DEB" w:rsidRPr="004C5551">
        <w:rPr>
          <w:szCs w:val="22"/>
        </w:rPr>
        <w:t xml:space="preserve"> v prílohe ku kapitole 3</w:t>
      </w:r>
      <w:r w:rsidRPr="004C5551">
        <w:rPr>
          <w:szCs w:val="22"/>
        </w:rPr>
        <w:t>). V roku 201</w:t>
      </w:r>
      <w:r w:rsidR="003844C0" w:rsidRPr="004C5551">
        <w:rPr>
          <w:szCs w:val="22"/>
        </w:rPr>
        <w:t>1</w:t>
      </w:r>
      <w:r w:rsidRPr="004C5551">
        <w:rPr>
          <w:szCs w:val="22"/>
        </w:rPr>
        <w:t xml:space="preserve"> najvyššie zdaňovanie peňažných sociálnych dávok prezentovalo Holandsko (18,</w:t>
      </w:r>
      <w:r w:rsidR="003844C0" w:rsidRPr="004C5551">
        <w:rPr>
          <w:szCs w:val="22"/>
        </w:rPr>
        <w:t>6</w:t>
      </w:r>
      <w:r w:rsidR="009425AA" w:rsidRPr="004C5551">
        <w:rPr>
          <w:szCs w:val="22"/>
        </w:rPr>
        <w:t> %</w:t>
      </w:r>
      <w:r w:rsidRPr="004C5551">
        <w:rPr>
          <w:szCs w:val="22"/>
        </w:rPr>
        <w:t>) a </w:t>
      </w:r>
      <w:r w:rsidR="003844C0" w:rsidRPr="004C5551">
        <w:rPr>
          <w:szCs w:val="22"/>
        </w:rPr>
        <w:t>Dánsko</w:t>
      </w:r>
      <w:r w:rsidRPr="004C5551">
        <w:rPr>
          <w:szCs w:val="22"/>
        </w:rPr>
        <w:t xml:space="preserve"> (1</w:t>
      </w:r>
      <w:r w:rsidR="003844C0" w:rsidRPr="004C5551">
        <w:rPr>
          <w:szCs w:val="22"/>
        </w:rPr>
        <w:t>5,8</w:t>
      </w:r>
      <w:r w:rsidR="009425AA" w:rsidRPr="004C5551">
        <w:rPr>
          <w:szCs w:val="22"/>
        </w:rPr>
        <w:t> %</w:t>
      </w:r>
      <w:r w:rsidRPr="004C5551">
        <w:rPr>
          <w:szCs w:val="22"/>
        </w:rPr>
        <w:t xml:space="preserve">). </w:t>
      </w:r>
      <w:r w:rsidR="003844C0" w:rsidRPr="004C5551">
        <w:rPr>
          <w:szCs w:val="22"/>
        </w:rPr>
        <w:t>Skoro n</w:t>
      </w:r>
      <w:r w:rsidRPr="004C5551">
        <w:rPr>
          <w:szCs w:val="22"/>
        </w:rPr>
        <w:t xml:space="preserve">ulové zdaňovanie bolo </w:t>
      </w:r>
      <w:r w:rsidR="00C67F29" w:rsidRPr="004C5551">
        <w:rPr>
          <w:szCs w:val="22"/>
        </w:rPr>
        <w:t>zaznamenané</w:t>
      </w:r>
      <w:r w:rsidRPr="004C5551">
        <w:rPr>
          <w:szCs w:val="22"/>
        </w:rPr>
        <w:t xml:space="preserve"> v Bulharsku a veľmi nízke v </w:t>
      </w:r>
      <w:r w:rsidR="003844C0" w:rsidRPr="004C5551">
        <w:rPr>
          <w:szCs w:val="22"/>
        </w:rPr>
        <w:t xml:space="preserve">Českej </w:t>
      </w:r>
      <w:r w:rsidRPr="004C5551">
        <w:rPr>
          <w:szCs w:val="22"/>
        </w:rPr>
        <w:t>a </w:t>
      </w:r>
      <w:r w:rsidR="003844C0" w:rsidRPr="004C5551">
        <w:rPr>
          <w:szCs w:val="22"/>
        </w:rPr>
        <w:t>Slovenskej</w:t>
      </w:r>
      <w:r w:rsidRPr="004C5551">
        <w:rPr>
          <w:szCs w:val="22"/>
        </w:rPr>
        <w:t xml:space="preserve"> republike. Viac ako 64</w:t>
      </w:r>
      <w:r w:rsidR="009425AA" w:rsidRPr="004C5551">
        <w:rPr>
          <w:szCs w:val="22"/>
        </w:rPr>
        <w:t> %</w:t>
      </w:r>
      <w:r w:rsidRPr="004C5551">
        <w:rPr>
          <w:szCs w:val="22"/>
        </w:rPr>
        <w:t xml:space="preserve"> sociálnych peňažných dávok bolo zdanených</w:t>
      </w:r>
      <w:r w:rsidR="0016196A" w:rsidRPr="004C5551">
        <w:rPr>
          <w:szCs w:val="22"/>
        </w:rPr>
        <w:t xml:space="preserve"> </w:t>
      </w:r>
      <w:r w:rsidRPr="004C5551">
        <w:rPr>
          <w:szCs w:val="22"/>
        </w:rPr>
        <w:t>v Taliansku (65.</w:t>
      </w:r>
      <w:r w:rsidR="003844C0" w:rsidRPr="004C5551">
        <w:rPr>
          <w:szCs w:val="22"/>
        </w:rPr>
        <w:t>8</w:t>
      </w:r>
      <w:r w:rsidR="009425AA" w:rsidRPr="004C5551">
        <w:rPr>
          <w:szCs w:val="22"/>
        </w:rPr>
        <w:t> %</w:t>
      </w:r>
      <w:r w:rsidRPr="004C5551">
        <w:rPr>
          <w:szCs w:val="22"/>
        </w:rPr>
        <w:t>) a E</w:t>
      </w:r>
      <w:r w:rsidR="00FF6FF8" w:rsidRPr="004C5551">
        <w:rPr>
          <w:szCs w:val="22"/>
        </w:rPr>
        <w:t>stónsku (6</w:t>
      </w:r>
      <w:r w:rsidR="003844C0" w:rsidRPr="004C5551">
        <w:rPr>
          <w:szCs w:val="22"/>
        </w:rPr>
        <w:t>2,0</w:t>
      </w:r>
      <w:r w:rsidR="009425AA" w:rsidRPr="004C5551">
        <w:rPr>
          <w:szCs w:val="22"/>
        </w:rPr>
        <w:t> %</w:t>
      </w:r>
      <w:r w:rsidR="00FF6FF8" w:rsidRPr="004C5551">
        <w:rPr>
          <w:szCs w:val="22"/>
        </w:rPr>
        <w:t>). Z viac ako 5</w:t>
      </w:r>
      <w:r w:rsidR="003844C0" w:rsidRPr="004C5551">
        <w:rPr>
          <w:szCs w:val="22"/>
        </w:rPr>
        <w:t>6</w:t>
      </w:r>
      <w:r w:rsidR="009425AA" w:rsidRPr="004C5551">
        <w:rPr>
          <w:szCs w:val="22"/>
        </w:rPr>
        <w:t> %</w:t>
      </w:r>
      <w:r w:rsidRPr="004C5551">
        <w:rPr>
          <w:szCs w:val="22"/>
        </w:rPr>
        <w:t xml:space="preserve"> peňažných sociálnych dávok platili poberatelia sociálne odvody v</w:t>
      </w:r>
      <w:r w:rsidR="003844C0" w:rsidRPr="004C5551">
        <w:rPr>
          <w:szCs w:val="22"/>
        </w:rPr>
        <w:t>o Fínsku a</w:t>
      </w:r>
      <w:r w:rsidRPr="004C5551">
        <w:rPr>
          <w:szCs w:val="22"/>
        </w:rPr>
        <w:t xml:space="preserve"> Luxembursku.</w:t>
      </w:r>
    </w:p>
    <w:p w:rsidR="0024160B" w:rsidRPr="004C5551" w:rsidRDefault="0024160B" w:rsidP="00C4009A">
      <w:pPr>
        <w:ind w:firstLine="567"/>
        <w:rPr>
          <w:rFonts w:ascii="Times New Roman Bold" w:hAnsi="Times New Roman Bold"/>
          <w:b/>
          <w:bCs/>
          <w:iCs/>
          <w:color w:val="365F91"/>
          <w:sz w:val="28"/>
          <w:szCs w:val="22"/>
          <w:lang w:eastAsia="cs-CZ"/>
        </w:rPr>
      </w:pPr>
      <w:r w:rsidRPr="004C5551">
        <w:br w:type="page"/>
      </w:r>
    </w:p>
    <w:p w:rsidR="009F622A" w:rsidRPr="004C5551" w:rsidRDefault="009F622A" w:rsidP="00C27C1E">
      <w:pPr>
        <w:pStyle w:val="nadpis2"/>
      </w:pPr>
      <w:bookmarkStart w:id="706" w:name="_Toc357174523"/>
      <w:bookmarkStart w:id="707" w:name="_Toc422233441"/>
      <w:bookmarkEnd w:id="703"/>
      <w:bookmarkEnd w:id="704"/>
      <w:bookmarkEnd w:id="705"/>
      <w:r w:rsidRPr="004C5551">
        <w:t>Európsky sociálny fond</w:t>
      </w:r>
      <w:bookmarkEnd w:id="706"/>
      <w:bookmarkEnd w:id="707"/>
      <w:r w:rsidRPr="004C5551">
        <w:t xml:space="preserve"> </w:t>
      </w:r>
    </w:p>
    <w:p w:rsidR="007E10AC" w:rsidRPr="004C5551" w:rsidRDefault="007E10AC" w:rsidP="003B0E51">
      <w:pPr>
        <w:ind w:firstLine="431"/>
        <w:rPr>
          <w:color w:val="000000"/>
        </w:rPr>
      </w:pPr>
      <w:bookmarkStart w:id="708" w:name="_Toc325438269"/>
      <w:bookmarkStart w:id="709" w:name="_Toc325441012"/>
      <w:bookmarkStart w:id="710" w:name="_Toc325626824"/>
      <w:bookmarkStart w:id="711" w:name="_Toc326217085"/>
      <w:bookmarkStart w:id="712" w:name="_Toc356482757"/>
      <w:r w:rsidRPr="004C5551">
        <w:rPr>
          <w:color w:val="000000"/>
        </w:rPr>
        <w:t xml:space="preserve">V rámci Operačného programu Zamestnanosť a sociálna inklúzia (ďalej len „OP </w:t>
      </w:r>
      <w:proofErr w:type="spellStart"/>
      <w:r w:rsidRPr="004C5551">
        <w:rPr>
          <w:color w:val="000000"/>
        </w:rPr>
        <w:t>ZaSI</w:t>
      </w:r>
      <w:proofErr w:type="spellEnd"/>
      <w:r w:rsidRPr="004C5551">
        <w:rPr>
          <w:color w:val="000000"/>
        </w:rPr>
        <w:t xml:space="preserve">“) sa v programovom období 2007 </w:t>
      </w:r>
      <w:r w:rsidRPr="004C5551">
        <w:rPr>
          <w:color w:val="000000" w:themeColor="text1"/>
        </w:rPr>
        <w:t xml:space="preserve">– </w:t>
      </w:r>
      <w:r w:rsidR="00DB5B03" w:rsidRPr="004C5551">
        <w:rPr>
          <w:color w:val="000000"/>
        </w:rPr>
        <w:t xml:space="preserve">2013 poskytla </w:t>
      </w:r>
      <w:r w:rsidRPr="004C5551">
        <w:rPr>
          <w:color w:val="000000"/>
        </w:rPr>
        <w:t xml:space="preserve">podpora v oblasti </w:t>
      </w:r>
      <w:r w:rsidRPr="004C5551">
        <w:rPr>
          <w:i/>
          <w:color w:val="000000"/>
        </w:rPr>
        <w:t>rozvoja ľudských zdrojov, zvyšovania zamestnanosti, zvyšovania sociálnej inklúzie a budovania kapacít</w:t>
      </w:r>
      <w:r w:rsidRPr="004C5551">
        <w:rPr>
          <w:color w:val="000000"/>
        </w:rPr>
        <w:t>. Globálnym cieľom operačného programu je rast zamestnanosti, pokles nezamestnanosti, sociálna inklúzia a budovanie kapacít. Pre jeho dosiahnutie boli stanovené tri hlavné ciele:</w:t>
      </w:r>
    </w:p>
    <w:p w:rsidR="007E10AC" w:rsidRPr="004C5551" w:rsidRDefault="007E10AC" w:rsidP="007E10AC">
      <w:pPr>
        <w:pStyle w:val="Odsekzoznamu"/>
      </w:pPr>
      <w:r w:rsidRPr="004C5551">
        <w:t>zvyšovanie zamestnanosti a adaptability a znižovanie nezamestnanosti</w:t>
      </w:r>
    </w:p>
    <w:p w:rsidR="007E10AC" w:rsidRPr="004C5551" w:rsidRDefault="007E10AC" w:rsidP="007E10AC">
      <w:pPr>
        <w:pStyle w:val="Odsekzoznamu"/>
      </w:pPr>
      <w:r w:rsidRPr="004C5551">
        <w:t>posilnenie integrácie osôb ohrozených sociálnym vylúčením alebo sociálne vylúčených a podpora zosúladenia rodinného a pracovného života</w:t>
      </w:r>
    </w:p>
    <w:p w:rsidR="007E10AC" w:rsidRPr="004C5551" w:rsidRDefault="007E10AC" w:rsidP="007E10AC">
      <w:pPr>
        <w:pStyle w:val="Odsekzoznamu"/>
      </w:pPr>
      <w:r w:rsidRPr="004C5551">
        <w:t>zvyšovanie kvality ľudských zdrojov a ich riadenia v oblasti verejnej politiky.</w:t>
      </w:r>
    </w:p>
    <w:p w:rsidR="007E10AC" w:rsidRPr="004C5551" w:rsidRDefault="007E10AC" w:rsidP="007E10AC">
      <w:pPr>
        <w:rPr>
          <w:color w:val="000000"/>
        </w:rPr>
      </w:pPr>
    </w:p>
    <w:p w:rsidR="007E10AC" w:rsidRPr="004C5551" w:rsidRDefault="007E10AC" w:rsidP="007E10AC">
      <w:pPr>
        <w:rPr>
          <w:color w:val="000000"/>
        </w:rPr>
      </w:pPr>
      <w:r w:rsidRPr="004C5551">
        <w:rPr>
          <w:color w:val="000000"/>
        </w:rPr>
        <w:t>Hlavné ciele sú zamerané na prevenciu a riešenie hlavných problémov na trhu práce. Ich vzájomná synergia a nadväznosť je obsiahnutá v 5 prioritných osiach:</w:t>
      </w:r>
    </w:p>
    <w:p w:rsidR="007E10AC" w:rsidRPr="004C5551" w:rsidRDefault="007E10AC" w:rsidP="007E10AC">
      <w:pPr>
        <w:pStyle w:val="Odsekzoznamu"/>
      </w:pPr>
      <w:r w:rsidRPr="004C5551">
        <w:t>podpora rastu zamestnanosti</w:t>
      </w:r>
    </w:p>
    <w:p w:rsidR="007E10AC" w:rsidRPr="004C5551" w:rsidRDefault="007E10AC" w:rsidP="007E10AC">
      <w:pPr>
        <w:pStyle w:val="Odsekzoznamu"/>
      </w:pPr>
      <w:r w:rsidRPr="004C5551">
        <w:t>podpora sociálnej inklúzie</w:t>
      </w:r>
    </w:p>
    <w:p w:rsidR="007E10AC" w:rsidRPr="004C5551" w:rsidRDefault="007E10AC" w:rsidP="007E10AC">
      <w:pPr>
        <w:pStyle w:val="Odsekzoznamu"/>
      </w:pPr>
      <w:r w:rsidRPr="004C5551">
        <w:t xml:space="preserve">podpora zamestnanosti, sociálnej inklúzie a budovanie kapacít v Bratislavskom samosprávnom kraji </w:t>
      </w:r>
    </w:p>
    <w:p w:rsidR="007E10AC" w:rsidRPr="004C5551" w:rsidRDefault="007E10AC" w:rsidP="007E10AC">
      <w:pPr>
        <w:pStyle w:val="Odsekzoznamu"/>
      </w:pPr>
      <w:r w:rsidRPr="004C5551">
        <w:t>budovanie kapacít a zlepšenie kvality verejnej správy</w:t>
      </w:r>
    </w:p>
    <w:p w:rsidR="007E10AC" w:rsidRPr="004C5551" w:rsidRDefault="007E10AC" w:rsidP="007E10AC">
      <w:pPr>
        <w:pStyle w:val="Odsekzoznamu"/>
      </w:pPr>
      <w:r w:rsidRPr="004C5551">
        <w:t>technická pomoc</w:t>
      </w:r>
    </w:p>
    <w:p w:rsidR="007E10AC" w:rsidRPr="004C5551" w:rsidRDefault="007E10AC" w:rsidP="007E10AC">
      <w:pPr>
        <w:rPr>
          <w:color w:val="000000"/>
        </w:rPr>
      </w:pPr>
    </w:p>
    <w:p w:rsidR="007E10AC" w:rsidRPr="004C5551" w:rsidRDefault="007E10AC" w:rsidP="003B0E51">
      <w:pPr>
        <w:ind w:firstLine="431"/>
        <w:rPr>
          <w:color w:val="000000"/>
          <w:lang w:eastAsia="en-GB"/>
        </w:rPr>
      </w:pPr>
      <w:r w:rsidRPr="004C5551">
        <w:rPr>
          <w:color w:val="000000"/>
        </w:rPr>
        <w:t xml:space="preserve">Prioritné osi sú rozpracované do 11 opatrení; v rámci opatrenia technickej pomoci sú uplatňované dve prioritné témy. Podpora je distribuovaná prostredníctvom dvoch cieľov </w:t>
      </w:r>
      <w:r w:rsidRPr="004C5551">
        <w:rPr>
          <w:i/>
          <w:color w:val="000000"/>
        </w:rPr>
        <w:t>Konvergencia</w:t>
      </w:r>
      <w:r w:rsidRPr="004C5551">
        <w:rPr>
          <w:color w:val="000000"/>
        </w:rPr>
        <w:t xml:space="preserve"> a </w:t>
      </w:r>
      <w:r w:rsidRPr="004C5551">
        <w:rPr>
          <w:i/>
          <w:color w:val="000000"/>
        </w:rPr>
        <w:t>Regionálna konkurencieschopnosť a zamestnanosť</w:t>
      </w:r>
      <w:r w:rsidRPr="004C5551">
        <w:rPr>
          <w:color w:val="000000"/>
        </w:rPr>
        <w:t xml:space="preserve"> medzi regióny podľa ich ekonomickej výkonnosti. OP </w:t>
      </w:r>
      <w:proofErr w:type="spellStart"/>
      <w:r w:rsidRPr="004C5551">
        <w:rPr>
          <w:color w:val="000000"/>
        </w:rPr>
        <w:t>ZaSI</w:t>
      </w:r>
      <w:proofErr w:type="spellEnd"/>
      <w:r w:rsidRPr="004C5551">
        <w:rPr>
          <w:color w:val="000000"/>
        </w:rPr>
        <w:t xml:space="preserve"> je operačný program financovaný z prostriedkov Európskeho sociálneho fondu v celkovom objeme </w:t>
      </w:r>
      <w:r w:rsidRPr="004C5551">
        <w:rPr>
          <w:b/>
          <w:color w:val="000000"/>
        </w:rPr>
        <w:t xml:space="preserve">1 107 413 623 </w:t>
      </w:r>
      <w:r w:rsidR="000860E9" w:rsidRPr="004C5551">
        <w:rPr>
          <w:b/>
          <w:color w:val="000000"/>
        </w:rPr>
        <w:t>eur</w:t>
      </w:r>
      <w:r w:rsidRPr="004C5551">
        <w:rPr>
          <w:color w:val="000000"/>
        </w:rPr>
        <w:t>. Príspevok Európskeho spoločenstva predstavuje sumu 941 301 578 </w:t>
      </w:r>
      <w:r w:rsidR="000860E9" w:rsidRPr="004C5551">
        <w:rPr>
          <w:color w:val="000000"/>
        </w:rPr>
        <w:t>eur</w:t>
      </w:r>
      <w:r w:rsidRPr="004C5551">
        <w:rPr>
          <w:color w:val="000000"/>
        </w:rPr>
        <w:t>, štátny rozpočet prispieva čiastkou 166 112 045 </w:t>
      </w:r>
      <w:r w:rsidR="000860E9" w:rsidRPr="004C5551">
        <w:rPr>
          <w:color w:val="000000"/>
        </w:rPr>
        <w:t>eur</w:t>
      </w:r>
      <w:r w:rsidRPr="004C5551">
        <w:rPr>
          <w:color w:val="000000"/>
        </w:rPr>
        <w:t xml:space="preserve"> (v roku 2012 bola </w:t>
      </w:r>
      <w:proofErr w:type="spellStart"/>
      <w:r w:rsidRPr="004C5551">
        <w:rPr>
          <w:color w:val="000000"/>
        </w:rPr>
        <w:t>realokáciou</w:t>
      </w:r>
      <w:proofErr w:type="spellEnd"/>
      <w:r w:rsidRPr="004C5551">
        <w:rPr>
          <w:color w:val="000000"/>
        </w:rPr>
        <w:t xml:space="preserve"> zvýšená suma pre OP</w:t>
      </w:r>
      <w:r w:rsidR="00B915AD" w:rsidRPr="004C5551">
        <w:rPr>
          <w:color w:val="000000"/>
        </w:rPr>
        <w:t> </w:t>
      </w:r>
      <w:proofErr w:type="spellStart"/>
      <w:r w:rsidRPr="004C5551">
        <w:rPr>
          <w:color w:val="000000"/>
        </w:rPr>
        <w:t>ZaSI</w:t>
      </w:r>
      <w:proofErr w:type="spellEnd"/>
      <w:r w:rsidRPr="004C5551">
        <w:rPr>
          <w:color w:val="000000"/>
        </w:rPr>
        <w:t xml:space="preserve"> o 70 mil. </w:t>
      </w:r>
      <w:r w:rsidR="000860E9" w:rsidRPr="004C5551">
        <w:rPr>
          <w:color w:val="000000"/>
        </w:rPr>
        <w:t>eur</w:t>
      </w:r>
      <w:r w:rsidRPr="004C5551">
        <w:rPr>
          <w:color w:val="000000"/>
        </w:rPr>
        <w:t xml:space="preserve"> z OP Vzdelávanie). </w:t>
      </w:r>
      <w:r w:rsidRPr="004C5551">
        <w:rPr>
          <w:color w:val="000000"/>
          <w:lang w:eastAsia="en-GB"/>
        </w:rPr>
        <w:t xml:space="preserve">Implementácia OP </w:t>
      </w:r>
      <w:proofErr w:type="spellStart"/>
      <w:r w:rsidRPr="004C5551">
        <w:rPr>
          <w:color w:val="000000"/>
          <w:lang w:eastAsia="en-GB"/>
        </w:rPr>
        <w:t>ZaSI</w:t>
      </w:r>
      <w:proofErr w:type="spellEnd"/>
      <w:r w:rsidRPr="004C5551">
        <w:rPr>
          <w:color w:val="000000"/>
          <w:lang w:eastAsia="en-GB"/>
        </w:rPr>
        <w:t xml:space="preserve"> spadá do obdobia oprávnenosti 01. 01. 2007 </w:t>
      </w:r>
      <w:r w:rsidRPr="004C5551">
        <w:rPr>
          <w:color w:val="000000" w:themeColor="text1"/>
        </w:rPr>
        <w:t>–</w:t>
      </w:r>
      <w:r w:rsidRPr="004C5551">
        <w:rPr>
          <w:color w:val="000000"/>
          <w:lang w:eastAsia="en-GB"/>
        </w:rPr>
        <w:t xml:space="preserve"> 31. 12. 2015. </w:t>
      </w:r>
    </w:p>
    <w:p w:rsidR="00170F9A" w:rsidRPr="004C5551" w:rsidRDefault="00170F9A" w:rsidP="003B0E51">
      <w:pPr>
        <w:ind w:firstLine="431"/>
        <w:rPr>
          <w:color w:val="000000"/>
          <w:lang w:eastAsia="en-GB"/>
        </w:rPr>
      </w:pPr>
    </w:p>
    <w:p w:rsidR="007E10AC" w:rsidRPr="004C5551" w:rsidRDefault="00170F9A" w:rsidP="003B0E51">
      <w:pPr>
        <w:ind w:firstLine="431"/>
        <w:rPr>
          <w:color w:val="000000"/>
          <w:lang w:eastAsia="en-GB"/>
        </w:rPr>
      </w:pPr>
      <w:r w:rsidRPr="004C5551">
        <w:rPr>
          <w:color w:val="000000"/>
          <w:lang w:eastAsia="en-GB"/>
        </w:rPr>
        <w:t>Na konci sledovaného obdobia</w:t>
      </w:r>
      <w:r w:rsidR="00423669" w:rsidRPr="004C5551">
        <w:rPr>
          <w:color w:val="000000"/>
          <w:lang w:eastAsia="en-GB"/>
        </w:rPr>
        <w:t xml:space="preserve"> </w:t>
      </w:r>
      <w:r w:rsidR="007E10AC" w:rsidRPr="004C5551">
        <w:rPr>
          <w:color w:val="000000"/>
          <w:lang w:eastAsia="en-GB"/>
        </w:rPr>
        <w:t>predstavoval podiel čerpania na úrovni RO na záväzku 75,40</w:t>
      </w:r>
      <w:r w:rsidR="009425AA" w:rsidRPr="004C5551">
        <w:rPr>
          <w:color w:val="000000"/>
          <w:lang w:eastAsia="en-GB"/>
        </w:rPr>
        <w:t> %</w:t>
      </w:r>
      <w:r w:rsidR="00D40CFE" w:rsidRPr="004C5551">
        <w:rPr>
          <w:color w:val="000000"/>
          <w:lang w:eastAsia="en-GB"/>
        </w:rPr>
        <w:t>, pričom prostriedky (EÚ</w:t>
      </w:r>
      <w:r w:rsidR="007E10AC" w:rsidRPr="004C5551">
        <w:rPr>
          <w:color w:val="000000"/>
          <w:lang w:eastAsia="en-GB"/>
        </w:rPr>
        <w:t xml:space="preserve"> a ŠR) boli </w:t>
      </w:r>
      <w:proofErr w:type="spellStart"/>
      <w:r w:rsidR="007E10AC" w:rsidRPr="004C5551">
        <w:rPr>
          <w:color w:val="000000"/>
          <w:lang w:eastAsia="en-GB"/>
        </w:rPr>
        <w:t>zazmluvnené</w:t>
      </w:r>
      <w:proofErr w:type="spellEnd"/>
      <w:r w:rsidR="007E10AC" w:rsidRPr="004C5551">
        <w:rPr>
          <w:color w:val="000000"/>
          <w:lang w:eastAsia="en-GB"/>
        </w:rPr>
        <w:t xml:space="preserve"> na úrovni 109,53</w:t>
      </w:r>
      <w:r w:rsidR="009425AA" w:rsidRPr="004C5551">
        <w:rPr>
          <w:color w:val="000000"/>
          <w:lang w:eastAsia="en-GB"/>
        </w:rPr>
        <w:t> %</w:t>
      </w:r>
      <w:r w:rsidR="007E10AC" w:rsidRPr="004C5551">
        <w:rPr>
          <w:color w:val="000000"/>
          <w:lang w:eastAsia="en-GB"/>
        </w:rPr>
        <w:t xml:space="preserve"> (vrátane ukončených projektov). </w:t>
      </w:r>
    </w:p>
    <w:p w:rsidR="009F622A" w:rsidRPr="004C5551" w:rsidRDefault="009F622A" w:rsidP="00B915AD">
      <w:pPr>
        <w:pStyle w:val="Nadpis7"/>
      </w:pPr>
      <w:r w:rsidRPr="004C5551">
        <w:t>Tabuľka 3.3</w:t>
      </w:r>
      <w:r w:rsidR="009B7B4B" w:rsidRPr="004C5551">
        <w:t>0</w:t>
      </w:r>
      <w:r w:rsidRPr="004C5551">
        <w:t xml:space="preserve"> Stav </w:t>
      </w:r>
      <w:proofErr w:type="spellStart"/>
      <w:r w:rsidRPr="004C5551">
        <w:t>zazmluvnenia</w:t>
      </w:r>
      <w:proofErr w:type="spellEnd"/>
      <w:r w:rsidRPr="004C5551">
        <w:t xml:space="preserve"> a čerpania OP </w:t>
      </w:r>
      <w:proofErr w:type="spellStart"/>
      <w:r w:rsidRPr="004C5551">
        <w:t>ZaSI</w:t>
      </w:r>
      <w:proofErr w:type="spellEnd"/>
      <w:r w:rsidRPr="004C5551">
        <w:t xml:space="preserve"> k 31.12.201</w:t>
      </w:r>
      <w:bookmarkEnd w:id="708"/>
      <w:bookmarkEnd w:id="709"/>
      <w:bookmarkEnd w:id="710"/>
      <w:bookmarkEnd w:id="711"/>
      <w:bookmarkEnd w:id="712"/>
      <w:r w:rsidR="007E10AC" w:rsidRPr="004C5551">
        <w:t>4</w:t>
      </w:r>
    </w:p>
    <w:tbl>
      <w:tblPr>
        <w:tblW w:w="9244" w:type="dxa"/>
        <w:jc w:val="center"/>
        <w:tblInd w:w="121"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1E0" w:firstRow="1" w:lastRow="1" w:firstColumn="1" w:lastColumn="1" w:noHBand="0" w:noVBand="0"/>
      </w:tblPr>
      <w:tblGrid>
        <w:gridCol w:w="1283"/>
        <w:gridCol w:w="1666"/>
        <w:gridCol w:w="1656"/>
        <w:gridCol w:w="1552"/>
        <w:gridCol w:w="1536"/>
        <w:gridCol w:w="1551"/>
      </w:tblGrid>
      <w:tr w:rsidR="00B915AD" w:rsidRPr="004C5551" w:rsidTr="003200FE">
        <w:trPr>
          <w:trHeight w:val="698"/>
          <w:jc w:val="center"/>
        </w:trPr>
        <w:tc>
          <w:tcPr>
            <w:tcW w:w="1283" w:type="dxa"/>
            <w:shd w:val="clear" w:color="auto" w:fill="BF0000" w:themeFill="accent3" w:themeFillShade="BF"/>
            <w:vAlign w:val="center"/>
          </w:tcPr>
          <w:p w:rsidR="007E10AC" w:rsidRPr="004C5551" w:rsidRDefault="007E10AC" w:rsidP="00014525">
            <w:pPr>
              <w:jc w:val="center"/>
              <w:rPr>
                <w:b/>
                <w:color w:val="FFFFFF" w:themeColor="background1"/>
                <w:sz w:val="20"/>
                <w:szCs w:val="20"/>
              </w:rPr>
            </w:pPr>
            <w:bookmarkStart w:id="713" w:name="_Toc325438270"/>
            <w:bookmarkStart w:id="714" w:name="_Toc325441013"/>
            <w:bookmarkStart w:id="715" w:name="_Toc325626825"/>
            <w:bookmarkStart w:id="716" w:name="_Toc326217086"/>
            <w:bookmarkStart w:id="717" w:name="_Toc356482758"/>
            <w:r w:rsidRPr="004C5551">
              <w:rPr>
                <w:b/>
                <w:color w:val="FFFFFF" w:themeColor="background1"/>
                <w:sz w:val="20"/>
                <w:szCs w:val="20"/>
              </w:rPr>
              <w:t>Programový dokument</w:t>
            </w:r>
          </w:p>
        </w:tc>
        <w:tc>
          <w:tcPr>
            <w:tcW w:w="1666" w:type="dxa"/>
            <w:shd w:val="clear" w:color="auto" w:fill="BF0000" w:themeFill="accent3" w:themeFillShade="BF"/>
            <w:vAlign w:val="center"/>
          </w:tcPr>
          <w:p w:rsidR="007E10AC" w:rsidRPr="004C5551" w:rsidRDefault="007E10AC" w:rsidP="00014525">
            <w:pPr>
              <w:jc w:val="center"/>
              <w:rPr>
                <w:b/>
                <w:color w:val="FFFFFF" w:themeColor="background1"/>
                <w:sz w:val="20"/>
                <w:szCs w:val="20"/>
              </w:rPr>
            </w:pPr>
            <w:proofErr w:type="spellStart"/>
            <w:r w:rsidRPr="004C5551">
              <w:rPr>
                <w:b/>
                <w:color w:val="FFFFFF" w:themeColor="background1"/>
                <w:sz w:val="20"/>
                <w:szCs w:val="20"/>
              </w:rPr>
              <w:t>Zazmluvnenie</w:t>
            </w:r>
            <w:proofErr w:type="spellEnd"/>
            <w:r w:rsidRPr="004C5551">
              <w:rPr>
                <w:b/>
                <w:color w:val="FFFFFF" w:themeColor="background1"/>
                <w:sz w:val="20"/>
                <w:szCs w:val="20"/>
              </w:rPr>
              <w:t xml:space="preserve"> NFP k 31.12.2014</w:t>
            </w:r>
          </w:p>
        </w:tc>
        <w:tc>
          <w:tcPr>
            <w:tcW w:w="1656" w:type="dxa"/>
            <w:shd w:val="clear" w:color="auto" w:fill="BF0000" w:themeFill="accent3" w:themeFillShade="BF"/>
            <w:vAlign w:val="center"/>
          </w:tcPr>
          <w:p w:rsidR="007E10AC" w:rsidRPr="004C5551" w:rsidRDefault="007E10AC" w:rsidP="00014525">
            <w:pPr>
              <w:jc w:val="center"/>
              <w:rPr>
                <w:b/>
                <w:color w:val="FFFFFF" w:themeColor="background1"/>
                <w:sz w:val="20"/>
                <w:szCs w:val="20"/>
              </w:rPr>
            </w:pPr>
            <w:r w:rsidRPr="004C5551">
              <w:rPr>
                <w:b/>
                <w:color w:val="FFFFFF" w:themeColor="background1"/>
                <w:sz w:val="20"/>
                <w:szCs w:val="20"/>
              </w:rPr>
              <w:t xml:space="preserve">Podiel </w:t>
            </w:r>
            <w:proofErr w:type="spellStart"/>
            <w:r w:rsidRPr="004C5551">
              <w:rPr>
                <w:b/>
                <w:color w:val="FFFFFF" w:themeColor="background1"/>
                <w:sz w:val="20"/>
                <w:szCs w:val="20"/>
              </w:rPr>
              <w:t>zazmluvnenia</w:t>
            </w:r>
            <w:proofErr w:type="spellEnd"/>
            <w:r w:rsidRPr="004C5551">
              <w:rPr>
                <w:b/>
                <w:color w:val="FFFFFF" w:themeColor="background1"/>
                <w:sz w:val="20"/>
                <w:szCs w:val="20"/>
              </w:rPr>
              <w:t xml:space="preserve"> na záväzku v</w:t>
            </w:r>
            <w:r w:rsidR="009425AA" w:rsidRPr="004C5551">
              <w:rPr>
                <w:b/>
                <w:color w:val="FFFFFF" w:themeColor="background1"/>
                <w:sz w:val="20"/>
                <w:szCs w:val="20"/>
              </w:rPr>
              <w:t> %</w:t>
            </w:r>
          </w:p>
        </w:tc>
        <w:tc>
          <w:tcPr>
            <w:tcW w:w="1552" w:type="dxa"/>
            <w:shd w:val="clear" w:color="auto" w:fill="BF0000" w:themeFill="accent3" w:themeFillShade="BF"/>
            <w:vAlign w:val="center"/>
          </w:tcPr>
          <w:p w:rsidR="007E10AC" w:rsidRPr="004C5551" w:rsidRDefault="007E10AC" w:rsidP="00014525">
            <w:pPr>
              <w:jc w:val="center"/>
              <w:rPr>
                <w:b/>
                <w:color w:val="FFFFFF" w:themeColor="background1"/>
                <w:sz w:val="20"/>
                <w:szCs w:val="20"/>
              </w:rPr>
            </w:pPr>
            <w:r w:rsidRPr="004C5551">
              <w:rPr>
                <w:b/>
                <w:color w:val="FFFFFF" w:themeColor="background1"/>
                <w:sz w:val="20"/>
                <w:szCs w:val="20"/>
              </w:rPr>
              <w:t>Čerpanie k 31.12.2014</w:t>
            </w:r>
          </w:p>
        </w:tc>
        <w:tc>
          <w:tcPr>
            <w:tcW w:w="1536" w:type="dxa"/>
            <w:shd w:val="clear" w:color="auto" w:fill="BF0000" w:themeFill="accent3" w:themeFillShade="BF"/>
            <w:vAlign w:val="center"/>
          </w:tcPr>
          <w:p w:rsidR="007E10AC" w:rsidRPr="004C5551" w:rsidRDefault="007E10AC" w:rsidP="000860E9">
            <w:pPr>
              <w:jc w:val="center"/>
              <w:rPr>
                <w:b/>
                <w:color w:val="FFFFFF" w:themeColor="background1"/>
                <w:sz w:val="20"/>
                <w:szCs w:val="20"/>
              </w:rPr>
            </w:pPr>
            <w:r w:rsidRPr="004C5551">
              <w:rPr>
                <w:b/>
                <w:color w:val="FFFFFF" w:themeColor="background1"/>
                <w:sz w:val="20"/>
                <w:szCs w:val="20"/>
              </w:rPr>
              <w:t xml:space="preserve">Záväzok 2007 – 2013 v </w:t>
            </w:r>
            <w:r w:rsidR="000860E9" w:rsidRPr="004C5551">
              <w:rPr>
                <w:b/>
                <w:color w:val="FFFFFF" w:themeColor="background1"/>
                <w:sz w:val="20"/>
                <w:szCs w:val="20"/>
              </w:rPr>
              <w:t>€</w:t>
            </w:r>
          </w:p>
        </w:tc>
        <w:tc>
          <w:tcPr>
            <w:tcW w:w="1551" w:type="dxa"/>
            <w:shd w:val="clear" w:color="auto" w:fill="BF0000" w:themeFill="accent3" w:themeFillShade="BF"/>
            <w:vAlign w:val="center"/>
          </w:tcPr>
          <w:p w:rsidR="007E10AC" w:rsidRPr="004C5551" w:rsidRDefault="007E10AC" w:rsidP="00014525">
            <w:pPr>
              <w:jc w:val="center"/>
              <w:rPr>
                <w:b/>
                <w:color w:val="FFFFFF" w:themeColor="background1"/>
                <w:sz w:val="20"/>
                <w:szCs w:val="20"/>
              </w:rPr>
            </w:pPr>
            <w:r w:rsidRPr="004C5551">
              <w:rPr>
                <w:b/>
                <w:color w:val="FFFFFF" w:themeColor="background1"/>
                <w:sz w:val="20"/>
                <w:szCs w:val="20"/>
              </w:rPr>
              <w:t>Podiel čerpania na záväzku v</w:t>
            </w:r>
            <w:r w:rsidR="009425AA" w:rsidRPr="004C5551">
              <w:rPr>
                <w:b/>
                <w:color w:val="FFFFFF" w:themeColor="background1"/>
                <w:sz w:val="20"/>
                <w:szCs w:val="20"/>
              </w:rPr>
              <w:t> %</w:t>
            </w:r>
          </w:p>
        </w:tc>
      </w:tr>
      <w:tr w:rsidR="007E10AC" w:rsidRPr="004C5551" w:rsidTr="003200FE">
        <w:trPr>
          <w:trHeight w:val="225"/>
          <w:jc w:val="center"/>
        </w:trPr>
        <w:tc>
          <w:tcPr>
            <w:tcW w:w="1283" w:type="dxa"/>
          </w:tcPr>
          <w:p w:rsidR="007E10AC" w:rsidRPr="004C5551" w:rsidRDefault="007E10AC" w:rsidP="00014525">
            <w:pPr>
              <w:rPr>
                <w:sz w:val="20"/>
                <w:szCs w:val="20"/>
              </w:rPr>
            </w:pPr>
          </w:p>
        </w:tc>
        <w:tc>
          <w:tcPr>
            <w:tcW w:w="1666" w:type="dxa"/>
          </w:tcPr>
          <w:p w:rsidR="007E10AC" w:rsidRPr="004C5551" w:rsidRDefault="007E10AC" w:rsidP="00014525">
            <w:pPr>
              <w:rPr>
                <w:sz w:val="20"/>
                <w:szCs w:val="20"/>
              </w:rPr>
            </w:pPr>
            <w:r w:rsidRPr="004C5551">
              <w:rPr>
                <w:sz w:val="20"/>
                <w:szCs w:val="20"/>
              </w:rPr>
              <w:t>EÚ a ŠR zdroje</w:t>
            </w:r>
          </w:p>
        </w:tc>
        <w:tc>
          <w:tcPr>
            <w:tcW w:w="1656" w:type="dxa"/>
          </w:tcPr>
          <w:p w:rsidR="007E10AC" w:rsidRPr="004C5551" w:rsidRDefault="007E10AC" w:rsidP="00014525">
            <w:pPr>
              <w:rPr>
                <w:sz w:val="20"/>
                <w:szCs w:val="20"/>
              </w:rPr>
            </w:pPr>
            <w:r w:rsidRPr="004C5551">
              <w:rPr>
                <w:sz w:val="20"/>
                <w:szCs w:val="20"/>
              </w:rPr>
              <w:t>EÚ a ŠR zdroje</w:t>
            </w:r>
          </w:p>
        </w:tc>
        <w:tc>
          <w:tcPr>
            <w:tcW w:w="1552" w:type="dxa"/>
          </w:tcPr>
          <w:p w:rsidR="007E10AC" w:rsidRPr="004C5551" w:rsidRDefault="007E10AC" w:rsidP="00014525">
            <w:pPr>
              <w:rPr>
                <w:sz w:val="20"/>
                <w:szCs w:val="20"/>
              </w:rPr>
            </w:pPr>
            <w:r w:rsidRPr="004C5551">
              <w:rPr>
                <w:sz w:val="20"/>
                <w:szCs w:val="20"/>
              </w:rPr>
              <w:t>EÚ a ŠR zdroje</w:t>
            </w:r>
          </w:p>
        </w:tc>
        <w:tc>
          <w:tcPr>
            <w:tcW w:w="1536" w:type="dxa"/>
          </w:tcPr>
          <w:p w:rsidR="007E10AC" w:rsidRPr="004C5551" w:rsidRDefault="007E10AC" w:rsidP="00014525">
            <w:pPr>
              <w:rPr>
                <w:sz w:val="20"/>
                <w:szCs w:val="20"/>
              </w:rPr>
            </w:pPr>
            <w:r w:rsidRPr="004C5551">
              <w:rPr>
                <w:sz w:val="20"/>
                <w:szCs w:val="20"/>
              </w:rPr>
              <w:t>EÚ a ŠR zdroje</w:t>
            </w:r>
          </w:p>
        </w:tc>
        <w:tc>
          <w:tcPr>
            <w:tcW w:w="1551" w:type="dxa"/>
          </w:tcPr>
          <w:p w:rsidR="007E10AC" w:rsidRPr="004C5551" w:rsidRDefault="007E10AC" w:rsidP="00014525">
            <w:pPr>
              <w:rPr>
                <w:sz w:val="20"/>
                <w:szCs w:val="20"/>
              </w:rPr>
            </w:pPr>
            <w:r w:rsidRPr="004C5551">
              <w:rPr>
                <w:sz w:val="20"/>
                <w:szCs w:val="20"/>
              </w:rPr>
              <w:t>EÚ a ŠR zdroje</w:t>
            </w:r>
          </w:p>
        </w:tc>
      </w:tr>
      <w:tr w:rsidR="007E10AC" w:rsidRPr="004C5551" w:rsidTr="003200FE">
        <w:trPr>
          <w:trHeight w:val="273"/>
          <w:jc w:val="center"/>
        </w:trPr>
        <w:tc>
          <w:tcPr>
            <w:tcW w:w="1283" w:type="dxa"/>
            <w:vAlign w:val="center"/>
          </w:tcPr>
          <w:p w:rsidR="007E10AC" w:rsidRPr="004C5551" w:rsidRDefault="007E10AC" w:rsidP="00014525">
            <w:pPr>
              <w:rPr>
                <w:sz w:val="20"/>
                <w:szCs w:val="20"/>
              </w:rPr>
            </w:pPr>
            <w:r w:rsidRPr="004C5551">
              <w:rPr>
                <w:sz w:val="20"/>
                <w:szCs w:val="20"/>
              </w:rPr>
              <w:t xml:space="preserve">OP </w:t>
            </w:r>
            <w:proofErr w:type="spellStart"/>
            <w:r w:rsidRPr="004C5551">
              <w:rPr>
                <w:sz w:val="20"/>
                <w:szCs w:val="20"/>
              </w:rPr>
              <w:t>ZaSI</w:t>
            </w:r>
            <w:proofErr w:type="spellEnd"/>
          </w:p>
        </w:tc>
        <w:tc>
          <w:tcPr>
            <w:tcW w:w="1666" w:type="dxa"/>
            <w:vAlign w:val="center"/>
          </w:tcPr>
          <w:p w:rsidR="007E10AC" w:rsidRPr="004C5551" w:rsidRDefault="007E10AC" w:rsidP="00014525">
            <w:pPr>
              <w:jc w:val="right"/>
              <w:rPr>
                <w:sz w:val="20"/>
                <w:szCs w:val="20"/>
              </w:rPr>
            </w:pPr>
            <w:r w:rsidRPr="004C5551">
              <w:rPr>
                <w:sz w:val="20"/>
                <w:szCs w:val="20"/>
              </w:rPr>
              <w:t>1</w:t>
            </w:r>
            <w:r w:rsidR="003200FE" w:rsidRPr="004C5551">
              <w:rPr>
                <w:sz w:val="20"/>
                <w:szCs w:val="20"/>
              </w:rPr>
              <w:t> </w:t>
            </w:r>
            <w:r w:rsidRPr="004C5551">
              <w:rPr>
                <w:sz w:val="20"/>
                <w:szCs w:val="20"/>
              </w:rPr>
              <w:t>213</w:t>
            </w:r>
            <w:r w:rsidR="003200FE" w:rsidRPr="004C5551">
              <w:rPr>
                <w:sz w:val="20"/>
                <w:szCs w:val="20"/>
              </w:rPr>
              <w:t> </w:t>
            </w:r>
            <w:r w:rsidRPr="004C5551">
              <w:rPr>
                <w:sz w:val="20"/>
                <w:szCs w:val="20"/>
              </w:rPr>
              <w:t>009</w:t>
            </w:r>
            <w:r w:rsidR="003200FE" w:rsidRPr="004C5551">
              <w:rPr>
                <w:sz w:val="20"/>
                <w:szCs w:val="20"/>
              </w:rPr>
              <w:t> </w:t>
            </w:r>
            <w:r w:rsidRPr="004C5551">
              <w:rPr>
                <w:sz w:val="20"/>
                <w:szCs w:val="20"/>
              </w:rPr>
              <w:t>150,97</w:t>
            </w:r>
          </w:p>
        </w:tc>
        <w:tc>
          <w:tcPr>
            <w:tcW w:w="1656" w:type="dxa"/>
            <w:vAlign w:val="center"/>
          </w:tcPr>
          <w:p w:rsidR="007E10AC" w:rsidRPr="004C5551" w:rsidRDefault="007E10AC" w:rsidP="00014525">
            <w:pPr>
              <w:ind w:right="459"/>
              <w:jc w:val="right"/>
              <w:rPr>
                <w:sz w:val="20"/>
                <w:szCs w:val="20"/>
              </w:rPr>
            </w:pPr>
            <w:r w:rsidRPr="004C5551">
              <w:rPr>
                <w:sz w:val="20"/>
                <w:szCs w:val="20"/>
              </w:rPr>
              <w:t>109,53</w:t>
            </w:r>
          </w:p>
        </w:tc>
        <w:tc>
          <w:tcPr>
            <w:tcW w:w="1552" w:type="dxa"/>
            <w:vAlign w:val="center"/>
          </w:tcPr>
          <w:p w:rsidR="007E10AC" w:rsidRPr="004C5551" w:rsidRDefault="007E10AC" w:rsidP="00014525">
            <w:pPr>
              <w:jc w:val="right"/>
              <w:rPr>
                <w:sz w:val="20"/>
                <w:szCs w:val="20"/>
              </w:rPr>
            </w:pPr>
            <w:r w:rsidRPr="004C5551">
              <w:rPr>
                <w:sz w:val="20"/>
                <w:szCs w:val="20"/>
              </w:rPr>
              <w:t>835 020 741,20</w:t>
            </w:r>
          </w:p>
        </w:tc>
        <w:tc>
          <w:tcPr>
            <w:tcW w:w="1536" w:type="dxa"/>
            <w:vAlign w:val="center"/>
          </w:tcPr>
          <w:p w:rsidR="007E10AC" w:rsidRPr="004C5551" w:rsidRDefault="007E10AC" w:rsidP="00014525">
            <w:pPr>
              <w:jc w:val="right"/>
              <w:rPr>
                <w:sz w:val="20"/>
                <w:szCs w:val="20"/>
              </w:rPr>
            </w:pPr>
            <w:r w:rsidRPr="004C5551">
              <w:rPr>
                <w:sz w:val="20"/>
                <w:szCs w:val="20"/>
              </w:rPr>
              <w:t>1 107 413 623</w:t>
            </w:r>
          </w:p>
        </w:tc>
        <w:tc>
          <w:tcPr>
            <w:tcW w:w="1551" w:type="dxa"/>
            <w:vAlign w:val="center"/>
          </w:tcPr>
          <w:p w:rsidR="007E10AC" w:rsidRPr="004C5551" w:rsidRDefault="007E10AC" w:rsidP="00014525">
            <w:pPr>
              <w:ind w:right="449"/>
              <w:jc w:val="right"/>
              <w:rPr>
                <w:sz w:val="20"/>
                <w:szCs w:val="20"/>
              </w:rPr>
            </w:pPr>
            <w:r w:rsidRPr="004C5551">
              <w:rPr>
                <w:sz w:val="20"/>
                <w:szCs w:val="20"/>
              </w:rPr>
              <w:t>75,40*</w:t>
            </w:r>
          </w:p>
        </w:tc>
      </w:tr>
    </w:tbl>
    <w:p w:rsidR="007E10AC" w:rsidRPr="004C5551" w:rsidRDefault="007E10AC" w:rsidP="00B915AD">
      <w:pPr>
        <w:pStyle w:val="zdroj"/>
        <w:spacing w:after="0"/>
      </w:pPr>
      <w:r w:rsidRPr="004C5551">
        <w:t xml:space="preserve">Zdroj: RO pre OP </w:t>
      </w:r>
      <w:proofErr w:type="spellStart"/>
      <w:r w:rsidRPr="004C5551">
        <w:t>ZaSI</w:t>
      </w:r>
      <w:proofErr w:type="spellEnd"/>
      <w:r w:rsidRPr="004C5551">
        <w:t>/ ITMS</w:t>
      </w:r>
    </w:p>
    <w:p w:rsidR="007E10AC" w:rsidRPr="004C5551" w:rsidRDefault="007E10AC" w:rsidP="00B915AD">
      <w:pPr>
        <w:pStyle w:val="zdroj"/>
        <w:spacing w:before="0"/>
      </w:pPr>
      <w:r w:rsidRPr="004C5551">
        <w:t xml:space="preserve">*na úrovni Riadiaceho orgánu </w:t>
      </w:r>
    </w:p>
    <w:p w:rsidR="007E10AC" w:rsidRPr="004C5551" w:rsidRDefault="007E10AC" w:rsidP="003B0E51">
      <w:pPr>
        <w:ind w:firstLine="431"/>
        <w:rPr>
          <w:color w:val="000000"/>
        </w:rPr>
      </w:pPr>
      <w:r w:rsidRPr="004C5551">
        <w:rPr>
          <w:color w:val="000000"/>
        </w:rPr>
        <w:t xml:space="preserve">K 31. 12. 2014 bolo v rámci OP </w:t>
      </w:r>
      <w:proofErr w:type="spellStart"/>
      <w:r w:rsidRPr="004C5551">
        <w:rPr>
          <w:color w:val="000000"/>
        </w:rPr>
        <w:t>ZaSI</w:t>
      </w:r>
      <w:proofErr w:type="spellEnd"/>
      <w:r w:rsidRPr="004C5551">
        <w:rPr>
          <w:color w:val="000000"/>
        </w:rPr>
        <w:t xml:space="preserve"> realizovaných 1 565 projektov (po odrátaní 329</w:t>
      </w:r>
      <w:r w:rsidR="004F3C97" w:rsidRPr="004C5551">
        <w:rPr>
          <w:color w:val="000000"/>
        </w:rPr>
        <w:t> </w:t>
      </w:r>
      <w:r w:rsidRPr="004C5551">
        <w:rPr>
          <w:color w:val="000000"/>
        </w:rPr>
        <w:t xml:space="preserve">mimoriadne ukončených projektov v sume 158,78 mil. </w:t>
      </w:r>
      <w:r w:rsidR="000860E9" w:rsidRPr="004C5551">
        <w:rPr>
          <w:color w:val="000000"/>
        </w:rPr>
        <w:t>eur</w:t>
      </w:r>
      <w:r w:rsidRPr="004C5551">
        <w:rPr>
          <w:color w:val="000000"/>
        </w:rPr>
        <w:t>) v kontrahovanej hodnote nenávratného finančného príspevku (NFP = zdroje E</w:t>
      </w:r>
      <w:r w:rsidR="00D40CFE" w:rsidRPr="004C5551">
        <w:rPr>
          <w:color w:val="000000"/>
        </w:rPr>
        <w:t>Ú</w:t>
      </w:r>
      <w:r w:rsidRPr="004C5551">
        <w:rPr>
          <w:color w:val="000000"/>
        </w:rPr>
        <w:t xml:space="preserve"> a štátne zdroje) 1 213,01 mil</w:t>
      </w:r>
      <w:r w:rsidR="008D4AC2" w:rsidRPr="004C5551">
        <w:rPr>
          <w:color w:val="000000"/>
        </w:rPr>
        <w:t>.</w:t>
      </w:r>
      <w:r w:rsidRPr="004C5551">
        <w:rPr>
          <w:color w:val="000000"/>
        </w:rPr>
        <w:t xml:space="preserve"> </w:t>
      </w:r>
      <w:r w:rsidR="000860E9" w:rsidRPr="004C5551">
        <w:rPr>
          <w:color w:val="000000"/>
        </w:rPr>
        <w:t>eur</w:t>
      </w:r>
      <w:r w:rsidRPr="004C5551">
        <w:rPr>
          <w:color w:val="000000"/>
        </w:rPr>
        <w:t xml:space="preserve">. </w:t>
      </w:r>
    </w:p>
    <w:p w:rsidR="007E10AC" w:rsidRPr="004C5551" w:rsidRDefault="007E10AC" w:rsidP="003B0E51">
      <w:pPr>
        <w:ind w:firstLine="431"/>
        <w:rPr>
          <w:color w:val="000000"/>
        </w:rPr>
      </w:pPr>
      <w:r w:rsidRPr="004C5551">
        <w:rPr>
          <w:color w:val="000000"/>
        </w:rPr>
        <w:t xml:space="preserve">V tom je započítaných 15 projektov Technickej asistencie BSK v sume 0,77 mil. </w:t>
      </w:r>
      <w:r w:rsidR="000860E9" w:rsidRPr="004C5551">
        <w:rPr>
          <w:color w:val="000000"/>
        </w:rPr>
        <w:t>eur</w:t>
      </w:r>
      <w:r w:rsidRPr="004C5551">
        <w:rPr>
          <w:color w:val="000000"/>
        </w:rPr>
        <w:t xml:space="preserve"> a</w:t>
      </w:r>
      <w:r w:rsidR="004F3C97" w:rsidRPr="004C5551">
        <w:rPr>
          <w:color w:val="000000"/>
        </w:rPr>
        <w:t> </w:t>
      </w:r>
      <w:r w:rsidRPr="004C5551">
        <w:rPr>
          <w:color w:val="000000"/>
        </w:rPr>
        <w:t>38</w:t>
      </w:r>
      <w:r w:rsidR="004F3C97" w:rsidRPr="004C5551">
        <w:rPr>
          <w:color w:val="000000"/>
        </w:rPr>
        <w:t> </w:t>
      </w:r>
      <w:r w:rsidRPr="004C5551">
        <w:rPr>
          <w:color w:val="000000"/>
        </w:rPr>
        <w:t xml:space="preserve">projektov TA SR, v hodnote nenávratného finančného príspevku 53,51 mil. </w:t>
      </w:r>
      <w:r w:rsidR="000860E9" w:rsidRPr="004C5551">
        <w:rPr>
          <w:color w:val="000000"/>
        </w:rPr>
        <w:t>eur</w:t>
      </w:r>
      <w:r w:rsidRPr="004C5551">
        <w:rPr>
          <w:color w:val="000000"/>
        </w:rPr>
        <w:t xml:space="preserve">. </w:t>
      </w:r>
    </w:p>
    <w:p w:rsidR="007E10AC" w:rsidRPr="004C5551" w:rsidRDefault="007E10AC" w:rsidP="003B0E51">
      <w:pPr>
        <w:ind w:firstLine="431"/>
        <w:rPr>
          <w:color w:val="000000"/>
        </w:rPr>
      </w:pPr>
    </w:p>
    <w:p w:rsidR="007E10AC" w:rsidRPr="004C5551" w:rsidRDefault="007E10AC" w:rsidP="003B0E51">
      <w:pPr>
        <w:ind w:firstLine="431"/>
        <w:rPr>
          <w:color w:val="000000"/>
        </w:rPr>
      </w:pPr>
      <w:r w:rsidRPr="004C5551">
        <w:rPr>
          <w:color w:val="000000"/>
        </w:rPr>
        <w:t>Z celkového počtu projektov bolo 120 národných projektov (NP)</w:t>
      </w:r>
      <w:r w:rsidR="00170F9A" w:rsidRPr="004C5551">
        <w:rPr>
          <w:color w:val="000000"/>
        </w:rPr>
        <w:t>.</w:t>
      </w:r>
      <w:r w:rsidRPr="004C5551">
        <w:rPr>
          <w:color w:val="000000"/>
        </w:rPr>
        <w:t xml:space="preserve"> Tieto sú administrované prostredníctvom riadiaceho orgánu. </w:t>
      </w:r>
    </w:p>
    <w:p w:rsidR="007E10AC" w:rsidRPr="004C5551" w:rsidRDefault="00007959" w:rsidP="003B0E51">
      <w:pPr>
        <w:ind w:firstLine="431"/>
        <w:rPr>
          <w:color w:val="000000"/>
        </w:rPr>
      </w:pPr>
      <w:proofErr w:type="spellStart"/>
      <w:r w:rsidRPr="004C5551">
        <w:rPr>
          <w:color w:val="000000"/>
        </w:rPr>
        <w:t>Dopytovo-orientovaných</w:t>
      </w:r>
      <w:proofErr w:type="spellEnd"/>
      <w:r w:rsidRPr="004C5551">
        <w:rPr>
          <w:color w:val="000000"/>
        </w:rPr>
        <w:t xml:space="preserve"> projektov (DOP) bolo 1 392</w:t>
      </w:r>
      <w:r w:rsidR="007E10AC" w:rsidRPr="004C5551">
        <w:rPr>
          <w:color w:val="000000"/>
        </w:rPr>
        <w:t xml:space="preserve">. DOP projekty sú administrované sprostredkovateľským orgánom pod riadiacim orgánom. Do 31.3.2014 to boli Fond sociálneho rozvoja (FSR) a Sociálna implementačná agentúra (SIA), k 1.4.2014 sa zlúčili do jedného útvaru </w:t>
      </w:r>
      <w:r w:rsidR="00997F08" w:rsidRPr="004C5551">
        <w:rPr>
          <w:color w:val="000000"/>
        </w:rPr>
        <w:t xml:space="preserve">s názvom </w:t>
      </w:r>
      <w:r w:rsidR="007E10AC" w:rsidRPr="004C5551">
        <w:rPr>
          <w:color w:val="000000"/>
        </w:rPr>
        <w:t xml:space="preserve">Implementačná agentúra Zamestnanosť a sociálna inklúzia (IA </w:t>
      </w:r>
      <w:proofErr w:type="spellStart"/>
      <w:r w:rsidR="007E10AC" w:rsidRPr="004C5551">
        <w:rPr>
          <w:color w:val="000000"/>
        </w:rPr>
        <w:t>ZaSI</w:t>
      </w:r>
      <w:proofErr w:type="spellEnd"/>
      <w:r w:rsidR="007E10AC" w:rsidRPr="004C5551">
        <w:rPr>
          <w:color w:val="000000"/>
        </w:rPr>
        <w:t xml:space="preserve">). </w:t>
      </w:r>
    </w:p>
    <w:p w:rsidR="007E10AC" w:rsidRPr="004C5551" w:rsidRDefault="007E10AC" w:rsidP="007E10AC">
      <w:pPr>
        <w:pStyle w:val="Nadpis7"/>
        <w:rPr>
          <w:bCs/>
        </w:rPr>
      </w:pPr>
      <w:r w:rsidRPr="004C5551">
        <w:rPr>
          <w:bCs/>
        </w:rPr>
        <w:t>Graf 3.2</w:t>
      </w:r>
      <w:r w:rsidR="009B7B4B" w:rsidRPr="004C5551">
        <w:rPr>
          <w:bCs/>
        </w:rPr>
        <w:t>4</w:t>
      </w:r>
      <w:r w:rsidRPr="004C5551">
        <w:rPr>
          <w:bCs/>
        </w:rPr>
        <w:t xml:space="preserve"> Čerpanie prostriedkov Národného strategického referenčného rámca k 31.12.2014</w:t>
      </w:r>
    </w:p>
    <w:p w:rsidR="007E10AC" w:rsidRPr="004C5551" w:rsidRDefault="007E10AC" w:rsidP="009C7274">
      <w:pPr>
        <w:ind w:left="-567"/>
        <w:jc w:val="center"/>
      </w:pPr>
      <w:r w:rsidRPr="004C5551">
        <w:rPr>
          <w:noProof/>
        </w:rPr>
        <w:drawing>
          <wp:inline distT="0" distB="0" distL="0" distR="0" wp14:anchorId="5833660E" wp14:editId="46DF1BD3">
            <wp:extent cx="6362700" cy="3324225"/>
            <wp:effectExtent l="0" t="0" r="0" b="0"/>
            <wp:docPr id="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E10AC" w:rsidRPr="004C5551" w:rsidRDefault="007E10AC" w:rsidP="009C7274">
      <w:pPr>
        <w:pStyle w:val="zdroj"/>
        <w:rPr>
          <w:lang w:eastAsia="cs-CZ"/>
        </w:rPr>
      </w:pPr>
      <w:r w:rsidRPr="004C5551">
        <w:rPr>
          <w:lang w:eastAsia="cs-CZ"/>
        </w:rPr>
        <w:t>Zdroj:</w:t>
      </w:r>
      <w:r w:rsidR="004A5701" w:rsidRPr="004C5551">
        <w:rPr>
          <w:lang w:eastAsia="cs-CZ"/>
        </w:rPr>
        <w:t xml:space="preserve"> </w:t>
      </w:r>
      <w:r w:rsidRPr="004C5551">
        <w:rPr>
          <w:lang w:eastAsia="cs-CZ"/>
        </w:rPr>
        <w:t>MF SR (čerpanie očistené o nezrovnalosti)</w:t>
      </w:r>
    </w:p>
    <w:p w:rsidR="009F622A" w:rsidRPr="004C5551" w:rsidRDefault="009F622A" w:rsidP="009F622A">
      <w:pPr>
        <w:jc w:val="left"/>
        <w:rPr>
          <w:bCs/>
          <w:i/>
          <w:iCs/>
          <w:color w:val="000000"/>
          <w:sz w:val="20"/>
          <w:szCs w:val="20"/>
          <w:lang w:eastAsia="cs-CZ"/>
        </w:rPr>
      </w:pPr>
    </w:p>
    <w:p w:rsidR="007E10AC" w:rsidRPr="004C5551" w:rsidRDefault="007E10AC" w:rsidP="003B0E51">
      <w:pPr>
        <w:ind w:firstLine="431"/>
        <w:rPr>
          <w:b/>
          <w:bCs/>
          <w:iCs/>
          <w:color w:val="000000"/>
          <w:lang w:eastAsia="cs-CZ"/>
        </w:rPr>
      </w:pPr>
      <w:bookmarkStart w:id="718" w:name="_Toc325438271"/>
      <w:bookmarkStart w:id="719" w:name="_Toc325441014"/>
      <w:bookmarkStart w:id="720" w:name="_Toc325626826"/>
      <w:bookmarkStart w:id="721" w:name="_Toc326217087"/>
      <w:bookmarkStart w:id="722" w:name="_Toc356482759"/>
      <w:bookmarkEnd w:id="713"/>
      <w:bookmarkEnd w:id="714"/>
      <w:bookmarkEnd w:id="715"/>
      <w:bookmarkEnd w:id="716"/>
      <w:bookmarkEnd w:id="717"/>
      <w:r w:rsidRPr="004C5551">
        <w:t xml:space="preserve">Operačný program </w:t>
      </w:r>
      <w:r w:rsidRPr="004C5551">
        <w:rPr>
          <w:b/>
        </w:rPr>
        <w:t>Zamestnanosť a sociálna inklúzia</w:t>
      </w:r>
      <w:r w:rsidRPr="004C5551">
        <w:t xml:space="preserve"> má k 31.12.2014 podľa údajov MF SR tretie najvyššie čerpanie (po odrátaní nezrovnalostí) spomedzi všetkých jedenástich programov Národného strategického referenčného rámca (73,95</w:t>
      </w:r>
      <w:r w:rsidR="009425AA" w:rsidRPr="004C5551">
        <w:t> %</w:t>
      </w:r>
      <w:r w:rsidRPr="004C5551">
        <w:t xml:space="preserve"> z celkovej alokácie). Priemerné čerpanie všetkých programov je pritom 64,66</w:t>
      </w:r>
      <w:r w:rsidR="009425AA" w:rsidRPr="004C5551">
        <w:t> %</w:t>
      </w:r>
      <w:r w:rsidRPr="004C5551">
        <w:t xml:space="preserve">. </w:t>
      </w:r>
    </w:p>
    <w:p w:rsidR="007E10AC" w:rsidRPr="004C5551" w:rsidRDefault="007E10AC" w:rsidP="003B0E51">
      <w:pPr>
        <w:pStyle w:val="Nadpis7"/>
      </w:pPr>
      <w:r w:rsidRPr="004C5551">
        <w:rPr>
          <w:bCs/>
          <w:iCs/>
          <w:lang w:eastAsia="cs-CZ"/>
        </w:rPr>
        <w:t>Tabuľka 3.3</w:t>
      </w:r>
      <w:r w:rsidR="009B7B4B" w:rsidRPr="004C5551">
        <w:rPr>
          <w:bCs/>
          <w:iCs/>
          <w:lang w:eastAsia="cs-CZ"/>
        </w:rPr>
        <w:t>1</w:t>
      </w:r>
      <w:r w:rsidRPr="004C5551">
        <w:rPr>
          <w:bCs/>
          <w:iCs/>
          <w:lang w:eastAsia="cs-CZ"/>
        </w:rPr>
        <w:t xml:space="preserve"> </w:t>
      </w:r>
      <w:r w:rsidRPr="004C5551">
        <w:t xml:space="preserve">Stav </w:t>
      </w:r>
      <w:proofErr w:type="spellStart"/>
      <w:r w:rsidRPr="004C5551">
        <w:t>zazmluvnenia</w:t>
      </w:r>
      <w:proofErr w:type="spellEnd"/>
      <w:r w:rsidRPr="004C5551">
        <w:t xml:space="preserve"> podľa prioritných osí OP </w:t>
      </w:r>
      <w:proofErr w:type="spellStart"/>
      <w:r w:rsidRPr="004C5551">
        <w:rPr>
          <w:lang w:eastAsia="en-GB"/>
        </w:rPr>
        <w:t>ZaSI</w:t>
      </w:r>
      <w:proofErr w:type="spellEnd"/>
      <w:r w:rsidRPr="004C5551">
        <w:t xml:space="preserve"> k 31.12.2014</w:t>
      </w:r>
    </w:p>
    <w:tbl>
      <w:tblPr>
        <w:tblW w:w="8883" w:type="dxa"/>
        <w:tblInd w:w="10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0A0" w:firstRow="1" w:lastRow="0" w:firstColumn="1" w:lastColumn="0" w:noHBand="0" w:noVBand="0"/>
      </w:tblPr>
      <w:tblGrid>
        <w:gridCol w:w="2670"/>
        <w:gridCol w:w="1486"/>
        <w:gridCol w:w="1350"/>
        <w:gridCol w:w="1351"/>
        <w:gridCol w:w="2026"/>
      </w:tblGrid>
      <w:tr w:rsidR="007E10AC" w:rsidRPr="004C5551" w:rsidTr="00B915AD">
        <w:trPr>
          <w:trHeight w:val="57"/>
        </w:trPr>
        <w:tc>
          <w:tcPr>
            <w:tcW w:w="2670" w:type="dxa"/>
            <w:vMerge w:val="restart"/>
            <w:shd w:val="clear" w:color="auto" w:fill="BF0000" w:themeFill="accent3" w:themeFillShade="BF"/>
            <w:vAlign w:val="center"/>
          </w:tcPr>
          <w:p w:rsidR="007E10AC" w:rsidRPr="004C5551" w:rsidRDefault="007E10AC" w:rsidP="00014525">
            <w:pPr>
              <w:jc w:val="center"/>
              <w:rPr>
                <w:b/>
                <w:color w:val="FFFFFF" w:themeColor="background1"/>
                <w:szCs w:val="18"/>
              </w:rPr>
            </w:pPr>
            <w:r w:rsidRPr="004C5551">
              <w:rPr>
                <w:b/>
                <w:color w:val="FFFFFF" w:themeColor="background1"/>
                <w:szCs w:val="18"/>
              </w:rPr>
              <w:t>Prioritná os</w:t>
            </w:r>
          </w:p>
        </w:tc>
        <w:tc>
          <w:tcPr>
            <w:tcW w:w="1486" w:type="dxa"/>
            <w:vMerge w:val="restart"/>
            <w:shd w:val="clear" w:color="auto" w:fill="BF0000" w:themeFill="accent3" w:themeFillShade="BF"/>
            <w:vAlign w:val="center"/>
          </w:tcPr>
          <w:p w:rsidR="007E10AC" w:rsidRPr="004C5551" w:rsidRDefault="007E10AC" w:rsidP="000860E9">
            <w:pPr>
              <w:jc w:val="center"/>
              <w:rPr>
                <w:b/>
                <w:color w:val="FFFFFF" w:themeColor="background1"/>
                <w:szCs w:val="18"/>
              </w:rPr>
            </w:pPr>
            <w:r w:rsidRPr="004C5551">
              <w:rPr>
                <w:b/>
                <w:color w:val="FFFFFF" w:themeColor="background1"/>
                <w:szCs w:val="18"/>
              </w:rPr>
              <w:t>Celková alokácia pre</w:t>
            </w:r>
            <w:r w:rsidR="000860E9" w:rsidRPr="004C5551">
              <w:rPr>
                <w:b/>
                <w:color w:val="FFFFFF" w:themeColor="background1"/>
                <w:szCs w:val="18"/>
              </w:rPr>
              <w:t> </w:t>
            </w:r>
            <w:r w:rsidRPr="004C5551">
              <w:rPr>
                <w:b/>
                <w:color w:val="FFFFFF" w:themeColor="background1"/>
                <w:szCs w:val="18"/>
              </w:rPr>
              <w:t>os v mil.</w:t>
            </w:r>
            <w:r w:rsidR="000860E9" w:rsidRPr="004C5551">
              <w:rPr>
                <w:b/>
                <w:color w:val="FFFFFF" w:themeColor="background1"/>
                <w:szCs w:val="18"/>
              </w:rPr>
              <w:t> €</w:t>
            </w:r>
          </w:p>
        </w:tc>
        <w:tc>
          <w:tcPr>
            <w:tcW w:w="2701" w:type="dxa"/>
            <w:gridSpan w:val="2"/>
            <w:shd w:val="clear" w:color="auto" w:fill="BF0000" w:themeFill="accent3" w:themeFillShade="BF"/>
            <w:vAlign w:val="center"/>
          </w:tcPr>
          <w:p w:rsidR="007E10AC" w:rsidRPr="004C5551" w:rsidRDefault="007E10AC" w:rsidP="00014525">
            <w:pPr>
              <w:jc w:val="center"/>
              <w:rPr>
                <w:b/>
                <w:color w:val="FFFFFF" w:themeColor="background1"/>
                <w:szCs w:val="18"/>
              </w:rPr>
            </w:pPr>
            <w:r w:rsidRPr="004C5551">
              <w:rPr>
                <w:b/>
                <w:color w:val="FFFFFF" w:themeColor="background1"/>
                <w:szCs w:val="18"/>
              </w:rPr>
              <w:t>Počet podporených projektov</w:t>
            </w:r>
          </w:p>
        </w:tc>
        <w:tc>
          <w:tcPr>
            <w:tcW w:w="2026" w:type="dxa"/>
            <w:vMerge w:val="restart"/>
            <w:shd w:val="clear" w:color="auto" w:fill="BF0000" w:themeFill="accent3" w:themeFillShade="BF"/>
            <w:vAlign w:val="center"/>
          </w:tcPr>
          <w:p w:rsidR="007E10AC" w:rsidRPr="004C5551" w:rsidRDefault="007E10AC" w:rsidP="000860E9">
            <w:pPr>
              <w:jc w:val="center"/>
              <w:rPr>
                <w:b/>
                <w:color w:val="FFFFFF" w:themeColor="background1"/>
                <w:szCs w:val="18"/>
              </w:rPr>
            </w:pPr>
            <w:r w:rsidRPr="004C5551">
              <w:rPr>
                <w:b/>
                <w:color w:val="FFFFFF" w:themeColor="background1"/>
                <w:szCs w:val="18"/>
              </w:rPr>
              <w:t xml:space="preserve">Výška kontrahovaných finančných prostriedkov </w:t>
            </w:r>
            <w:r w:rsidRPr="004C5551">
              <w:rPr>
                <w:b/>
                <w:color w:val="FFFFFF" w:themeColor="background1"/>
                <w:szCs w:val="18"/>
              </w:rPr>
              <w:br/>
              <w:t xml:space="preserve">v mil. </w:t>
            </w:r>
            <w:r w:rsidR="000860E9" w:rsidRPr="004C5551">
              <w:rPr>
                <w:b/>
                <w:color w:val="FFFFFF" w:themeColor="background1"/>
                <w:szCs w:val="18"/>
              </w:rPr>
              <w:t>€</w:t>
            </w:r>
          </w:p>
        </w:tc>
      </w:tr>
      <w:tr w:rsidR="007E10AC" w:rsidRPr="004C5551" w:rsidTr="000860E9">
        <w:trPr>
          <w:trHeight w:val="57"/>
        </w:trPr>
        <w:tc>
          <w:tcPr>
            <w:tcW w:w="2670" w:type="dxa"/>
            <w:vMerge/>
            <w:shd w:val="clear" w:color="auto" w:fill="FFFFFF"/>
          </w:tcPr>
          <w:p w:rsidR="007E10AC" w:rsidRPr="004C5551" w:rsidRDefault="007E10AC" w:rsidP="00014525">
            <w:pPr>
              <w:rPr>
                <w:szCs w:val="18"/>
              </w:rPr>
            </w:pPr>
          </w:p>
        </w:tc>
        <w:tc>
          <w:tcPr>
            <w:tcW w:w="1486" w:type="dxa"/>
            <w:vMerge/>
            <w:shd w:val="clear" w:color="auto" w:fill="FFFFFF"/>
          </w:tcPr>
          <w:p w:rsidR="007E10AC" w:rsidRPr="004C5551" w:rsidRDefault="007E10AC" w:rsidP="00014525">
            <w:pPr>
              <w:rPr>
                <w:szCs w:val="18"/>
              </w:rPr>
            </w:pPr>
          </w:p>
        </w:tc>
        <w:tc>
          <w:tcPr>
            <w:tcW w:w="1350" w:type="dxa"/>
            <w:shd w:val="clear" w:color="auto" w:fill="BF0000" w:themeFill="accent3" w:themeFillShade="BF"/>
            <w:vAlign w:val="center"/>
          </w:tcPr>
          <w:p w:rsidR="007E10AC" w:rsidRPr="004C5551" w:rsidRDefault="007E10AC" w:rsidP="000860E9">
            <w:pPr>
              <w:jc w:val="center"/>
              <w:rPr>
                <w:b/>
                <w:color w:val="FFFFFF" w:themeColor="background1"/>
                <w:szCs w:val="18"/>
              </w:rPr>
            </w:pPr>
            <w:r w:rsidRPr="004C5551">
              <w:rPr>
                <w:b/>
                <w:color w:val="FFFFFF" w:themeColor="background1"/>
                <w:szCs w:val="18"/>
              </w:rPr>
              <w:t>NP</w:t>
            </w:r>
          </w:p>
        </w:tc>
        <w:tc>
          <w:tcPr>
            <w:tcW w:w="1351" w:type="dxa"/>
            <w:shd w:val="clear" w:color="auto" w:fill="BF0000" w:themeFill="accent3" w:themeFillShade="BF"/>
            <w:vAlign w:val="center"/>
          </w:tcPr>
          <w:p w:rsidR="007E10AC" w:rsidRPr="004C5551" w:rsidRDefault="007E10AC" w:rsidP="000860E9">
            <w:pPr>
              <w:jc w:val="center"/>
              <w:rPr>
                <w:b/>
                <w:color w:val="FFFFFF" w:themeColor="background1"/>
                <w:szCs w:val="18"/>
              </w:rPr>
            </w:pPr>
            <w:r w:rsidRPr="004C5551">
              <w:rPr>
                <w:b/>
                <w:color w:val="FFFFFF" w:themeColor="background1"/>
                <w:szCs w:val="18"/>
              </w:rPr>
              <w:t>DOP</w:t>
            </w:r>
          </w:p>
        </w:tc>
        <w:tc>
          <w:tcPr>
            <w:tcW w:w="2026" w:type="dxa"/>
            <w:vMerge/>
            <w:shd w:val="clear" w:color="auto" w:fill="FFFFFF"/>
          </w:tcPr>
          <w:p w:rsidR="007E10AC" w:rsidRPr="004C5551" w:rsidRDefault="007E10AC" w:rsidP="00014525">
            <w:pPr>
              <w:rPr>
                <w:b/>
                <w:szCs w:val="18"/>
              </w:rPr>
            </w:pPr>
          </w:p>
        </w:tc>
      </w:tr>
      <w:tr w:rsidR="007E10AC" w:rsidRPr="004C5551" w:rsidTr="00B915AD">
        <w:trPr>
          <w:trHeight w:val="57"/>
        </w:trPr>
        <w:tc>
          <w:tcPr>
            <w:tcW w:w="2670" w:type="dxa"/>
            <w:shd w:val="clear" w:color="auto" w:fill="FFFFFF"/>
          </w:tcPr>
          <w:p w:rsidR="007E10AC" w:rsidRPr="004C5551" w:rsidRDefault="007E10AC" w:rsidP="00014525">
            <w:pPr>
              <w:rPr>
                <w:szCs w:val="18"/>
              </w:rPr>
            </w:pPr>
            <w:r w:rsidRPr="004C5551">
              <w:rPr>
                <w:szCs w:val="18"/>
              </w:rPr>
              <w:t>1. Podpora zamestnanosti</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770,45</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38</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486</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861,24</w:t>
            </w:r>
          </w:p>
        </w:tc>
      </w:tr>
      <w:tr w:rsidR="007E10AC" w:rsidRPr="004C5551" w:rsidTr="00B915AD">
        <w:trPr>
          <w:trHeight w:val="57"/>
        </w:trPr>
        <w:tc>
          <w:tcPr>
            <w:tcW w:w="2670" w:type="dxa"/>
            <w:shd w:val="clear" w:color="auto" w:fill="FFFFFF"/>
          </w:tcPr>
          <w:p w:rsidR="007E10AC" w:rsidRPr="004C5551" w:rsidRDefault="007E10AC" w:rsidP="00014525">
            <w:pPr>
              <w:rPr>
                <w:szCs w:val="18"/>
              </w:rPr>
            </w:pPr>
            <w:r w:rsidRPr="004C5551">
              <w:rPr>
                <w:szCs w:val="18"/>
              </w:rPr>
              <w:t>2. Sociálna inklúzia</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204,94</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18</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749</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215,85</w:t>
            </w:r>
          </w:p>
        </w:tc>
      </w:tr>
      <w:tr w:rsidR="007E10AC" w:rsidRPr="004C5551" w:rsidTr="00B915AD">
        <w:trPr>
          <w:trHeight w:val="57"/>
        </w:trPr>
        <w:tc>
          <w:tcPr>
            <w:tcW w:w="2670" w:type="dxa"/>
            <w:shd w:val="clear" w:color="auto" w:fill="FFFFFF"/>
          </w:tcPr>
          <w:p w:rsidR="007E10AC" w:rsidRPr="004C5551" w:rsidRDefault="007E10AC" w:rsidP="00014525">
            <w:pPr>
              <w:ind w:left="240" w:hanging="240"/>
              <w:rPr>
                <w:szCs w:val="18"/>
              </w:rPr>
            </w:pPr>
            <w:r w:rsidRPr="004C5551">
              <w:rPr>
                <w:szCs w:val="18"/>
              </w:rPr>
              <w:t>3. BSK + Technická pomoc BSK</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20,94</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41+15 TA</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26</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20,90</w:t>
            </w:r>
          </w:p>
        </w:tc>
      </w:tr>
      <w:tr w:rsidR="007E10AC" w:rsidRPr="004C5551" w:rsidTr="00B915AD">
        <w:trPr>
          <w:trHeight w:val="57"/>
        </w:trPr>
        <w:tc>
          <w:tcPr>
            <w:tcW w:w="2670" w:type="dxa"/>
            <w:shd w:val="clear" w:color="auto" w:fill="FFFFFF"/>
          </w:tcPr>
          <w:p w:rsidR="007E10AC" w:rsidRPr="004C5551" w:rsidRDefault="007E10AC" w:rsidP="00014525">
            <w:pPr>
              <w:rPr>
                <w:szCs w:val="18"/>
              </w:rPr>
            </w:pPr>
            <w:r w:rsidRPr="004C5551">
              <w:rPr>
                <w:szCs w:val="18"/>
              </w:rPr>
              <w:t>4. Budovanie kapacít</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67,61</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23</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131</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61,50</w:t>
            </w:r>
          </w:p>
        </w:tc>
      </w:tr>
      <w:tr w:rsidR="007E10AC" w:rsidRPr="004C5551" w:rsidTr="00B915AD">
        <w:trPr>
          <w:trHeight w:val="57"/>
        </w:trPr>
        <w:tc>
          <w:tcPr>
            <w:tcW w:w="2670" w:type="dxa"/>
            <w:shd w:val="clear" w:color="auto" w:fill="FFFFFF"/>
          </w:tcPr>
          <w:p w:rsidR="007E10AC" w:rsidRPr="004C5551" w:rsidRDefault="007E10AC" w:rsidP="00014525">
            <w:pPr>
              <w:rPr>
                <w:szCs w:val="18"/>
              </w:rPr>
            </w:pPr>
            <w:r w:rsidRPr="004C5551">
              <w:rPr>
                <w:szCs w:val="18"/>
              </w:rPr>
              <w:t>5. Technická asistencia</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43,46</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38</w:t>
            </w:r>
            <w:r w:rsidR="00D57F33" w:rsidRPr="004C5551">
              <w:rPr>
                <w:color w:val="000000"/>
                <w:szCs w:val="18"/>
              </w:rPr>
              <w:t xml:space="preserve"> TA</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0</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53,51</w:t>
            </w:r>
          </w:p>
        </w:tc>
      </w:tr>
      <w:tr w:rsidR="007E10AC" w:rsidRPr="004C5551" w:rsidTr="00B915AD">
        <w:trPr>
          <w:trHeight w:val="57"/>
        </w:trPr>
        <w:tc>
          <w:tcPr>
            <w:tcW w:w="2670" w:type="dxa"/>
            <w:shd w:val="clear" w:color="auto" w:fill="FFFFFF"/>
          </w:tcPr>
          <w:p w:rsidR="007E10AC" w:rsidRPr="004C5551" w:rsidRDefault="007E10AC" w:rsidP="00014525">
            <w:pPr>
              <w:rPr>
                <w:szCs w:val="18"/>
              </w:rPr>
            </w:pPr>
            <w:r w:rsidRPr="004C5551">
              <w:rPr>
                <w:szCs w:val="18"/>
              </w:rPr>
              <w:t>Spolu</w:t>
            </w:r>
          </w:p>
        </w:tc>
        <w:tc>
          <w:tcPr>
            <w:tcW w:w="1486" w:type="dxa"/>
            <w:shd w:val="clear" w:color="auto" w:fill="FFFFFF"/>
            <w:vAlign w:val="center"/>
          </w:tcPr>
          <w:p w:rsidR="007E10AC" w:rsidRPr="004C5551" w:rsidRDefault="007E10AC" w:rsidP="004F3C97">
            <w:pPr>
              <w:ind w:right="79"/>
              <w:jc w:val="right"/>
              <w:rPr>
                <w:color w:val="000000"/>
                <w:szCs w:val="18"/>
              </w:rPr>
            </w:pPr>
            <w:r w:rsidRPr="004C5551">
              <w:rPr>
                <w:color w:val="000000"/>
                <w:szCs w:val="18"/>
              </w:rPr>
              <w:t>1 107,40</w:t>
            </w:r>
          </w:p>
        </w:tc>
        <w:tc>
          <w:tcPr>
            <w:tcW w:w="1350" w:type="dxa"/>
            <w:shd w:val="clear" w:color="auto" w:fill="FFFFFF"/>
            <w:vAlign w:val="center"/>
          </w:tcPr>
          <w:p w:rsidR="007E10AC" w:rsidRPr="004C5551" w:rsidRDefault="007E10AC" w:rsidP="00014525">
            <w:pPr>
              <w:jc w:val="right"/>
              <w:rPr>
                <w:color w:val="000000"/>
                <w:szCs w:val="18"/>
              </w:rPr>
            </w:pPr>
            <w:r w:rsidRPr="004C5551">
              <w:rPr>
                <w:color w:val="000000"/>
                <w:szCs w:val="18"/>
              </w:rPr>
              <w:t>120+53 TA</w:t>
            </w:r>
          </w:p>
        </w:tc>
        <w:tc>
          <w:tcPr>
            <w:tcW w:w="1351" w:type="dxa"/>
            <w:shd w:val="clear" w:color="auto" w:fill="FFFFFF"/>
            <w:vAlign w:val="center"/>
          </w:tcPr>
          <w:p w:rsidR="007E10AC" w:rsidRPr="004C5551" w:rsidRDefault="007E10AC" w:rsidP="004F3C97">
            <w:pPr>
              <w:ind w:right="228"/>
              <w:jc w:val="right"/>
              <w:rPr>
                <w:color w:val="000000"/>
                <w:szCs w:val="18"/>
              </w:rPr>
            </w:pPr>
            <w:r w:rsidRPr="004C5551">
              <w:rPr>
                <w:color w:val="000000"/>
                <w:szCs w:val="18"/>
              </w:rPr>
              <w:t>1392</w:t>
            </w:r>
          </w:p>
        </w:tc>
        <w:tc>
          <w:tcPr>
            <w:tcW w:w="2026" w:type="dxa"/>
            <w:shd w:val="clear" w:color="auto" w:fill="FFFFFF"/>
            <w:vAlign w:val="center"/>
          </w:tcPr>
          <w:p w:rsidR="007E10AC" w:rsidRPr="004C5551" w:rsidRDefault="007E10AC" w:rsidP="004F3C97">
            <w:pPr>
              <w:ind w:right="270"/>
              <w:jc w:val="right"/>
              <w:rPr>
                <w:color w:val="000000"/>
                <w:szCs w:val="18"/>
              </w:rPr>
            </w:pPr>
            <w:r w:rsidRPr="004C5551">
              <w:rPr>
                <w:color w:val="000000"/>
                <w:szCs w:val="18"/>
              </w:rPr>
              <w:t>1 213,00</w:t>
            </w:r>
          </w:p>
        </w:tc>
      </w:tr>
    </w:tbl>
    <w:p w:rsidR="007E10AC" w:rsidRPr="004C5551" w:rsidRDefault="007E10AC" w:rsidP="00B915AD">
      <w:pPr>
        <w:pStyle w:val="zdroj"/>
        <w:ind w:left="142" w:firstLine="0"/>
      </w:pPr>
      <w:r w:rsidRPr="004C5551">
        <w:t xml:space="preserve">Zdroj: RO pre OP </w:t>
      </w:r>
      <w:proofErr w:type="spellStart"/>
      <w:r w:rsidRPr="004C5551">
        <w:t>ZaSI</w:t>
      </w:r>
      <w:proofErr w:type="spellEnd"/>
      <w:r w:rsidRPr="004C5551">
        <w:t>/ ITMS (po odpočítaní mimoriadne ukončených projektov a projektov s následníkom)</w:t>
      </w:r>
    </w:p>
    <w:p w:rsidR="007E10AC" w:rsidRPr="004C5551" w:rsidRDefault="009F622A" w:rsidP="00B915AD">
      <w:pPr>
        <w:pStyle w:val="Nadpis7"/>
      </w:pPr>
      <w:r w:rsidRPr="004C5551">
        <w:br w:type="page"/>
      </w:r>
    </w:p>
    <w:p w:rsidR="009F622A" w:rsidRPr="004C5551" w:rsidRDefault="005F2A7C" w:rsidP="00D32C13">
      <w:pPr>
        <w:pStyle w:val="Nadpis7"/>
      </w:pPr>
      <w:r w:rsidRPr="004C5551">
        <w:t xml:space="preserve">Graf </w:t>
      </w:r>
      <w:r w:rsidR="009F622A" w:rsidRPr="004C5551">
        <w:t>3.2</w:t>
      </w:r>
      <w:r w:rsidR="009B7B4B" w:rsidRPr="004C5551">
        <w:t>5</w:t>
      </w:r>
      <w:r w:rsidR="009F622A" w:rsidRPr="004C5551">
        <w:t xml:space="preserve"> Stav </w:t>
      </w:r>
      <w:proofErr w:type="spellStart"/>
      <w:r w:rsidR="009F622A" w:rsidRPr="004C5551">
        <w:t>zazmluvnenia</w:t>
      </w:r>
      <w:proofErr w:type="spellEnd"/>
      <w:r w:rsidR="00D6189A" w:rsidRPr="004C5551">
        <w:t xml:space="preserve"> (čerpania)</w:t>
      </w:r>
      <w:r w:rsidR="009F622A" w:rsidRPr="004C5551">
        <w:t xml:space="preserve"> projektov OP </w:t>
      </w:r>
      <w:proofErr w:type="spellStart"/>
      <w:r w:rsidR="009F622A" w:rsidRPr="004C5551">
        <w:t>ZaSI</w:t>
      </w:r>
      <w:proofErr w:type="spellEnd"/>
      <w:r w:rsidR="009F622A" w:rsidRPr="004C5551">
        <w:t xml:space="preserve"> podľa samosprávnych krajov</w:t>
      </w:r>
      <w:bookmarkEnd w:id="718"/>
      <w:bookmarkEnd w:id="719"/>
      <w:bookmarkEnd w:id="720"/>
      <w:bookmarkEnd w:id="721"/>
      <w:r w:rsidR="009F622A" w:rsidRPr="004C5551">
        <w:t xml:space="preserve"> k 31.12.201</w:t>
      </w:r>
      <w:bookmarkEnd w:id="722"/>
      <w:r w:rsidR="00D32C13" w:rsidRPr="004C5551">
        <w:t>4</w:t>
      </w:r>
      <w:r w:rsidR="00D6189A" w:rsidRPr="004C5551">
        <w:t xml:space="preserve"> za E</w:t>
      </w:r>
      <w:r w:rsidR="00D40CFE" w:rsidRPr="004C5551">
        <w:t>Ú</w:t>
      </w:r>
      <w:r w:rsidR="00D6189A" w:rsidRPr="004C5551">
        <w:t xml:space="preserve"> zdroje).</w:t>
      </w:r>
    </w:p>
    <w:p w:rsidR="009F622A" w:rsidRPr="004C5551" w:rsidRDefault="002D1AA0" w:rsidP="009F622A">
      <w:pPr>
        <w:rPr>
          <w:i/>
          <w:color w:val="00B050"/>
        </w:rPr>
      </w:pPr>
      <w:r w:rsidRPr="004C5551">
        <w:rPr>
          <w:i/>
          <w:noProof/>
          <w:color w:val="00B050"/>
        </w:rPr>
        <w:drawing>
          <wp:inline distT="0" distB="0" distL="0" distR="0" wp14:anchorId="783B4757" wp14:editId="152CBEB5">
            <wp:extent cx="5628408" cy="2808000"/>
            <wp:effectExtent l="0" t="0" r="0" b="0"/>
            <wp:docPr id="2070" name="Obrázo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 mapa s popiso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28408" cy="2808000"/>
                    </a:xfrm>
                    <a:prstGeom prst="rect">
                      <a:avLst/>
                    </a:prstGeom>
                  </pic:spPr>
                </pic:pic>
              </a:graphicData>
            </a:graphic>
          </wp:inline>
        </w:drawing>
      </w:r>
    </w:p>
    <w:p w:rsidR="00D32C13" w:rsidRPr="004C5551" w:rsidRDefault="009F622A" w:rsidP="00D32C13">
      <w:pPr>
        <w:pStyle w:val="zdroj"/>
        <w:spacing w:before="0" w:after="0"/>
      </w:pPr>
      <w:r w:rsidRPr="004C5551">
        <w:t xml:space="preserve">Zdroj: RO pre OP </w:t>
      </w:r>
      <w:proofErr w:type="spellStart"/>
      <w:r w:rsidRPr="004C5551">
        <w:t>ZaSI</w:t>
      </w:r>
      <w:proofErr w:type="spellEnd"/>
      <w:r w:rsidRPr="004C5551">
        <w:t>/ ITMS</w:t>
      </w:r>
    </w:p>
    <w:p w:rsidR="00D32C13" w:rsidRPr="004C5551" w:rsidRDefault="00D32C13" w:rsidP="00D32C13">
      <w:pPr>
        <w:pStyle w:val="zdroj"/>
        <w:spacing w:before="0"/>
      </w:pPr>
      <w:r w:rsidRPr="004C5551">
        <w:t>(po odrátaní mimoriadne ukončených projektov a zdvojených dát projektov s následníkom)</w:t>
      </w:r>
    </w:p>
    <w:p w:rsidR="00D6189A" w:rsidRPr="004C5551" w:rsidRDefault="00D6189A" w:rsidP="009B7B4B">
      <w:pPr>
        <w:pStyle w:val="Nadpis7"/>
        <w:rPr>
          <w:color w:val="000000"/>
          <w:sz w:val="24"/>
        </w:rPr>
      </w:pPr>
      <w:r w:rsidRPr="004C5551">
        <w:rPr>
          <w:color w:val="000000"/>
        </w:rPr>
        <w:t>Tabuľka 3.3</w:t>
      </w:r>
      <w:r w:rsidR="009B7B4B" w:rsidRPr="004C5551">
        <w:rPr>
          <w:color w:val="000000"/>
        </w:rPr>
        <w:t>2</w:t>
      </w:r>
      <w:r w:rsidRPr="004C5551">
        <w:rPr>
          <w:color w:val="000000"/>
        </w:rPr>
        <w:t xml:space="preserve"> Stav </w:t>
      </w:r>
      <w:proofErr w:type="spellStart"/>
      <w:r w:rsidRPr="004C5551">
        <w:rPr>
          <w:color w:val="000000"/>
        </w:rPr>
        <w:t>zazmluvnenia</w:t>
      </w:r>
      <w:proofErr w:type="spellEnd"/>
      <w:r w:rsidRPr="004C5551">
        <w:rPr>
          <w:color w:val="000000"/>
        </w:rPr>
        <w:t xml:space="preserve"> projektov OP </w:t>
      </w:r>
      <w:proofErr w:type="spellStart"/>
      <w:r w:rsidRPr="004C5551">
        <w:rPr>
          <w:color w:val="000000"/>
        </w:rPr>
        <w:t>ZaSI</w:t>
      </w:r>
      <w:proofErr w:type="spellEnd"/>
      <w:r w:rsidRPr="004C5551">
        <w:rPr>
          <w:color w:val="000000"/>
        </w:rPr>
        <w:t xml:space="preserve"> podľa samosprávnych krajov k 31.12.2014*</w:t>
      </w:r>
    </w:p>
    <w:tbl>
      <w:tblPr>
        <w:tblW w:w="9227" w:type="dxa"/>
        <w:tblInd w:w="-137"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CellMar>
          <w:left w:w="0" w:type="dxa"/>
          <w:right w:w="0" w:type="dxa"/>
        </w:tblCellMar>
        <w:tblLook w:val="04A0" w:firstRow="1" w:lastRow="0" w:firstColumn="1" w:lastColumn="0" w:noHBand="0" w:noVBand="1"/>
      </w:tblPr>
      <w:tblGrid>
        <w:gridCol w:w="712"/>
        <w:gridCol w:w="3350"/>
        <w:gridCol w:w="1325"/>
        <w:gridCol w:w="1953"/>
        <w:gridCol w:w="1887"/>
      </w:tblGrid>
      <w:tr w:rsidR="004F3C97" w:rsidRPr="004C5551" w:rsidTr="003D2265">
        <w:trPr>
          <w:trHeight w:val="270"/>
        </w:trPr>
        <w:tc>
          <w:tcPr>
            <w:tcW w:w="712" w:type="dxa"/>
            <w:shd w:val="clear" w:color="auto" w:fill="BF0000" w:themeFill="accent3" w:themeFillShade="BF"/>
            <w:vAlign w:val="center"/>
          </w:tcPr>
          <w:p w:rsidR="00D6189A" w:rsidRPr="004C5551" w:rsidRDefault="00D6189A" w:rsidP="00C511E1">
            <w:pPr>
              <w:jc w:val="center"/>
              <w:rPr>
                <w:b/>
                <w:bCs/>
                <w:color w:val="FFFFFF" w:themeColor="background1"/>
                <w:szCs w:val="22"/>
              </w:rPr>
            </w:pPr>
            <w:r w:rsidRPr="004C5551">
              <w:rPr>
                <w:b/>
                <w:bCs/>
                <w:color w:val="FFFFFF" w:themeColor="background1"/>
                <w:szCs w:val="22"/>
              </w:rPr>
              <w:t> </w:t>
            </w:r>
          </w:p>
        </w:tc>
        <w:tc>
          <w:tcPr>
            <w:tcW w:w="3350" w:type="dxa"/>
            <w:shd w:val="clear" w:color="auto" w:fill="BF0000" w:themeFill="accent3" w:themeFillShade="BF"/>
            <w:noWrap/>
            <w:tcMar>
              <w:top w:w="15" w:type="dxa"/>
              <w:left w:w="15" w:type="dxa"/>
              <w:bottom w:w="0" w:type="dxa"/>
              <w:right w:w="15" w:type="dxa"/>
            </w:tcMar>
            <w:vAlign w:val="center"/>
            <w:hideMark/>
          </w:tcPr>
          <w:p w:rsidR="00D6189A" w:rsidRPr="004C5551" w:rsidRDefault="00D6189A" w:rsidP="00C511E1">
            <w:pPr>
              <w:jc w:val="center"/>
              <w:rPr>
                <w:b/>
                <w:bCs/>
                <w:color w:val="FFFFFF" w:themeColor="background1"/>
                <w:szCs w:val="22"/>
              </w:rPr>
            </w:pPr>
            <w:r w:rsidRPr="004C5551">
              <w:rPr>
                <w:b/>
                <w:bCs/>
                <w:color w:val="FFFFFF" w:themeColor="background1"/>
                <w:szCs w:val="22"/>
              </w:rPr>
              <w:t>VÚC</w:t>
            </w:r>
          </w:p>
        </w:tc>
        <w:tc>
          <w:tcPr>
            <w:tcW w:w="1325" w:type="dxa"/>
            <w:shd w:val="clear" w:color="auto" w:fill="BF0000" w:themeFill="accent3" w:themeFillShade="BF"/>
            <w:noWrap/>
            <w:tcMar>
              <w:top w:w="15" w:type="dxa"/>
              <w:left w:w="15" w:type="dxa"/>
              <w:bottom w:w="0" w:type="dxa"/>
              <w:right w:w="15" w:type="dxa"/>
            </w:tcMar>
            <w:vAlign w:val="center"/>
            <w:hideMark/>
          </w:tcPr>
          <w:p w:rsidR="00D6189A" w:rsidRPr="004C5551" w:rsidRDefault="00D6189A" w:rsidP="00C511E1">
            <w:pPr>
              <w:jc w:val="center"/>
              <w:rPr>
                <w:b/>
                <w:bCs/>
                <w:color w:val="FFFFFF" w:themeColor="background1"/>
                <w:szCs w:val="22"/>
              </w:rPr>
            </w:pPr>
            <w:r w:rsidRPr="004C5551">
              <w:rPr>
                <w:b/>
                <w:bCs/>
                <w:color w:val="FFFFFF" w:themeColor="background1"/>
                <w:szCs w:val="22"/>
              </w:rPr>
              <w:t>počet projektov</w:t>
            </w:r>
          </w:p>
        </w:tc>
        <w:tc>
          <w:tcPr>
            <w:tcW w:w="1953" w:type="dxa"/>
            <w:shd w:val="clear" w:color="auto" w:fill="BF0000" w:themeFill="accent3" w:themeFillShade="BF"/>
            <w:noWrap/>
            <w:tcMar>
              <w:top w:w="15" w:type="dxa"/>
              <w:left w:w="15" w:type="dxa"/>
              <w:bottom w:w="0" w:type="dxa"/>
              <w:right w:w="15" w:type="dxa"/>
            </w:tcMar>
            <w:vAlign w:val="center"/>
            <w:hideMark/>
          </w:tcPr>
          <w:p w:rsidR="00D6189A" w:rsidRPr="004C5551" w:rsidRDefault="00D6189A" w:rsidP="004F3C97">
            <w:pPr>
              <w:jc w:val="center"/>
              <w:rPr>
                <w:b/>
                <w:bCs/>
                <w:color w:val="FFFFFF" w:themeColor="background1"/>
                <w:szCs w:val="22"/>
              </w:rPr>
            </w:pPr>
            <w:r w:rsidRPr="004C5551">
              <w:rPr>
                <w:b/>
                <w:bCs/>
                <w:color w:val="FFFFFF" w:themeColor="background1"/>
                <w:szCs w:val="22"/>
              </w:rPr>
              <w:t>Čerpanie (</w:t>
            </w:r>
            <w:r w:rsidR="004F3C97" w:rsidRPr="004C5551">
              <w:rPr>
                <w:b/>
                <w:bCs/>
                <w:color w:val="FFFFFF" w:themeColor="background1"/>
                <w:szCs w:val="22"/>
              </w:rPr>
              <w:t>€</w:t>
            </w:r>
            <w:r w:rsidRPr="004C5551">
              <w:rPr>
                <w:b/>
                <w:bCs/>
                <w:color w:val="FFFFFF" w:themeColor="background1"/>
                <w:szCs w:val="22"/>
              </w:rPr>
              <w:t>)</w:t>
            </w:r>
          </w:p>
        </w:tc>
        <w:tc>
          <w:tcPr>
            <w:tcW w:w="0" w:type="auto"/>
            <w:shd w:val="clear" w:color="auto" w:fill="BF0000" w:themeFill="accent3" w:themeFillShade="BF"/>
            <w:noWrap/>
            <w:tcMar>
              <w:top w:w="15" w:type="dxa"/>
              <w:left w:w="15" w:type="dxa"/>
              <w:bottom w:w="0" w:type="dxa"/>
              <w:right w:w="15" w:type="dxa"/>
            </w:tcMar>
            <w:vAlign w:val="center"/>
            <w:hideMark/>
          </w:tcPr>
          <w:p w:rsidR="00D6189A" w:rsidRPr="004C5551" w:rsidRDefault="004F3C97" w:rsidP="004F3C97">
            <w:pPr>
              <w:jc w:val="center"/>
              <w:rPr>
                <w:b/>
                <w:bCs/>
                <w:color w:val="FFFFFF" w:themeColor="background1"/>
                <w:szCs w:val="22"/>
              </w:rPr>
            </w:pPr>
            <w:proofErr w:type="spellStart"/>
            <w:r w:rsidRPr="004C5551">
              <w:rPr>
                <w:b/>
                <w:bCs/>
                <w:color w:val="FFFFFF" w:themeColor="background1"/>
                <w:szCs w:val="22"/>
              </w:rPr>
              <w:t>Zazmluvnenie</w:t>
            </w:r>
            <w:proofErr w:type="spellEnd"/>
            <w:r w:rsidRPr="004C5551">
              <w:rPr>
                <w:b/>
                <w:bCs/>
                <w:color w:val="FFFFFF" w:themeColor="background1"/>
                <w:szCs w:val="22"/>
              </w:rPr>
              <w:t xml:space="preserve"> (€</w:t>
            </w:r>
            <w:r w:rsidR="00D6189A" w:rsidRPr="004C5551">
              <w:rPr>
                <w:b/>
                <w:bCs/>
                <w:color w:val="FFFFFF" w:themeColor="background1"/>
                <w:szCs w:val="22"/>
              </w:rPr>
              <w:t>)</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BSK</w:t>
            </w:r>
          </w:p>
        </w:tc>
        <w:tc>
          <w:tcPr>
            <w:tcW w:w="3350" w:type="dxa"/>
            <w:shd w:val="clear" w:color="auto" w:fill="auto"/>
            <w:noWrap/>
            <w:tcMar>
              <w:top w:w="15" w:type="dxa"/>
              <w:left w:w="15" w:type="dxa"/>
              <w:bottom w:w="0" w:type="dxa"/>
              <w:right w:w="15" w:type="dxa"/>
            </w:tcMar>
            <w:vAlign w:val="center"/>
            <w:hideMark/>
          </w:tcPr>
          <w:p w:rsidR="00D6189A" w:rsidRPr="004C5551" w:rsidRDefault="00D6189A" w:rsidP="00C511E1">
            <w:pPr>
              <w:rPr>
                <w:color w:val="000000"/>
                <w:szCs w:val="22"/>
              </w:rPr>
            </w:pPr>
            <w:r w:rsidRPr="004C5551">
              <w:rPr>
                <w:color w:val="000000"/>
                <w:szCs w:val="22"/>
              </w:rPr>
              <w:t>Bratislavský kraj (vrátane TA BSK)</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82</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13 090 201,17</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17 766 471,70</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TSK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Trnavský kraj</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72</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6 169 746,25</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10 224 414,49</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TNSK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Trenčiansky kraj</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80</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8 644 709,29</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12 324 004,21</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NSK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 xml:space="preserve">Nitriansky kraj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130</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10 159 775,92</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15 742 286,18</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ZSK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 xml:space="preserve">Žilinský kraj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86</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8 341 983,65</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10 627 674,98</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BBSK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Banskobystrický kraj</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271</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18 557 243,14</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26 586 675,12</w:t>
            </w:r>
          </w:p>
        </w:tc>
      </w:tr>
      <w:tr w:rsidR="00D6189A" w:rsidRPr="004C5551" w:rsidTr="003D2265">
        <w:trPr>
          <w:trHeight w:val="270"/>
        </w:trPr>
        <w:tc>
          <w:tcPr>
            <w:tcW w:w="712" w:type="dxa"/>
            <w:vAlign w:val="center"/>
          </w:tcPr>
          <w:p w:rsidR="00D6189A" w:rsidRPr="004C5551" w:rsidRDefault="00D6189A" w:rsidP="00C511E1">
            <w:pPr>
              <w:rPr>
                <w:color w:val="000000"/>
                <w:szCs w:val="22"/>
              </w:rPr>
            </w:pPr>
            <w:r w:rsidRPr="004C5551">
              <w:rPr>
                <w:color w:val="000000"/>
                <w:szCs w:val="22"/>
              </w:rPr>
              <w:t>PSK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Prešovský kraj</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416</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27 255 193,62</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38 659 329,93</w:t>
            </w:r>
          </w:p>
        </w:tc>
      </w:tr>
      <w:tr w:rsidR="00D6189A" w:rsidRPr="004C5551" w:rsidTr="003D2265">
        <w:trPr>
          <w:trHeight w:val="270"/>
        </w:trPr>
        <w:tc>
          <w:tcPr>
            <w:tcW w:w="712" w:type="dxa"/>
            <w:tcBorders>
              <w:bottom w:val="single" w:sz="4" w:space="0" w:color="BF0000" w:themeColor="accent3" w:themeShade="BF"/>
            </w:tcBorders>
            <w:vAlign w:val="center"/>
          </w:tcPr>
          <w:p w:rsidR="00D6189A" w:rsidRPr="004C5551" w:rsidRDefault="00D6189A" w:rsidP="00C511E1">
            <w:pPr>
              <w:rPr>
                <w:color w:val="000000"/>
                <w:szCs w:val="22"/>
              </w:rPr>
            </w:pPr>
            <w:r w:rsidRPr="004C5551">
              <w:rPr>
                <w:color w:val="000000"/>
                <w:szCs w:val="22"/>
              </w:rPr>
              <w:t>KSK</w:t>
            </w:r>
          </w:p>
        </w:tc>
        <w:tc>
          <w:tcPr>
            <w:tcW w:w="3350" w:type="dxa"/>
            <w:shd w:val="clear" w:color="auto" w:fill="auto"/>
            <w:noWrap/>
            <w:tcMar>
              <w:top w:w="15" w:type="dxa"/>
              <w:left w:w="15" w:type="dxa"/>
              <w:bottom w:w="0" w:type="dxa"/>
              <w:right w:w="15" w:type="dxa"/>
            </w:tcMar>
            <w:vAlign w:val="center"/>
            <w:hideMark/>
          </w:tcPr>
          <w:p w:rsidR="00D6189A" w:rsidRPr="004C5551" w:rsidRDefault="004F3C97" w:rsidP="00C511E1">
            <w:pPr>
              <w:rPr>
                <w:color w:val="000000"/>
                <w:szCs w:val="22"/>
              </w:rPr>
            </w:pPr>
            <w:r w:rsidRPr="004C5551">
              <w:rPr>
                <w:color w:val="000000"/>
                <w:szCs w:val="22"/>
              </w:rPr>
              <w:t>Košický kraj</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217</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15 616 850,88</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25 162 523,45</w:t>
            </w:r>
          </w:p>
        </w:tc>
      </w:tr>
      <w:tr w:rsidR="00D6189A" w:rsidRPr="004C5551" w:rsidTr="003D2265">
        <w:trPr>
          <w:trHeight w:val="270"/>
        </w:trPr>
        <w:tc>
          <w:tcPr>
            <w:tcW w:w="712" w:type="dxa"/>
            <w:tcBorders>
              <w:bottom w:val="single" w:sz="4" w:space="0" w:color="BF0000" w:themeColor="accent3" w:themeShade="BF"/>
              <w:right w:val="nil"/>
            </w:tcBorders>
            <w:shd w:val="clear" w:color="auto" w:fill="auto"/>
            <w:vAlign w:val="center"/>
          </w:tcPr>
          <w:p w:rsidR="00D6189A" w:rsidRPr="004C5551" w:rsidRDefault="00D6189A" w:rsidP="00C511E1">
            <w:pPr>
              <w:rPr>
                <w:b/>
                <w:bCs/>
                <w:color w:val="000000"/>
                <w:szCs w:val="22"/>
              </w:rPr>
            </w:pPr>
            <w:r w:rsidRPr="004C5551">
              <w:rPr>
                <w:b/>
                <w:bCs/>
                <w:color w:val="000000"/>
                <w:szCs w:val="22"/>
              </w:rPr>
              <w:t> </w:t>
            </w:r>
          </w:p>
        </w:tc>
        <w:tc>
          <w:tcPr>
            <w:tcW w:w="3350" w:type="dxa"/>
            <w:tcBorders>
              <w:left w:val="nil"/>
              <w:bottom w:val="single" w:sz="4" w:space="0" w:color="BF0000" w:themeColor="accent3" w:themeShade="BF"/>
            </w:tcBorders>
            <w:shd w:val="clear" w:color="auto" w:fill="auto"/>
            <w:noWrap/>
            <w:tcMar>
              <w:top w:w="15" w:type="dxa"/>
              <w:left w:w="15" w:type="dxa"/>
              <w:bottom w:w="0" w:type="dxa"/>
              <w:right w:w="15" w:type="dxa"/>
            </w:tcMar>
            <w:vAlign w:val="center"/>
            <w:hideMark/>
          </w:tcPr>
          <w:p w:rsidR="00D6189A" w:rsidRPr="004C5551" w:rsidRDefault="00D6189A" w:rsidP="00C511E1">
            <w:pPr>
              <w:rPr>
                <w:b/>
                <w:bCs/>
                <w:color w:val="000000"/>
                <w:szCs w:val="22"/>
              </w:rPr>
            </w:pPr>
            <w:r w:rsidRPr="004C5551">
              <w:rPr>
                <w:b/>
                <w:bCs/>
                <w:color w:val="000000"/>
                <w:szCs w:val="22"/>
              </w:rPr>
              <w:t>Spolu zaradené</w:t>
            </w:r>
          </w:p>
        </w:tc>
        <w:tc>
          <w:tcPr>
            <w:tcW w:w="1325" w:type="dxa"/>
            <w:tcBorders>
              <w:bottom w:val="single" w:sz="4" w:space="0" w:color="BF0000" w:themeColor="accent3" w:themeShade="BF"/>
            </w:tcBorders>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b/>
                <w:bCs/>
                <w:color w:val="000000"/>
                <w:szCs w:val="22"/>
              </w:rPr>
            </w:pPr>
            <w:r w:rsidRPr="004C5551">
              <w:rPr>
                <w:b/>
                <w:bCs/>
                <w:color w:val="000000"/>
                <w:szCs w:val="22"/>
              </w:rPr>
              <w:t>1 354</w:t>
            </w:r>
          </w:p>
        </w:tc>
        <w:tc>
          <w:tcPr>
            <w:tcW w:w="1953" w:type="dxa"/>
            <w:tcBorders>
              <w:bottom w:val="single" w:sz="4" w:space="0" w:color="BF0000" w:themeColor="accent3" w:themeShade="BF"/>
            </w:tcBorders>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107 835 703,92</w:t>
            </w:r>
          </w:p>
        </w:tc>
        <w:tc>
          <w:tcPr>
            <w:tcW w:w="0" w:type="auto"/>
            <w:tcBorders>
              <w:bottom w:val="single" w:sz="4" w:space="0" w:color="BF0000" w:themeColor="accent3" w:themeShade="BF"/>
            </w:tcBorders>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b/>
                <w:bCs/>
                <w:color w:val="000000"/>
                <w:szCs w:val="22"/>
              </w:rPr>
            </w:pPr>
            <w:r w:rsidRPr="004C5551">
              <w:rPr>
                <w:b/>
                <w:bCs/>
                <w:color w:val="000000"/>
                <w:szCs w:val="22"/>
              </w:rPr>
              <w:t>157 093 380,06</w:t>
            </w:r>
          </w:p>
        </w:tc>
      </w:tr>
      <w:tr w:rsidR="004F3C97" w:rsidRPr="004C5551" w:rsidTr="003D2265">
        <w:trPr>
          <w:trHeight w:val="270"/>
        </w:trPr>
        <w:tc>
          <w:tcPr>
            <w:tcW w:w="9227" w:type="dxa"/>
            <w:gridSpan w:val="5"/>
            <w:shd w:val="clear" w:color="auto" w:fill="BF0000" w:themeFill="accent3" w:themeFillShade="BF"/>
            <w:vAlign w:val="center"/>
          </w:tcPr>
          <w:p w:rsidR="004F3C97" w:rsidRPr="004C5551" w:rsidRDefault="004F3C97" w:rsidP="00C511E1">
            <w:pPr>
              <w:rPr>
                <w:b/>
                <w:color w:val="FFFFFF" w:themeColor="background1"/>
                <w:szCs w:val="22"/>
              </w:rPr>
            </w:pPr>
            <w:r w:rsidRPr="004C5551">
              <w:rPr>
                <w:b/>
                <w:color w:val="FFFFFF" w:themeColor="background1"/>
                <w:szCs w:val="22"/>
              </w:rPr>
              <w:t>Projekty nezaradené podľa NUTS III</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4F3C97" w:rsidP="004F3C97">
            <w:pPr>
              <w:rPr>
                <w:color w:val="000000"/>
                <w:szCs w:val="22"/>
              </w:rPr>
            </w:pPr>
            <w:r w:rsidRPr="004C5551">
              <w:rPr>
                <w:color w:val="000000"/>
                <w:szCs w:val="22"/>
              </w:rPr>
              <w:t>NUTS 2 Stredné Slovensko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6</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868 538,03</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1 041 004,94</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4F3C97" w:rsidP="004F3C97">
            <w:pPr>
              <w:rPr>
                <w:color w:val="000000"/>
                <w:szCs w:val="22"/>
              </w:rPr>
            </w:pPr>
            <w:r w:rsidRPr="004C5551">
              <w:rPr>
                <w:color w:val="000000"/>
                <w:szCs w:val="22"/>
              </w:rPr>
              <w:t xml:space="preserve">NUTS 2 Východné Slovensko *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9</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1 062 115,99</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1 607 324,92</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4F3C97">
            <w:pPr>
              <w:rPr>
                <w:color w:val="000000"/>
                <w:szCs w:val="22"/>
              </w:rPr>
            </w:pPr>
            <w:r w:rsidRPr="004C5551">
              <w:rPr>
                <w:color w:val="000000"/>
                <w:szCs w:val="22"/>
              </w:rPr>
              <w:t xml:space="preserve">NUTS 2 Západné Slovensko *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4</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361 566,17</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684 796,29</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3D2265">
            <w:pPr>
              <w:rPr>
                <w:color w:val="000000"/>
                <w:szCs w:val="22"/>
              </w:rPr>
            </w:pPr>
            <w:r w:rsidRPr="004C5551">
              <w:rPr>
                <w:color w:val="000000"/>
                <w:szCs w:val="22"/>
              </w:rPr>
              <w:t xml:space="preserve">SLOVENSKÁ REPUBLIKA **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154</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568 868 082,83</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827 343 602,26</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C511E1">
            <w:pPr>
              <w:rPr>
                <w:color w:val="000000"/>
                <w:szCs w:val="22"/>
              </w:rPr>
            </w:pPr>
            <w:r w:rsidRPr="004C5551">
              <w:rPr>
                <w:color w:val="000000"/>
                <w:szCs w:val="22"/>
              </w:rPr>
              <w:t>TA SR</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color w:val="000000"/>
                <w:szCs w:val="22"/>
              </w:rPr>
            </w:pPr>
            <w:r w:rsidRPr="004C5551">
              <w:rPr>
                <w:color w:val="000000"/>
                <w:szCs w:val="22"/>
              </w:rPr>
              <w:t>38</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color w:val="000000"/>
                <w:szCs w:val="22"/>
              </w:rPr>
            </w:pPr>
            <w:r w:rsidRPr="004C5551">
              <w:rPr>
                <w:color w:val="000000"/>
                <w:szCs w:val="22"/>
              </w:rPr>
              <w:t>32 034 119,66</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color w:val="000000"/>
                <w:szCs w:val="22"/>
              </w:rPr>
            </w:pPr>
            <w:r w:rsidRPr="004C5551">
              <w:rPr>
                <w:color w:val="000000"/>
                <w:szCs w:val="22"/>
              </w:rPr>
              <w:t>45 486 433,02</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b/>
                <w:bCs/>
                <w:color w:val="000000"/>
                <w:szCs w:val="22"/>
              </w:rPr>
            </w:pPr>
            <w:r w:rsidRPr="004C5551">
              <w:rPr>
                <w:b/>
                <w:bCs/>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C511E1">
            <w:pPr>
              <w:rPr>
                <w:b/>
                <w:bCs/>
                <w:color w:val="000000"/>
                <w:szCs w:val="22"/>
              </w:rPr>
            </w:pPr>
            <w:r w:rsidRPr="004C5551">
              <w:rPr>
                <w:b/>
                <w:bCs/>
                <w:color w:val="000000"/>
                <w:szCs w:val="22"/>
              </w:rPr>
              <w:t>Spolu nezaradené</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b/>
                <w:bCs/>
                <w:color w:val="000000"/>
                <w:szCs w:val="22"/>
              </w:rPr>
            </w:pPr>
            <w:r w:rsidRPr="004C5551">
              <w:rPr>
                <w:b/>
                <w:bCs/>
                <w:color w:val="000000"/>
                <w:szCs w:val="22"/>
              </w:rPr>
              <w:t>211</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b/>
                <w:bCs/>
                <w:color w:val="000000"/>
                <w:szCs w:val="22"/>
              </w:rPr>
            </w:pPr>
            <w:r w:rsidRPr="004C5551">
              <w:rPr>
                <w:b/>
                <w:bCs/>
                <w:color w:val="000000"/>
                <w:szCs w:val="22"/>
              </w:rPr>
              <w:t>603 194 422,68</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b/>
                <w:bCs/>
                <w:color w:val="000000"/>
                <w:szCs w:val="22"/>
              </w:rPr>
            </w:pPr>
            <w:r w:rsidRPr="004C5551">
              <w:rPr>
                <w:b/>
                <w:bCs/>
                <w:color w:val="000000"/>
                <w:szCs w:val="22"/>
              </w:rPr>
              <w:t>876 163 161,43</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color w:val="000000"/>
                <w:szCs w:val="22"/>
              </w:rPr>
            </w:pPr>
            <w:r w:rsidRPr="004C5551">
              <w:rPr>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C511E1">
            <w:pPr>
              <w:rPr>
                <w:color w:val="000000"/>
                <w:szCs w:val="22"/>
              </w:rPr>
            </w:pPr>
            <w:r w:rsidRPr="004C5551">
              <w:rPr>
                <w:color w:val="000000"/>
                <w:szCs w:val="22"/>
              </w:rPr>
              <w:t> </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rPr>
                <w:color w:val="000000"/>
                <w:szCs w:val="22"/>
              </w:rPr>
            </w:pPr>
            <w:r w:rsidRPr="004C5551">
              <w:rPr>
                <w:color w:val="000000"/>
                <w:szCs w:val="22"/>
              </w:rPr>
              <w:t> </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rPr>
                <w:color w:val="000000"/>
                <w:szCs w:val="22"/>
              </w:rPr>
            </w:pPr>
            <w:r w:rsidRPr="004C5551">
              <w:rPr>
                <w:color w:val="000000"/>
                <w:szCs w:val="22"/>
              </w:rPr>
              <w:t> </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rPr>
                <w:color w:val="000000"/>
                <w:szCs w:val="22"/>
              </w:rPr>
            </w:pPr>
            <w:r w:rsidRPr="004C5551">
              <w:rPr>
                <w:color w:val="000000"/>
                <w:szCs w:val="22"/>
              </w:rPr>
              <w:t> </w:t>
            </w:r>
          </w:p>
        </w:tc>
      </w:tr>
      <w:tr w:rsidR="00D6189A" w:rsidRPr="004C5551" w:rsidTr="003D2265">
        <w:trPr>
          <w:trHeight w:val="270"/>
        </w:trPr>
        <w:tc>
          <w:tcPr>
            <w:tcW w:w="712" w:type="dxa"/>
            <w:tcBorders>
              <w:right w:val="nil"/>
            </w:tcBorders>
            <w:shd w:val="clear" w:color="auto" w:fill="auto"/>
            <w:vAlign w:val="center"/>
          </w:tcPr>
          <w:p w:rsidR="00D6189A" w:rsidRPr="004C5551" w:rsidRDefault="00D6189A" w:rsidP="00C511E1">
            <w:pPr>
              <w:rPr>
                <w:b/>
                <w:bCs/>
                <w:color w:val="000000"/>
                <w:szCs w:val="22"/>
              </w:rPr>
            </w:pPr>
            <w:r w:rsidRPr="004C5551">
              <w:rPr>
                <w:b/>
                <w:bCs/>
                <w:color w:val="000000"/>
                <w:szCs w:val="22"/>
              </w:rPr>
              <w:t> </w:t>
            </w:r>
          </w:p>
        </w:tc>
        <w:tc>
          <w:tcPr>
            <w:tcW w:w="3350" w:type="dxa"/>
            <w:tcBorders>
              <w:left w:val="nil"/>
            </w:tcBorders>
            <w:shd w:val="clear" w:color="auto" w:fill="auto"/>
            <w:noWrap/>
            <w:tcMar>
              <w:top w:w="15" w:type="dxa"/>
              <w:left w:w="15" w:type="dxa"/>
              <w:bottom w:w="0" w:type="dxa"/>
              <w:right w:w="15" w:type="dxa"/>
            </w:tcMar>
            <w:vAlign w:val="center"/>
            <w:hideMark/>
          </w:tcPr>
          <w:p w:rsidR="00D6189A" w:rsidRPr="004C5551" w:rsidRDefault="00D6189A" w:rsidP="00C511E1">
            <w:pPr>
              <w:rPr>
                <w:b/>
                <w:bCs/>
                <w:color w:val="000000"/>
                <w:szCs w:val="22"/>
              </w:rPr>
            </w:pPr>
            <w:r w:rsidRPr="004C5551">
              <w:rPr>
                <w:b/>
                <w:bCs/>
                <w:color w:val="000000"/>
                <w:szCs w:val="22"/>
              </w:rPr>
              <w:t>Spolu</w:t>
            </w:r>
          </w:p>
        </w:tc>
        <w:tc>
          <w:tcPr>
            <w:tcW w:w="1325" w:type="dxa"/>
            <w:shd w:val="clear" w:color="auto" w:fill="auto"/>
            <w:noWrap/>
            <w:tcMar>
              <w:top w:w="15" w:type="dxa"/>
              <w:left w:w="15" w:type="dxa"/>
              <w:bottom w:w="0" w:type="dxa"/>
              <w:right w:w="15" w:type="dxa"/>
            </w:tcMar>
            <w:vAlign w:val="center"/>
            <w:hideMark/>
          </w:tcPr>
          <w:p w:rsidR="00D6189A" w:rsidRPr="004C5551" w:rsidRDefault="00D6189A" w:rsidP="003D2265">
            <w:pPr>
              <w:ind w:right="268"/>
              <w:jc w:val="right"/>
              <w:rPr>
                <w:b/>
                <w:bCs/>
                <w:color w:val="000000"/>
                <w:szCs w:val="22"/>
              </w:rPr>
            </w:pPr>
            <w:r w:rsidRPr="004C5551">
              <w:rPr>
                <w:b/>
                <w:bCs/>
                <w:color w:val="000000"/>
                <w:szCs w:val="22"/>
              </w:rPr>
              <w:t>1 565,00</w:t>
            </w:r>
          </w:p>
        </w:tc>
        <w:tc>
          <w:tcPr>
            <w:tcW w:w="1953" w:type="dxa"/>
            <w:shd w:val="clear" w:color="auto" w:fill="auto"/>
            <w:noWrap/>
            <w:tcMar>
              <w:top w:w="15" w:type="dxa"/>
              <w:left w:w="15" w:type="dxa"/>
              <w:bottom w:w="0" w:type="dxa"/>
              <w:right w:w="15" w:type="dxa"/>
            </w:tcMar>
            <w:vAlign w:val="center"/>
            <w:hideMark/>
          </w:tcPr>
          <w:p w:rsidR="00D6189A" w:rsidRPr="004C5551" w:rsidRDefault="00D6189A" w:rsidP="003D2265">
            <w:pPr>
              <w:ind w:right="237"/>
              <w:jc w:val="right"/>
              <w:rPr>
                <w:b/>
                <w:bCs/>
                <w:color w:val="000000"/>
                <w:szCs w:val="22"/>
              </w:rPr>
            </w:pPr>
            <w:r w:rsidRPr="004C5551">
              <w:rPr>
                <w:b/>
                <w:bCs/>
                <w:color w:val="000000"/>
                <w:szCs w:val="22"/>
              </w:rPr>
              <w:t>711 030 126,60</w:t>
            </w:r>
          </w:p>
        </w:tc>
        <w:tc>
          <w:tcPr>
            <w:tcW w:w="0" w:type="auto"/>
            <w:shd w:val="clear" w:color="auto" w:fill="auto"/>
            <w:noWrap/>
            <w:tcMar>
              <w:top w:w="15" w:type="dxa"/>
              <w:left w:w="15" w:type="dxa"/>
              <w:bottom w:w="0" w:type="dxa"/>
              <w:right w:w="15" w:type="dxa"/>
            </w:tcMar>
            <w:vAlign w:val="center"/>
            <w:hideMark/>
          </w:tcPr>
          <w:p w:rsidR="00D6189A" w:rsidRPr="004C5551" w:rsidRDefault="00D6189A" w:rsidP="003D2265">
            <w:pPr>
              <w:ind w:right="139"/>
              <w:jc w:val="right"/>
              <w:rPr>
                <w:b/>
                <w:bCs/>
                <w:color w:val="000000"/>
                <w:szCs w:val="22"/>
              </w:rPr>
            </w:pPr>
            <w:r w:rsidRPr="004C5551">
              <w:rPr>
                <w:b/>
                <w:bCs/>
                <w:color w:val="000000"/>
                <w:szCs w:val="22"/>
              </w:rPr>
              <w:t>1 033 256 541,49</w:t>
            </w:r>
          </w:p>
        </w:tc>
      </w:tr>
    </w:tbl>
    <w:p w:rsidR="00D6189A" w:rsidRPr="004C5551" w:rsidRDefault="00D6189A" w:rsidP="003D2265">
      <w:pPr>
        <w:pStyle w:val="zdroj"/>
        <w:spacing w:after="0"/>
      </w:pPr>
      <w:r w:rsidRPr="004C5551">
        <w:t xml:space="preserve">Zdroj: RO pre OP </w:t>
      </w:r>
      <w:proofErr w:type="spellStart"/>
      <w:r w:rsidRPr="004C5551">
        <w:t>ZaSI</w:t>
      </w:r>
      <w:proofErr w:type="spellEnd"/>
      <w:r w:rsidRPr="004C5551">
        <w:t>/ ITMS</w:t>
      </w:r>
    </w:p>
    <w:p w:rsidR="00D6189A" w:rsidRPr="004C5551" w:rsidRDefault="00D6189A" w:rsidP="003D2265">
      <w:pPr>
        <w:pStyle w:val="zdroj"/>
        <w:spacing w:before="0" w:after="0"/>
      </w:pPr>
      <w:r w:rsidRPr="004C5551">
        <w:t>(po odrátaní mimoriadne ukončených projektov a zdvojených dát projektov s následníkom)</w:t>
      </w:r>
    </w:p>
    <w:p w:rsidR="00D6189A" w:rsidRPr="004C5551" w:rsidRDefault="00D6189A" w:rsidP="003D2265">
      <w:pPr>
        <w:pStyle w:val="zdroj"/>
        <w:spacing w:before="0"/>
      </w:pPr>
      <w:r w:rsidRPr="004C5551">
        <w:t>*údaje za EÚ zdroje</w:t>
      </w:r>
    </w:p>
    <w:p w:rsidR="00D6189A" w:rsidRPr="004C5551" w:rsidRDefault="00D6189A" w:rsidP="003D2265">
      <w:pPr>
        <w:pStyle w:val="zdroj"/>
      </w:pPr>
    </w:p>
    <w:p w:rsidR="00B85283" w:rsidRPr="004C5551" w:rsidRDefault="00B85283" w:rsidP="00D6189A">
      <w:pPr>
        <w:rPr>
          <w:color w:val="000000"/>
        </w:rPr>
      </w:pPr>
    </w:p>
    <w:p w:rsidR="004B33D6" w:rsidRPr="004C5551" w:rsidRDefault="004B33D6" w:rsidP="007E10AC">
      <w:pPr>
        <w:rPr>
          <w:color w:val="000000"/>
        </w:rPr>
      </w:pPr>
    </w:p>
    <w:p w:rsidR="007E10AC" w:rsidRPr="004C5551" w:rsidRDefault="007E10AC" w:rsidP="003B0E51">
      <w:pPr>
        <w:ind w:firstLine="431"/>
        <w:rPr>
          <w:color w:val="000000"/>
        </w:rPr>
      </w:pPr>
      <w:r w:rsidRPr="004C5551">
        <w:rPr>
          <w:color w:val="000000"/>
        </w:rPr>
        <w:t xml:space="preserve">K zlepšovaniu kvality života a sociálnej situácie obyvateľstva prispieva OP </w:t>
      </w:r>
      <w:proofErr w:type="spellStart"/>
      <w:r w:rsidRPr="004C5551">
        <w:rPr>
          <w:color w:val="000000"/>
        </w:rPr>
        <w:t>ZaSI</w:t>
      </w:r>
      <w:proofErr w:type="spellEnd"/>
      <w:r w:rsidRPr="004C5551">
        <w:rPr>
          <w:color w:val="000000"/>
        </w:rPr>
        <w:t xml:space="preserve"> najmä prostredníctvom implementácie prioritnej osi 1, 2 a 3, konkrétne prostredníctvom opatrení:</w:t>
      </w:r>
    </w:p>
    <w:p w:rsidR="007E10AC" w:rsidRPr="004C5551" w:rsidRDefault="007E10AC" w:rsidP="007E10AC">
      <w:pPr>
        <w:rPr>
          <w:color w:val="000000"/>
        </w:rPr>
      </w:pPr>
    </w:p>
    <w:p w:rsidR="00460DEB" w:rsidRPr="004C5551" w:rsidRDefault="007E10AC" w:rsidP="00460DEB">
      <w:pPr>
        <w:ind w:left="728" w:hanging="364"/>
        <w:rPr>
          <w:color w:val="000000"/>
        </w:rPr>
      </w:pPr>
      <w:r w:rsidRPr="004C5551">
        <w:rPr>
          <w:color w:val="000000"/>
        </w:rPr>
        <w:t>1.1 Podpora programov</w:t>
      </w:r>
      <w:r w:rsidR="004A5701" w:rsidRPr="004C5551">
        <w:rPr>
          <w:color w:val="000000"/>
        </w:rPr>
        <w:t xml:space="preserve"> </w:t>
      </w:r>
      <w:r w:rsidRPr="004C5551">
        <w:rPr>
          <w:color w:val="000000"/>
        </w:rPr>
        <w:t>v oblasti podpory zamestnanosti a riešenia nezamestnanosti a dlhodobej nezamestnanosti</w:t>
      </w:r>
    </w:p>
    <w:p w:rsidR="00460DEB" w:rsidRPr="004C5551" w:rsidRDefault="007E10AC" w:rsidP="00460DEB">
      <w:pPr>
        <w:ind w:left="728" w:hanging="364"/>
        <w:rPr>
          <w:color w:val="000000"/>
        </w:rPr>
      </w:pPr>
      <w:r w:rsidRPr="004C5551">
        <w:rPr>
          <w:color w:val="000000"/>
        </w:rPr>
        <w:t>1.2 Podpora tvorby a udržania pracovných miest prostredníctvom zvýšenia adaptability pracovníkov, podnikov a podpory podnikania</w:t>
      </w:r>
    </w:p>
    <w:p w:rsidR="00460DEB" w:rsidRPr="004C5551" w:rsidRDefault="007E10AC" w:rsidP="00460DEB">
      <w:pPr>
        <w:ind w:left="728" w:hanging="364"/>
        <w:rPr>
          <w:color w:val="000000"/>
        </w:rPr>
      </w:pPr>
      <w:r w:rsidRPr="004C5551">
        <w:rPr>
          <w:color w:val="000000"/>
        </w:rPr>
        <w:t>2.1</w:t>
      </w:r>
      <w:r w:rsidRPr="004C5551">
        <w:rPr>
          <w:color w:val="000000"/>
        </w:rPr>
        <w:tab/>
        <w:t>Podpora sociálnej inklúzie osôb ohrozených sociálnym vylúčením alebo sociálne vylúčených prostredníctvom rozvoja služieb starostlivosti s osobitným zreteľom na </w:t>
      </w:r>
      <w:proofErr w:type="spellStart"/>
      <w:r w:rsidRPr="004C5551">
        <w:rPr>
          <w:color w:val="000000"/>
        </w:rPr>
        <w:t>marginalizované</w:t>
      </w:r>
      <w:proofErr w:type="spellEnd"/>
      <w:r w:rsidRPr="004C5551">
        <w:rPr>
          <w:color w:val="000000"/>
        </w:rPr>
        <w:t xml:space="preserve"> rómske komunity</w:t>
      </w:r>
    </w:p>
    <w:p w:rsidR="00460DEB" w:rsidRPr="004C5551" w:rsidRDefault="007E10AC" w:rsidP="00460DEB">
      <w:pPr>
        <w:ind w:left="728" w:hanging="364"/>
        <w:rPr>
          <w:color w:val="000000"/>
        </w:rPr>
      </w:pPr>
      <w:r w:rsidRPr="004C5551">
        <w:rPr>
          <w:color w:val="000000"/>
        </w:rPr>
        <w:t>2.2</w:t>
      </w:r>
      <w:r w:rsidRPr="004C5551">
        <w:rPr>
          <w:color w:val="000000"/>
        </w:rPr>
        <w:tab/>
        <w:t xml:space="preserve">Podpora vytvárania rovnosti príležitostí v prístupe na trh práce a podpora integrácie znevýhodnených skupín na trh práce s osobitným zreteľom na </w:t>
      </w:r>
      <w:proofErr w:type="spellStart"/>
      <w:r w:rsidRPr="004C5551">
        <w:rPr>
          <w:color w:val="000000"/>
        </w:rPr>
        <w:t>marginalizované</w:t>
      </w:r>
      <w:proofErr w:type="spellEnd"/>
      <w:r w:rsidRPr="004C5551">
        <w:rPr>
          <w:color w:val="000000"/>
        </w:rPr>
        <w:t xml:space="preserve"> rómske komunity</w:t>
      </w:r>
    </w:p>
    <w:p w:rsidR="00460DEB" w:rsidRPr="004C5551" w:rsidRDefault="007E10AC" w:rsidP="00460DEB">
      <w:pPr>
        <w:ind w:left="728" w:hanging="364"/>
        <w:rPr>
          <w:color w:val="000000"/>
        </w:rPr>
      </w:pPr>
      <w:r w:rsidRPr="004C5551">
        <w:rPr>
          <w:color w:val="000000"/>
        </w:rPr>
        <w:t>2.3</w:t>
      </w:r>
      <w:r w:rsidRPr="004C5551">
        <w:rPr>
          <w:color w:val="000000"/>
        </w:rPr>
        <w:tab/>
        <w:t>Podpora zosúladenia rodinného a pracovného života</w:t>
      </w:r>
    </w:p>
    <w:p w:rsidR="00460DEB" w:rsidRPr="004C5551" w:rsidRDefault="007E10AC" w:rsidP="00460DEB">
      <w:pPr>
        <w:ind w:left="728" w:hanging="364"/>
        <w:rPr>
          <w:color w:val="000000"/>
        </w:rPr>
      </w:pPr>
      <w:r w:rsidRPr="004C5551">
        <w:rPr>
          <w:color w:val="000000"/>
        </w:rPr>
        <w:t xml:space="preserve">3.1 Podpora rastu zamestnanosti a zlepšenia </w:t>
      </w:r>
      <w:proofErr w:type="spellStart"/>
      <w:r w:rsidRPr="004C5551">
        <w:rPr>
          <w:color w:val="000000"/>
        </w:rPr>
        <w:t>zamestnateľnosti</w:t>
      </w:r>
      <w:proofErr w:type="spellEnd"/>
      <w:r w:rsidRPr="004C5551">
        <w:rPr>
          <w:color w:val="000000"/>
        </w:rPr>
        <w:t xml:space="preserve"> s osobitným zreteľom na</w:t>
      </w:r>
      <w:r w:rsidR="003D2265" w:rsidRPr="004C5551">
        <w:rPr>
          <w:color w:val="000000"/>
        </w:rPr>
        <w:t> </w:t>
      </w:r>
      <w:r w:rsidRPr="004C5551">
        <w:rPr>
          <w:color w:val="000000"/>
        </w:rPr>
        <w:t>vzdelanostnú spoločnosť</w:t>
      </w:r>
    </w:p>
    <w:p w:rsidR="00460DEB" w:rsidRPr="004C5551" w:rsidRDefault="007E10AC" w:rsidP="00460DEB">
      <w:pPr>
        <w:ind w:left="728" w:hanging="364"/>
        <w:rPr>
          <w:color w:val="000000"/>
        </w:rPr>
      </w:pPr>
      <w:r w:rsidRPr="004C5551">
        <w:rPr>
          <w:color w:val="000000"/>
        </w:rPr>
        <w:t>3.2</w:t>
      </w:r>
      <w:r w:rsidRPr="004C5551">
        <w:rPr>
          <w:color w:val="000000"/>
        </w:rPr>
        <w:tab/>
        <w:t>Podpora sociálnej inklúzie, rodovej rovnosti a zosúladenie pracovného a rodinného života v BSK</w:t>
      </w:r>
    </w:p>
    <w:p w:rsidR="00460DEB" w:rsidRPr="004C5551" w:rsidRDefault="00460DEB" w:rsidP="00460DEB">
      <w:pPr>
        <w:ind w:left="728" w:hanging="364"/>
        <w:rPr>
          <w:color w:val="000000"/>
        </w:rPr>
      </w:pPr>
    </w:p>
    <w:p w:rsidR="00D6189A" w:rsidRPr="004C5551" w:rsidRDefault="00460DEB" w:rsidP="00D6189A">
      <w:pPr>
        <w:ind w:firstLine="364"/>
        <w:rPr>
          <w:color w:val="1F497D"/>
        </w:rPr>
      </w:pPr>
      <w:r w:rsidRPr="004C5551">
        <w:rPr>
          <w:color w:val="000000" w:themeColor="text1"/>
        </w:rPr>
        <w:t xml:space="preserve">V prioritnej osi 4 </w:t>
      </w:r>
      <w:r w:rsidR="006E6048" w:rsidRPr="004C5551">
        <w:rPr>
          <w:color w:val="000000" w:themeColor="text1"/>
        </w:rPr>
        <w:t xml:space="preserve">a v opatrení 3.3 </w:t>
      </w:r>
      <w:r w:rsidRPr="004C5551">
        <w:rPr>
          <w:color w:val="000000" w:themeColor="text1"/>
        </w:rPr>
        <w:t xml:space="preserve">– </w:t>
      </w:r>
      <w:r w:rsidRPr="004C5551">
        <w:rPr>
          <w:i/>
          <w:color w:val="000000" w:themeColor="text1"/>
        </w:rPr>
        <w:t>Budovanie kapacít a zlepšenie kvality verejnej správy</w:t>
      </w:r>
      <w:r w:rsidRPr="004C5551">
        <w:rPr>
          <w:color w:val="000000" w:themeColor="text1"/>
        </w:rPr>
        <w:t xml:space="preserve"> sú finančné prostriedky vynakladané na zvyšovanie kvality ľudských zdrojov a zlepšenie kvality verejnej správy a mimovládnych organizácií. Príspevok týchto prostriedkov k politike zamestnanosti a sociálnej inklúzie je teda sprostredkovaný a</w:t>
      </w:r>
      <w:r w:rsidR="00423669" w:rsidRPr="004C5551">
        <w:rPr>
          <w:color w:val="000000" w:themeColor="text1"/>
        </w:rPr>
        <w:t xml:space="preserve"> </w:t>
      </w:r>
      <w:r w:rsidRPr="004C5551">
        <w:rPr>
          <w:color w:val="000000" w:themeColor="text1"/>
        </w:rPr>
        <w:t>až nárastom kvality menovaných organizácií sa prejaví ich vplyv na spomínané politiky</w:t>
      </w:r>
      <w:r w:rsidRPr="004C5551">
        <w:rPr>
          <w:color w:val="1F497D"/>
        </w:rPr>
        <w:t>.</w:t>
      </w:r>
    </w:p>
    <w:p w:rsidR="00460DEB" w:rsidRPr="004C5551" w:rsidRDefault="00460DEB" w:rsidP="00460DEB">
      <w:pPr>
        <w:ind w:left="728" w:hanging="364"/>
        <w:rPr>
          <w:color w:val="000000"/>
        </w:rPr>
      </w:pPr>
    </w:p>
    <w:p w:rsidR="007E10AC" w:rsidRPr="004C5551" w:rsidRDefault="007E10AC" w:rsidP="003B0E51">
      <w:pPr>
        <w:ind w:firstLine="431"/>
        <w:rPr>
          <w:color w:val="000000"/>
        </w:rPr>
      </w:pPr>
      <w:r w:rsidRPr="004C5551">
        <w:rPr>
          <w:color w:val="000000"/>
        </w:rPr>
        <w:t xml:space="preserve">Opatrenia sa napĺňajú implementáciou národných projektov (vyzvania na NP vyhlasuje Riadiaci orgán, teda MPSVR SR) a prostredníctvom výziev na predkladanie </w:t>
      </w:r>
      <w:proofErr w:type="spellStart"/>
      <w:r w:rsidRPr="004C5551">
        <w:rPr>
          <w:color w:val="000000"/>
        </w:rPr>
        <w:t>dopytovo-orientovaných</w:t>
      </w:r>
      <w:proofErr w:type="spellEnd"/>
      <w:r w:rsidRPr="004C5551">
        <w:rPr>
          <w:color w:val="000000"/>
        </w:rPr>
        <w:t xml:space="preserve"> projektov, ktoré boli vyhlasované Fondom sociálneho rozvoja a Soc</w:t>
      </w:r>
      <w:r w:rsidR="00B76D48" w:rsidRPr="004C5551">
        <w:rPr>
          <w:color w:val="000000"/>
        </w:rPr>
        <w:t>iálnou implementačnou agentúrou</w:t>
      </w:r>
      <w:r w:rsidRPr="004C5551">
        <w:rPr>
          <w:color w:val="000000"/>
        </w:rPr>
        <w:t xml:space="preserve"> ako sprostredkovateľským orgánom.</w:t>
      </w:r>
      <w:r w:rsidR="004A5701" w:rsidRPr="004C5551">
        <w:rPr>
          <w:color w:val="000000"/>
        </w:rPr>
        <w:t xml:space="preserve"> </w:t>
      </w:r>
    </w:p>
    <w:p w:rsidR="007E10AC" w:rsidRPr="004C5551" w:rsidRDefault="007E10AC" w:rsidP="003B0E51">
      <w:pPr>
        <w:ind w:firstLine="431"/>
      </w:pPr>
      <w:r w:rsidRPr="004C5551">
        <w:t xml:space="preserve">V roku 2014 Sprostredkovateľskými orgánmi pod Riadiacim orgánom OP </w:t>
      </w:r>
      <w:proofErr w:type="spellStart"/>
      <w:r w:rsidRPr="004C5551">
        <w:t>ZaSI</w:t>
      </w:r>
      <w:proofErr w:type="spellEnd"/>
      <w:r w:rsidRPr="004C5551">
        <w:t xml:space="preserve"> neboli vyhlásené žiadne výzvy na predkladanie žiadostí o NFP pre </w:t>
      </w:r>
      <w:proofErr w:type="spellStart"/>
      <w:r w:rsidRPr="004C5551">
        <w:t>dopytovo-orientované</w:t>
      </w:r>
      <w:proofErr w:type="spellEnd"/>
      <w:r w:rsidRPr="004C5551">
        <w:t xml:space="preserve"> projekty. Bol ukončený </w:t>
      </w:r>
      <w:r w:rsidR="003B4E24" w:rsidRPr="004C5551">
        <w:t xml:space="preserve">výberový </w:t>
      </w:r>
      <w:r w:rsidRPr="004C5551">
        <w:t>proces a </w:t>
      </w:r>
      <w:proofErr w:type="spellStart"/>
      <w:r w:rsidRPr="004C5551">
        <w:t>zazmluvňovanie</w:t>
      </w:r>
      <w:proofErr w:type="spellEnd"/>
      <w:r w:rsidRPr="004C5551">
        <w:t xml:space="preserve"> projektov k výzvam, ktoré boli vyhlásené v rokoch 2012 a 2013:</w:t>
      </w:r>
      <w:bookmarkStart w:id="723" w:name="_Toc410238593"/>
    </w:p>
    <w:p w:rsidR="00460DEB" w:rsidRPr="004C5551" w:rsidRDefault="007E10AC" w:rsidP="00C748BD">
      <w:pPr>
        <w:pStyle w:val="Odsekzoznamu"/>
        <w:numPr>
          <w:ilvl w:val="0"/>
          <w:numId w:val="47"/>
        </w:numPr>
      </w:pPr>
      <w:r w:rsidRPr="004C5551">
        <w:t>DOP-SIA-2013/1.2/LSKxP</w:t>
      </w:r>
      <w:bookmarkStart w:id="724" w:name="_Toc394062789"/>
      <w:bookmarkStart w:id="725" w:name="_Toc410238611"/>
      <w:bookmarkEnd w:id="723"/>
      <w:bookmarkEnd w:id="724"/>
      <w:bookmarkEnd w:id="725"/>
      <w:r w:rsidRPr="004C5551">
        <w:t>;</w:t>
      </w:r>
    </w:p>
    <w:p w:rsidR="00460DEB" w:rsidRPr="004C5551" w:rsidRDefault="007E10AC" w:rsidP="00C748BD">
      <w:pPr>
        <w:pStyle w:val="Odsekzoznamu"/>
        <w:numPr>
          <w:ilvl w:val="0"/>
          <w:numId w:val="47"/>
        </w:numPr>
      </w:pPr>
      <w:r w:rsidRPr="004C5551">
        <w:t xml:space="preserve">OP </w:t>
      </w:r>
      <w:proofErr w:type="spellStart"/>
      <w:r w:rsidRPr="004C5551">
        <w:t>ZaSI</w:t>
      </w:r>
      <w:proofErr w:type="spellEnd"/>
      <w:r w:rsidRPr="004C5551">
        <w:t xml:space="preserve"> - FSR - 2012/2.1/02</w:t>
      </w:r>
      <w:bookmarkStart w:id="726" w:name="_Toc394062799"/>
      <w:bookmarkStart w:id="727" w:name="_Toc410238621"/>
      <w:bookmarkEnd w:id="726"/>
      <w:bookmarkEnd w:id="727"/>
      <w:r w:rsidRPr="004C5551">
        <w:t>;</w:t>
      </w:r>
    </w:p>
    <w:p w:rsidR="00460DEB" w:rsidRPr="004C5551" w:rsidRDefault="007E10AC" w:rsidP="00C748BD">
      <w:pPr>
        <w:pStyle w:val="Odsekzoznamu"/>
        <w:numPr>
          <w:ilvl w:val="0"/>
          <w:numId w:val="47"/>
        </w:numPr>
      </w:pPr>
      <w:r w:rsidRPr="004C5551">
        <w:t xml:space="preserve">OP </w:t>
      </w:r>
      <w:proofErr w:type="spellStart"/>
      <w:r w:rsidRPr="004C5551">
        <w:t>ZaSI</w:t>
      </w:r>
      <w:proofErr w:type="spellEnd"/>
      <w:r w:rsidRPr="004C5551">
        <w:t xml:space="preserve"> </w:t>
      </w:r>
      <w:r w:rsidR="00866C59" w:rsidRPr="004C5551">
        <w:t>-</w:t>
      </w:r>
      <w:r w:rsidRPr="004C5551">
        <w:t xml:space="preserve"> FSR - 2012/2.2/01;</w:t>
      </w:r>
    </w:p>
    <w:p w:rsidR="00460DEB" w:rsidRPr="004C5551" w:rsidRDefault="007E10AC" w:rsidP="00C748BD">
      <w:pPr>
        <w:pStyle w:val="Odsekzoznamu"/>
        <w:numPr>
          <w:ilvl w:val="0"/>
          <w:numId w:val="47"/>
        </w:numPr>
      </w:pPr>
      <w:bookmarkStart w:id="728" w:name="_Toc394062790"/>
      <w:bookmarkStart w:id="729" w:name="_Toc410238612"/>
      <w:bookmarkEnd w:id="728"/>
      <w:r w:rsidRPr="004C5551">
        <w:t xml:space="preserve">OP </w:t>
      </w:r>
      <w:proofErr w:type="spellStart"/>
      <w:r w:rsidRPr="004C5551">
        <w:t>ZaSI</w:t>
      </w:r>
      <w:proofErr w:type="spellEnd"/>
      <w:r w:rsidRPr="004C5551">
        <w:t xml:space="preserve"> - FSR - 2013/2.1/01</w:t>
      </w:r>
      <w:bookmarkEnd w:id="729"/>
      <w:r w:rsidRPr="004C5551">
        <w:t>.</w:t>
      </w:r>
    </w:p>
    <w:p w:rsidR="003B4E24" w:rsidRPr="004C5551" w:rsidRDefault="003B4E24" w:rsidP="00460DEB">
      <w:pPr>
        <w:ind w:left="431"/>
      </w:pPr>
    </w:p>
    <w:p w:rsidR="007E10AC" w:rsidRPr="004C5551" w:rsidRDefault="007E10AC" w:rsidP="003B0E51">
      <w:pPr>
        <w:ind w:firstLine="431"/>
      </w:pPr>
      <w:r w:rsidRPr="004C5551">
        <w:t xml:space="preserve">V roku 2014 bolo vyhlásených 35 vyzvaní na NP, s celkovou alokáciou 136 325 196,20 </w:t>
      </w:r>
      <w:r w:rsidR="000860E9" w:rsidRPr="004C5551">
        <w:t>eura</w:t>
      </w:r>
      <w:r w:rsidRPr="004C5551">
        <w:t>.</w:t>
      </w:r>
    </w:p>
    <w:p w:rsidR="007E10AC" w:rsidRPr="004C5551" w:rsidRDefault="007E10AC" w:rsidP="007E10AC">
      <w:r w:rsidRPr="004C5551">
        <w:t xml:space="preserve">Z vyzvaní z roku 2014 boli k 31.12.2014 </w:t>
      </w:r>
      <w:proofErr w:type="spellStart"/>
      <w:r w:rsidRPr="004C5551">
        <w:t>zazmluvnené</w:t>
      </w:r>
      <w:proofErr w:type="spellEnd"/>
      <w:r w:rsidRPr="004C5551">
        <w:t xml:space="preserve"> prostriedky v hodnote </w:t>
      </w:r>
      <w:r w:rsidRPr="004C5551">
        <w:rPr>
          <w:b/>
        </w:rPr>
        <w:t xml:space="preserve">131 148 229,27 </w:t>
      </w:r>
      <w:r w:rsidR="000860E9" w:rsidRPr="004C5551">
        <w:rPr>
          <w:b/>
        </w:rPr>
        <w:t>eura</w:t>
      </w:r>
      <w:r w:rsidRPr="004C5551">
        <w:rPr>
          <w:b/>
        </w:rPr>
        <w:t xml:space="preserve">. </w:t>
      </w:r>
    </w:p>
    <w:p w:rsidR="007E10AC" w:rsidRPr="004C5551" w:rsidRDefault="007E10AC" w:rsidP="007E10AC">
      <w:r w:rsidRPr="004C5551">
        <w:t xml:space="preserve">Ďalej bolo v roku 2014 ukončené spracovanie </w:t>
      </w:r>
      <w:r w:rsidRPr="004C5551">
        <w:rPr>
          <w:b/>
        </w:rPr>
        <w:t>dvoch vyzvaní na národné projekty z roku 2013</w:t>
      </w:r>
      <w:r w:rsidRPr="004C5551">
        <w:t xml:space="preserve">, </w:t>
      </w:r>
      <w:proofErr w:type="spellStart"/>
      <w:r w:rsidRPr="004C5551">
        <w:t>zazmluvnené</w:t>
      </w:r>
      <w:proofErr w:type="spellEnd"/>
      <w:r w:rsidRPr="004C5551">
        <w:t xml:space="preserve"> boli dva NP v celkovej hodnote 270 037,40 </w:t>
      </w:r>
      <w:r w:rsidR="000860E9" w:rsidRPr="004C5551">
        <w:t>eura</w:t>
      </w:r>
      <w:r w:rsidRPr="004C5551">
        <w:t xml:space="preserve">. Celkovo bol v roku 2014 na </w:t>
      </w:r>
      <w:r w:rsidR="003B4E24" w:rsidRPr="004C5551">
        <w:t xml:space="preserve">národné projekty </w:t>
      </w:r>
      <w:proofErr w:type="spellStart"/>
      <w:r w:rsidRPr="004C5551">
        <w:t>zazmluvnený</w:t>
      </w:r>
      <w:proofErr w:type="spellEnd"/>
      <w:r w:rsidRPr="004C5551">
        <w:t xml:space="preserve"> </w:t>
      </w:r>
      <w:r w:rsidR="003B4E24" w:rsidRPr="004C5551">
        <w:t xml:space="preserve">nenávratný finančný príspevok </w:t>
      </w:r>
      <w:r w:rsidR="00106028" w:rsidRPr="004C5551">
        <w:t>–</w:t>
      </w:r>
      <w:r w:rsidR="003B4E24" w:rsidRPr="004C5551">
        <w:t xml:space="preserve"> </w:t>
      </w:r>
      <w:r w:rsidRPr="004C5551">
        <w:t xml:space="preserve">131 418 266,67 </w:t>
      </w:r>
      <w:r w:rsidR="00AA0137" w:rsidRPr="004C5551">
        <w:t>eura</w:t>
      </w:r>
      <w:r w:rsidRPr="004C5551">
        <w:t>.</w:t>
      </w:r>
      <w:r w:rsidR="00A14549" w:rsidRPr="004C5551">
        <w:t xml:space="preserve"> Prehľad národných projektov</w:t>
      </w:r>
      <w:r w:rsidR="00423669" w:rsidRPr="004C5551">
        <w:t xml:space="preserve"> </w:t>
      </w:r>
      <w:proofErr w:type="spellStart"/>
      <w:r w:rsidR="00D92F09" w:rsidRPr="004C5551">
        <w:t>zazmluvnených</w:t>
      </w:r>
      <w:proofErr w:type="spellEnd"/>
      <w:r w:rsidR="00423669" w:rsidRPr="004C5551">
        <w:t xml:space="preserve"> </w:t>
      </w:r>
      <w:r w:rsidR="00A14549" w:rsidRPr="004C5551">
        <w:t xml:space="preserve">počas roka 2014 sa nachádza v prílohe ku kapitole 3, </w:t>
      </w:r>
      <w:r w:rsidR="00404C61" w:rsidRPr="004C5551">
        <w:t>tabuľk</w:t>
      </w:r>
      <w:r w:rsidR="00FC220F" w:rsidRPr="004C5551">
        <w:t>a 36.</w:t>
      </w:r>
    </w:p>
    <w:p w:rsidR="00B41856" w:rsidRPr="004C5551" w:rsidRDefault="00B41856" w:rsidP="007E10AC"/>
    <w:p w:rsidR="007E10AC" w:rsidRPr="004C5551" w:rsidRDefault="007E10AC" w:rsidP="007E10AC">
      <w:r w:rsidRPr="004C5551">
        <w:t xml:space="preserve">Podrobnejšie informácie o jednotlivých projektoch a o priebehu implementácie sú zverejňované vo výročných správach OP </w:t>
      </w:r>
      <w:proofErr w:type="spellStart"/>
      <w:r w:rsidRPr="004C5551">
        <w:t>ZaSI</w:t>
      </w:r>
      <w:proofErr w:type="spellEnd"/>
      <w:r w:rsidRPr="004C5551">
        <w:t>. (</w:t>
      </w:r>
      <w:hyperlink r:id="rId71" w:history="1">
        <w:r w:rsidRPr="004C5551">
          <w:rPr>
            <w:rStyle w:val="Hypertextovprepojenie"/>
          </w:rPr>
          <w:t>http://www1.employment.gov.sk/ESF/new/index8d93.html?id=3394</w:t>
        </w:r>
      </w:hyperlink>
      <w:r w:rsidRPr="004C5551">
        <w:t xml:space="preserve">) </w:t>
      </w:r>
    </w:p>
    <w:p w:rsidR="00404C61" w:rsidRPr="004C5551" w:rsidRDefault="00404C61" w:rsidP="00404C61">
      <w:r w:rsidRPr="004C5551">
        <w:t xml:space="preserve">Dokumenty </w:t>
      </w:r>
      <w:r w:rsidR="00FC220F" w:rsidRPr="004C5551">
        <w:t>prístupné cez odkaz</w:t>
      </w:r>
      <w:r w:rsidRPr="004C5551">
        <w:t xml:space="preserve"> sú naposledy aktualizované za rok 2013. Výročná správa za rok 2014 bude zverejnená až po schválení MV a po schválení EK na jeseň 2015.</w:t>
      </w:r>
    </w:p>
    <w:p w:rsidR="001E34BC" w:rsidRPr="004C5551" w:rsidRDefault="001E34BC" w:rsidP="00ED3E15">
      <w:pPr>
        <w:ind w:firstLine="432"/>
        <w:rPr>
          <w:rStyle w:val="newsname"/>
          <w:color w:val="000000"/>
          <w:szCs w:val="22"/>
        </w:rPr>
        <w:sectPr w:rsidR="001E34BC" w:rsidRPr="004C5551" w:rsidSect="004F3C97">
          <w:headerReference w:type="even" r:id="rId72"/>
          <w:footerReference w:type="even" r:id="rId73"/>
          <w:pgSz w:w="11906" w:h="16838"/>
          <w:pgMar w:top="1417" w:right="1417" w:bottom="1417" w:left="1417" w:header="708" w:footer="708" w:gutter="0"/>
          <w:cols w:space="708"/>
          <w:docGrid w:linePitch="360"/>
        </w:sectPr>
      </w:pPr>
    </w:p>
    <w:p w:rsidR="00006FF3" w:rsidRPr="004C5551" w:rsidRDefault="008962EA" w:rsidP="00E120CC">
      <w:pPr>
        <w:pStyle w:val="Nadpis1"/>
      </w:pPr>
      <w:bookmarkStart w:id="730" w:name="_Toc325438274"/>
      <w:bookmarkStart w:id="731" w:name="_Toc356482761"/>
      <w:bookmarkStart w:id="732" w:name="_Toc356482801"/>
      <w:bookmarkStart w:id="733" w:name="_Toc356482819"/>
      <w:bookmarkStart w:id="734" w:name="_Toc422233442"/>
      <w:r w:rsidRPr="004C5551">
        <w:t>ŽIVOTNÁ ÚROVEŇ A SOCIÁLNA KOHÉZIA</w:t>
      </w:r>
      <w:bookmarkStart w:id="735" w:name="_Toc325438275"/>
      <w:bookmarkEnd w:id="730"/>
      <w:bookmarkEnd w:id="731"/>
      <w:bookmarkEnd w:id="732"/>
      <w:bookmarkEnd w:id="733"/>
      <w:bookmarkEnd w:id="734"/>
    </w:p>
    <w:p w:rsidR="00F83961" w:rsidRPr="004C5551" w:rsidRDefault="00F83961" w:rsidP="00E120CC">
      <w:pPr>
        <w:pStyle w:val="nadpis2"/>
      </w:pPr>
      <w:bookmarkStart w:id="736" w:name="_Toc325438278"/>
      <w:bookmarkStart w:id="737" w:name="_Toc356482765"/>
      <w:bookmarkStart w:id="738" w:name="_Toc356482821"/>
      <w:bookmarkStart w:id="739" w:name="_Toc422233443"/>
      <w:bookmarkEnd w:id="735"/>
      <w:r w:rsidRPr="004C5551">
        <w:t>Chudoba a sociálne vylúčenie</w:t>
      </w:r>
      <w:bookmarkEnd w:id="736"/>
      <w:bookmarkEnd w:id="737"/>
      <w:bookmarkEnd w:id="738"/>
      <w:bookmarkEnd w:id="739"/>
      <w:r w:rsidRPr="004C5551">
        <w:t xml:space="preserve"> </w:t>
      </w:r>
    </w:p>
    <w:p w:rsidR="00184BCC" w:rsidRPr="004C5551" w:rsidRDefault="00184BCC" w:rsidP="003B0E51">
      <w:pPr>
        <w:ind w:firstLine="431"/>
        <w:rPr>
          <w:szCs w:val="22"/>
        </w:rPr>
      </w:pPr>
      <w:r w:rsidRPr="004C5551">
        <w:rPr>
          <w:szCs w:val="22"/>
        </w:rPr>
        <w:t xml:space="preserve">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w:t>
      </w:r>
      <w:r w:rsidR="00287AEA" w:rsidRPr="004C5551">
        <w:rPr>
          <w:szCs w:val="22"/>
        </w:rPr>
        <w:t>z </w:t>
      </w:r>
      <w:r w:rsidRPr="004C5551">
        <w:rPr>
          <w:szCs w:val="22"/>
        </w:rPr>
        <w:t>hlavných strategických cieľov EÚ je podstatne zredukovať chudobu a pokračovať v realizácií tohto cieľa aj do roku 2020</w:t>
      </w:r>
      <w:r w:rsidRPr="004C5551">
        <w:rPr>
          <w:rStyle w:val="Odkaznapoznmkupodiarou"/>
          <w:szCs w:val="22"/>
        </w:rPr>
        <w:footnoteReference w:id="47"/>
      </w:r>
      <w:r w:rsidRPr="004C5551">
        <w:rPr>
          <w:szCs w:val="22"/>
        </w:rPr>
        <w:t xml:space="preserve"> </w:t>
      </w:r>
    </w:p>
    <w:p w:rsidR="00184BCC" w:rsidRPr="004C5551" w:rsidRDefault="00184BCC" w:rsidP="003B0E51">
      <w:pPr>
        <w:ind w:firstLine="431"/>
        <w:rPr>
          <w:szCs w:val="22"/>
        </w:rPr>
      </w:pPr>
      <w:r w:rsidRPr="004C5551">
        <w:rPr>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tzv. </w:t>
      </w:r>
      <w:proofErr w:type="spellStart"/>
      <w:r w:rsidRPr="004C5551">
        <w:rPr>
          <w:i/>
          <w:szCs w:val="22"/>
        </w:rPr>
        <w:t>Leakenské</w:t>
      </w:r>
      <w:proofErr w:type="spellEnd"/>
      <w:r w:rsidRPr="004C5551">
        <w:rPr>
          <w:i/>
          <w:szCs w:val="22"/>
        </w:rPr>
        <w:t xml:space="preserve"> indikátory</w:t>
      </w:r>
      <w:r w:rsidRPr="004C5551">
        <w:rPr>
          <w:szCs w:val="22"/>
        </w:rPr>
        <w:t xml:space="preserve">. Tieto prešli vývojom a v súčasnosti ich nazývame </w:t>
      </w:r>
      <w:r w:rsidRPr="004C5551">
        <w:rPr>
          <w:i/>
          <w:szCs w:val="22"/>
        </w:rPr>
        <w:t>indikátory sociálnej inklúzie OMK</w:t>
      </w:r>
      <w:r w:rsidRPr="004C5551">
        <w:rPr>
          <w:szCs w:val="22"/>
        </w:rPr>
        <w:t xml:space="preserve">. </w:t>
      </w:r>
    </w:p>
    <w:p w:rsidR="00184BCC" w:rsidRPr="004C5551" w:rsidRDefault="00184BCC" w:rsidP="003B0E51">
      <w:pPr>
        <w:ind w:firstLine="431"/>
        <w:rPr>
          <w:szCs w:val="22"/>
        </w:rPr>
      </w:pPr>
      <w:r w:rsidRPr="004C5551">
        <w:rPr>
          <w:szCs w:val="22"/>
        </w:rPr>
        <w:t>Meranie chudoby a sociálneho vylúčenia sa realizuje predovšetkým na základe harmonizovaného štatistického zisťovania EU SILC</w:t>
      </w:r>
      <w:r w:rsidRPr="004C5551">
        <w:rPr>
          <w:rStyle w:val="Odkaznapoznmkupodiarou"/>
          <w:szCs w:val="22"/>
        </w:rPr>
        <w:footnoteReference w:id="48"/>
      </w:r>
      <w:r w:rsidRPr="004C5551">
        <w:rPr>
          <w:szCs w:val="22"/>
        </w:rPr>
        <w:t xml:space="preserve"> o príjmoch a životných podmienkach. Ide o hlavný zdroj, na báze ktorého sa vypočítavajú nielen príjmové indikátory, ako je miera rizika chudoby, ale aj indikátory pre</w:t>
      </w:r>
      <w:r w:rsidR="003D2265" w:rsidRPr="004C5551">
        <w:rPr>
          <w:szCs w:val="22"/>
        </w:rPr>
        <w:t> </w:t>
      </w:r>
      <w:r w:rsidRPr="004C5551">
        <w:rPr>
          <w:szCs w:val="22"/>
        </w:rPr>
        <w:t>komplexnejšie zhodnotenie chudoby a sociálneho vylúčenia, a to materiálna deprivácia alebo nové zoskupenie indikátorov na meranie rizika chudoby alebo sociálneho vylúčenia. Zoskupenie indikátorov, t.j. miera rizika chudoby</w:t>
      </w:r>
      <w:r w:rsidRPr="004C5551">
        <w:rPr>
          <w:vertAlign w:val="superscript"/>
        </w:rPr>
        <w:footnoteReference w:id="49"/>
      </w:r>
      <w:r w:rsidRPr="004C5551">
        <w:rPr>
          <w:szCs w:val="22"/>
        </w:rPr>
        <w:t>, závažná materiálna deprivácia</w:t>
      </w:r>
      <w:r w:rsidRPr="004C5551">
        <w:rPr>
          <w:vertAlign w:val="superscript"/>
        </w:rPr>
        <w:footnoteReference w:id="50"/>
      </w:r>
      <w:r w:rsidRPr="004C5551">
        <w:rPr>
          <w:szCs w:val="22"/>
        </w:rPr>
        <w:t xml:space="preserve"> a veľmi nízka intenzita práce</w:t>
      </w:r>
      <w:r w:rsidRPr="004C5551">
        <w:rPr>
          <w:vertAlign w:val="superscript"/>
        </w:rPr>
        <w:footnoteReference w:id="51"/>
      </w:r>
      <w:r w:rsidRPr="004C5551">
        <w:rPr>
          <w:szCs w:val="22"/>
        </w:rPr>
        <w:t>, definuje skupiny ľudí, ktorí žijú v riziku chudoby alebo sociálneho vylúčenia, t. j. ľudí s nízkym príjmom a/alebo tých, ktorí si nemôžu dovoliť niektorú z nevyhnutn</w:t>
      </w:r>
      <w:r w:rsidR="00AE6A91" w:rsidRPr="004C5551">
        <w:rPr>
          <w:szCs w:val="22"/>
        </w:rPr>
        <w:t>ých</w:t>
      </w:r>
      <w:r w:rsidRPr="004C5551">
        <w:rPr>
          <w:szCs w:val="22"/>
        </w:rPr>
        <w:t xml:space="preserve"> potrieb pre svoj život a/alebo žijúci v rodinách, kde nikto nepracuje alebo pracuje iba príležitostne (veľmi nízka pracovná intenzita).</w:t>
      </w:r>
    </w:p>
    <w:p w:rsidR="00184BCC" w:rsidRPr="004C5551" w:rsidRDefault="00184BCC" w:rsidP="003B0E51">
      <w:pPr>
        <w:ind w:firstLine="431"/>
        <w:rPr>
          <w:szCs w:val="22"/>
        </w:rPr>
      </w:pPr>
      <w:r w:rsidRPr="004C5551">
        <w:rPr>
          <w:szCs w:val="22"/>
        </w:rPr>
        <w:t>V roku 2013 bolo na Slovensku v riziku chudoby alebo sociálneho vylúčenia 1 069 987 ľudí, čo predstavovalo 19,8</w:t>
      </w:r>
      <w:r w:rsidR="006D0272" w:rsidRPr="004C5551">
        <w:rPr>
          <w:szCs w:val="22"/>
        </w:rPr>
        <w:t> </w:t>
      </w:r>
      <w:r w:rsidRPr="004C5551">
        <w:rPr>
          <w:szCs w:val="22"/>
        </w:rPr>
        <w:t>% na celkovom počte obyvateľov (pod priemerom E</w:t>
      </w:r>
      <w:r w:rsidR="00D40CFE" w:rsidRPr="004C5551">
        <w:rPr>
          <w:szCs w:val="22"/>
        </w:rPr>
        <w:t>U</w:t>
      </w:r>
      <w:r w:rsidRPr="004C5551">
        <w:rPr>
          <w:szCs w:val="22"/>
        </w:rPr>
        <w:t xml:space="preserve">28 </w:t>
      </w:r>
      <w:r w:rsidR="00106028" w:rsidRPr="004C5551">
        <w:rPr>
          <w:szCs w:val="22"/>
        </w:rPr>
        <w:t>–</w:t>
      </w:r>
      <w:r w:rsidRPr="004C5551">
        <w:rPr>
          <w:szCs w:val="22"/>
        </w:rPr>
        <w:t xml:space="preserve"> 24,5</w:t>
      </w:r>
      <w:r w:rsidR="00875D86" w:rsidRPr="004C5551">
        <w:rPr>
          <w:szCs w:val="22"/>
        </w:rPr>
        <w:t> </w:t>
      </w:r>
      <w:r w:rsidRPr="004C5551">
        <w:rPr>
          <w:szCs w:val="22"/>
        </w:rPr>
        <w:t>%). Pri porovnaní s </w:t>
      </w:r>
      <w:r w:rsidR="00DF3EC1" w:rsidRPr="004C5551">
        <w:rPr>
          <w:szCs w:val="22"/>
        </w:rPr>
        <w:t>predchádzajúcim rokom</w:t>
      </w:r>
      <w:r w:rsidRPr="004C5551">
        <w:rPr>
          <w:szCs w:val="22"/>
        </w:rPr>
        <w:t xml:space="preserve"> (2012 </w:t>
      </w:r>
      <w:r w:rsidR="00106028" w:rsidRPr="004C5551">
        <w:rPr>
          <w:szCs w:val="22"/>
        </w:rPr>
        <w:t>–</w:t>
      </w:r>
      <w:r w:rsidRPr="004C5551">
        <w:rPr>
          <w:szCs w:val="22"/>
        </w:rPr>
        <w:t xml:space="preserve"> 20,5</w:t>
      </w:r>
      <w:r w:rsidR="00875D86" w:rsidRPr="004C5551">
        <w:rPr>
          <w:szCs w:val="22"/>
        </w:rPr>
        <w:t> </w:t>
      </w:r>
      <w:r w:rsidRPr="004C5551">
        <w:rPr>
          <w:szCs w:val="22"/>
        </w:rPr>
        <w:t xml:space="preserve">%) </w:t>
      </w:r>
      <w:r w:rsidR="00DF3EC1" w:rsidRPr="004C5551">
        <w:rPr>
          <w:szCs w:val="22"/>
        </w:rPr>
        <w:t xml:space="preserve">je </w:t>
      </w:r>
      <w:r w:rsidRPr="004C5551">
        <w:rPr>
          <w:szCs w:val="22"/>
        </w:rPr>
        <w:t xml:space="preserve">hodnota zoskupenia indikátorov nižšia o 0,7 p. b. </w:t>
      </w:r>
      <w:r w:rsidR="002939B8" w:rsidRPr="004C5551">
        <w:rPr>
          <w:szCs w:val="22"/>
        </w:rPr>
        <w:t xml:space="preserve">Výraznejší pokles bol zaznamenaný v roku 2014 (18,4%, t.j. cca 960,2 tis. ľudí), kedy došlo k poklesu oproti predchádzajúcemu </w:t>
      </w:r>
      <w:r w:rsidR="000F73C3" w:rsidRPr="004C5551">
        <w:rPr>
          <w:szCs w:val="22"/>
        </w:rPr>
        <w:t>roku</w:t>
      </w:r>
      <w:r w:rsidR="002939B8" w:rsidRPr="004C5551">
        <w:rPr>
          <w:szCs w:val="22"/>
        </w:rPr>
        <w:t xml:space="preserve"> takmer o 1,4 p. b., t.j. o 109,8 tis. ľudí.</w:t>
      </w:r>
      <w:r w:rsidR="000F73C3" w:rsidRPr="004C5551">
        <w:rPr>
          <w:szCs w:val="22"/>
        </w:rPr>
        <w:t xml:space="preserve"> </w:t>
      </w:r>
      <w:r w:rsidRPr="004C5551">
        <w:rPr>
          <w:szCs w:val="22"/>
        </w:rPr>
        <w:t>V prípade porovnania s</w:t>
      </w:r>
      <w:r w:rsidR="00423669" w:rsidRPr="004C5551">
        <w:rPr>
          <w:szCs w:val="22"/>
        </w:rPr>
        <w:t> </w:t>
      </w:r>
      <w:r w:rsidRPr="004C5551">
        <w:rPr>
          <w:szCs w:val="22"/>
        </w:rPr>
        <w:t>východiskovým</w:t>
      </w:r>
      <w:r w:rsidR="00423669" w:rsidRPr="004C5551">
        <w:rPr>
          <w:szCs w:val="22"/>
        </w:rPr>
        <w:t xml:space="preserve"> </w:t>
      </w:r>
      <w:r w:rsidRPr="004C5551">
        <w:rPr>
          <w:szCs w:val="22"/>
        </w:rPr>
        <w:t>rokom 2008 pre hodnotenie cieľov Stratégie Európa 2020 (20,6</w:t>
      </w:r>
      <w:r w:rsidR="006D0272" w:rsidRPr="004C5551">
        <w:rPr>
          <w:szCs w:val="22"/>
        </w:rPr>
        <w:t> </w:t>
      </w:r>
      <w:r w:rsidRPr="004C5551">
        <w:rPr>
          <w:szCs w:val="22"/>
        </w:rPr>
        <w:t xml:space="preserve">%) </w:t>
      </w:r>
      <w:r w:rsidR="007E51F5" w:rsidRPr="004C5551">
        <w:rPr>
          <w:szCs w:val="22"/>
        </w:rPr>
        <w:t>v roku 2013 bola</w:t>
      </w:r>
      <w:r w:rsidRPr="004C5551">
        <w:rPr>
          <w:szCs w:val="22"/>
        </w:rPr>
        <w:t xml:space="preserve"> hodnota nižšia o 0,8 p. b.</w:t>
      </w:r>
      <w:r w:rsidR="000F73C3" w:rsidRPr="004C5551">
        <w:rPr>
          <w:szCs w:val="22"/>
        </w:rPr>
        <w:t xml:space="preserve"> a v roku 2014 o 2,2 p. b.</w:t>
      </w:r>
      <w:r w:rsidR="00423669" w:rsidRPr="004C5551">
        <w:rPr>
          <w:szCs w:val="22"/>
        </w:rPr>
        <w:t xml:space="preserve"> </w:t>
      </w:r>
      <w:r w:rsidR="00331104" w:rsidRPr="004C5551">
        <w:rPr>
          <w:szCs w:val="22"/>
        </w:rPr>
        <w:t>Podrobnejšie rozdelenie tejto skupiny je možné vidieť na graf</w:t>
      </w:r>
      <w:r w:rsidR="003F212C" w:rsidRPr="004C5551">
        <w:rPr>
          <w:szCs w:val="22"/>
        </w:rPr>
        <w:t>och</w:t>
      </w:r>
      <w:r w:rsidR="00331104" w:rsidRPr="004C5551">
        <w:rPr>
          <w:szCs w:val="22"/>
        </w:rPr>
        <w:t xml:space="preserve"> 4.1a a 4.1b, ktor</w:t>
      </w:r>
      <w:r w:rsidR="003F212C" w:rsidRPr="004C5551">
        <w:rPr>
          <w:szCs w:val="22"/>
        </w:rPr>
        <w:t>é</w:t>
      </w:r>
      <w:r w:rsidR="00331104" w:rsidRPr="004C5551">
        <w:rPr>
          <w:szCs w:val="22"/>
        </w:rPr>
        <w:t xml:space="preserve"> znázorňuj</w:t>
      </w:r>
      <w:r w:rsidR="003F212C" w:rsidRPr="004C5551">
        <w:rPr>
          <w:szCs w:val="22"/>
        </w:rPr>
        <w:t>ú</w:t>
      </w:r>
      <w:r w:rsidR="00331104" w:rsidRPr="004C5551">
        <w:rPr>
          <w:szCs w:val="22"/>
        </w:rPr>
        <w:t xml:space="preserve"> zloženie cieľovej skupiny podľa vyššie uvedených troch indikátorov v rokoch 2013 a 2014.</w:t>
      </w:r>
    </w:p>
    <w:p w:rsidR="00CC510D" w:rsidRPr="004C5551" w:rsidRDefault="00CC510D">
      <w:pPr>
        <w:jc w:val="left"/>
        <w:rPr>
          <w:b/>
        </w:rPr>
      </w:pPr>
      <w:bookmarkStart w:id="740" w:name="_Toc356482766"/>
      <w:r w:rsidRPr="004C5551">
        <w:br w:type="page"/>
      </w:r>
    </w:p>
    <w:p w:rsidR="00B02C76" w:rsidRPr="004C5551" w:rsidRDefault="00B02C76" w:rsidP="00B02C76">
      <w:pPr>
        <w:pStyle w:val="Nadpis7"/>
      </w:pPr>
      <w:r w:rsidRPr="004C5551">
        <w:t>Graf 4.1</w:t>
      </w:r>
      <w:r w:rsidR="00331104" w:rsidRPr="004C5551">
        <w:t>a</w:t>
      </w:r>
      <w:r w:rsidRPr="004C5551">
        <w:t xml:space="preserve"> Podiel ľudí v riziku chudoby alebo sociálneho vylúčenia, 201</w:t>
      </w:r>
      <w:bookmarkEnd w:id="740"/>
      <w:r w:rsidR="00184BCC" w:rsidRPr="004C5551">
        <w:t>3</w:t>
      </w:r>
    </w:p>
    <w:p w:rsidR="00B02C76" w:rsidRPr="004C5551" w:rsidRDefault="00CC510D" w:rsidP="00B02C76">
      <w:pPr>
        <w:ind w:firstLine="567"/>
        <w:jc w:val="center"/>
        <w:rPr>
          <w:color w:val="000000" w:themeColor="text1"/>
          <w:szCs w:val="22"/>
        </w:rPr>
      </w:pPr>
      <w:r w:rsidRPr="004C5551">
        <w:rPr>
          <w:noProof/>
          <w:color w:val="000000" w:themeColor="text1"/>
          <w:szCs w:val="22"/>
        </w:rPr>
        <w:drawing>
          <wp:inline distT="0" distB="0" distL="0" distR="0" wp14:anchorId="094B7AE3" wp14:editId="2FB6176E">
            <wp:extent cx="5011200" cy="3045600"/>
            <wp:effectExtent l="0" t="0" r="0" b="254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ý graf chudoba.jpg"/>
                    <pic:cNvPicPr/>
                  </pic:nvPicPr>
                  <pic:blipFill>
                    <a:blip r:embed="rId74">
                      <a:extLst>
                        <a:ext uri="{28A0092B-C50C-407E-A947-70E740481C1C}">
                          <a14:useLocalDpi xmlns:a14="http://schemas.microsoft.com/office/drawing/2010/main" val="0"/>
                        </a:ext>
                      </a:extLst>
                    </a:blip>
                    <a:stretch>
                      <a:fillRect/>
                    </a:stretch>
                  </pic:blipFill>
                  <pic:spPr>
                    <a:xfrm>
                      <a:off x="0" y="0"/>
                      <a:ext cx="5011200" cy="3045600"/>
                    </a:xfrm>
                    <a:prstGeom prst="rect">
                      <a:avLst/>
                    </a:prstGeom>
                  </pic:spPr>
                </pic:pic>
              </a:graphicData>
            </a:graphic>
          </wp:inline>
        </w:drawing>
      </w:r>
    </w:p>
    <w:p w:rsidR="00B02C76" w:rsidRPr="004C5551" w:rsidRDefault="00B02C76" w:rsidP="00B02C76">
      <w:pPr>
        <w:pStyle w:val="zdroj"/>
      </w:pPr>
      <w:r w:rsidRPr="004C5551">
        <w:t>Zdroj: ŠÚ SR, EU SILC 201</w:t>
      </w:r>
      <w:r w:rsidR="00184BCC" w:rsidRPr="004C5551">
        <w:t>3</w:t>
      </w:r>
      <w:r w:rsidRPr="004C5551">
        <w:t>, UDB</w:t>
      </w:r>
    </w:p>
    <w:p w:rsidR="00331104" w:rsidRPr="004C5551" w:rsidRDefault="00331104" w:rsidP="00331104">
      <w:pPr>
        <w:pStyle w:val="Nadpis7"/>
      </w:pPr>
      <w:r w:rsidRPr="004C5551">
        <w:t>Graf 4.1b Podiel ľudí v riziku chudoby alebo sociálneho vylúčenia, 2014</w:t>
      </w:r>
    </w:p>
    <w:p w:rsidR="00331104" w:rsidRPr="004C5551" w:rsidRDefault="006556D9" w:rsidP="00B91911">
      <w:pPr>
        <w:jc w:val="center"/>
      </w:pPr>
      <w:r w:rsidRPr="004C5551">
        <w:rPr>
          <w:noProof/>
        </w:rPr>
        <w:drawing>
          <wp:inline distT="0" distB="0" distL="0" distR="0" wp14:anchorId="77AD9CF1" wp14:editId="5A6ABC6A">
            <wp:extent cx="4939200" cy="301320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ý graf chudoba.jpg"/>
                    <pic:cNvPicPr/>
                  </pic:nvPicPr>
                  <pic:blipFill>
                    <a:blip r:embed="rId75">
                      <a:extLst>
                        <a:ext uri="{28A0092B-C50C-407E-A947-70E740481C1C}">
                          <a14:useLocalDpi xmlns:a14="http://schemas.microsoft.com/office/drawing/2010/main" val="0"/>
                        </a:ext>
                      </a:extLst>
                    </a:blip>
                    <a:stretch>
                      <a:fillRect/>
                    </a:stretch>
                  </pic:blipFill>
                  <pic:spPr>
                    <a:xfrm>
                      <a:off x="0" y="0"/>
                      <a:ext cx="4939200" cy="3013200"/>
                    </a:xfrm>
                    <a:prstGeom prst="rect">
                      <a:avLst/>
                    </a:prstGeom>
                  </pic:spPr>
                </pic:pic>
              </a:graphicData>
            </a:graphic>
          </wp:inline>
        </w:drawing>
      </w:r>
    </w:p>
    <w:p w:rsidR="002650AB" w:rsidRPr="004C5551" w:rsidRDefault="002650AB" w:rsidP="002650AB">
      <w:pPr>
        <w:pStyle w:val="zdroj"/>
      </w:pPr>
      <w:r w:rsidRPr="004C5551">
        <w:t>Zdroj: ŠÚ SR, EU SILC 2014, UDB</w:t>
      </w:r>
    </w:p>
    <w:p w:rsidR="008C4962" w:rsidRPr="004C5551" w:rsidRDefault="00215F8C" w:rsidP="00C568C9">
      <w:pPr>
        <w:pStyle w:val="Nadpis7"/>
      </w:pPr>
      <w:r w:rsidRPr="004C5551">
        <w:t>Tabuľka 4.</w:t>
      </w:r>
      <w:r w:rsidR="009B7B4B" w:rsidRPr="004C5551">
        <w:t>1</w:t>
      </w:r>
      <w:r w:rsidRPr="004C5551">
        <w:t xml:space="preserve"> Vývoj jednotlivých indikátorov tvoriacich zoskupenie indikátorov, ako aj samotnej miery rizika chudoby alebo sociálneho vylúčenia v</w:t>
      </w:r>
      <w:r w:rsidR="009425AA" w:rsidRPr="004C5551">
        <w:t> %</w:t>
      </w:r>
    </w:p>
    <w:tbl>
      <w:tblPr>
        <w:tblW w:w="8113" w:type="dxa"/>
        <w:jc w:val="center"/>
        <w:tblInd w:w="1520"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89"/>
        <w:gridCol w:w="774"/>
        <w:gridCol w:w="775"/>
        <w:gridCol w:w="775"/>
        <w:gridCol w:w="775"/>
        <w:gridCol w:w="775"/>
        <w:gridCol w:w="775"/>
        <w:gridCol w:w="775"/>
      </w:tblGrid>
      <w:tr w:rsidR="009F6F04" w:rsidRPr="004C5551" w:rsidTr="005D76B7">
        <w:trPr>
          <w:trHeight w:val="255"/>
          <w:jc w:val="center"/>
        </w:trPr>
        <w:tc>
          <w:tcPr>
            <w:tcW w:w="268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rPr>
                <w:sz w:val="20"/>
                <w:szCs w:val="20"/>
              </w:rPr>
            </w:pPr>
          </w:p>
        </w:tc>
        <w:tc>
          <w:tcPr>
            <w:tcW w:w="7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2008</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2009</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2010</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2011</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2012</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F6F04" w:rsidRPr="004C5551" w:rsidRDefault="009F6F04" w:rsidP="00B94E1F">
            <w:pPr>
              <w:jc w:val="center"/>
              <w:rPr>
                <w:b/>
                <w:sz w:val="20"/>
                <w:szCs w:val="20"/>
              </w:rPr>
            </w:pPr>
            <w:r w:rsidRPr="004C5551">
              <w:rPr>
                <w:b/>
                <w:sz w:val="20"/>
                <w:szCs w:val="20"/>
              </w:rPr>
              <w:t>2013</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9F6F04" w:rsidRPr="004C5551" w:rsidRDefault="009F6F04" w:rsidP="00B94E1F">
            <w:pPr>
              <w:jc w:val="center"/>
              <w:rPr>
                <w:b/>
                <w:sz w:val="20"/>
                <w:szCs w:val="20"/>
              </w:rPr>
            </w:pPr>
            <w:r w:rsidRPr="004C5551">
              <w:rPr>
                <w:b/>
                <w:sz w:val="20"/>
                <w:szCs w:val="20"/>
              </w:rPr>
              <w:t>2014</w:t>
            </w:r>
          </w:p>
        </w:tc>
      </w:tr>
      <w:tr w:rsidR="009F6F04" w:rsidRPr="004C5551" w:rsidTr="005D76B7">
        <w:trPr>
          <w:trHeight w:val="255"/>
          <w:jc w:val="center"/>
        </w:trPr>
        <w:tc>
          <w:tcPr>
            <w:tcW w:w="2689" w:type="dxa"/>
            <w:tcBorders>
              <w:top w:val="single" w:sz="6" w:space="0" w:color="BF0000" w:themeColor="accent3" w:themeShade="BF"/>
            </w:tcBorders>
            <w:shd w:val="clear" w:color="auto" w:fill="auto"/>
            <w:noWrap/>
            <w:vAlign w:val="bottom"/>
            <w:hideMark/>
          </w:tcPr>
          <w:p w:rsidR="009F6F04" w:rsidRPr="004C5551" w:rsidRDefault="009F6F04" w:rsidP="00B94E1F">
            <w:pPr>
              <w:rPr>
                <w:sz w:val="20"/>
                <w:szCs w:val="20"/>
              </w:rPr>
            </w:pPr>
            <w:r w:rsidRPr="004C5551">
              <w:rPr>
                <w:sz w:val="20"/>
                <w:szCs w:val="20"/>
              </w:rPr>
              <w:t>Miera rizika chudoby</w:t>
            </w:r>
          </w:p>
        </w:tc>
        <w:tc>
          <w:tcPr>
            <w:tcW w:w="774"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10,9</w:t>
            </w:r>
          </w:p>
        </w:tc>
        <w:tc>
          <w:tcPr>
            <w:tcW w:w="775"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11,0</w:t>
            </w:r>
          </w:p>
        </w:tc>
        <w:tc>
          <w:tcPr>
            <w:tcW w:w="775"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12,0</w:t>
            </w:r>
          </w:p>
        </w:tc>
        <w:tc>
          <w:tcPr>
            <w:tcW w:w="775"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13,0</w:t>
            </w:r>
          </w:p>
        </w:tc>
        <w:tc>
          <w:tcPr>
            <w:tcW w:w="775"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13,2</w:t>
            </w:r>
          </w:p>
        </w:tc>
        <w:tc>
          <w:tcPr>
            <w:tcW w:w="775" w:type="dxa"/>
            <w:tcBorders>
              <w:top w:val="single" w:sz="6" w:space="0" w:color="BF0000" w:themeColor="accent3" w:themeShade="BF"/>
            </w:tcBorders>
            <w:shd w:val="clear" w:color="auto" w:fill="auto"/>
            <w:noWrap/>
            <w:vAlign w:val="center"/>
            <w:hideMark/>
          </w:tcPr>
          <w:p w:rsidR="009F6F04" w:rsidRPr="004C5551" w:rsidRDefault="009F6F04" w:rsidP="005D76B7">
            <w:pPr>
              <w:jc w:val="right"/>
              <w:rPr>
                <w:sz w:val="20"/>
                <w:szCs w:val="20"/>
              </w:rPr>
            </w:pPr>
            <w:r w:rsidRPr="004C5551">
              <w:rPr>
                <w:sz w:val="20"/>
                <w:szCs w:val="20"/>
              </w:rPr>
              <w:t>12,8</w:t>
            </w:r>
          </w:p>
        </w:tc>
        <w:tc>
          <w:tcPr>
            <w:tcW w:w="775" w:type="dxa"/>
            <w:tcBorders>
              <w:top w:val="single" w:sz="6" w:space="0" w:color="BF0000" w:themeColor="accent3" w:themeShade="BF"/>
            </w:tcBorders>
            <w:vAlign w:val="center"/>
          </w:tcPr>
          <w:p w:rsidR="009F6F04" w:rsidRPr="004C5551" w:rsidRDefault="009F6F04" w:rsidP="005D76B7">
            <w:pPr>
              <w:jc w:val="right"/>
              <w:rPr>
                <w:sz w:val="20"/>
                <w:szCs w:val="20"/>
              </w:rPr>
            </w:pPr>
            <w:r w:rsidRPr="004C5551">
              <w:rPr>
                <w:sz w:val="20"/>
                <w:szCs w:val="20"/>
              </w:rPr>
              <w:t>12,6</w:t>
            </w:r>
          </w:p>
        </w:tc>
      </w:tr>
      <w:tr w:rsidR="009F6F04" w:rsidRPr="004C5551" w:rsidTr="005D76B7">
        <w:trPr>
          <w:trHeight w:val="255"/>
          <w:jc w:val="center"/>
        </w:trPr>
        <w:tc>
          <w:tcPr>
            <w:tcW w:w="2689" w:type="dxa"/>
            <w:shd w:val="clear" w:color="auto" w:fill="auto"/>
            <w:noWrap/>
            <w:vAlign w:val="bottom"/>
            <w:hideMark/>
          </w:tcPr>
          <w:p w:rsidR="009F6F04" w:rsidRPr="004C5551" w:rsidRDefault="009F6F04" w:rsidP="00B94E1F">
            <w:pPr>
              <w:rPr>
                <w:sz w:val="20"/>
                <w:szCs w:val="20"/>
              </w:rPr>
            </w:pPr>
            <w:r w:rsidRPr="004C5551">
              <w:rPr>
                <w:sz w:val="20"/>
                <w:szCs w:val="20"/>
              </w:rPr>
              <w:t>Závažná materiálna deprivácia</w:t>
            </w:r>
          </w:p>
        </w:tc>
        <w:tc>
          <w:tcPr>
            <w:tcW w:w="774" w:type="dxa"/>
            <w:shd w:val="clear" w:color="auto" w:fill="auto"/>
            <w:noWrap/>
            <w:vAlign w:val="center"/>
            <w:hideMark/>
          </w:tcPr>
          <w:p w:rsidR="009F6F04" w:rsidRPr="004C5551" w:rsidRDefault="009F6F04" w:rsidP="005D76B7">
            <w:pPr>
              <w:jc w:val="right"/>
              <w:rPr>
                <w:sz w:val="20"/>
                <w:szCs w:val="20"/>
              </w:rPr>
            </w:pPr>
            <w:r w:rsidRPr="004C5551">
              <w:rPr>
                <w:sz w:val="20"/>
                <w:szCs w:val="20"/>
              </w:rPr>
              <w:t>11,8</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11,1</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11,4</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10,6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10,5</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10,2</w:t>
            </w:r>
          </w:p>
        </w:tc>
        <w:tc>
          <w:tcPr>
            <w:tcW w:w="775" w:type="dxa"/>
            <w:vAlign w:val="center"/>
          </w:tcPr>
          <w:p w:rsidR="009F6F04" w:rsidRPr="004C5551" w:rsidRDefault="009F6F04" w:rsidP="005D76B7">
            <w:pPr>
              <w:jc w:val="right"/>
              <w:rPr>
                <w:sz w:val="20"/>
                <w:szCs w:val="20"/>
              </w:rPr>
            </w:pPr>
            <w:r w:rsidRPr="004C5551">
              <w:rPr>
                <w:sz w:val="20"/>
                <w:szCs w:val="20"/>
              </w:rPr>
              <w:t>9,9</w:t>
            </w:r>
          </w:p>
        </w:tc>
      </w:tr>
      <w:tr w:rsidR="009F6F04" w:rsidRPr="004C5551" w:rsidTr="005D76B7">
        <w:trPr>
          <w:trHeight w:val="255"/>
          <w:jc w:val="center"/>
        </w:trPr>
        <w:tc>
          <w:tcPr>
            <w:tcW w:w="2689" w:type="dxa"/>
            <w:shd w:val="clear" w:color="auto" w:fill="auto"/>
            <w:noWrap/>
            <w:vAlign w:val="bottom"/>
            <w:hideMark/>
          </w:tcPr>
          <w:p w:rsidR="009F6F04" w:rsidRPr="004C5551" w:rsidRDefault="009F6F04" w:rsidP="00B94E1F">
            <w:pPr>
              <w:rPr>
                <w:sz w:val="20"/>
                <w:szCs w:val="20"/>
              </w:rPr>
            </w:pPr>
            <w:r w:rsidRPr="004C5551">
              <w:rPr>
                <w:sz w:val="20"/>
                <w:szCs w:val="20"/>
              </w:rPr>
              <w:t>Veľmi nízka intenzita práce</w:t>
            </w:r>
          </w:p>
        </w:tc>
        <w:tc>
          <w:tcPr>
            <w:tcW w:w="774" w:type="dxa"/>
            <w:shd w:val="clear" w:color="auto" w:fill="auto"/>
            <w:noWrap/>
            <w:vAlign w:val="center"/>
            <w:hideMark/>
          </w:tcPr>
          <w:p w:rsidR="009F6F04" w:rsidRPr="004C5551" w:rsidRDefault="009F6F04" w:rsidP="005D76B7">
            <w:pPr>
              <w:jc w:val="right"/>
              <w:rPr>
                <w:sz w:val="20"/>
                <w:szCs w:val="20"/>
              </w:rPr>
            </w:pPr>
            <w:r w:rsidRPr="004C5551">
              <w:rPr>
                <w:sz w:val="20"/>
                <w:szCs w:val="20"/>
              </w:rPr>
              <w:t>5,2</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5,6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7,9</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7,7</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7,2</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7,6</w:t>
            </w:r>
          </w:p>
        </w:tc>
        <w:tc>
          <w:tcPr>
            <w:tcW w:w="775" w:type="dxa"/>
            <w:vAlign w:val="center"/>
          </w:tcPr>
          <w:p w:rsidR="009F6F04" w:rsidRPr="004C5551" w:rsidRDefault="009F6F04" w:rsidP="005D76B7">
            <w:pPr>
              <w:jc w:val="right"/>
              <w:rPr>
                <w:sz w:val="20"/>
                <w:szCs w:val="20"/>
              </w:rPr>
            </w:pPr>
            <w:r w:rsidRPr="004C5551">
              <w:rPr>
                <w:sz w:val="20"/>
                <w:szCs w:val="20"/>
              </w:rPr>
              <w:t>7,1</w:t>
            </w:r>
          </w:p>
        </w:tc>
      </w:tr>
      <w:tr w:rsidR="009F6F04" w:rsidRPr="004C5551" w:rsidTr="005D76B7">
        <w:trPr>
          <w:trHeight w:val="255"/>
          <w:jc w:val="center"/>
        </w:trPr>
        <w:tc>
          <w:tcPr>
            <w:tcW w:w="2689" w:type="dxa"/>
            <w:shd w:val="clear" w:color="auto" w:fill="auto"/>
            <w:noWrap/>
            <w:vAlign w:val="bottom"/>
            <w:hideMark/>
          </w:tcPr>
          <w:p w:rsidR="009F6F04" w:rsidRPr="004C5551" w:rsidRDefault="009F6F04" w:rsidP="005D76B7">
            <w:pPr>
              <w:rPr>
                <w:sz w:val="20"/>
                <w:szCs w:val="20"/>
              </w:rPr>
            </w:pPr>
            <w:r w:rsidRPr="004C5551">
              <w:rPr>
                <w:sz w:val="20"/>
                <w:szCs w:val="20"/>
              </w:rPr>
              <w:t>Miera rizika chudoby alebo sociálneho vylúčenia</w:t>
            </w:r>
          </w:p>
        </w:tc>
        <w:tc>
          <w:tcPr>
            <w:tcW w:w="774" w:type="dxa"/>
            <w:shd w:val="clear" w:color="auto" w:fill="auto"/>
            <w:noWrap/>
            <w:vAlign w:val="center"/>
            <w:hideMark/>
          </w:tcPr>
          <w:p w:rsidR="009F6F04" w:rsidRPr="004C5551" w:rsidRDefault="009F6F04" w:rsidP="005D76B7">
            <w:pPr>
              <w:jc w:val="right"/>
              <w:rPr>
                <w:sz w:val="20"/>
                <w:szCs w:val="20"/>
              </w:rPr>
            </w:pPr>
            <w:r w:rsidRPr="004C5551">
              <w:rPr>
                <w:sz w:val="20"/>
                <w:szCs w:val="20"/>
              </w:rPr>
              <w:t>20,6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19,6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20,6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20,6</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20,5</w:t>
            </w:r>
          </w:p>
        </w:tc>
        <w:tc>
          <w:tcPr>
            <w:tcW w:w="775" w:type="dxa"/>
            <w:shd w:val="clear" w:color="auto" w:fill="auto"/>
            <w:noWrap/>
            <w:vAlign w:val="center"/>
            <w:hideMark/>
          </w:tcPr>
          <w:p w:rsidR="009F6F04" w:rsidRPr="004C5551" w:rsidRDefault="009F6F04" w:rsidP="005D76B7">
            <w:pPr>
              <w:jc w:val="right"/>
              <w:rPr>
                <w:sz w:val="20"/>
                <w:szCs w:val="20"/>
              </w:rPr>
            </w:pPr>
            <w:r w:rsidRPr="004C5551">
              <w:rPr>
                <w:sz w:val="20"/>
                <w:szCs w:val="20"/>
              </w:rPr>
              <w:t>19,8</w:t>
            </w:r>
          </w:p>
        </w:tc>
        <w:tc>
          <w:tcPr>
            <w:tcW w:w="775" w:type="dxa"/>
            <w:vAlign w:val="center"/>
          </w:tcPr>
          <w:p w:rsidR="009F6F04" w:rsidRPr="004C5551" w:rsidRDefault="009F6F04" w:rsidP="005D76B7">
            <w:pPr>
              <w:jc w:val="right"/>
              <w:rPr>
                <w:sz w:val="20"/>
                <w:szCs w:val="20"/>
              </w:rPr>
            </w:pPr>
            <w:r w:rsidRPr="004C5551">
              <w:rPr>
                <w:sz w:val="20"/>
                <w:szCs w:val="20"/>
              </w:rPr>
              <w:t>18,4</w:t>
            </w:r>
          </w:p>
        </w:tc>
      </w:tr>
    </w:tbl>
    <w:p w:rsidR="008C4962" w:rsidRPr="004C5551" w:rsidRDefault="00215F8C" w:rsidP="00C568C9">
      <w:pPr>
        <w:pStyle w:val="zdroj"/>
      </w:pPr>
      <w:r w:rsidRPr="004C5551">
        <w:t xml:space="preserve">Zdroj: </w:t>
      </w:r>
      <w:proofErr w:type="spellStart"/>
      <w:r w:rsidRPr="004C5551">
        <w:t>Eurostat</w:t>
      </w:r>
      <w:proofErr w:type="spellEnd"/>
    </w:p>
    <w:p w:rsidR="00215F8C" w:rsidRPr="004C5551" w:rsidRDefault="00215F8C" w:rsidP="003B0E51">
      <w:pPr>
        <w:ind w:firstLine="431"/>
        <w:rPr>
          <w:szCs w:val="22"/>
        </w:rPr>
      </w:pPr>
      <w:r w:rsidRPr="004C5551">
        <w:rPr>
          <w:szCs w:val="22"/>
        </w:rPr>
        <w:t xml:space="preserve">K zmenám došlo </w:t>
      </w:r>
      <w:r w:rsidR="007E51F5" w:rsidRPr="004C5551">
        <w:rPr>
          <w:szCs w:val="22"/>
        </w:rPr>
        <w:t xml:space="preserve">v rokoch 2013 a 2014 </w:t>
      </w:r>
      <w:r w:rsidRPr="004C5551">
        <w:rPr>
          <w:szCs w:val="22"/>
        </w:rPr>
        <w:t>aj v jednotlivých hodnotách indikátorov tvoriacich zoskupenie indikátorov</w:t>
      </w:r>
      <w:r w:rsidR="007E51F5" w:rsidRPr="004C5551">
        <w:rPr>
          <w:szCs w:val="22"/>
        </w:rPr>
        <w:t xml:space="preserve"> miery rizika chudoby alebo sociálneho vylúčenia</w:t>
      </w:r>
      <w:r w:rsidR="00B34F51" w:rsidRPr="004C5551">
        <w:rPr>
          <w:szCs w:val="22"/>
        </w:rPr>
        <w:t>.</w:t>
      </w:r>
      <w:r w:rsidRPr="004C5551">
        <w:rPr>
          <w:szCs w:val="22"/>
        </w:rPr>
        <w:t xml:space="preserve"> </w:t>
      </w:r>
      <w:r w:rsidR="00B34F51" w:rsidRPr="004C5551">
        <w:rPr>
          <w:szCs w:val="22"/>
        </w:rPr>
        <w:t>Klesajúci trend bol zaznamenaný v danom období v prípade miery rizika chudoby (príjmovej chudoby) a závažnej materiálnej deprivácie. Pri porovnaní rokov 2012 až 2014 miera rizika chudoby, celkovo klesla o</w:t>
      </w:r>
      <w:r w:rsidR="005D76B7" w:rsidRPr="004C5551">
        <w:rPr>
          <w:szCs w:val="22"/>
        </w:rPr>
        <w:t> </w:t>
      </w:r>
      <w:r w:rsidR="00B34F51" w:rsidRPr="004C5551">
        <w:rPr>
          <w:szCs w:val="22"/>
        </w:rPr>
        <w:t>0,6 p. b., to isté nastalo v prípade závažnej materiálnej deprivácie, kde pokles bol o 0,6 p. b. V prípade veľmi nízkej intenzity práce bol zaznamenaný nárast v roku 2013 oproti roku 2012 o 0,4</w:t>
      </w:r>
      <w:r w:rsidR="005D76B7" w:rsidRPr="004C5551">
        <w:rPr>
          <w:szCs w:val="22"/>
        </w:rPr>
        <w:t> </w:t>
      </w:r>
      <w:r w:rsidR="00B34F51" w:rsidRPr="004C5551">
        <w:rPr>
          <w:szCs w:val="22"/>
        </w:rPr>
        <w:t xml:space="preserve">p. b. avšak pokles o 0,5 p. b. medzi rokmi 2014 a 2013. </w:t>
      </w:r>
      <w:r w:rsidRPr="004C5551">
        <w:rPr>
          <w:szCs w:val="22"/>
        </w:rPr>
        <w:t>Najviac ohrozené rizikom chudoby alebo sociálnym vylúčením sú neúplné rodiny s deťmi – 43,7</w:t>
      </w:r>
      <w:r w:rsidR="00875D86" w:rsidRPr="004C5551">
        <w:rPr>
          <w:szCs w:val="22"/>
        </w:rPr>
        <w:t> </w:t>
      </w:r>
      <w:r w:rsidRPr="004C5551">
        <w:rPr>
          <w:szCs w:val="22"/>
        </w:rPr>
        <w:t xml:space="preserve">% </w:t>
      </w:r>
      <w:r w:rsidR="00B34F51" w:rsidRPr="004C5551">
        <w:rPr>
          <w:szCs w:val="22"/>
        </w:rPr>
        <w:t xml:space="preserve">v roku 2013 </w:t>
      </w:r>
      <w:r w:rsidRPr="004C5551">
        <w:rPr>
          <w:szCs w:val="22"/>
        </w:rPr>
        <w:t xml:space="preserve">(pod priemerom </w:t>
      </w:r>
      <w:r w:rsidR="00100F0C" w:rsidRPr="004C5551">
        <w:rPr>
          <w:szCs w:val="22"/>
        </w:rPr>
        <w:t>EU28</w:t>
      </w:r>
      <w:r w:rsidRPr="004C5551">
        <w:rPr>
          <w:szCs w:val="22"/>
        </w:rPr>
        <w:t>– 49,9</w:t>
      </w:r>
      <w:r w:rsidR="00875D86" w:rsidRPr="004C5551">
        <w:rPr>
          <w:szCs w:val="22"/>
        </w:rPr>
        <w:t> </w:t>
      </w:r>
      <w:r w:rsidRPr="004C5551">
        <w:rPr>
          <w:szCs w:val="22"/>
        </w:rPr>
        <w:t>%)</w:t>
      </w:r>
      <w:r w:rsidR="00B34F51" w:rsidRPr="004C5551">
        <w:rPr>
          <w:szCs w:val="22"/>
        </w:rPr>
        <w:t xml:space="preserve"> a 39,0 %</w:t>
      </w:r>
      <w:r w:rsidRPr="004C5551">
        <w:rPr>
          <w:szCs w:val="22"/>
        </w:rPr>
        <w:t xml:space="preserve"> </w:t>
      </w:r>
      <w:r w:rsidR="00B34F51" w:rsidRPr="004C5551">
        <w:rPr>
          <w:szCs w:val="22"/>
        </w:rPr>
        <w:t>v roku 2014,</w:t>
      </w:r>
      <w:r w:rsidRPr="004C5551">
        <w:rPr>
          <w:szCs w:val="22"/>
        </w:rPr>
        <w:t> viacpočetné rodiny s viac ako troma deťmi – 37,6</w:t>
      </w:r>
      <w:r w:rsidR="00875D86" w:rsidRPr="004C5551">
        <w:rPr>
          <w:szCs w:val="22"/>
        </w:rPr>
        <w:t> </w:t>
      </w:r>
      <w:r w:rsidRPr="004C5551">
        <w:rPr>
          <w:szCs w:val="22"/>
        </w:rPr>
        <w:t xml:space="preserve">% </w:t>
      </w:r>
      <w:r w:rsidR="00B34F51" w:rsidRPr="004C5551">
        <w:rPr>
          <w:szCs w:val="22"/>
        </w:rPr>
        <w:t xml:space="preserve">v roku 2013 </w:t>
      </w:r>
      <w:r w:rsidRPr="004C5551">
        <w:rPr>
          <w:szCs w:val="22"/>
        </w:rPr>
        <w:t xml:space="preserve">(nad priemerom </w:t>
      </w:r>
      <w:r w:rsidR="00100F0C" w:rsidRPr="004C5551">
        <w:rPr>
          <w:szCs w:val="22"/>
        </w:rPr>
        <w:t>EU28</w:t>
      </w:r>
      <w:r w:rsidRPr="004C5551">
        <w:rPr>
          <w:szCs w:val="22"/>
        </w:rPr>
        <w:t>– 32,2</w:t>
      </w:r>
      <w:r w:rsidR="00875D86" w:rsidRPr="004C5551">
        <w:rPr>
          <w:szCs w:val="22"/>
        </w:rPr>
        <w:t> </w:t>
      </w:r>
      <w:r w:rsidRPr="004C5551">
        <w:rPr>
          <w:szCs w:val="22"/>
        </w:rPr>
        <w:t xml:space="preserve">%) </w:t>
      </w:r>
      <w:r w:rsidR="00B34F51" w:rsidRPr="004C5551">
        <w:rPr>
          <w:szCs w:val="22"/>
        </w:rPr>
        <w:t xml:space="preserve">a 32,0 % v roku 2014 </w:t>
      </w:r>
      <w:r w:rsidRPr="004C5551">
        <w:rPr>
          <w:szCs w:val="22"/>
        </w:rPr>
        <w:t>a v neposlednom rade aj jednotlivci – 26,4</w:t>
      </w:r>
      <w:r w:rsidR="00875D86" w:rsidRPr="004C5551">
        <w:rPr>
          <w:szCs w:val="22"/>
        </w:rPr>
        <w:t> </w:t>
      </w:r>
      <w:r w:rsidRPr="004C5551">
        <w:rPr>
          <w:szCs w:val="22"/>
        </w:rPr>
        <w:t>%</w:t>
      </w:r>
      <w:r w:rsidR="00B34F51" w:rsidRPr="004C5551">
        <w:rPr>
          <w:szCs w:val="22"/>
        </w:rPr>
        <w:t xml:space="preserve"> v roku 2013</w:t>
      </w:r>
      <w:r w:rsidRPr="004C5551">
        <w:rPr>
          <w:szCs w:val="22"/>
        </w:rPr>
        <w:t xml:space="preserve"> (pod priemerom </w:t>
      </w:r>
      <w:r w:rsidR="00100F0C" w:rsidRPr="004C5551">
        <w:rPr>
          <w:szCs w:val="22"/>
        </w:rPr>
        <w:t>EU28</w:t>
      </w:r>
      <w:r w:rsidR="00287AEA" w:rsidRPr="004C5551">
        <w:rPr>
          <w:szCs w:val="22"/>
        </w:rPr>
        <w:t xml:space="preserve"> </w:t>
      </w:r>
      <w:r w:rsidRPr="004C5551">
        <w:rPr>
          <w:szCs w:val="22"/>
        </w:rPr>
        <w:t>– 33,3</w:t>
      </w:r>
      <w:r w:rsidR="00875D86" w:rsidRPr="004C5551">
        <w:rPr>
          <w:szCs w:val="22"/>
        </w:rPr>
        <w:t> </w:t>
      </w:r>
      <w:r w:rsidRPr="004C5551">
        <w:rPr>
          <w:szCs w:val="22"/>
        </w:rPr>
        <w:t>%)</w:t>
      </w:r>
      <w:r w:rsidR="00B34F51" w:rsidRPr="004C5551">
        <w:rPr>
          <w:szCs w:val="22"/>
        </w:rPr>
        <w:t xml:space="preserve"> a 26,1 % v roku 2014</w:t>
      </w:r>
      <w:r w:rsidRPr="004C5551">
        <w:rPr>
          <w:szCs w:val="22"/>
        </w:rPr>
        <w:t xml:space="preserve">. Z hľadiska vekového rozdelenia sú najrizikovejšou skupinou </w:t>
      </w:r>
      <w:r w:rsidR="00B34F51" w:rsidRPr="004C5551">
        <w:rPr>
          <w:szCs w:val="22"/>
        </w:rPr>
        <w:t>p</w:t>
      </w:r>
      <w:r w:rsidRPr="004C5551">
        <w:rPr>
          <w:szCs w:val="22"/>
        </w:rPr>
        <w:t>ráve deti vo veku 0</w:t>
      </w:r>
      <w:r w:rsidR="00106028" w:rsidRPr="004C5551">
        <w:rPr>
          <w:szCs w:val="22"/>
        </w:rPr>
        <w:t xml:space="preserve"> – </w:t>
      </w:r>
      <w:r w:rsidR="00287AEA" w:rsidRPr="004C5551">
        <w:rPr>
          <w:szCs w:val="22"/>
        </w:rPr>
        <w:t>17 </w:t>
      </w:r>
      <w:r w:rsidRPr="004C5551">
        <w:rPr>
          <w:szCs w:val="22"/>
        </w:rPr>
        <w:t>rokov (25,5</w:t>
      </w:r>
      <w:r w:rsidR="00875D86" w:rsidRPr="004C5551">
        <w:rPr>
          <w:szCs w:val="22"/>
        </w:rPr>
        <w:t> </w:t>
      </w:r>
      <w:r w:rsidRPr="004C5551">
        <w:rPr>
          <w:szCs w:val="22"/>
        </w:rPr>
        <w:t>%</w:t>
      </w:r>
      <w:r w:rsidR="00B34F51" w:rsidRPr="004C5551">
        <w:rPr>
          <w:szCs w:val="22"/>
        </w:rPr>
        <w:t xml:space="preserve"> v roku 2013 t. j.</w:t>
      </w:r>
      <w:r w:rsidRPr="004C5551">
        <w:rPr>
          <w:szCs w:val="22"/>
        </w:rPr>
        <w:t xml:space="preserve"> pod priemerom </w:t>
      </w:r>
      <w:r w:rsidR="00100F0C" w:rsidRPr="004C5551">
        <w:rPr>
          <w:szCs w:val="22"/>
        </w:rPr>
        <w:t>EU28</w:t>
      </w:r>
      <w:r w:rsidRPr="004C5551">
        <w:rPr>
          <w:szCs w:val="22"/>
        </w:rPr>
        <w:t>– 27,7</w:t>
      </w:r>
      <w:r w:rsidR="00875D86" w:rsidRPr="004C5551">
        <w:rPr>
          <w:szCs w:val="22"/>
        </w:rPr>
        <w:t> </w:t>
      </w:r>
      <w:r w:rsidRPr="004C5551">
        <w:rPr>
          <w:szCs w:val="22"/>
        </w:rPr>
        <w:t>%</w:t>
      </w:r>
      <w:r w:rsidR="00B34F51" w:rsidRPr="004C5551">
        <w:rPr>
          <w:szCs w:val="22"/>
        </w:rPr>
        <w:t xml:space="preserve"> a 23,6 % v roku 2014</w:t>
      </w:r>
      <w:r w:rsidRPr="004C5551">
        <w:rPr>
          <w:szCs w:val="22"/>
        </w:rPr>
        <w:t>), resp. deti vo veku 0</w:t>
      </w:r>
      <w:r w:rsidR="00106028" w:rsidRPr="004C5551">
        <w:rPr>
          <w:szCs w:val="22"/>
        </w:rPr>
        <w:t xml:space="preserve"> – </w:t>
      </w:r>
      <w:r w:rsidRPr="004C5551">
        <w:rPr>
          <w:szCs w:val="22"/>
        </w:rPr>
        <w:t>15 (24,9</w:t>
      </w:r>
      <w:r w:rsidR="00875D86" w:rsidRPr="004C5551">
        <w:rPr>
          <w:szCs w:val="22"/>
        </w:rPr>
        <w:t> </w:t>
      </w:r>
      <w:r w:rsidRPr="004C5551">
        <w:rPr>
          <w:szCs w:val="22"/>
        </w:rPr>
        <w:t>%</w:t>
      </w:r>
      <w:r w:rsidR="00B34F51" w:rsidRPr="004C5551">
        <w:rPr>
          <w:szCs w:val="22"/>
        </w:rPr>
        <w:t xml:space="preserve"> v roku 2013 t. j.</w:t>
      </w:r>
      <w:r w:rsidRPr="004C5551">
        <w:rPr>
          <w:szCs w:val="22"/>
        </w:rPr>
        <w:t xml:space="preserve"> pod priemerom </w:t>
      </w:r>
      <w:r w:rsidR="00100F0C" w:rsidRPr="004C5551">
        <w:rPr>
          <w:szCs w:val="22"/>
        </w:rPr>
        <w:t>EU28</w:t>
      </w:r>
      <w:r w:rsidR="00287AEA" w:rsidRPr="004C5551">
        <w:rPr>
          <w:szCs w:val="22"/>
        </w:rPr>
        <w:t xml:space="preserve"> </w:t>
      </w:r>
      <w:r w:rsidRPr="004C5551">
        <w:rPr>
          <w:szCs w:val="22"/>
        </w:rPr>
        <w:t>– 27,3</w:t>
      </w:r>
      <w:r w:rsidR="00875D86" w:rsidRPr="004C5551">
        <w:rPr>
          <w:szCs w:val="22"/>
        </w:rPr>
        <w:t> </w:t>
      </w:r>
      <w:r w:rsidRPr="004C5551">
        <w:rPr>
          <w:szCs w:val="22"/>
        </w:rPr>
        <w:t>%</w:t>
      </w:r>
      <w:r w:rsidR="00B34F51" w:rsidRPr="004C5551">
        <w:rPr>
          <w:szCs w:val="22"/>
        </w:rPr>
        <w:t xml:space="preserve"> a 23,4 % v roku 2014</w:t>
      </w:r>
      <w:r w:rsidRPr="004C5551">
        <w:rPr>
          <w:szCs w:val="22"/>
        </w:rPr>
        <w:t xml:space="preserve">). </w:t>
      </w:r>
    </w:p>
    <w:p w:rsidR="00215F8C" w:rsidRPr="004C5551" w:rsidRDefault="00215F8C" w:rsidP="003B0E51">
      <w:pPr>
        <w:ind w:firstLine="431"/>
        <w:rPr>
          <w:szCs w:val="22"/>
        </w:rPr>
      </w:pPr>
      <w:r w:rsidRPr="004C5551">
        <w:rPr>
          <w:szCs w:val="22"/>
        </w:rPr>
        <w:t xml:space="preserve">Vo všeobecnosti pre charakterizovanie chudobnej populácie v spoločnosti bola stanovená hranica </w:t>
      </w:r>
      <w:r w:rsidR="00DF3EC1" w:rsidRPr="004C5551">
        <w:rPr>
          <w:szCs w:val="22"/>
        </w:rPr>
        <w:t xml:space="preserve">rizika </w:t>
      </w:r>
      <w:r w:rsidRPr="004C5551">
        <w:rPr>
          <w:szCs w:val="22"/>
        </w:rPr>
        <w:t>chudoby</w:t>
      </w:r>
      <w:r w:rsidRPr="004C5551">
        <w:rPr>
          <w:rStyle w:val="Odkaznapoznmkupodiarou"/>
          <w:szCs w:val="22"/>
        </w:rPr>
        <w:footnoteReference w:id="52"/>
      </w:r>
      <w:r w:rsidRPr="004C5551">
        <w:rPr>
          <w:szCs w:val="22"/>
        </w:rPr>
        <w:t>, pomocou ktorej sa vyjadruje podiel obyvateľstva žijúceho v chudobe. Ide o relatívnu hranicu chudoby, ktorá meria, do akej miery finančné prostriedky domácností klesajú pod stredovú hranicu príjmu spoločnosti. Tento ukazovateľ vyjadruje predovšetkým riziko chudoby a je závislý od</w:t>
      </w:r>
      <w:r w:rsidR="005D76B7" w:rsidRPr="004C5551">
        <w:rPr>
          <w:szCs w:val="22"/>
        </w:rPr>
        <w:t> </w:t>
      </w:r>
      <w:r w:rsidRPr="004C5551">
        <w:rPr>
          <w:szCs w:val="22"/>
        </w:rPr>
        <w:t>sociálno-ekonomického vývoja spoločnosti v danej krajine.</w:t>
      </w:r>
    </w:p>
    <w:p w:rsidR="00215F8C" w:rsidRPr="004C5551" w:rsidRDefault="00215F8C" w:rsidP="003B0E51">
      <w:pPr>
        <w:ind w:firstLine="431"/>
        <w:rPr>
          <w:szCs w:val="22"/>
        </w:rPr>
      </w:pPr>
      <w:r w:rsidRPr="004C5551">
        <w:rPr>
          <w:szCs w:val="22"/>
        </w:rPr>
        <w:t>Na základe EU SILC 2013 bola miera rizika chudoby v Slovenskej republiky na úrovni 12,8</w:t>
      </w:r>
      <w:r w:rsidR="006D0272" w:rsidRPr="004C5551">
        <w:rPr>
          <w:szCs w:val="22"/>
        </w:rPr>
        <w:t> </w:t>
      </w:r>
      <w:r w:rsidRPr="004C5551">
        <w:rPr>
          <w:szCs w:val="22"/>
        </w:rPr>
        <w:t>% (muži – 12,8</w:t>
      </w:r>
      <w:r w:rsidR="006D0272" w:rsidRPr="004C5551">
        <w:rPr>
          <w:szCs w:val="22"/>
        </w:rPr>
        <w:t> </w:t>
      </w:r>
      <w:r w:rsidRPr="004C5551">
        <w:rPr>
          <w:szCs w:val="22"/>
        </w:rPr>
        <w:t>%; ženy –</w:t>
      </w:r>
      <w:r w:rsidR="00100F0C" w:rsidRPr="004C5551">
        <w:rPr>
          <w:szCs w:val="22"/>
        </w:rPr>
        <w:t xml:space="preserve"> 12,9</w:t>
      </w:r>
      <w:r w:rsidR="006D0272" w:rsidRPr="004C5551">
        <w:rPr>
          <w:szCs w:val="22"/>
        </w:rPr>
        <w:t> </w:t>
      </w:r>
      <w:r w:rsidR="00100F0C" w:rsidRPr="004C5551">
        <w:rPr>
          <w:szCs w:val="22"/>
        </w:rPr>
        <w:t>%), čo je pod priemerom EU</w:t>
      </w:r>
      <w:r w:rsidRPr="004C5551">
        <w:rPr>
          <w:szCs w:val="22"/>
        </w:rPr>
        <w:t>28 (16,60</w:t>
      </w:r>
      <w:r w:rsidR="006D0272" w:rsidRPr="004C5551">
        <w:rPr>
          <w:szCs w:val="22"/>
        </w:rPr>
        <w:t> </w:t>
      </w:r>
      <w:r w:rsidRPr="004C5551">
        <w:rPr>
          <w:szCs w:val="22"/>
        </w:rPr>
        <w:t xml:space="preserve">%). </w:t>
      </w:r>
      <w:r w:rsidR="00B34F51" w:rsidRPr="004C5551">
        <w:rPr>
          <w:szCs w:val="22"/>
        </w:rPr>
        <w:t>Na základe nasledovného zisťovania EU SILC 2014 bol zaznamenaný oproti roku 2013 mierny pokles miery rizika chudoby o</w:t>
      </w:r>
      <w:r w:rsidR="005D76B7" w:rsidRPr="004C5551">
        <w:rPr>
          <w:szCs w:val="22"/>
        </w:rPr>
        <w:t> </w:t>
      </w:r>
      <w:r w:rsidR="00B34F51" w:rsidRPr="004C5551">
        <w:rPr>
          <w:szCs w:val="22"/>
        </w:rPr>
        <w:t xml:space="preserve">0,2 p. b. na 12,6%. </w:t>
      </w:r>
      <w:r w:rsidRPr="004C5551">
        <w:rPr>
          <w:szCs w:val="22"/>
        </w:rPr>
        <w:t xml:space="preserve">Pri porovnávaní jednotlivých krajín </w:t>
      </w:r>
      <w:r w:rsidR="00100F0C" w:rsidRPr="004C5551">
        <w:rPr>
          <w:szCs w:val="22"/>
        </w:rPr>
        <w:t>EU28</w:t>
      </w:r>
      <w:r w:rsidR="00DF3EC1" w:rsidRPr="004C5551">
        <w:rPr>
          <w:szCs w:val="22"/>
        </w:rPr>
        <w:t xml:space="preserve"> </w:t>
      </w:r>
      <w:r w:rsidRPr="004C5551">
        <w:rPr>
          <w:szCs w:val="22"/>
        </w:rPr>
        <w:t>patrí Slovenská republika medzi krajiny s najnižšou mierou rizika chudoby, viď graf 4.2, na ktorú má vplyv nízka nerovnosť príjmov.</w:t>
      </w:r>
    </w:p>
    <w:p w:rsidR="008C4962" w:rsidRPr="004C5551" w:rsidRDefault="00215F8C" w:rsidP="005D76B7">
      <w:pPr>
        <w:pStyle w:val="Nadpis7"/>
        <w:spacing w:after="0"/>
      </w:pPr>
      <w:r w:rsidRPr="004C5551">
        <w:t>Graf 4.2 Miera rizika chudoby v jednotlivých štátoch EÚ, 2013</w:t>
      </w:r>
    </w:p>
    <w:p w:rsidR="00215F8C" w:rsidRPr="004C5551" w:rsidRDefault="00C568C9" w:rsidP="005D76B7">
      <w:pPr>
        <w:jc w:val="center"/>
        <w:rPr>
          <w:b/>
          <w:sz w:val="20"/>
          <w:szCs w:val="20"/>
        </w:rPr>
      </w:pPr>
      <w:r w:rsidRPr="004C5551">
        <w:rPr>
          <w:noProof/>
        </w:rPr>
        <w:drawing>
          <wp:inline distT="0" distB="0" distL="0" distR="0" wp14:anchorId="4BCB19E1" wp14:editId="49ACB1BE">
            <wp:extent cx="4343400" cy="24955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C4962" w:rsidRPr="004C5551" w:rsidRDefault="00215F8C" w:rsidP="005D76B7">
      <w:pPr>
        <w:pStyle w:val="zdroj"/>
        <w:ind w:left="567"/>
      </w:pPr>
      <w:r w:rsidRPr="004C5551">
        <w:t xml:space="preserve">Zdroj: </w:t>
      </w:r>
      <w:proofErr w:type="spellStart"/>
      <w:r w:rsidRPr="004C5551">
        <w:t>Eurostat</w:t>
      </w:r>
      <w:proofErr w:type="spellEnd"/>
    </w:p>
    <w:p w:rsidR="00215F8C" w:rsidRPr="004C5551" w:rsidRDefault="00215F8C" w:rsidP="00F41C22">
      <w:pPr>
        <w:ind w:firstLine="431"/>
        <w:rPr>
          <w:szCs w:val="22"/>
        </w:rPr>
      </w:pPr>
      <w:r w:rsidRPr="004C5551">
        <w:rPr>
          <w:szCs w:val="22"/>
        </w:rPr>
        <w:t>V</w:t>
      </w:r>
      <w:r w:rsidR="00B34F51" w:rsidRPr="004C5551">
        <w:rPr>
          <w:szCs w:val="22"/>
        </w:rPr>
        <w:t> roku 2013 v</w:t>
      </w:r>
      <w:r w:rsidRPr="004C5551">
        <w:rPr>
          <w:szCs w:val="22"/>
        </w:rPr>
        <w:t xml:space="preserve"> porovnávaní s predchádzajúcim </w:t>
      </w:r>
      <w:r w:rsidR="005C09F6" w:rsidRPr="004C5551">
        <w:rPr>
          <w:szCs w:val="22"/>
        </w:rPr>
        <w:t xml:space="preserve">rokom </w:t>
      </w:r>
      <w:r w:rsidRPr="004C5551">
        <w:rPr>
          <w:szCs w:val="22"/>
        </w:rPr>
        <w:t>miera rizika chudoby klesla o 0,4 p. b., čo predstavuje cca 22 tis. ľudí</w:t>
      </w:r>
      <w:r w:rsidR="00B34F51" w:rsidRPr="004C5551">
        <w:rPr>
          <w:szCs w:val="22"/>
        </w:rPr>
        <w:t xml:space="preserve"> a v roku 2014 bol zaznamen</w:t>
      </w:r>
      <w:r w:rsidR="00BC0FE1" w:rsidRPr="004C5551">
        <w:rPr>
          <w:szCs w:val="22"/>
        </w:rPr>
        <w:t>an</w:t>
      </w:r>
      <w:r w:rsidR="00B34F51" w:rsidRPr="004C5551">
        <w:rPr>
          <w:szCs w:val="22"/>
        </w:rPr>
        <w:t xml:space="preserve">ý ďalší </w:t>
      </w:r>
      <w:r w:rsidR="005C09F6" w:rsidRPr="004C5551">
        <w:rPr>
          <w:szCs w:val="22"/>
        </w:rPr>
        <w:t xml:space="preserve">medziročný </w:t>
      </w:r>
      <w:r w:rsidR="00B34F51" w:rsidRPr="004C5551">
        <w:rPr>
          <w:szCs w:val="22"/>
        </w:rPr>
        <w:t>pokles o 0,2 p. b., čo predstavuje cca 35 tis. ľudí</w:t>
      </w:r>
      <w:r w:rsidRPr="004C5551">
        <w:rPr>
          <w:szCs w:val="22"/>
        </w:rPr>
        <w:t xml:space="preserve">. V rámci vývoja miery rizika </w:t>
      </w:r>
      <w:r w:rsidR="00100F0C" w:rsidRPr="004C5551">
        <w:rPr>
          <w:szCs w:val="22"/>
        </w:rPr>
        <w:t>chudoby za obdobie 2005 až 2013</w:t>
      </w:r>
      <w:r w:rsidRPr="004C5551">
        <w:rPr>
          <w:szCs w:val="22"/>
        </w:rPr>
        <w:t xml:space="preserve"> došlo k jej podstatnému poklesu v roku 2007 (10,5</w:t>
      </w:r>
      <w:r w:rsidR="00875D86" w:rsidRPr="004C5551">
        <w:rPr>
          <w:szCs w:val="22"/>
        </w:rPr>
        <w:t> </w:t>
      </w:r>
      <w:r w:rsidRPr="004C5551">
        <w:rPr>
          <w:szCs w:val="22"/>
        </w:rPr>
        <w:t>%), následne bol zaznamenaný mierny nárast až do roku 201</w:t>
      </w:r>
      <w:r w:rsidR="00901F4C" w:rsidRPr="004C5551">
        <w:rPr>
          <w:szCs w:val="22"/>
        </w:rPr>
        <w:t>2</w:t>
      </w:r>
      <w:r w:rsidRPr="004C5551">
        <w:rPr>
          <w:szCs w:val="22"/>
        </w:rPr>
        <w:t xml:space="preserve"> (viď graf 4.3). V porovnaní s rokom 2005 (počiatočný rok zisťovania)</w:t>
      </w:r>
      <w:r w:rsidR="00100F0C" w:rsidRPr="004C5551">
        <w:rPr>
          <w:szCs w:val="22"/>
        </w:rPr>
        <w:t>,</w:t>
      </w:r>
      <w:r w:rsidRPr="004C5551">
        <w:rPr>
          <w:szCs w:val="22"/>
        </w:rPr>
        <w:t xml:space="preserve"> hodnota zo zisťovania za rok 2013 bola nižšia o 0,5 p. b. Vývoj miery rizika chudoby je ovplyvnený sociálno-ekonomickou situáciou v krajine a následne vývojom príjmovej situácie v domácnostiach. Pokles miery rizika chudoby v roku 2013</w:t>
      </w:r>
      <w:r w:rsidR="005C09F6" w:rsidRPr="004C5551">
        <w:rPr>
          <w:szCs w:val="22"/>
        </w:rPr>
        <w:t xml:space="preserve"> a 2014</w:t>
      </w:r>
      <w:r w:rsidRPr="004C5551">
        <w:rPr>
          <w:szCs w:val="22"/>
        </w:rPr>
        <w:t xml:space="preserve"> bol spôsobený predovšetkým vyrovnávaním príjmovej nerovnosti práve u domácností v nízkych príjmových pásmach. Tak ako aj v predchádzajúcom roku zisťovania sa rozdiel medzi mužmi a ženami v riziku chudoby vyrovnáva. </w:t>
      </w:r>
    </w:p>
    <w:p w:rsidR="00215F8C" w:rsidRPr="004C5551" w:rsidRDefault="00215F8C" w:rsidP="000F73C3">
      <w:pPr>
        <w:pStyle w:val="Nadpis7"/>
      </w:pPr>
      <w:r w:rsidRPr="004C5551">
        <w:t>Graf 4.3 Vývoj miery rizika chudoby na Slovensku (2005</w:t>
      </w:r>
      <w:r w:rsidR="00106028" w:rsidRPr="004C5551">
        <w:t xml:space="preserve"> – </w:t>
      </w:r>
      <w:r w:rsidRPr="004C5551">
        <w:t>201</w:t>
      </w:r>
      <w:r w:rsidR="009E1F72" w:rsidRPr="004C5551">
        <w:t>4</w:t>
      </w:r>
      <w:r w:rsidRPr="004C5551">
        <w:t>)</w:t>
      </w:r>
    </w:p>
    <w:p w:rsidR="009E1F72" w:rsidRPr="004C5551" w:rsidRDefault="007E4084" w:rsidP="00FF766C">
      <w:pPr>
        <w:jc w:val="center"/>
      </w:pPr>
      <w:r w:rsidRPr="004C5551">
        <w:rPr>
          <w:noProof/>
        </w:rPr>
        <w:drawing>
          <wp:inline distT="0" distB="0" distL="0" distR="0" wp14:anchorId="012B9A2C" wp14:editId="00C63CCA">
            <wp:extent cx="4465638" cy="2622550"/>
            <wp:effectExtent l="0" t="0" r="0" b="635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15F8C" w:rsidRPr="004C5551" w:rsidRDefault="00215F8C" w:rsidP="00C568C9">
      <w:pPr>
        <w:pStyle w:val="zdroj"/>
      </w:pPr>
      <w:r w:rsidRPr="004C5551">
        <w:t>Zdroj: ŠÚ SR, EU SILC 2005</w:t>
      </w:r>
      <w:r w:rsidR="00106028" w:rsidRPr="004C5551">
        <w:t xml:space="preserve"> – </w:t>
      </w:r>
      <w:r w:rsidRPr="004C5551">
        <w:t>201</w:t>
      </w:r>
      <w:r w:rsidR="009E1F72" w:rsidRPr="004C5551">
        <w:t>4</w:t>
      </w:r>
      <w:r w:rsidRPr="004C5551">
        <w:t>, UDB</w:t>
      </w:r>
    </w:p>
    <w:p w:rsidR="00215F8C" w:rsidRPr="004C5551" w:rsidRDefault="00215F8C" w:rsidP="00DD71CA">
      <w:pPr>
        <w:ind w:firstLine="431"/>
        <w:rPr>
          <w:szCs w:val="22"/>
        </w:rPr>
      </w:pPr>
      <w:r w:rsidRPr="004C5551">
        <w:rPr>
          <w:szCs w:val="22"/>
        </w:rPr>
        <w:t xml:space="preserve">Dôležitú úlohu pri redukcii rizika chudoby zohráva nastavenie systému sociálnej ochrany a jej výdavky, t.j. sociálne transfery vrátane starobných a pozostalostných dávok. V prípade neposkytovania sociálnych transferov s výnimkou starobných a pozostalostných dávok </w:t>
      </w:r>
      <w:r w:rsidR="009F6F04" w:rsidRPr="004C5551">
        <w:rPr>
          <w:szCs w:val="22"/>
        </w:rPr>
        <w:t xml:space="preserve">v roku 2013 by </w:t>
      </w:r>
      <w:r w:rsidRPr="004C5551">
        <w:rPr>
          <w:szCs w:val="22"/>
        </w:rPr>
        <w:t>sa miera rizika chudoby zvýši</w:t>
      </w:r>
      <w:r w:rsidR="009F6F04" w:rsidRPr="004C5551">
        <w:rPr>
          <w:szCs w:val="22"/>
        </w:rPr>
        <w:t>la</w:t>
      </w:r>
      <w:r w:rsidRPr="004C5551">
        <w:rPr>
          <w:szCs w:val="22"/>
        </w:rPr>
        <w:t xml:space="preserve"> o 7,3 p. b. </w:t>
      </w:r>
      <w:r w:rsidR="009F6F04" w:rsidRPr="004C5551">
        <w:rPr>
          <w:szCs w:val="22"/>
        </w:rPr>
        <w:t xml:space="preserve">na </w:t>
      </w:r>
      <w:r w:rsidRPr="004C5551">
        <w:rPr>
          <w:szCs w:val="22"/>
        </w:rPr>
        <w:t>20,1</w:t>
      </w:r>
      <w:r w:rsidR="00875D86" w:rsidRPr="004C5551">
        <w:rPr>
          <w:szCs w:val="22"/>
        </w:rPr>
        <w:t> </w:t>
      </w:r>
      <w:r w:rsidRPr="004C5551">
        <w:rPr>
          <w:szCs w:val="22"/>
        </w:rPr>
        <w:t xml:space="preserve">% a v prípade neposkytovania sociálnych transferov vrátane starobných a pozostalostných dávok </w:t>
      </w:r>
      <w:r w:rsidR="009F6F04" w:rsidRPr="004C5551">
        <w:rPr>
          <w:szCs w:val="22"/>
        </w:rPr>
        <w:t xml:space="preserve">by </w:t>
      </w:r>
      <w:r w:rsidRPr="004C5551">
        <w:rPr>
          <w:szCs w:val="22"/>
        </w:rPr>
        <w:t>sa miera rizika zvýši</w:t>
      </w:r>
      <w:r w:rsidR="009F6F04" w:rsidRPr="004C5551">
        <w:rPr>
          <w:szCs w:val="22"/>
        </w:rPr>
        <w:t>la</w:t>
      </w:r>
      <w:r w:rsidRPr="004C5551">
        <w:rPr>
          <w:szCs w:val="22"/>
        </w:rPr>
        <w:t xml:space="preserve"> o 25,2 p. b. </w:t>
      </w:r>
      <w:r w:rsidR="009F6F04" w:rsidRPr="004C5551">
        <w:rPr>
          <w:szCs w:val="22"/>
        </w:rPr>
        <w:t>na</w:t>
      </w:r>
      <w:r w:rsidR="007E4084" w:rsidRPr="004C5551">
        <w:rPr>
          <w:szCs w:val="22"/>
        </w:rPr>
        <w:t> </w:t>
      </w:r>
      <w:r w:rsidRPr="004C5551">
        <w:rPr>
          <w:szCs w:val="22"/>
        </w:rPr>
        <w:t>38,0</w:t>
      </w:r>
      <w:r w:rsidR="006D0272" w:rsidRPr="004C5551">
        <w:rPr>
          <w:szCs w:val="22"/>
        </w:rPr>
        <w:t> </w:t>
      </w:r>
      <w:r w:rsidRPr="004C5551">
        <w:rPr>
          <w:szCs w:val="22"/>
        </w:rPr>
        <w:t xml:space="preserve">%. V porovnaní s predchádzajúcim rokom bol zaznamenaný </w:t>
      </w:r>
      <w:r w:rsidR="00DD71CA" w:rsidRPr="004C5551">
        <w:rPr>
          <w:szCs w:val="22"/>
        </w:rPr>
        <w:t xml:space="preserve">vyšší </w:t>
      </w:r>
      <w:r w:rsidRPr="004C5551">
        <w:rPr>
          <w:szCs w:val="22"/>
        </w:rPr>
        <w:t xml:space="preserve">vplyv sociálnych transferov (či už bez alebo vrátane starobných a pozostalostných dávok) na </w:t>
      </w:r>
      <w:r w:rsidR="00DD71CA" w:rsidRPr="004C5551">
        <w:rPr>
          <w:szCs w:val="22"/>
        </w:rPr>
        <w:t xml:space="preserve">redukciu </w:t>
      </w:r>
      <w:r w:rsidRPr="004C5551">
        <w:rPr>
          <w:szCs w:val="22"/>
        </w:rPr>
        <w:t>miery rizika chudoby</w:t>
      </w:r>
      <w:r w:rsidR="00DD71CA" w:rsidRPr="004C5551">
        <w:rPr>
          <w:szCs w:val="22"/>
        </w:rPr>
        <w:t>, nakoľko bez sociálnych transferov by sa miera rizika chudoby medziročne mierne zvýšila</w:t>
      </w:r>
      <w:r w:rsidR="009F6F04" w:rsidRPr="004C5551">
        <w:rPr>
          <w:szCs w:val="22"/>
        </w:rPr>
        <w:t xml:space="preserve">. </w:t>
      </w:r>
      <w:r w:rsidRPr="004C5551">
        <w:rPr>
          <w:szCs w:val="22"/>
        </w:rPr>
        <w:t>(príloha ku</w:t>
      </w:r>
      <w:r w:rsidR="007E4084" w:rsidRPr="004C5551">
        <w:rPr>
          <w:szCs w:val="22"/>
        </w:rPr>
        <w:t> </w:t>
      </w:r>
      <w:r w:rsidRPr="004C5551">
        <w:rPr>
          <w:szCs w:val="22"/>
        </w:rPr>
        <w:t xml:space="preserve">kapitole 4). </w:t>
      </w:r>
      <w:r w:rsidR="009F6F04" w:rsidRPr="004C5551">
        <w:rPr>
          <w:szCs w:val="22"/>
        </w:rPr>
        <w:t>Situácia v roku 2014 bola takmer rovnaká, a to v prípade neposkytovania sociálnych transferov (s výnimkou starobných a pozostalostných dávok) by sa miera rizika chudoby zvýšila o 7,0</w:t>
      </w:r>
      <w:r w:rsidR="007E4084" w:rsidRPr="004C5551">
        <w:rPr>
          <w:szCs w:val="22"/>
        </w:rPr>
        <w:t> </w:t>
      </w:r>
      <w:r w:rsidR="009F6F04" w:rsidRPr="004C5551">
        <w:rPr>
          <w:szCs w:val="22"/>
        </w:rPr>
        <w:t>p. b. (19,6%)</w:t>
      </w:r>
      <w:r w:rsidR="00423669" w:rsidRPr="004C5551">
        <w:rPr>
          <w:szCs w:val="22"/>
        </w:rPr>
        <w:t xml:space="preserve"> </w:t>
      </w:r>
      <w:r w:rsidR="009F6F04" w:rsidRPr="004C5551">
        <w:rPr>
          <w:szCs w:val="22"/>
        </w:rPr>
        <w:t>a v prípade neposkytovania sociálnych transferov (vrátane starobných a pozostalostných dávok) by sa miera rizika zvýšila o 25,4 p. b. (38,0%).</w:t>
      </w:r>
    </w:p>
    <w:p w:rsidR="00215F8C" w:rsidRPr="004C5551" w:rsidRDefault="00215F8C" w:rsidP="003B0E51">
      <w:pPr>
        <w:ind w:firstLine="431"/>
        <w:rPr>
          <w:szCs w:val="22"/>
        </w:rPr>
      </w:pPr>
      <w:r w:rsidRPr="004C5551">
        <w:rPr>
          <w:szCs w:val="22"/>
        </w:rPr>
        <w:t xml:space="preserve">Porovnanie hranice </w:t>
      </w:r>
      <w:r w:rsidR="000F73C3" w:rsidRPr="004C5551">
        <w:rPr>
          <w:szCs w:val="22"/>
        </w:rPr>
        <w:t xml:space="preserve">rizika </w:t>
      </w:r>
      <w:r w:rsidRPr="004C5551">
        <w:rPr>
          <w:szCs w:val="22"/>
        </w:rPr>
        <w:t xml:space="preserve">chudoby (domácnosť jednotlivca), ktorá mala rastúci trend aj vzhľadom </w:t>
      </w:r>
      <w:r w:rsidR="00287AEA" w:rsidRPr="004C5551">
        <w:rPr>
          <w:szCs w:val="22"/>
        </w:rPr>
        <w:t>na </w:t>
      </w:r>
      <w:r w:rsidRPr="004C5551">
        <w:rPr>
          <w:szCs w:val="22"/>
        </w:rPr>
        <w:t>rast celkov</w:t>
      </w:r>
      <w:r w:rsidR="00961A26" w:rsidRPr="004C5551">
        <w:rPr>
          <w:szCs w:val="22"/>
        </w:rPr>
        <w:t>ých príjmov do roku 201</w:t>
      </w:r>
      <w:r w:rsidR="00DD71CA" w:rsidRPr="004C5551">
        <w:rPr>
          <w:szCs w:val="22"/>
        </w:rPr>
        <w:t>2,</w:t>
      </w:r>
      <w:r w:rsidR="00961A26" w:rsidRPr="004C5551">
        <w:rPr>
          <w:szCs w:val="22"/>
        </w:rPr>
        <w:t xml:space="preserve"> </w:t>
      </w:r>
      <w:r w:rsidRPr="004C5551">
        <w:rPr>
          <w:szCs w:val="22"/>
        </w:rPr>
        <w:t xml:space="preserve">je zachytené v tabuľke 4.4. V roku 2013 došlo k poklesu hranice </w:t>
      </w:r>
      <w:r w:rsidR="00DD71CA" w:rsidRPr="004C5551">
        <w:rPr>
          <w:szCs w:val="22"/>
        </w:rPr>
        <w:t xml:space="preserve">rizika </w:t>
      </w:r>
      <w:r w:rsidRPr="004C5551">
        <w:rPr>
          <w:szCs w:val="22"/>
        </w:rPr>
        <w:t xml:space="preserve">chudoby. </w:t>
      </w:r>
      <w:r w:rsidR="00DD71CA" w:rsidRPr="004C5551">
        <w:rPr>
          <w:szCs w:val="22"/>
        </w:rPr>
        <w:t>H</w:t>
      </w:r>
      <w:r w:rsidRPr="004C5551">
        <w:rPr>
          <w:szCs w:val="22"/>
        </w:rPr>
        <w:t xml:space="preserve">ranica </w:t>
      </w:r>
      <w:r w:rsidR="00DD71CA" w:rsidRPr="004C5551">
        <w:rPr>
          <w:szCs w:val="22"/>
        </w:rPr>
        <w:t xml:space="preserve">rizika </w:t>
      </w:r>
      <w:r w:rsidRPr="004C5551">
        <w:rPr>
          <w:szCs w:val="22"/>
        </w:rPr>
        <w:t>chudoby v roku 2013 (337 </w:t>
      </w:r>
      <w:r w:rsidR="002926E5" w:rsidRPr="004C5551">
        <w:rPr>
          <w:szCs w:val="22"/>
        </w:rPr>
        <w:t>eur</w:t>
      </w:r>
      <w:r w:rsidRPr="004C5551">
        <w:rPr>
          <w:szCs w:val="22"/>
        </w:rPr>
        <w:t>) v porovnaní s rokom 2012 (</w:t>
      </w:r>
      <w:r w:rsidR="00287AEA" w:rsidRPr="004C5551">
        <w:rPr>
          <w:szCs w:val="22"/>
        </w:rPr>
        <w:t>346 </w:t>
      </w:r>
      <w:r w:rsidR="002926E5" w:rsidRPr="004C5551">
        <w:rPr>
          <w:szCs w:val="22"/>
        </w:rPr>
        <w:t>eur</w:t>
      </w:r>
      <w:r w:rsidRPr="004C5551">
        <w:rPr>
          <w:szCs w:val="22"/>
        </w:rPr>
        <w:t>) klesla cca o 3</w:t>
      </w:r>
      <w:r w:rsidR="009425AA" w:rsidRPr="004C5551">
        <w:rPr>
          <w:szCs w:val="22"/>
        </w:rPr>
        <w:t> %</w:t>
      </w:r>
      <w:r w:rsidRPr="004C5551">
        <w:rPr>
          <w:szCs w:val="22"/>
        </w:rPr>
        <w:t xml:space="preserve">, t. j. cca o 10 </w:t>
      </w:r>
      <w:r w:rsidR="002926E5" w:rsidRPr="004C5551">
        <w:rPr>
          <w:szCs w:val="22"/>
        </w:rPr>
        <w:t>eur</w:t>
      </w:r>
      <w:r w:rsidRPr="004C5551">
        <w:rPr>
          <w:szCs w:val="22"/>
        </w:rPr>
        <w:t xml:space="preserve">, čo bolo spôsobené zmenou príjmovej situácie obyvateľstva v dôsledku vývoja trendov </w:t>
      </w:r>
      <w:r w:rsidR="000F73C3" w:rsidRPr="004C5551">
        <w:rPr>
          <w:szCs w:val="22"/>
        </w:rPr>
        <w:t xml:space="preserve">v </w:t>
      </w:r>
      <w:r w:rsidRPr="004C5551">
        <w:rPr>
          <w:szCs w:val="22"/>
        </w:rPr>
        <w:t>zamestnanosti a nezamestnanosti. Oproti východiskovému roku 2005 (188 </w:t>
      </w:r>
      <w:r w:rsidR="002926E5" w:rsidRPr="004C5551">
        <w:rPr>
          <w:szCs w:val="22"/>
        </w:rPr>
        <w:t>eur</w:t>
      </w:r>
      <w:r w:rsidRPr="004C5551">
        <w:rPr>
          <w:szCs w:val="22"/>
        </w:rPr>
        <w:t>) však došlo k nárastu hranice chudoby o 79,2</w:t>
      </w:r>
      <w:r w:rsidR="00875D86" w:rsidRPr="004C5551">
        <w:rPr>
          <w:szCs w:val="22"/>
        </w:rPr>
        <w:t> </w:t>
      </w:r>
      <w:r w:rsidRPr="004C5551">
        <w:rPr>
          <w:szCs w:val="22"/>
        </w:rPr>
        <w:t xml:space="preserve">%. </w:t>
      </w:r>
      <w:r w:rsidR="000F73C3" w:rsidRPr="004C5551">
        <w:rPr>
          <w:szCs w:val="22"/>
        </w:rPr>
        <w:t xml:space="preserve">V roku 2014 hranica rizika chudoby (domácnosť jednotlivca) oproti predchádzajúcemu roku vzrástla cca o 1,1 % t. j. cca o 3,7 eura, avšak stále nedosiahla hranicu rizika chudoby v roku 2012. Napriek tomu rozdiel medzi hranicami rizika chudoby 2005 a 2014 je výrazný, nárast tvorí až 81,1 % z hranice v roku 2005 a v absolútnom vyjadrení až 152,5 eura. </w:t>
      </w:r>
    </w:p>
    <w:p w:rsidR="00215F8C" w:rsidRPr="004C5551" w:rsidRDefault="009B7B4B" w:rsidP="00C568C9">
      <w:pPr>
        <w:pStyle w:val="Nadpis7"/>
      </w:pPr>
      <w:r w:rsidRPr="004C5551">
        <w:t>Tabuľka 4.2</w:t>
      </w:r>
      <w:r w:rsidR="00215F8C" w:rsidRPr="004C5551">
        <w:t xml:space="preserve"> Vývoj hranice</w:t>
      </w:r>
      <w:r w:rsidR="00DD71CA" w:rsidRPr="004C5551">
        <w:t xml:space="preserve"> rizika</w:t>
      </w:r>
      <w:r w:rsidR="00215F8C" w:rsidRPr="004C5551">
        <w:t xml:space="preserve"> chudoby </w:t>
      </w:r>
      <w:r w:rsidR="00106028" w:rsidRPr="004C5551">
        <w:t>–</w:t>
      </w:r>
      <w:r w:rsidR="00215F8C" w:rsidRPr="004C5551">
        <w:t xml:space="preserve"> domácnosť jednotlivca</w:t>
      </w:r>
    </w:p>
    <w:tbl>
      <w:tblPr>
        <w:tblW w:w="9952" w:type="dxa"/>
        <w:jc w:val="center"/>
        <w:tblInd w:w="65"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70" w:type="dxa"/>
          <w:right w:w="70" w:type="dxa"/>
        </w:tblCellMar>
        <w:tblLook w:val="0000" w:firstRow="0" w:lastRow="0" w:firstColumn="0" w:lastColumn="0" w:noHBand="0" w:noVBand="0"/>
      </w:tblPr>
      <w:tblGrid>
        <w:gridCol w:w="1206"/>
        <w:gridCol w:w="874"/>
        <w:gridCol w:w="875"/>
        <w:gridCol w:w="874"/>
        <w:gridCol w:w="875"/>
        <w:gridCol w:w="874"/>
        <w:gridCol w:w="875"/>
        <w:gridCol w:w="874"/>
        <w:gridCol w:w="875"/>
        <w:gridCol w:w="875"/>
        <w:gridCol w:w="875"/>
      </w:tblGrid>
      <w:tr w:rsidR="009E1F72" w:rsidRPr="004C5551" w:rsidTr="00F41C22">
        <w:trPr>
          <w:trHeight w:val="510"/>
          <w:jc w:val="center"/>
        </w:trPr>
        <w:tc>
          <w:tcPr>
            <w:tcW w:w="1206" w:type="dxa"/>
            <w:shd w:val="clear" w:color="auto" w:fill="BF0000" w:themeFill="accent3" w:themeFillShade="BF"/>
            <w:vAlign w:val="bottom"/>
          </w:tcPr>
          <w:p w:rsidR="009E1F72" w:rsidRPr="004C5551" w:rsidRDefault="009E1F72" w:rsidP="00BB7110">
            <w:pPr>
              <w:jc w:val="center"/>
              <w:rPr>
                <w:sz w:val="18"/>
                <w:szCs w:val="18"/>
              </w:rPr>
            </w:pPr>
          </w:p>
        </w:tc>
        <w:tc>
          <w:tcPr>
            <w:tcW w:w="874"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2005</w:t>
            </w:r>
          </w:p>
        </w:tc>
        <w:tc>
          <w:tcPr>
            <w:tcW w:w="875"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2006</w:t>
            </w:r>
          </w:p>
        </w:tc>
        <w:tc>
          <w:tcPr>
            <w:tcW w:w="874"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2007</w:t>
            </w:r>
          </w:p>
        </w:tc>
        <w:tc>
          <w:tcPr>
            <w:tcW w:w="875"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2008</w:t>
            </w:r>
          </w:p>
        </w:tc>
        <w:tc>
          <w:tcPr>
            <w:tcW w:w="874"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2009</w:t>
            </w:r>
          </w:p>
        </w:tc>
        <w:tc>
          <w:tcPr>
            <w:tcW w:w="875"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2010</w:t>
            </w:r>
          </w:p>
        </w:tc>
        <w:tc>
          <w:tcPr>
            <w:tcW w:w="874"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2011</w:t>
            </w:r>
          </w:p>
        </w:tc>
        <w:tc>
          <w:tcPr>
            <w:tcW w:w="875"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2012</w:t>
            </w:r>
          </w:p>
        </w:tc>
        <w:tc>
          <w:tcPr>
            <w:tcW w:w="875" w:type="dxa"/>
            <w:shd w:val="clear" w:color="auto" w:fill="BF0000" w:themeFill="accent3" w:themeFillShade="BF"/>
            <w:vAlign w:val="center"/>
          </w:tcPr>
          <w:p w:rsidR="009E1F72" w:rsidRPr="004C5551" w:rsidRDefault="009E1F72" w:rsidP="00BB7110">
            <w:pPr>
              <w:jc w:val="center"/>
              <w:rPr>
                <w:b/>
                <w:sz w:val="18"/>
                <w:szCs w:val="18"/>
              </w:rPr>
            </w:pPr>
            <w:r w:rsidRPr="004C5551">
              <w:rPr>
                <w:b/>
                <w:sz w:val="18"/>
                <w:szCs w:val="18"/>
              </w:rPr>
              <w:t>EU SILC 2013</w:t>
            </w:r>
          </w:p>
        </w:tc>
        <w:tc>
          <w:tcPr>
            <w:tcW w:w="875" w:type="dxa"/>
            <w:shd w:val="clear" w:color="auto" w:fill="BF0000" w:themeFill="accent3" w:themeFillShade="BF"/>
            <w:vAlign w:val="center"/>
          </w:tcPr>
          <w:p w:rsidR="009E1F72" w:rsidRPr="004C5551" w:rsidRDefault="009E1F72" w:rsidP="00F41C22">
            <w:pPr>
              <w:jc w:val="center"/>
              <w:rPr>
                <w:b/>
                <w:sz w:val="18"/>
                <w:szCs w:val="18"/>
              </w:rPr>
            </w:pPr>
            <w:r w:rsidRPr="004C5551">
              <w:rPr>
                <w:b/>
                <w:sz w:val="18"/>
                <w:szCs w:val="18"/>
              </w:rPr>
              <w:t>EU SILC 2014</w:t>
            </w:r>
          </w:p>
        </w:tc>
      </w:tr>
      <w:tr w:rsidR="009E1F72" w:rsidRPr="004C5551" w:rsidTr="007E4084">
        <w:trPr>
          <w:trHeight w:val="255"/>
          <w:jc w:val="center"/>
        </w:trPr>
        <w:tc>
          <w:tcPr>
            <w:tcW w:w="1206" w:type="dxa"/>
            <w:shd w:val="clear" w:color="auto" w:fill="auto"/>
            <w:noWrap/>
            <w:vAlign w:val="bottom"/>
          </w:tcPr>
          <w:p w:rsidR="009E1F72" w:rsidRPr="004C5551" w:rsidRDefault="009E1F72" w:rsidP="00BB7110">
            <w:pPr>
              <w:rPr>
                <w:sz w:val="18"/>
                <w:szCs w:val="18"/>
              </w:rPr>
            </w:pPr>
            <w:r w:rsidRPr="004C5551">
              <w:rPr>
                <w:sz w:val="18"/>
                <w:szCs w:val="18"/>
              </w:rPr>
              <w:t>rok v €</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2 256</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2 547</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2 945</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3 223</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3 403</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3 670</w:t>
            </w:r>
          </w:p>
        </w:tc>
        <w:tc>
          <w:tcPr>
            <w:tcW w:w="874" w:type="dxa"/>
            <w:vAlign w:val="center"/>
          </w:tcPr>
          <w:p w:rsidR="009E1F72" w:rsidRPr="004C5551" w:rsidRDefault="009E1F72" w:rsidP="007E4084">
            <w:pPr>
              <w:ind w:right="85"/>
              <w:jc w:val="right"/>
              <w:rPr>
                <w:sz w:val="18"/>
                <w:szCs w:val="18"/>
              </w:rPr>
            </w:pPr>
            <w:r w:rsidRPr="004C5551">
              <w:rPr>
                <w:sz w:val="18"/>
                <w:szCs w:val="18"/>
              </w:rPr>
              <w:t>3 784</w:t>
            </w:r>
          </w:p>
        </w:tc>
        <w:tc>
          <w:tcPr>
            <w:tcW w:w="875" w:type="dxa"/>
            <w:vAlign w:val="center"/>
          </w:tcPr>
          <w:p w:rsidR="009E1F72" w:rsidRPr="004C5551" w:rsidRDefault="009E1F72" w:rsidP="007E4084">
            <w:pPr>
              <w:ind w:right="85"/>
              <w:jc w:val="right"/>
              <w:rPr>
                <w:sz w:val="18"/>
                <w:szCs w:val="18"/>
              </w:rPr>
            </w:pPr>
            <w:r w:rsidRPr="004C5551">
              <w:rPr>
                <w:sz w:val="18"/>
                <w:szCs w:val="18"/>
              </w:rPr>
              <w:t>4 156</w:t>
            </w:r>
          </w:p>
        </w:tc>
        <w:tc>
          <w:tcPr>
            <w:tcW w:w="875" w:type="dxa"/>
            <w:vAlign w:val="center"/>
          </w:tcPr>
          <w:p w:rsidR="009E1F72" w:rsidRPr="004C5551" w:rsidRDefault="009E1F72" w:rsidP="007E4084">
            <w:pPr>
              <w:ind w:right="85"/>
              <w:jc w:val="right"/>
              <w:rPr>
                <w:sz w:val="18"/>
                <w:szCs w:val="18"/>
              </w:rPr>
            </w:pPr>
            <w:r w:rsidRPr="004C5551">
              <w:rPr>
                <w:sz w:val="18"/>
                <w:szCs w:val="18"/>
              </w:rPr>
              <w:t>4 042</w:t>
            </w:r>
          </w:p>
        </w:tc>
        <w:tc>
          <w:tcPr>
            <w:tcW w:w="875" w:type="dxa"/>
            <w:vAlign w:val="center"/>
          </w:tcPr>
          <w:p w:rsidR="009E1F72" w:rsidRPr="004C5551" w:rsidRDefault="009E1F72" w:rsidP="007E4084">
            <w:pPr>
              <w:ind w:right="85"/>
              <w:jc w:val="right"/>
              <w:rPr>
                <w:sz w:val="18"/>
                <w:szCs w:val="18"/>
              </w:rPr>
            </w:pPr>
            <w:r w:rsidRPr="004C5551">
              <w:rPr>
                <w:sz w:val="18"/>
                <w:szCs w:val="18"/>
              </w:rPr>
              <w:t>4 086</w:t>
            </w:r>
          </w:p>
        </w:tc>
      </w:tr>
      <w:tr w:rsidR="009E1F72" w:rsidRPr="004C5551" w:rsidTr="007E4084">
        <w:trPr>
          <w:trHeight w:val="255"/>
          <w:jc w:val="center"/>
        </w:trPr>
        <w:tc>
          <w:tcPr>
            <w:tcW w:w="1206" w:type="dxa"/>
            <w:shd w:val="clear" w:color="auto" w:fill="auto"/>
            <w:noWrap/>
            <w:vAlign w:val="bottom"/>
          </w:tcPr>
          <w:p w:rsidR="009E1F72" w:rsidRPr="004C5551" w:rsidRDefault="009E1F72" w:rsidP="00BB7110">
            <w:pPr>
              <w:rPr>
                <w:sz w:val="18"/>
                <w:szCs w:val="18"/>
              </w:rPr>
            </w:pPr>
            <w:r w:rsidRPr="004C5551">
              <w:rPr>
                <w:sz w:val="18"/>
                <w:szCs w:val="18"/>
              </w:rPr>
              <w:t>mesiac v €</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188</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212</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245</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269</w:t>
            </w:r>
          </w:p>
        </w:tc>
        <w:tc>
          <w:tcPr>
            <w:tcW w:w="874" w:type="dxa"/>
            <w:shd w:val="clear" w:color="auto" w:fill="auto"/>
            <w:noWrap/>
            <w:vAlign w:val="center"/>
          </w:tcPr>
          <w:p w:rsidR="009E1F72" w:rsidRPr="004C5551" w:rsidRDefault="009E1F72" w:rsidP="007E4084">
            <w:pPr>
              <w:ind w:right="85"/>
              <w:jc w:val="right"/>
              <w:rPr>
                <w:sz w:val="18"/>
                <w:szCs w:val="18"/>
              </w:rPr>
            </w:pPr>
            <w:r w:rsidRPr="004C5551">
              <w:rPr>
                <w:sz w:val="18"/>
                <w:szCs w:val="18"/>
              </w:rPr>
              <w:t>284</w:t>
            </w:r>
          </w:p>
        </w:tc>
        <w:tc>
          <w:tcPr>
            <w:tcW w:w="875" w:type="dxa"/>
            <w:shd w:val="clear" w:color="auto" w:fill="auto"/>
            <w:noWrap/>
            <w:vAlign w:val="center"/>
          </w:tcPr>
          <w:p w:rsidR="009E1F72" w:rsidRPr="004C5551" w:rsidRDefault="009E1F72" w:rsidP="007E4084">
            <w:pPr>
              <w:ind w:right="85"/>
              <w:jc w:val="right"/>
              <w:rPr>
                <w:sz w:val="18"/>
                <w:szCs w:val="18"/>
              </w:rPr>
            </w:pPr>
            <w:r w:rsidRPr="004C5551">
              <w:rPr>
                <w:sz w:val="18"/>
                <w:szCs w:val="18"/>
              </w:rPr>
              <w:t>306</w:t>
            </w:r>
          </w:p>
        </w:tc>
        <w:tc>
          <w:tcPr>
            <w:tcW w:w="874" w:type="dxa"/>
            <w:vAlign w:val="center"/>
          </w:tcPr>
          <w:p w:rsidR="009E1F72" w:rsidRPr="004C5551" w:rsidRDefault="009E1F72" w:rsidP="007E4084">
            <w:pPr>
              <w:ind w:right="85"/>
              <w:jc w:val="right"/>
              <w:rPr>
                <w:sz w:val="18"/>
                <w:szCs w:val="18"/>
              </w:rPr>
            </w:pPr>
            <w:r w:rsidRPr="004C5551">
              <w:rPr>
                <w:sz w:val="18"/>
                <w:szCs w:val="18"/>
              </w:rPr>
              <w:t>315</w:t>
            </w:r>
          </w:p>
        </w:tc>
        <w:tc>
          <w:tcPr>
            <w:tcW w:w="875" w:type="dxa"/>
            <w:vAlign w:val="center"/>
          </w:tcPr>
          <w:p w:rsidR="009E1F72" w:rsidRPr="004C5551" w:rsidRDefault="009E1F72" w:rsidP="007E4084">
            <w:pPr>
              <w:ind w:right="85"/>
              <w:jc w:val="right"/>
              <w:rPr>
                <w:sz w:val="18"/>
                <w:szCs w:val="18"/>
              </w:rPr>
            </w:pPr>
            <w:r w:rsidRPr="004C5551">
              <w:rPr>
                <w:sz w:val="18"/>
                <w:szCs w:val="18"/>
              </w:rPr>
              <w:t>346</w:t>
            </w:r>
          </w:p>
        </w:tc>
        <w:tc>
          <w:tcPr>
            <w:tcW w:w="875" w:type="dxa"/>
            <w:vAlign w:val="center"/>
          </w:tcPr>
          <w:p w:rsidR="009E1F72" w:rsidRPr="004C5551" w:rsidRDefault="009E1F72" w:rsidP="007E4084">
            <w:pPr>
              <w:ind w:right="85"/>
              <w:jc w:val="right"/>
              <w:rPr>
                <w:sz w:val="18"/>
                <w:szCs w:val="18"/>
              </w:rPr>
            </w:pPr>
            <w:r w:rsidRPr="004C5551">
              <w:rPr>
                <w:sz w:val="18"/>
                <w:szCs w:val="18"/>
              </w:rPr>
              <w:t>337</w:t>
            </w:r>
          </w:p>
        </w:tc>
        <w:tc>
          <w:tcPr>
            <w:tcW w:w="875" w:type="dxa"/>
            <w:vAlign w:val="center"/>
          </w:tcPr>
          <w:p w:rsidR="009E1F72" w:rsidRPr="004C5551" w:rsidRDefault="009E1F72" w:rsidP="007E4084">
            <w:pPr>
              <w:ind w:right="85"/>
              <w:jc w:val="right"/>
              <w:rPr>
                <w:sz w:val="18"/>
                <w:szCs w:val="18"/>
              </w:rPr>
            </w:pPr>
            <w:r w:rsidRPr="004C5551">
              <w:rPr>
                <w:sz w:val="18"/>
                <w:szCs w:val="18"/>
              </w:rPr>
              <w:t>341</w:t>
            </w:r>
          </w:p>
        </w:tc>
      </w:tr>
    </w:tbl>
    <w:p w:rsidR="00215F8C" w:rsidRPr="004C5551" w:rsidRDefault="00215F8C" w:rsidP="00C568C9">
      <w:pPr>
        <w:pStyle w:val="zdroj"/>
      </w:pPr>
      <w:r w:rsidRPr="004C5551">
        <w:t xml:space="preserve">Zdroj: </w:t>
      </w:r>
      <w:proofErr w:type="spellStart"/>
      <w:r w:rsidRPr="004C5551">
        <w:t>Eurostat</w:t>
      </w:r>
      <w:proofErr w:type="spellEnd"/>
      <w:r w:rsidRPr="004C5551">
        <w:t>/ŠÚ SR</w:t>
      </w:r>
    </w:p>
    <w:p w:rsidR="00215F8C" w:rsidRPr="004C5551" w:rsidRDefault="00215F8C" w:rsidP="003B0E51">
      <w:pPr>
        <w:ind w:firstLine="431"/>
        <w:rPr>
          <w:szCs w:val="22"/>
        </w:rPr>
      </w:pPr>
      <w:r w:rsidRPr="004C5551">
        <w:rPr>
          <w:szCs w:val="22"/>
        </w:rPr>
        <w:t>Použitím hranice chudoby zakotvenej v čase</w:t>
      </w:r>
      <w:r w:rsidRPr="004C5551">
        <w:rPr>
          <w:vertAlign w:val="superscript"/>
        </w:rPr>
        <w:footnoteReference w:id="53"/>
      </w:r>
      <w:r w:rsidRPr="004C5551">
        <w:rPr>
          <w:szCs w:val="22"/>
        </w:rPr>
        <w:t xml:space="preserve"> je možné zachytiť aspekt absolútnej chudoby. V roku 2013 sa hodnota tohto indikátora (2,8</w:t>
      </w:r>
      <w:r w:rsidR="006D0272" w:rsidRPr="004C5551">
        <w:rPr>
          <w:szCs w:val="22"/>
        </w:rPr>
        <w:t> </w:t>
      </w:r>
      <w:r w:rsidRPr="004C5551">
        <w:rPr>
          <w:szCs w:val="22"/>
        </w:rPr>
        <w:t xml:space="preserve">%) v porovnaní s predchádzajúcim rokom zvýšila </w:t>
      </w:r>
      <w:r w:rsidR="00287AEA" w:rsidRPr="004C5551">
        <w:rPr>
          <w:szCs w:val="22"/>
        </w:rPr>
        <w:t>o </w:t>
      </w:r>
      <w:r w:rsidRPr="004C5551">
        <w:rPr>
          <w:szCs w:val="22"/>
        </w:rPr>
        <w:t>0,</w:t>
      </w:r>
      <w:r w:rsidR="00287AEA" w:rsidRPr="004C5551">
        <w:rPr>
          <w:szCs w:val="22"/>
        </w:rPr>
        <w:t>7 </w:t>
      </w:r>
      <w:r w:rsidRPr="004C5551">
        <w:rPr>
          <w:szCs w:val="22"/>
        </w:rPr>
        <w:t>p. b. (muži – 3,0</w:t>
      </w:r>
      <w:r w:rsidR="006D0272" w:rsidRPr="004C5551">
        <w:rPr>
          <w:szCs w:val="22"/>
        </w:rPr>
        <w:t> </w:t>
      </w:r>
      <w:r w:rsidRPr="004C5551">
        <w:rPr>
          <w:szCs w:val="22"/>
        </w:rPr>
        <w:t xml:space="preserve">%, ženy </w:t>
      </w:r>
      <w:r w:rsidR="00106028" w:rsidRPr="004C5551">
        <w:rPr>
          <w:szCs w:val="22"/>
        </w:rPr>
        <w:t>–</w:t>
      </w:r>
      <w:r w:rsidRPr="004C5551">
        <w:rPr>
          <w:szCs w:val="22"/>
        </w:rPr>
        <w:t xml:space="preserve"> 2,7</w:t>
      </w:r>
      <w:r w:rsidR="006D0272" w:rsidRPr="004C5551">
        <w:rPr>
          <w:szCs w:val="22"/>
        </w:rPr>
        <w:t> </w:t>
      </w:r>
      <w:r w:rsidRPr="004C5551">
        <w:rPr>
          <w:szCs w:val="22"/>
        </w:rPr>
        <w:t>%) (príloha ku kapitole 4). Medziročný nárast bol zaznamenaný v prípade jednej z najrizikovejších skupín, a to u detí vo veku 0</w:t>
      </w:r>
      <w:r w:rsidR="00106028" w:rsidRPr="004C5551">
        <w:rPr>
          <w:szCs w:val="22"/>
        </w:rPr>
        <w:t xml:space="preserve"> – </w:t>
      </w:r>
      <w:r w:rsidRPr="004C5551">
        <w:rPr>
          <w:szCs w:val="22"/>
        </w:rPr>
        <w:t>17 rokov, kde miera rizika chudoby je v tomto prípade na úrovni 5,3</w:t>
      </w:r>
      <w:r w:rsidR="00875D86" w:rsidRPr="004C5551">
        <w:rPr>
          <w:szCs w:val="22"/>
        </w:rPr>
        <w:t> </w:t>
      </w:r>
      <w:r w:rsidRPr="004C5551">
        <w:rPr>
          <w:szCs w:val="22"/>
        </w:rPr>
        <w:t>% (2012 – 4,2</w:t>
      </w:r>
      <w:r w:rsidR="00875D86" w:rsidRPr="004C5551">
        <w:rPr>
          <w:szCs w:val="22"/>
        </w:rPr>
        <w:t> </w:t>
      </w:r>
      <w:r w:rsidRPr="004C5551">
        <w:rPr>
          <w:szCs w:val="22"/>
        </w:rPr>
        <w:t>%). V prípade starších ľudí 65 + bola miera rizika chudoby na úrovni 0,2</w:t>
      </w:r>
      <w:r w:rsidR="00875D86" w:rsidRPr="004C5551">
        <w:rPr>
          <w:szCs w:val="22"/>
        </w:rPr>
        <w:t> </w:t>
      </w:r>
      <w:r w:rsidRPr="004C5551">
        <w:rPr>
          <w:szCs w:val="22"/>
        </w:rPr>
        <w:t xml:space="preserve">% (muži </w:t>
      </w:r>
      <w:r w:rsidR="00F80174" w:rsidRPr="004C5551">
        <w:rPr>
          <w:szCs w:val="22"/>
        </w:rPr>
        <w:t>–</w:t>
      </w:r>
      <w:r w:rsidRPr="004C5551">
        <w:rPr>
          <w:szCs w:val="22"/>
        </w:rPr>
        <w:t xml:space="preserve"> 0,2</w:t>
      </w:r>
      <w:r w:rsidR="00875D86" w:rsidRPr="004C5551">
        <w:rPr>
          <w:szCs w:val="22"/>
        </w:rPr>
        <w:t> </w:t>
      </w:r>
      <w:r w:rsidRPr="004C5551">
        <w:rPr>
          <w:szCs w:val="22"/>
        </w:rPr>
        <w:t xml:space="preserve">%, ženy </w:t>
      </w:r>
      <w:r w:rsidR="00F80174" w:rsidRPr="004C5551">
        <w:rPr>
          <w:szCs w:val="22"/>
        </w:rPr>
        <w:t>–</w:t>
      </w:r>
      <w:r w:rsidRPr="004C5551">
        <w:rPr>
          <w:szCs w:val="22"/>
        </w:rPr>
        <w:t xml:space="preserve"> 0,2</w:t>
      </w:r>
      <w:r w:rsidR="00875D86" w:rsidRPr="004C5551">
        <w:rPr>
          <w:szCs w:val="22"/>
        </w:rPr>
        <w:t> </w:t>
      </w:r>
      <w:r w:rsidRPr="004C5551">
        <w:rPr>
          <w:szCs w:val="22"/>
        </w:rPr>
        <w:t>%). Prostredníctvom predmetného indikátora je možné sledovať životnú úroveň obyvateľstva v prepojení na hospodársky rast krajiny. V grafe 4.4 je zachytený vývoj miery rizika chudoby zakotvenej v čase, predovšetkým jej klesajúci trend</w:t>
      </w:r>
      <w:r w:rsidR="00961A26" w:rsidRPr="004C5551">
        <w:rPr>
          <w:szCs w:val="22"/>
        </w:rPr>
        <w:t>,</w:t>
      </w:r>
      <w:r w:rsidRPr="004C5551">
        <w:rPr>
          <w:szCs w:val="22"/>
        </w:rPr>
        <w:t xml:space="preserve"> až na</w:t>
      </w:r>
      <w:r w:rsidR="007E4084" w:rsidRPr="004C5551">
        <w:rPr>
          <w:szCs w:val="22"/>
        </w:rPr>
        <w:t> </w:t>
      </w:r>
      <w:r w:rsidRPr="004C5551">
        <w:rPr>
          <w:szCs w:val="22"/>
        </w:rPr>
        <w:t>predposledné dva roky zisťovania (2010 a 2011), ktor</w:t>
      </w:r>
      <w:r w:rsidR="00DD116D" w:rsidRPr="004C5551">
        <w:rPr>
          <w:szCs w:val="22"/>
        </w:rPr>
        <w:t>é</w:t>
      </w:r>
      <w:r w:rsidRPr="004C5551">
        <w:rPr>
          <w:szCs w:val="22"/>
        </w:rPr>
        <w:t xml:space="preserve"> odráža</w:t>
      </w:r>
      <w:r w:rsidR="00DD116D" w:rsidRPr="004C5551">
        <w:rPr>
          <w:szCs w:val="22"/>
        </w:rPr>
        <w:t>jú</w:t>
      </w:r>
      <w:r w:rsidRPr="004C5551">
        <w:rPr>
          <w:szCs w:val="22"/>
        </w:rPr>
        <w:t xml:space="preserve"> príjmovú situáciu z</w:t>
      </w:r>
      <w:r w:rsidR="00961A26" w:rsidRPr="004C5551">
        <w:rPr>
          <w:szCs w:val="22"/>
        </w:rPr>
        <w:t xml:space="preserve">a roky 2009 a 2010. V roku 2012 </w:t>
      </w:r>
      <w:r w:rsidRPr="004C5551">
        <w:rPr>
          <w:szCs w:val="22"/>
        </w:rPr>
        <w:t xml:space="preserve">bol zachytený pokles, </w:t>
      </w:r>
      <w:r w:rsidR="00961A26" w:rsidRPr="004C5551">
        <w:rPr>
          <w:szCs w:val="22"/>
        </w:rPr>
        <w:t>čo</w:t>
      </w:r>
      <w:r w:rsidRPr="004C5551">
        <w:rPr>
          <w:szCs w:val="22"/>
        </w:rPr>
        <w:t xml:space="preserve"> </w:t>
      </w:r>
      <w:r w:rsidR="00DD116D" w:rsidRPr="004C5551">
        <w:rPr>
          <w:szCs w:val="22"/>
        </w:rPr>
        <w:t>súviselo aj s</w:t>
      </w:r>
      <w:r w:rsidRPr="004C5551">
        <w:rPr>
          <w:szCs w:val="22"/>
        </w:rPr>
        <w:t xml:space="preserve"> oslabením vplyvu finančnej krízy na vývoj ekonomickej situácie na Slovensku. Avšak v roku 2013 došlo k miernemu nárastu, ktorý bol ovplyvnený práve vývojom príjmovej situácie obyvateľstva. </w:t>
      </w:r>
    </w:p>
    <w:p w:rsidR="00215F8C" w:rsidRPr="004C5551" w:rsidRDefault="00215F8C" w:rsidP="00C67FF9">
      <w:pPr>
        <w:pStyle w:val="Nadpis7"/>
      </w:pPr>
      <w:r w:rsidRPr="004C5551">
        <w:t>Graf 4.4 Vývoj miery rizika chudoby zakotvenej v čase (2005)</w:t>
      </w:r>
    </w:p>
    <w:p w:rsidR="00215F8C" w:rsidRPr="004C5551" w:rsidRDefault="00C568C9" w:rsidP="00215F8C">
      <w:pPr>
        <w:jc w:val="center"/>
        <w:rPr>
          <w:szCs w:val="22"/>
        </w:rPr>
      </w:pPr>
      <w:r w:rsidRPr="004C5551">
        <w:rPr>
          <w:noProof/>
        </w:rPr>
        <w:drawing>
          <wp:inline distT="0" distB="0" distL="0" distR="0" wp14:anchorId="5016CAB4" wp14:editId="156B3F02">
            <wp:extent cx="4860927" cy="2146300"/>
            <wp:effectExtent l="0" t="0" r="0" b="635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15F8C" w:rsidRPr="004C5551" w:rsidRDefault="00215F8C" w:rsidP="00C67FF9">
      <w:pPr>
        <w:pStyle w:val="zdroj"/>
      </w:pPr>
      <w:r w:rsidRPr="004C5551">
        <w:t xml:space="preserve">Zdroj: </w:t>
      </w:r>
      <w:proofErr w:type="spellStart"/>
      <w:r w:rsidRPr="004C5551">
        <w:t>Eurostat</w:t>
      </w:r>
      <w:proofErr w:type="spellEnd"/>
    </w:p>
    <w:p w:rsidR="00215F8C" w:rsidRPr="004C5551" w:rsidRDefault="00215F8C" w:rsidP="003B0E51">
      <w:pPr>
        <w:ind w:firstLine="431"/>
        <w:rPr>
          <w:szCs w:val="22"/>
        </w:rPr>
      </w:pPr>
      <w:r w:rsidRPr="004C5551">
        <w:rPr>
          <w:szCs w:val="22"/>
        </w:rPr>
        <w:t>V súvislosti so zachytením rozptylu chudoby okolo hranice chudoby, na základe zisťovania</w:t>
      </w:r>
      <w:r w:rsidR="00EB0A90" w:rsidRPr="004C5551">
        <w:rPr>
          <w:szCs w:val="22"/>
        </w:rPr>
        <w:t xml:space="preserve"> </w:t>
      </w:r>
      <w:r w:rsidRPr="004C5551">
        <w:rPr>
          <w:szCs w:val="22"/>
        </w:rPr>
        <w:t>(</w:t>
      </w:r>
      <w:r w:rsidR="00287AEA" w:rsidRPr="004C5551">
        <w:rPr>
          <w:szCs w:val="22"/>
        </w:rPr>
        <w:t>EU </w:t>
      </w:r>
      <w:r w:rsidRPr="004C5551">
        <w:rPr>
          <w:szCs w:val="22"/>
        </w:rPr>
        <w:t>SILC 2013) malo na Slovensku príjem nižší ako 40</w:t>
      </w:r>
      <w:r w:rsidR="006D0272" w:rsidRPr="004C5551">
        <w:rPr>
          <w:szCs w:val="22"/>
        </w:rPr>
        <w:t> </w:t>
      </w:r>
      <w:r w:rsidRPr="004C5551">
        <w:rPr>
          <w:szCs w:val="22"/>
        </w:rPr>
        <w:t>% mediánu ekvivalentného disponibilného príjmu 4,9</w:t>
      </w:r>
      <w:r w:rsidR="009425AA" w:rsidRPr="004C5551">
        <w:rPr>
          <w:szCs w:val="22"/>
        </w:rPr>
        <w:t> %</w:t>
      </w:r>
      <w:r w:rsidRPr="004C5551">
        <w:rPr>
          <w:szCs w:val="22"/>
        </w:rPr>
        <w:t xml:space="preserve"> ľudí (medziročný nárast o 0,6 p. b.), pod 50</w:t>
      </w:r>
      <w:r w:rsidR="006D0272" w:rsidRPr="004C5551">
        <w:rPr>
          <w:szCs w:val="22"/>
        </w:rPr>
        <w:t> </w:t>
      </w:r>
      <w:r w:rsidRPr="004C5551">
        <w:rPr>
          <w:szCs w:val="22"/>
        </w:rPr>
        <w:t xml:space="preserve">% mediánu ekvivalentného disponibilného príjmu </w:t>
      </w:r>
      <w:r w:rsidR="00DD116D" w:rsidRPr="004C5551">
        <w:rPr>
          <w:szCs w:val="22"/>
        </w:rPr>
        <w:t xml:space="preserve">malo príjem </w:t>
      </w:r>
      <w:r w:rsidRPr="004C5551">
        <w:rPr>
          <w:szCs w:val="22"/>
        </w:rPr>
        <w:t>7,8</w:t>
      </w:r>
      <w:r w:rsidR="006D0272" w:rsidRPr="004C5551">
        <w:rPr>
          <w:szCs w:val="22"/>
        </w:rPr>
        <w:t> </w:t>
      </w:r>
      <w:r w:rsidRPr="004C5551">
        <w:rPr>
          <w:szCs w:val="22"/>
        </w:rPr>
        <w:t>% ľudí (bez zmeny) a </w:t>
      </w:r>
      <w:r w:rsidR="00DD116D" w:rsidRPr="004C5551">
        <w:rPr>
          <w:szCs w:val="22"/>
        </w:rPr>
        <w:t>pod</w:t>
      </w:r>
      <w:r w:rsidRPr="004C5551">
        <w:rPr>
          <w:szCs w:val="22"/>
        </w:rPr>
        <w:t xml:space="preserve"> 70</w:t>
      </w:r>
      <w:r w:rsidR="006D0272" w:rsidRPr="004C5551">
        <w:rPr>
          <w:szCs w:val="22"/>
        </w:rPr>
        <w:t> </w:t>
      </w:r>
      <w:r w:rsidRPr="004C5551">
        <w:rPr>
          <w:szCs w:val="22"/>
        </w:rPr>
        <w:t>% mediánu ekvivalentného disponibilného príjmu až 19,2</w:t>
      </w:r>
      <w:r w:rsidR="00875D86" w:rsidRPr="004C5551">
        <w:rPr>
          <w:szCs w:val="22"/>
        </w:rPr>
        <w:t> </w:t>
      </w:r>
      <w:r w:rsidRPr="004C5551">
        <w:rPr>
          <w:szCs w:val="22"/>
        </w:rPr>
        <w:t xml:space="preserve">% ľudí (medziročný pokles o 1,2 p. b.). </w:t>
      </w:r>
    </w:p>
    <w:p w:rsidR="00215F8C" w:rsidRPr="004C5551" w:rsidRDefault="00215F8C" w:rsidP="003B0E51">
      <w:pPr>
        <w:ind w:firstLine="431"/>
        <w:rPr>
          <w:szCs w:val="22"/>
        </w:rPr>
      </w:pPr>
      <w:r w:rsidRPr="004C5551">
        <w:rPr>
          <w:szCs w:val="22"/>
        </w:rPr>
        <w:t>Relatívny prepad mediánu príjmov v riziku chudoby</w:t>
      </w:r>
      <w:r w:rsidR="008438A2" w:rsidRPr="004C5551">
        <w:rPr>
          <w:szCs w:val="22"/>
        </w:rPr>
        <w:t>,</w:t>
      </w:r>
      <w:r w:rsidRPr="004C5551">
        <w:rPr>
          <w:szCs w:val="22"/>
        </w:rPr>
        <w:t xml:space="preserve"> </w:t>
      </w:r>
      <w:r w:rsidR="008438A2" w:rsidRPr="004C5551">
        <w:rPr>
          <w:szCs w:val="22"/>
        </w:rPr>
        <w:t xml:space="preserve">ktorý vyjadruje rozdiel medzi mediánom príjmu osôb v riziku chudoby a hranicou </w:t>
      </w:r>
      <w:r w:rsidR="00BC0FE1" w:rsidRPr="004C5551">
        <w:rPr>
          <w:szCs w:val="22"/>
        </w:rPr>
        <w:t>chudoby, na</w:t>
      </w:r>
      <w:r w:rsidRPr="004C5551">
        <w:rPr>
          <w:szCs w:val="22"/>
        </w:rPr>
        <w:t xml:space="preserve"> základe zisťovania EU SILC 2013 stúpol o 3,6</w:t>
      </w:r>
      <w:r w:rsidR="007E4084" w:rsidRPr="004C5551">
        <w:rPr>
          <w:szCs w:val="22"/>
        </w:rPr>
        <w:t> </w:t>
      </w:r>
      <w:r w:rsidRPr="004C5551">
        <w:rPr>
          <w:szCs w:val="22"/>
        </w:rPr>
        <w:t>p. b. na hodnotu 24,1</w:t>
      </w:r>
      <w:r w:rsidR="009425AA" w:rsidRPr="004C5551">
        <w:rPr>
          <w:szCs w:val="22"/>
        </w:rPr>
        <w:t> %</w:t>
      </w:r>
      <w:r w:rsidRPr="004C5551">
        <w:rPr>
          <w:szCs w:val="22"/>
        </w:rPr>
        <w:t xml:space="preserve">. </w:t>
      </w:r>
      <w:r w:rsidR="008438A2" w:rsidRPr="004C5551">
        <w:rPr>
          <w:szCs w:val="22"/>
        </w:rPr>
        <w:t>Podľa údajov z EU SILC 2014 relatívny prepad mediánu príjmov oproti predchádzajúcemu roku stúpol o ďalších 4,9 p. b. (29</w:t>
      </w:r>
      <w:r w:rsidR="0001727B" w:rsidRPr="004C5551">
        <w:rPr>
          <w:szCs w:val="22"/>
        </w:rPr>
        <w:t> </w:t>
      </w:r>
      <w:r w:rsidR="008438A2" w:rsidRPr="004C5551">
        <w:rPr>
          <w:szCs w:val="22"/>
        </w:rPr>
        <w:t xml:space="preserve">%). </w:t>
      </w:r>
      <w:r w:rsidRPr="004C5551">
        <w:rPr>
          <w:szCs w:val="22"/>
        </w:rPr>
        <w:t xml:space="preserve">Vplyv na uvedenú situáciu má predovšetkým príjmové rozdelenie obyvateľstva. </w:t>
      </w:r>
    </w:p>
    <w:p w:rsidR="00215F8C" w:rsidRPr="004C5551" w:rsidRDefault="00215F8C" w:rsidP="00FF766C">
      <w:pPr>
        <w:ind w:firstLine="567"/>
        <w:rPr>
          <w:b/>
          <w:sz w:val="20"/>
          <w:szCs w:val="20"/>
        </w:rPr>
      </w:pPr>
      <w:r w:rsidRPr="004C5551">
        <w:rPr>
          <w:szCs w:val="22"/>
        </w:rPr>
        <w:t xml:space="preserve">V prípade merania príjmovej nerovnosti </w:t>
      </w:r>
      <w:r w:rsidR="008438A2" w:rsidRPr="004C5551">
        <w:rPr>
          <w:szCs w:val="22"/>
        </w:rPr>
        <w:t>v roku 2013</w:t>
      </w:r>
      <w:r w:rsidRPr="004C5551">
        <w:rPr>
          <w:szCs w:val="22"/>
        </w:rPr>
        <w:t xml:space="preserve"> 20</w:t>
      </w:r>
      <w:r w:rsidR="006D0272" w:rsidRPr="004C5551">
        <w:rPr>
          <w:szCs w:val="22"/>
        </w:rPr>
        <w:t> </w:t>
      </w:r>
      <w:r w:rsidRPr="004C5551">
        <w:rPr>
          <w:szCs w:val="22"/>
        </w:rPr>
        <w:t>% osôb s najvyššími príjmami získalo 3,6 krát viac príjmov ako 20</w:t>
      </w:r>
      <w:r w:rsidR="006D0272" w:rsidRPr="004C5551">
        <w:rPr>
          <w:szCs w:val="22"/>
        </w:rPr>
        <w:t> </w:t>
      </w:r>
      <w:r w:rsidRPr="004C5551">
        <w:rPr>
          <w:szCs w:val="22"/>
        </w:rPr>
        <w:t>% osôb s najnižšími príjmami. Oproti predchádzajúcemu zisťovaniu (EU</w:t>
      </w:r>
      <w:r w:rsidR="007E4084" w:rsidRPr="004C5551">
        <w:rPr>
          <w:szCs w:val="22"/>
        </w:rPr>
        <w:t> </w:t>
      </w:r>
      <w:r w:rsidRPr="004C5551">
        <w:rPr>
          <w:szCs w:val="22"/>
        </w:rPr>
        <w:t>SILC 2012) došlo k poklesu o 0,1 p. b.</w:t>
      </w:r>
      <w:r w:rsidR="008438A2" w:rsidRPr="004C5551">
        <w:rPr>
          <w:szCs w:val="22"/>
        </w:rPr>
        <w:t xml:space="preserve"> Podľa údajov EU SILC 2014 získalo 20 % osôb s najvyššími príjmami 3,9 krát viac príjmov ako 20 % osôb s najnižšími príjmami, oproti roku 2013 došlo k zvýšeniu o 0,3 p. b.</w:t>
      </w:r>
    </w:p>
    <w:p w:rsidR="00215F8C" w:rsidRPr="004C5551" w:rsidRDefault="00215F8C" w:rsidP="003B0E51">
      <w:pPr>
        <w:spacing w:before="240"/>
        <w:ind w:firstLine="431"/>
        <w:rPr>
          <w:szCs w:val="22"/>
        </w:rPr>
      </w:pPr>
      <w:r w:rsidRPr="004C5551">
        <w:rPr>
          <w:szCs w:val="22"/>
        </w:rPr>
        <w:t>Najohrozenejšou vekovou skupinou z hľadiska príjmovej chudoby sú deti vo veku 0</w:t>
      </w:r>
      <w:r w:rsidR="00F80174" w:rsidRPr="004C5551">
        <w:rPr>
          <w:szCs w:val="22"/>
        </w:rPr>
        <w:t xml:space="preserve"> – </w:t>
      </w:r>
      <w:r w:rsidRPr="004C5551">
        <w:rPr>
          <w:szCs w:val="22"/>
        </w:rPr>
        <w:t xml:space="preserve">17 </w:t>
      </w:r>
      <w:r w:rsidR="00287AEA" w:rsidRPr="004C5551">
        <w:rPr>
          <w:szCs w:val="22"/>
        </w:rPr>
        <w:t xml:space="preserve">rokov </w:t>
      </w:r>
      <w:r w:rsidR="0001727B" w:rsidRPr="004C5551">
        <w:rPr>
          <w:szCs w:val="22"/>
        </w:rPr>
        <w:t>(20,</w:t>
      </w:r>
      <w:r w:rsidRPr="004C5551">
        <w:rPr>
          <w:szCs w:val="22"/>
        </w:rPr>
        <w:t>3</w:t>
      </w:r>
      <w:r w:rsidR="00875D86" w:rsidRPr="004C5551">
        <w:rPr>
          <w:szCs w:val="22"/>
        </w:rPr>
        <w:t> </w:t>
      </w:r>
      <w:r w:rsidRPr="004C5551">
        <w:rPr>
          <w:szCs w:val="22"/>
        </w:rPr>
        <w:t>%</w:t>
      </w:r>
      <w:r w:rsidR="008438A2" w:rsidRPr="004C5551">
        <w:rPr>
          <w:szCs w:val="22"/>
        </w:rPr>
        <w:t xml:space="preserve"> v roku 2013</w:t>
      </w:r>
      <w:r w:rsidRPr="004C5551">
        <w:rPr>
          <w:szCs w:val="22"/>
        </w:rPr>
        <w:t>) a taktiež mladí ľudia 18</w:t>
      </w:r>
      <w:r w:rsidR="00F80174" w:rsidRPr="004C5551">
        <w:rPr>
          <w:szCs w:val="22"/>
        </w:rPr>
        <w:t xml:space="preserve"> – </w:t>
      </w:r>
      <w:r w:rsidRPr="004C5551">
        <w:rPr>
          <w:szCs w:val="22"/>
        </w:rPr>
        <w:t>24 (15,1</w:t>
      </w:r>
      <w:r w:rsidR="00875D86" w:rsidRPr="004C5551">
        <w:rPr>
          <w:szCs w:val="22"/>
        </w:rPr>
        <w:t> </w:t>
      </w:r>
      <w:r w:rsidRPr="004C5551">
        <w:rPr>
          <w:szCs w:val="22"/>
        </w:rPr>
        <w:t>%</w:t>
      </w:r>
      <w:r w:rsidR="008438A2" w:rsidRPr="004C5551">
        <w:rPr>
          <w:szCs w:val="22"/>
        </w:rPr>
        <w:t xml:space="preserve"> v roku 2013</w:t>
      </w:r>
      <w:r w:rsidRPr="004C5551">
        <w:rPr>
          <w:szCs w:val="22"/>
        </w:rPr>
        <w:t>). Najnižšiu mieru rizika chudoby má veková skupina 65+ (6,0</w:t>
      </w:r>
      <w:r w:rsidR="006D0272" w:rsidRPr="004C5551">
        <w:rPr>
          <w:szCs w:val="22"/>
        </w:rPr>
        <w:t> </w:t>
      </w:r>
      <w:r w:rsidRPr="004C5551">
        <w:rPr>
          <w:szCs w:val="22"/>
        </w:rPr>
        <w:t>%</w:t>
      </w:r>
      <w:r w:rsidR="008438A2" w:rsidRPr="004C5551">
        <w:rPr>
          <w:szCs w:val="22"/>
        </w:rPr>
        <w:t xml:space="preserve"> v roku 2013</w:t>
      </w:r>
      <w:r w:rsidRPr="004C5551">
        <w:rPr>
          <w:szCs w:val="22"/>
        </w:rPr>
        <w:t xml:space="preserve">). </w:t>
      </w:r>
      <w:r w:rsidR="008438A2" w:rsidRPr="004C5551">
        <w:rPr>
          <w:szCs w:val="22"/>
        </w:rPr>
        <w:t>V roku 2013</w:t>
      </w:r>
      <w:r w:rsidRPr="004C5551">
        <w:rPr>
          <w:szCs w:val="22"/>
        </w:rPr>
        <w:t xml:space="preserve"> nastal pokles miery rizika chudoby práve u detí vo veku 0</w:t>
      </w:r>
      <w:r w:rsidR="00F80174" w:rsidRPr="004C5551">
        <w:rPr>
          <w:szCs w:val="22"/>
        </w:rPr>
        <w:t xml:space="preserve"> – </w:t>
      </w:r>
      <w:r w:rsidRPr="004C5551">
        <w:rPr>
          <w:szCs w:val="22"/>
        </w:rPr>
        <w:t xml:space="preserve">17 (o 1,6 p. b.), ako aj pokles v prípade miery rizika chudoby v prípade populácie </w:t>
      </w:r>
      <w:r w:rsidR="00287AEA" w:rsidRPr="004C5551">
        <w:rPr>
          <w:szCs w:val="22"/>
        </w:rPr>
        <w:t>vo </w:t>
      </w:r>
      <w:r w:rsidRPr="004C5551">
        <w:rPr>
          <w:szCs w:val="22"/>
        </w:rPr>
        <w:t xml:space="preserve">veku 65+ (o 1,8 p. b.), čo bolo spôsobené celkovým poklesom miery rizika chudoby. </w:t>
      </w:r>
      <w:r w:rsidR="0088751C" w:rsidRPr="004C5551">
        <w:rPr>
          <w:szCs w:val="22"/>
        </w:rPr>
        <w:t>Podľa</w:t>
      </w:r>
      <w:r w:rsidR="008438A2" w:rsidRPr="004C5551">
        <w:rPr>
          <w:szCs w:val="22"/>
        </w:rPr>
        <w:t xml:space="preserve"> údajov EU SILC 2014 ďalej klesala</w:t>
      </w:r>
      <w:r w:rsidR="00423669" w:rsidRPr="004C5551">
        <w:rPr>
          <w:szCs w:val="22"/>
        </w:rPr>
        <w:t xml:space="preserve"> </w:t>
      </w:r>
      <w:r w:rsidR="008438A2" w:rsidRPr="004C5551">
        <w:rPr>
          <w:szCs w:val="22"/>
        </w:rPr>
        <w:t>miera rizika chudoby detí vo veku 0</w:t>
      </w:r>
      <w:r w:rsidR="00F80174" w:rsidRPr="004C5551">
        <w:rPr>
          <w:szCs w:val="22"/>
        </w:rPr>
        <w:t xml:space="preserve"> – </w:t>
      </w:r>
      <w:r w:rsidR="008438A2" w:rsidRPr="004C5551">
        <w:rPr>
          <w:szCs w:val="22"/>
        </w:rPr>
        <w:t>17 (pokles oproti roku 2013 o 1,</w:t>
      </w:r>
      <w:r w:rsidR="00736DE1" w:rsidRPr="004C5551">
        <w:rPr>
          <w:szCs w:val="22"/>
        </w:rPr>
        <w:t>1</w:t>
      </w:r>
      <w:r w:rsidR="008438A2" w:rsidRPr="004C5551">
        <w:rPr>
          <w:szCs w:val="22"/>
        </w:rPr>
        <w:t xml:space="preserve"> p. b. na 19,2 %</w:t>
      </w:r>
      <w:r w:rsidR="0088751C" w:rsidRPr="004C5551">
        <w:rPr>
          <w:szCs w:val="22"/>
        </w:rPr>
        <w:t>) a</w:t>
      </w:r>
      <w:r w:rsidR="008438A2" w:rsidRPr="004C5551">
        <w:rPr>
          <w:szCs w:val="22"/>
        </w:rPr>
        <w:t xml:space="preserve"> </w:t>
      </w:r>
      <w:r w:rsidR="0088751C" w:rsidRPr="004C5551">
        <w:rPr>
          <w:szCs w:val="22"/>
        </w:rPr>
        <w:t xml:space="preserve">na rozdiel od trendu v roku 2013 klesla aj </w:t>
      </w:r>
      <w:r w:rsidR="008438A2" w:rsidRPr="004C5551">
        <w:rPr>
          <w:szCs w:val="22"/>
        </w:rPr>
        <w:t>miera rizika chudoby mladých ľudí</w:t>
      </w:r>
      <w:r w:rsidR="0088751C" w:rsidRPr="004C5551">
        <w:rPr>
          <w:szCs w:val="22"/>
        </w:rPr>
        <w:t xml:space="preserve"> vo veku</w:t>
      </w:r>
      <w:r w:rsidR="008438A2" w:rsidRPr="004C5551">
        <w:rPr>
          <w:szCs w:val="22"/>
        </w:rPr>
        <w:t xml:space="preserve"> 18</w:t>
      </w:r>
      <w:r w:rsidR="00F80174" w:rsidRPr="004C5551">
        <w:rPr>
          <w:szCs w:val="22"/>
        </w:rPr>
        <w:t xml:space="preserve"> – </w:t>
      </w:r>
      <w:r w:rsidR="008438A2" w:rsidRPr="004C5551">
        <w:rPr>
          <w:szCs w:val="22"/>
        </w:rPr>
        <w:t>24 (pokles oproti roku 2013 o 0,4 p. b</w:t>
      </w:r>
      <w:r w:rsidR="0088751C" w:rsidRPr="004C5551">
        <w:rPr>
          <w:szCs w:val="22"/>
        </w:rPr>
        <w:t>. na 14,7 %</w:t>
      </w:r>
      <w:r w:rsidR="008438A2" w:rsidRPr="004C5551">
        <w:rPr>
          <w:szCs w:val="22"/>
        </w:rPr>
        <w:t>)</w:t>
      </w:r>
      <w:r w:rsidR="0088751C" w:rsidRPr="004C5551">
        <w:rPr>
          <w:szCs w:val="22"/>
        </w:rPr>
        <w:t>. Miera</w:t>
      </w:r>
      <w:r w:rsidR="008438A2" w:rsidRPr="004C5551">
        <w:rPr>
          <w:szCs w:val="22"/>
        </w:rPr>
        <w:t xml:space="preserve"> rizika chudoby </w:t>
      </w:r>
      <w:r w:rsidR="0088751C" w:rsidRPr="004C5551">
        <w:rPr>
          <w:szCs w:val="22"/>
        </w:rPr>
        <w:t>vo vekovej skupine</w:t>
      </w:r>
      <w:r w:rsidR="008438A2" w:rsidRPr="004C5551">
        <w:rPr>
          <w:szCs w:val="22"/>
        </w:rPr>
        <w:t xml:space="preserve"> 65+</w:t>
      </w:r>
      <w:r w:rsidR="00423669" w:rsidRPr="004C5551">
        <w:rPr>
          <w:szCs w:val="22"/>
        </w:rPr>
        <w:t xml:space="preserve"> </w:t>
      </w:r>
      <w:r w:rsidR="0088751C" w:rsidRPr="004C5551">
        <w:rPr>
          <w:szCs w:val="22"/>
        </w:rPr>
        <w:t xml:space="preserve">medziročne mierne narástla </w:t>
      </w:r>
      <w:r w:rsidR="008438A2" w:rsidRPr="004C5551">
        <w:rPr>
          <w:szCs w:val="22"/>
        </w:rPr>
        <w:t>(</w:t>
      </w:r>
      <w:r w:rsidR="0088751C" w:rsidRPr="004C5551">
        <w:rPr>
          <w:szCs w:val="22"/>
        </w:rPr>
        <w:t>o 0</w:t>
      </w:r>
      <w:r w:rsidR="008438A2" w:rsidRPr="004C5551">
        <w:rPr>
          <w:szCs w:val="22"/>
        </w:rPr>
        <w:t>,2</w:t>
      </w:r>
      <w:r w:rsidR="0088751C" w:rsidRPr="004C5551">
        <w:rPr>
          <w:szCs w:val="22"/>
        </w:rPr>
        <w:t xml:space="preserve"> p. b. na 6,2 </w:t>
      </w:r>
      <w:r w:rsidR="008438A2" w:rsidRPr="004C5551">
        <w:rPr>
          <w:szCs w:val="22"/>
        </w:rPr>
        <w:t>%)</w:t>
      </w:r>
      <w:r w:rsidR="0088751C" w:rsidRPr="004C5551">
        <w:rPr>
          <w:szCs w:val="22"/>
        </w:rPr>
        <w:t>.</w:t>
      </w:r>
    </w:p>
    <w:p w:rsidR="00585DD8" w:rsidRPr="004C5551" w:rsidRDefault="004A4B2E" w:rsidP="00FF766C">
      <w:pPr>
        <w:spacing w:before="240"/>
        <w:ind w:firstLine="567"/>
        <w:rPr>
          <w:szCs w:val="22"/>
        </w:rPr>
      </w:pPr>
      <w:r w:rsidRPr="004C5551">
        <w:rPr>
          <w:szCs w:val="22"/>
        </w:rPr>
        <w:t>V podmienkach</w:t>
      </w:r>
      <w:r w:rsidR="00215F8C" w:rsidRPr="004C5551">
        <w:rPr>
          <w:szCs w:val="22"/>
        </w:rPr>
        <w:t xml:space="preserve"> Slovenskej republiky sa </w:t>
      </w:r>
      <w:r w:rsidRPr="004C5551">
        <w:rPr>
          <w:szCs w:val="22"/>
        </w:rPr>
        <w:t xml:space="preserve">sleduje </w:t>
      </w:r>
      <w:r w:rsidR="00215F8C" w:rsidRPr="004C5551">
        <w:rPr>
          <w:szCs w:val="22"/>
        </w:rPr>
        <w:t>riziko chudoby u detí vo veku 0</w:t>
      </w:r>
      <w:r w:rsidR="00F80174" w:rsidRPr="004C5551">
        <w:rPr>
          <w:szCs w:val="22"/>
        </w:rPr>
        <w:t xml:space="preserve"> – </w:t>
      </w:r>
      <w:r w:rsidR="00215F8C" w:rsidRPr="004C5551">
        <w:rPr>
          <w:szCs w:val="22"/>
        </w:rPr>
        <w:t>15</w:t>
      </w:r>
      <w:r w:rsidR="00F41C22" w:rsidRPr="004C5551">
        <w:rPr>
          <w:szCs w:val="22"/>
        </w:rPr>
        <w:t xml:space="preserve"> rokov</w:t>
      </w:r>
      <w:r w:rsidR="00215F8C" w:rsidRPr="004C5551">
        <w:rPr>
          <w:szCs w:val="22"/>
        </w:rPr>
        <w:t xml:space="preserve">. Z výsledkov zisťovania v roku 2013 </w:t>
      </w:r>
      <w:r w:rsidRPr="004C5551">
        <w:rPr>
          <w:szCs w:val="22"/>
        </w:rPr>
        <w:t>vyplýva</w:t>
      </w:r>
      <w:r w:rsidR="00215F8C" w:rsidRPr="004C5551">
        <w:rPr>
          <w:szCs w:val="22"/>
        </w:rPr>
        <w:t>, že v riziku chudoby bolo 19,8</w:t>
      </w:r>
      <w:r w:rsidR="009425AA" w:rsidRPr="004C5551">
        <w:rPr>
          <w:szCs w:val="22"/>
        </w:rPr>
        <w:t> %</w:t>
      </w:r>
      <w:r w:rsidR="00215F8C" w:rsidRPr="004C5551">
        <w:rPr>
          <w:szCs w:val="22"/>
        </w:rPr>
        <w:t xml:space="preserve"> detí v danom veku a v porovnaní so zisťovaním v roku 2012 došlo k poklesu o 1,7 p. b. </w:t>
      </w:r>
      <w:r w:rsidR="004F1CCD" w:rsidRPr="004C5551">
        <w:rPr>
          <w:szCs w:val="22"/>
        </w:rPr>
        <w:t xml:space="preserve">V roku 2014 bola miera rizika chudoby v prípade tejto vekovej skupiny na úrovni 19,1 %, čo je pokles oproti roku 2013 o 0,7 p. b. </w:t>
      </w:r>
      <w:r w:rsidR="00215F8C" w:rsidRPr="004C5551">
        <w:rPr>
          <w:szCs w:val="22"/>
        </w:rPr>
        <w:t xml:space="preserve">Riziko chudoby detí súvisí predovšetkým s príjmovou situáciou rodín, a to </w:t>
      </w:r>
      <w:r w:rsidRPr="004C5551">
        <w:rPr>
          <w:szCs w:val="22"/>
        </w:rPr>
        <w:t xml:space="preserve">najmä </w:t>
      </w:r>
      <w:r w:rsidR="00215F8C" w:rsidRPr="004C5551">
        <w:rPr>
          <w:szCs w:val="22"/>
        </w:rPr>
        <w:t>viacpočetných domácností s deťmi. Z hľadiska globálneho hodnotenia je zrejmé, že dochádza k zmenám v štruktúre populácie v súvislosti s rizikom chudoby, a to v dôsledku zmien v príjmovej situácii obyvateľstva.</w:t>
      </w:r>
      <w:r w:rsidR="004F1CCD" w:rsidRPr="004C5551">
        <w:rPr>
          <w:szCs w:val="22"/>
        </w:rPr>
        <w:t xml:space="preserve"> Z nižšie uvedených grafov 4.5 je zrejmá zmena rozdieloch medzi ženami a mužmi v riziku chudoby v jednotlivých vekových kategóriách. V roku 2014 sa znížil rozdiel v miere rizika chudoby medzi ženami a mužmi vo veku 65+</w:t>
      </w:r>
      <w:r w:rsidR="00423669" w:rsidRPr="004C5551">
        <w:rPr>
          <w:szCs w:val="22"/>
        </w:rPr>
        <w:t xml:space="preserve"> </w:t>
      </w:r>
      <w:r w:rsidR="004F1CCD" w:rsidRPr="004C5551">
        <w:rPr>
          <w:szCs w:val="22"/>
        </w:rPr>
        <w:t xml:space="preserve">o 0,9 p. b. proti roku 2013. Rozdiel medzi mierou rizika chudoby žien a mužov vo veku 65+ v roku 2013 bol 4,3 p. b. a v roku 2014 sa znížil na 3,4 p. b. K podobným zmenám došlo aj v iných vekových skupinách. </w:t>
      </w:r>
    </w:p>
    <w:p w:rsidR="00373A07" w:rsidRPr="004C5551" w:rsidRDefault="00373A07" w:rsidP="00373A07">
      <w:pPr>
        <w:pStyle w:val="Nadpis7"/>
      </w:pPr>
      <w:r w:rsidRPr="004C5551">
        <w:t>Graf 4.5a Miera rizika chudoby podľa vekovej štruktúry (2013)</w:t>
      </w:r>
    </w:p>
    <w:p w:rsidR="00373A07" w:rsidRPr="004C5551" w:rsidRDefault="00373A07" w:rsidP="00373A07">
      <w:pPr>
        <w:jc w:val="center"/>
        <w:rPr>
          <w:i/>
          <w:szCs w:val="22"/>
        </w:rPr>
      </w:pPr>
      <w:r w:rsidRPr="004C5551">
        <w:rPr>
          <w:noProof/>
        </w:rPr>
        <w:drawing>
          <wp:inline distT="0" distB="0" distL="0" distR="0" wp14:anchorId="4E5CF243" wp14:editId="5EC6D991">
            <wp:extent cx="4572000"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73A07" w:rsidRPr="004C5551" w:rsidRDefault="00373A07" w:rsidP="00373A07">
      <w:pPr>
        <w:pStyle w:val="zdroj"/>
      </w:pPr>
      <w:r w:rsidRPr="004C5551">
        <w:t>Zdroj: ŠÚ SR, EU SILC 2013, UDB</w:t>
      </w:r>
    </w:p>
    <w:p w:rsidR="004F1CCD" w:rsidRPr="004C5551" w:rsidRDefault="004F1CCD" w:rsidP="004F1CCD">
      <w:pPr>
        <w:pStyle w:val="Nadpis7"/>
      </w:pPr>
      <w:r w:rsidRPr="004C5551">
        <w:t>Graf 4.5b Miera rizika chudoby podľa vekovej štruktúry (2014)</w:t>
      </w:r>
    </w:p>
    <w:p w:rsidR="004F1CCD" w:rsidRPr="004C5551" w:rsidRDefault="004F1CCD" w:rsidP="004F1CCD">
      <w:pPr>
        <w:pStyle w:val="zdroj"/>
        <w:ind w:firstLine="0"/>
        <w:jc w:val="center"/>
        <w:rPr>
          <w:szCs w:val="22"/>
        </w:rPr>
      </w:pPr>
      <w:r w:rsidRPr="004C5551">
        <w:rPr>
          <w:noProof/>
        </w:rPr>
        <w:drawing>
          <wp:inline distT="0" distB="0" distL="0" distR="0" wp14:anchorId="0D9578BB" wp14:editId="3A45445F">
            <wp:extent cx="4572000" cy="27432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F1CCD" w:rsidRPr="004C5551" w:rsidRDefault="004F1CCD" w:rsidP="004F1CCD">
      <w:pPr>
        <w:pStyle w:val="zdroj"/>
        <w:rPr>
          <w:szCs w:val="22"/>
        </w:rPr>
      </w:pPr>
      <w:r w:rsidRPr="004C5551">
        <w:t>Zdroj: ŠÚ SR, EU SILC 2014, UDB</w:t>
      </w:r>
    </w:p>
    <w:p w:rsidR="00215F8C" w:rsidRPr="004C5551" w:rsidRDefault="00215F8C" w:rsidP="003B0E51">
      <w:pPr>
        <w:ind w:firstLine="431"/>
        <w:rPr>
          <w:szCs w:val="22"/>
        </w:rPr>
      </w:pPr>
      <w:r w:rsidRPr="004C5551">
        <w:rPr>
          <w:szCs w:val="22"/>
        </w:rPr>
        <w:t>V prípade detí 0</w:t>
      </w:r>
      <w:r w:rsidR="00F80174" w:rsidRPr="004C5551">
        <w:rPr>
          <w:szCs w:val="22"/>
        </w:rPr>
        <w:t xml:space="preserve"> – </w:t>
      </w:r>
      <w:r w:rsidRPr="004C5551">
        <w:rPr>
          <w:szCs w:val="22"/>
        </w:rPr>
        <w:t xml:space="preserve">17 je možné sledovať aj iný vzťah, a to predmetnú vekovú populáciu žijúcu v domácnostiach bez zamestnania alebo žijúcu v domácnostiach s veľmi nízkou intenzitou práce. </w:t>
      </w:r>
      <w:r w:rsidR="00373A07" w:rsidRPr="004C5551">
        <w:rPr>
          <w:szCs w:val="22"/>
        </w:rPr>
        <w:t>V</w:t>
      </w:r>
      <w:r w:rsidR="007E4084" w:rsidRPr="004C5551">
        <w:rPr>
          <w:szCs w:val="22"/>
        </w:rPr>
        <w:t> </w:t>
      </w:r>
      <w:r w:rsidR="00373A07" w:rsidRPr="004C5551">
        <w:rPr>
          <w:szCs w:val="22"/>
        </w:rPr>
        <w:t>roku 2013</w:t>
      </w:r>
      <w:r w:rsidRPr="004C5551">
        <w:rPr>
          <w:szCs w:val="22"/>
        </w:rPr>
        <w:t xml:space="preserve"> sa situácia v danej vekovej skupine </w:t>
      </w:r>
      <w:r w:rsidR="00373A07" w:rsidRPr="004C5551">
        <w:rPr>
          <w:szCs w:val="22"/>
        </w:rPr>
        <w:t xml:space="preserve">medziročne </w:t>
      </w:r>
      <w:r w:rsidRPr="004C5551">
        <w:rPr>
          <w:szCs w:val="22"/>
        </w:rPr>
        <w:t>zmenila. V prípade detí 0</w:t>
      </w:r>
      <w:r w:rsidR="00F80174" w:rsidRPr="004C5551">
        <w:rPr>
          <w:szCs w:val="22"/>
        </w:rPr>
        <w:t xml:space="preserve"> – </w:t>
      </w:r>
      <w:r w:rsidRPr="004C5551">
        <w:rPr>
          <w:szCs w:val="22"/>
        </w:rPr>
        <w:t>17 žijúcich v domácnostiach bez zamestnania došlo k ich nárastu z 9,9</w:t>
      </w:r>
      <w:r w:rsidR="009425AA" w:rsidRPr="004C5551">
        <w:rPr>
          <w:szCs w:val="22"/>
        </w:rPr>
        <w:t> %</w:t>
      </w:r>
      <w:r w:rsidRPr="004C5551">
        <w:rPr>
          <w:szCs w:val="22"/>
        </w:rPr>
        <w:t xml:space="preserve"> na 10,4</w:t>
      </w:r>
      <w:r w:rsidR="00875D86" w:rsidRPr="004C5551">
        <w:rPr>
          <w:szCs w:val="22"/>
        </w:rPr>
        <w:t> </w:t>
      </w:r>
      <w:r w:rsidRPr="004C5551">
        <w:rPr>
          <w:szCs w:val="22"/>
        </w:rPr>
        <w:t>% (t. j. o 0,5 p. b.) a nárast bol zaznamenaný aj v prípade danej vekovej skupiny žijúcej v domácnostiach s veľmi nízkou intenzitou práce (príležitostné práce) zo 7,2</w:t>
      </w:r>
      <w:r w:rsidR="00875D86" w:rsidRPr="004C5551">
        <w:rPr>
          <w:szCs w:val="22"/>
        </w:rPr>
        <w:t> </w:t>
      </w:r>
      <w:r w:rsidRPr="004C5551">
        <w:rPr>
          <w:szCs w:val="22"/>
        </w:rPr>
        <w:t>% na 8,4</w:t>
      </w:r>
      <w:r w:rsidR="00875D86" w:rsidRPr="004C5551">
        <w:rPr>
          <w:szCs w:val="22"/>
        </w:rPr>
        <w:t> </w:t>
      </w:r>
      <w:r w:rsidRPr="004C5551">
        <w:rPr>
          <w:szCs w:val="22"/>
        </w:rPr>
        <w:t>% (o 1,2 p. b.). Ide o porovnateľné výsledky z výberového zisťovania pracovných síl (VZPS) a EU SILC.</w:t>
      </w:r>
      <w:r w:rsidR="00373A07" w:rsidRPr="004C5551">
        <w:rPr>
          <w:szCs w:val="22"/>
        </w:rPr>
        <w:t xml:space="preserve"> V roku 2014 u danej vekovej skupiny žijúcej v domácnostiach s veľmi nízkou intenzitou práce došlo k poklesu oproti roku 2013 o 0,3 p. b. na 8,1%.</w:t>
      </w:r>
    </w:p>
    <w:p w:rsidR="00B10529" w:rsidRPr="004C5551" w:rsidRDefault="00215F8C" w:rsidP="00B10529">
      <w:pPr>
        <w:ind w:firstLine="567"/>
        <w:rPr>
          <w:szCs w:val="22"/>
        </w:rPr>
      </w:pPr>
      <w:r w:rsidRPr="004C5551">
        <w:rPr>
          <w:szCs w:val="22"/>
        </w:rPr>
        <w:t>V prípade typu domácnost</w:t>
      </w:r>
      <w:r w:rsidR="001923E5" w:rsidRPr="004C5551">
        <w:rPr>
          <w:szCs w:val="22"/>
        </w:rPr>
        <w:t>í</w:t>
      </w:r>
      <w:r w:rsidRPr="004C5551">
        <w:rPr>
          <w:szCs w:val="22"/>
        </w:rPr>
        <w:t xml:space="preserve"> </w:t>
      </w:r>
      <w:r w:rsidR="001923E5" w:rsidRPr="004C5551">
        <w:rPr>
          <w:szCs w:val="22"/>
        </w:rPr>
        <w:t xml:space="preserve">sú </w:t>
      </w:r>
      <w:r w:rsidRPr="004C5551">
        <w:rPr>
          <w:szCs w:val="22"/>
        </w:rPr>
        <w:t>v najväčšom riziku chudoby osamelí rodičia s najmenej jedným dieťaťom (30,1</w:t>
      </w:r>
      <w:r w:rsidR="00875D86" w:rsidRPr="004C5551">
        <w:rPr>
          <w:szCs w:val="22"/>
        </w:rPr>
        <w:t> </w:t>
      </w:r>
      <w:r w:rsidRPr="004C5551">
        <w:rPr>
          <w:szCs w:val="22"/>
        </w:rPr>
        <w:t>%), rodiny s tromi a viac deťmi (29,9</w:t>
      </w:r>
      <w:r w:rsidR="006D0272" w:rsidRPr="004C5551">
        <w:rPr>
          <w:szCs w:val="22"/>
        </w:rPr>
        <w:t> </w:t>
      </w:r>
      <w:r w:rsidRPr="004C5551">
        <w:rPr>
          <w:szCs w:val="22"/>
        </w:rPr>
        <w:t>%) a jednotlivci mladší ako 65 rokov (21,3</w:t>
      </w:r>
      <w:r w:rsidR="00875D86" w:rsidRPr="004C5551">
        <w:rPr>
          <w:szCs w:val="22"/>
        </w:rPr>
        <w:t> </w:t>
      </w:r>
      <w:r w:rsidRPr="004C5551">
        <w:rPr>
          <w:szCs w:val="22"/>
        </w:rPr>
        <w:t>%). Najnižšie riziko chudoby bolo zaznamenané v prípade domácností s dvom</w:t>
      </w:r>
      <w:r w:rsidR="001923E5" w:rsidRPr="004C5551">
        <w:rPr>
          <w:szCs w:val="22"/>
        </w:rPr>
        <w:t>i</w:t>
      </w:r>
      <w:r w:rsidRPr="004C5551">
        <w:rPr>
          <w:szCs w:val="22"/>
        </w:rPr>
        <w:t xml:space="preserve"> dospelými, kde aspoň jeden z nich má viac ako 65 rokov (3,8</w:t>
      </w:r>
      <w:r w:rsidR="006D0272" w:rsidRPr="004C5551">
        <w:rPr>
          <w:szCs w:val="22"/>
        </w:rPr>
        <w:t> </w:t>
      </w:r>
      <w:r w:rsidRPr="004C5551">
        <w:rPr>
          <w:szCs w:val="22"/>
        </w:rPr>
        <w:t>%). Oproti predchádzajúcemu roku došlo k výraznému poklesu rizika chudoby u rodín s tromi a viac deťmi (o 5,2 p. b.) a u jednotlivcov mladších ako 65 rokov (o 2,8</w:t>
      </w:r>
      <w:r w:rsidR="006D0272" w:rsidRPr="004C5551">
        <w:rPr>
          <w:szCs w:val="22"/>
        </w:rPr>
        <w:t> </w:t>
      </w:r>
      <w:r w:rsidRPr="004C5551">
        <w:rPr>
          <w:szCs w:val="22"/>
        </w:rPr>
        <w:t>p. b.), avšak k nárastu miery rizika chudoby u osamelých rodičov s najmenej jedným dieťaťom (o 2,6 p. b.). V</w:t>
      </w:r>
      <w:r w:rsidR="001923E5" w:rsidRPr="004C5551">
        <w:rPr>
          <w:szCs w:val="22"/>
        </w:rPr>
        <w:t> </w:t>
      </w:r>
      <w:r w:rsidRPr="004C5551">
        <w:rPr>
          <w:szCs w:val="22"/>
        </w:rPr>
        <w:t>prípade</w:t>
      </w:r>
      <w:r w:rsidR="001923E5" w:rsidRPr="004C5551">
        <w:rPr>
          <w:szCs w:val="22"/>
        </w:rPr>
        <w:t xml:space="preserve"> </w:t>
      </w:r>
      <w:r w:rsidRPr="004C5551">
        <w:rPr>
          <w:szCs w:val="22"/>
        </w:rPr>
        <w:t>jednotlivcov vo veku</w:t>
      </w:r>
      <w:r w:rsidR="001923E5" w:rsidRPr="004C5551">
        <w:rPr>
          <w:szCs w:val="22"/>
        </w:rPr>
        <w:t xml:space="preserve"> </w:t>
      </w:r>
      <w:r w:rsidRPr="004C5551">
        <w:rPr>
          <w:szCs w:val="22"/>
        </w:rPr>
        <w:t>65+ (</w:t>
      </w:r>
      <w:r w:rsidR="00736DE1" w:rsidRPr="004C5551">
        <w:rPr>
          <w:szCs w:val="22"/>
        </w:rPr>
        <w:t xml:space="preserve">jednej z </w:t>
      </w:r>
      <w:r w:rsidRPr="004C5551">
        <w:rPr>
          <w:szCs w:val="22"/>
        </w:rPr>
        <w:t>najrizikovejš</w:t>
      </w:r>
      <w:r w:rsidR="00736DE1" w:rsidRPr="004C5551">
        <w:rPr>
          <w:szCs w:val="22"/>
        </w:rPr>
        <w:t>ích</w:t>
      </w:r>
      <w:r w:rsidRPr="004C5551">
        <w:rPr>
          <w:szCs w:val="22"/>
        </w:rPr>
        <w:t xml:space="preserve"> skup</w:t>
      </w:r>
      <w:r w:rsidR="00736DE1" w:rsidRPr="004C5551">
        <w:rPr>
          <w:szCs w:val="22"/>
        </w:rPr>
        <w:t>ín</w:t>
      </w:r>
      <w:r w:rsidRPr="004C5551">
        <w:rPr>
          <w:szCs w:val="22"/>
        </w:rPr>
        <w:t xml:space="preserve"> podľa zisťovania v roku 2009) došlo k medziročnému poklesu</w:t>
      </w:r>
      <w:r w:rsidR="00D65E93" w:rsidRPr="004C5551">
        <w:rPr>
          <w:szCs w:val="22"/>
        </w:rPr>
        <w:t xml:space="preserve"> miery rizika chudoby</w:t>
      </w:r>
      <w:r w:rsidRPr="004C5551">
        <w:rPr>
          <w:szCs w:val="22"/>
        </w:rPr>
        <w:t xml:space="preserve"> (o 4,7 p. b.). Výrazný pokles</w:t>
      </w:r>
      <w:r w:rsidR="00D65E93" w:rsidRPr="004C5551">
        <w:rPr>
          <w:szCs w:val="22"/>
        </w:rPr>
        <w:t xml:space="preserve"> miery rizika chudoby</w:t>
      </w:r>
      <w:r w:rsidRPr="004C5551">
        <w:rPr>
          <w:szCs w:val="22"/>
        </w:rPr>
        <w:t xml:space="preserve"> oproti predchádzajúcemu roku bol zaznamenaný aj u celkovej skupiny jednotlivcov (o</w:t>
      </w:r>
      <w:r w:rsidR="00D65E93" w:rsidRPr="004C5551">
        <w:rPr>
          <w:szCs w:val="22"/>
        </w:rPr>
        <w:t> </w:t>
      </w:r>
      <w:r w:rsidRPr="004C5551">
        <w:rPr>
          <w:szCs w:val="22"/>
        </w:rPr>
        <w:t>3,8</w:t>
      </w:r>
      <w:r w:rsidR="00D65E93" w:rsidRPr="004C5551">
        <w:rPr>
          <w:szCs w:val="22"/>
        </w:rPr>
        <w:t> </w:t>
      </w:r>
      <w:r w:rsidRPr="004C5551">
        <w:rPr>
          <w:szCs w:val="22"/>
        </w:rPr>
        <w:t>p. b.)</w:t>
      </w:r>
      <w:r w:rsidR="00373A07" w:rsidRPr="004C5551">
        <w:rPr>
          <w:szCs w:val="22"/>
        </w:rPr>
        <w:t>. V roku 2014 miera rizika chudoby u osamelých rodičov s najmenej jedným dieťaťom opäť mierne rástla (</w:t>
      </w:r>
      <w:r w:rsidR="006B642E" w:rsidRPr="004C5551">
        <w:rPr>
          <w:szCs w:val="22"/>
        </w:rPr>
        <w:t>o 0,5 p. b. na 30,6 %).</w:t>
      </w:r>
      <w:r w:rsidR="00373A07" w:rsidRPr="004C5551">
        <w:rPr>
          <w:szCs w:val="22"/>
        </w:rPr>
        <w:t xml:space="preserve"> </w:t>
      </w:r>
      <w:r w:rsidR="006B642E" w:rsidRPr="004C5551">
        <w:rPr>
          <w:szCs w:val="22"/>
        </w:rPr>
        <w:t xml:space="preserve">V roku 2014 pokračovala v poklese </w:t>
      </w:r>
      <w:r w:rsidR="00873082" w:rsidRPr="004C5551">
        <w:rPr>
          <w:szCs w:val="22"/>
        </w:rPr>
        <w:t>miera rizika chudoby rodín</w:t>
      </w:r>
      <w:r w:rsidR="00373A07" w:rsidRPr="004C5551">
        <w:rPr>
          <w:szCs w:val="22"/>
        </w:rPr>
        <w:t xml:space="preserve"> s tromi a viac deťmi (</w:t>
      </w:r>
      <w:r w:rsidR="006B642E" w:rsidRPr="004C5551">
        <w:rPr>
          <w:szCs w:val="22"/>
        </w:rPr>
        <w:t xml:space="preserve">o 1,5 p. b. na </w:t>
      </w:r>
      <w:r w:rsidR="00373A07" w:rsidRPr="004C5551">
        <w:rPr>
          <w:szCs w:val="22"/>
        </w:rPr>
        <w:t>28,4 %) a miera rizika jednotl</w:t>
      </w:r>
      <w:r w:rsidR="00B10529" w:rsidRPr="004C5551">
        <w:rPr>
          <w:szCs w:val="22"/>
        </w:rPr>
        <w:t>ivcov mladších ako 65 rokov (</w:t>
      </w:r>
      <w:r w:rsidR="00873082" w:rsidRPr="004C5551">
        <w:rPr>
          <w:szCs w:val="22"/>
        </w:rPr>
        <w:t>o</w:t>
      </w:r>
      <w:r w:rsidR="007E4084" w:rsidRPr="004C5551">
        <w:rPr>
          <w:szCs w:val="22"/>
        </w:rPr>
        <w:t> </w:t>
      </w:r>
      <w:r w:rsidR="00873082" w:rsidRPr="004C5551">
        <w:rPr>
          <w:szCs w:val="22"/>
        </w:rPr>
        <w:t xml:space="preserve">0,9 p. b. na </w:t>
      </w:r>
      <w:r w:rsidR="00B10529" w:rsidRPr="004C5551">
        <w:rPr>
          <w:szCs w:val="22"/>
        </w:rPr>
        <w:t>20,4</w:t>
      </w:r>
      <w:r w:rsidR="00373A07" w:rsidRPr="004C5551">
        <w:rPr>
          <w:szCs w:val="22"/>
        </w:rPr>
        <w:t xml:space="preserve"> %)</w:t>
      </w:r>
      <w:r w:rsidR="00B10529" w:rsidRPr="004C5551">
        <w:rPr>
          <w:szCs w:val="22"/>
        </w:rPr>
        <w:t>. V</w:t>
      </w:r>
      <w:r w:rsidR="00423669" w:rsidRPr="004C5551">
        <w:rPr>
          <w:szCs w:val="22"/>
        </w:rPr>
        <w:t> </w:t>
      </w:r>
      <w:r w:rsidR="00B10529" w:rsidRPr="004C5551">
        <w:rPr>
          <w:szCs w:val="22"/>
        </w:rPr>
        <w:t>prípade</w:t>
      </w:r>
      <w:r w:rsidR="00423669" w:rsidRPr="004C5551">
        <w:rPr>
          <w:szCs w:val="22"/>
        </w:rPr>
        <w:t xml:space="preserve"> </w:t>
      </w:r>
      <w:r w:rsidR="00B10529" w:rsidRPr="004C5551">
        <w:rPr>
          <w:szCs w:val="22"/>
        </w:rPr>
        <w:t>jednotlivcov</w:t>
      </w:r>
      <w:r w:rsidR="00423669" w:rsidRPr="004C5551">
        <w:rPr>
          <w:szCs w:val="22"/>
        </w:rPr>
        <w:t xml:space="preserve"> </w:t>
      </w:r>
      <w:r w:rsidR="00B10529" w:rsidRPr="004C5551">
        <w:rPr>
          <w:szCs w:val="22"/>
        </w:rPr>
        <w:t>vo veku</w:t>
      </w:r>
      <w:r w:rsidR="00423669" w:rsidRPr="004C5551">
        <w:rPr>
          <w:szCs w:val="22"/>
        </w:rPr>
        <w:t xml:space="preserve"> </w:t>
      </w:r>
      <w:r w:rsidR="00B10529" w:rsidRPr="004C5551">
        <w:rPr>
          <w:szCs w:val="22"/>
        </w:rPr>
        <w:t xml:space="preserve">65+ došlo k medziročnému </w:t>
      </w:r>
      <w:r w:rsidR="00873082" w:rsidRPr="004C5551">
        <w:rPr>
          <w:szCs w:val="22"/>
        </w:rPr>
        <w:t>nárastu o 1,1</w:t>
      </w:r>
      <w:r w:rsidR="007E4084" w:rsidRPr="004C5551">
        <w:rPr>
          <w:szCs w:val="22"/>
        </w:rPr>
        <w:t> </w:t>
      </w:r>
      <w:r w:rsidR="00873082" w:rsidRPr="004C5551">
        <w:rPr>
          <w:szCs w:val="22"/>
        </w:rPr>
        <w:t>p. b. rovnako ako v prípade dvojice, kde jeden má viac ako 65 rokov.</w:t>
      </w:r>
      <w:r w:rsidR="00423669" w:rsidRPr="004C5551">
        <w:rPr>
          <w:szCs w:val="22"/>
        </w:rPr>
        <w:t xml:space="preserve"> </w:t>
      </w:r>
      <w:r w:rsidR="00B10529" w:rsidRPr="004C5551">
        <w:rPr>
          <w:szCs w:val="22"/>
        </w:rPr>
        <w:t xml:space="preserve">K miernemu nárastu došlo aj v u celkovej skupiny jednotlivcov (o 0,2 p. b.). </w:t>
      </w:r>
    </w:p>
    <w:p w:rsidR="00215F8C" w:rsidRPr="004C5551" w:rsidRDefault="00215F8C" w:rsidP="00C67FF9">
      <w:pPr>
        <w:pStyle w:val="Nadpis7"/>
      </w:pPr>
      <w:r w:rsidRPr="004C5551">
        <w:t>Graf 4.6 Porovnanie miery rizika chudoby podľa typu domácnosti (2012</w:t>
      </w:r>
      <w:r w:rsidR="00E00125" w:rsidRPr="004C5551">
        <w:t>,</w:t>
      </w:r>
      <w:r w:rsidR="00423669" w:rsidRPr="004C5551">
        <w:t xml:space="preserve"> </w:t>
      </w:r>
      <w:r w:rsidRPr="004C5551">
        <w:t>2013</w:t>
      </w:r>
      <w:r w:rsidR="00E00125" w:rsidRPr="004C5551">
        <w:t>, 2014</w:t>
      </w:r>
      <w:r w:rsidRPr="004C5551">
        <w:t>)</w:t>
      </w:r>
    </w:p>
    <w:p w:rsidR="00E00125" w:rsidRPr="004C5551" w:rsidRDefault="00E00125" w:rsidP="007F3057">
      <w:pPr>
        <w:ind w:left="-567"/>
        <w:jc w:val="center"/>
      </w:pPr>
      <w:r w:rsidRPr="004C5551">
        <w:rPr>
          <w:noProof/>
        </w:rPr>
        <w:drawing>
          <wp:inline distT="0" distB="0" distL="0" distR="0" wp14:anchorId="0E5CD153" wp14:editId="19D70458">
            <wp:extent cx="6353175" cy="25812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00125" w:rsidRPr="004C5551" w:rsidRDefault="00E00125" w:rsidP="00E00125">
      <w:pPr>
        <w:pStyle w:val="zdroj"/>
      </w:pPr>
      <w:r w:rsidRPr="004C5551">
        <w:t xml:space="preserve">Zdroj: </w:t>
      </w:r>
      <w:proofErr w:type="spellStart"/>
      <w:r w:rsidRPr="004C5551">
        <w:t>Eurostat</w:t>
      </w:r>
      <w:proofErr w:type="spellEnd"/>
      <w:r w:rsidRPr="004C5551">
        <w:t>, ŠÚ SR, EU SILC 2014, UDB</w:t>
      </w:r>
    </w:p>
    <w:p w:rsidR="00215F8C" w:rsidRPr="004C5551" w:rsidRDefault="00215F8C" w:rsidP="00FF766C">
      <w:pPr>
        <w:ind w:firstLine="567"/>
        <w:rPr>
          <w:szCs w:val="22"/>
        </w:rPr>
      </w:pPr>
      <w:r w:rsidRPr="004C5551">
        <w:rPr>
          <w:szCs w:val="22"/>
        </w:rPr>
        <w:t>Pri sledovaní miery rizika chudoby v nadväznosti na ekonomickú aktivitu, najvyššie riziko chudoby na Slovensku z výsledkov EU SILC 2013 bolo v prípade nezamestnaných, a to 43,8</w:t>
      </w:r>
      <w:r w:rsidR="006D0272" w:rsidRPr="004C5551">
        <w:rPr>
          <w:szCs w:val="22"/>
        </w:rPr>
        <w:t> </w:t>
      </w:r>
      <w:r w:rsidRPr="004C5551">
        <w:rPr>
          <w:szCs w:val="22"/>
        </w:rPr>
        <w:t>% (pokles oproti roku 2012 o 0,8 p. b.). V prípade zamestnaných bolo v riziku chudoby 5,7</w:t>
      </w:r>
      <w:r w:rsidR="006D0272" w:rsidRPr="004C5551">
        <w:rPr>
          <w:szCs w:val="22"/>
        </w:rPr>
        <w:t> </w:t>
      </w:r>
      <w:r w:rsidRPr="004C5551">
        <w:rPr>
          <w:szCs w:val="22"/>
        </w:rPr>
        <w:t>% ľudí, čo predstavuje pokles oproti predchádzajúcemu roku o 0,5 p. b. Ak sledujeme pracovnú intenzitu</w:t>
      </w:r>
      <w:r w:rsidRPr="004C5551">
        <w:rPr>
          <w:rStyle w:val="Odkaznapoznmkupodiarou"/>
          <w:szCs w:val="22"/>
        </w:rPr>
        <w:footnoteReference w:id="54"/>
      </w:r>
      <w:r w:rsidRPr="004C5551">
        <w:rPr>
          <w:szCs w:val="22"/>
        </w:rPr>
        <w:t>, riziko chudoby domácnosti sa zvyšuje</w:t>
      </w:r>
      <w:r w:rsidR="0007760D" w:rsidRPr="004C5551">
        <w:rPr>
          <w:szCs w:val="22"/>
        </w:rPr>
        <w:t>,</w:t>
      </w:r>
      <w:r w:rsidRPr="004C5551">
        <w:rPr>
          <w:szCs w:val="22"/>
        </w:rPr>
        <w:t xml:space="preserve"> čím je pracovná intenzita členov domácností nižšia. V prípade domácnost</w:t>
      </w:r>
      <w:r w:rsidR="0007760D" w:rsidRPr="004C5551">
        <w:rPr>
          <w:szCs w:val="22"/>
        </w:rPr>
        <w:t>í</w:t>
      </w:r>
      <w:r w:rsidRPr="004C5551">
        <w:rPr>
          <w:szCs w:val="22"/>
        </w:rPr>
        <w:t xml:space="preserve"> so závislými deťmi sa </w:t>
      </w:r>
      <w:r w:rsidR="00D65E93" w:rsidRPr="004C5551">
        <w:rPr>
          <w:szCs w:val="22"/>
        </w:rPr>
        <w:t xml:space="preserve">so </w:t>
      </w:r>
      <w:r w:rsidRPr="004C5551">
        <w:rPr>
          <w:szCs w:val="22"/>
        </w:rPr>
        <w:t>zvyšujúcim počtom ľudí, ktorí sú od príjmov domácností závislí, riziko chudoby zvyšuje. V prípade nízkej intenzity práce ako jedného z indikátorov pre definovanie počtu ľudí žijúcich v riziku chudoby alebo sociálneho vylúčenia (v tomto prípade WI&lt;0,2) došlo k miernemu medziročnému nárastu o 0,4 p. b. (7,6</w:t>
      </w:r>
      <w:r w:rsidR="006D0272" w:rsidRPr="004C5551">
        <w:rPr>
          <w:szCs w:val="22"/>
        </w:rPr>
        <w:t> </w:t>
      </w:r>
      <w:r w:rsidRPr="004C5551">
        <w:rPr>
          <w:szCs w:val="22"/>
        </w:rPr>
        <w:t xml:space="preserve">%). Bližšie porovnania jednotlivých pásiem pracovnej intenzity u osôb žijúcich v riziku chudoby alebo domácností sú uvedené v prílohe </w:t>
      </w:r>
      <w:r w:rsidR="00287AEA" w:rsidRPr="004C5551">
        <w:rPr>
          <w:szCs w:val="22"/>
        </w:rPr>
        <w:t>ku </w:t>
      </w:r>
      <w:r w:rsidRPr="004C5551">
        <w:rPr>
          <w:szCs w:val="22"/>
        </w:rPr>
        <w:t>kapitole 4.</w:t>
      </w:r>
      <w:r w:rsidR="002A078A" w:rsidRPr="004C5551">
        <w:rPr>
          <w:szCs w:val="22"/>
        </w:rPr>
        <w:t xml:space="preserve"> </w:t>
      </w:r>
      <w:r w:rsidR="0051073C" w:rsidRPr="004C5551">
        <w:rPr>
          <w:szCs w:val="22"/>
        </w:rPr>
        <w:t>Vývoj situácie</w:t>
      </w:r>
      <w:r w:rsidR="002A078A" w:rsidRPr="004C5551">
        <w:rPr>
          <w:szCs w:val="22"/>
        </w:rPr>
        <w:t xml:space="preserve"> p</w:t>
      </w:r>
      <w:r w:rsidR="0051073C" w:rsidRPr="004C5551">
        <w:rPr>
          <w:szCs w:val="22"/>
        </w:rPr>
        <w:t>odľa výsledkov EU SILC 2014 bol mierne</w:t>
      </w:r>
      <w:r w:rsidR="002A078A" w:rsidRPr="004C5551">
        <w:rPr>
          <w:szCs w:val="22"/>
        </w:rPr>
        <w:t xml:space="preserve"> odli</w:t>
      </w:r>
      <w:r w:rsidR="0051073C" w:rsidRPr="004C5551">
        <w:rPr>
          <w:szCs w:val="22"/>
        </w:rPr>
        <w:t>šný. V</w:t>
      </w:r>
      <w:r w:rsidR="002A078A" w:rsidRPr="004C5551">
        <w:rPr>
          <w:szCs w:val="22"/>
        </w:rPr>
        <w:t xml:space="preserve"> prípade miery rizika chudoby nezamestnaných došlo </w:t>
      </w:r>
      <w:r w:rsidR="0051073C" w:rsidRPr="004C5551">
        <w:rPr>
          <w:szCs w:val="22"/>
        </w:rPr>
        <w:t>k medziročnému nárastu o 4,9 p. b. na 48,7 %</w:t>
      </w:r>
      <w:r w:rsidR="002A078A" w:rsidRPr="004C5551">
        <w:rPr>
          <w:szCs w:val="22"/>
        </w:rPr>
        <w:t xml:space="preserve">. </w:t>
      </w:r>
      <w:r w:rsidR="0051073C" w:rsidRPr="004C5551">
        <w:rPr>
          <w:szCs w:val="22"/>
        </w:rPr>
        <w:t xml:space="preserve">Zároveň medziročne klesla veľmi nízka pracovná intenzita, a to o 0,5 p. b. na 7,1 %. </w:t>
      </w:r>
      <w:r w:rsidR="002A078A" w:rsidRPr="004C5551">
        <w:rPr>
          <w:szCs w:val="22"/>
        </w:rPr>
        <w:t>V prípade mier</w:t>
      </w:r>
      <w:r w:rsidR="0051073C" w:rsidRPr="004C5551">
        <w:rPr>
          <w:szCs w:val="22"/>
        </w:rPr>
        <w:t>y rizika chudoby zamestnaných pri</w:t>
      </w:r>
      <w:r w:rsidR="002A078A" w:rsidRPr="004C5551">
        <w:rPr>
          <w:szCs w:val="22"/>
        </w:rPr>
        <w:t xml:space="preserve">šlo k jej </w:t>
      </w:r>
      <w:r w:rsidR="0051073C" w:rsidRPr="004C5551">
        <w:rPr>
          <w:szCs w:val="22"/>
        </w:rPr>
        <w:t xml:space="preserve">ďalšiemu </w:t>
      </w:r>
      <w:r w:rsidR="002A078A" w:rsidRPr="004C5551">
        <w:rPr>
          <w:szCs w:val="22"/>
        </w:rPr>
        <w:t xml:space="preserve">poklesu o 0,1 p. b. </w:t>
      </w:r>
    </w:p>
    <w:p w:rsidR="00B85283" w:rsidRPr="004C5551" w:rsidRDefault="00B85283" w:rsidP="003B0E51">
      <w:pPr>
        <w:ind w:firstLine="431"/>
        <w:rPr>
          <w:szCs w:val="22"/>
        </w:rPr>
      </w:pPr>
    </w:p>
    <w:p w:rsidR="00215F8C" w:rsidRPr="004C5551" w:rsidRDefault="00215F8C" w:rsidP="003B0E51">
      <w:pPr>
        <w:ind w:firstLine="431"/>
        <w:rPr>
          <w:szCs w:val="22"/>
        </w:rPr>
      </w:pPr>
      <w:r w:rsidRPr="004C5551">
        <w:rPr>
          <w:szCs w:val="22"/>
        </w:rPr>
        <w:t>Vplyv na riziko chudoby alebo sociálneho vylúčenia majú aj výdavky na bývanie. Zo zisťovania EU SILC 2013 bolo preukázané, že u 8,3</w:t>
      </w:r>
      <w:r w:rsidR="00875D86" w:rsidRPr="004C5551">
        <w:rPr>
          <w:szCs w:val="22"/>
        </w:rPr>
        <w:t> </w:t>
      </w:r>
      <w:r w:rsidRPr="004C5551">
        <w:rPr>
          <w:szCs w:val="22"/>
        </w:rPr>
        <w:t>% populácie tvoria výdavky na bývanie viac ako 40</w:t>
      </w:r>
      <w:r w:rsidR="006D0272" w:rsidRPr="004C5551">
        <w:rPr>
          <w:szCs w:val="22"/>
        </w:rPr>
        <w:t> </w:t>
      </w:r>
      <w:r w:rsidRPr="004C5551">
        <w:rPr>
          <w:szCs w:val="22"/>
        </w:rPr>
        <w:t xml:space="preserve">% disponibilného príjmu domácnosti. V prípade ľudí v riziku chudoby </w:t>
      </w:r>
      <w:r w:rsidR="003E3FA2" w:rsidRPr="004C5551">
        <w:rPr>
          <w:szCs w:val="22"/>
        </w:rPr>
        <w:t xml:space="preserve">je </w:t>
      </w:r>
      <w:r w:rsidRPr="004C5551">
        <w:rPr>
          <w:szCs w:val="22"/>
        </w:rPr>
        <w:t xml:space="preserve">situácia závažnejšia, nakoľko </w:t>
      </w:r>
      <w:r w:rsidR="003E3FA2" w:rsidRPr="004C5551">
        <w:rPr>
          <w:szCs w:val="22"/>
        </w:rPr>
        <w:t>až</w:t>
      </w:r>
      <w:r w:rsidR="00423669" w:rsidRPr="004C5551">
        <w:rPr>
          <w:szCs w:val="22"/>
        </w:rPr>
        <w:t xml:space="preserve"> </w:t>
      </w:r>
      <w:r w:rsidRPr="004C5551">
        <w:rPr>
          <w:szCs w:val="22"/>
        </w:rPr>
        <w:t>36,2</w:t>
      </w:r>
      <w:r w:rsidR="00875D86" w:rsidRPr="004C5551">
        <w:rPr>
          <w:szCs w:val="22"/>
        </w:rPr>
        <w:t> </w:t>
      </w:r>
      <w:r w:rsidRPr="004C5551">
        <w:rPr>
          <w:szCs w:val="22"/>
        </w:rPr>
        <w:t xml:space="preserve">% </w:t>
      </w:r>
      <w:r w:rsidR="003E3FA2" w:rsidRPr="004C5551">
        <w:rPr>
          <w:szCs w:val="22"/>
        </w:rPr>
        <w:t>z</w:t>
      </w:r>
      <w:r w:rsidR="00423669" w:rsidRPr="004C5551">
        <w:rPr>
          <w:szCs w:val="22"/>
        </w:rPr>
        <w:t> </w:t>
      </w:r>
      <w:r w:rsidR="003E3FA2" w:rsidRPr="004C5551">
        <w:rPr>
          <w:szCs w:val="22"/>
        </w:rPr>
        <w:t>nich</w:t>
      </w:r>
      <w:r w:rsidR="00423669" w:rsidRPr="004C5551">
        <w:rPr>
          <w:szCs w:val="22"/>
        </w:rPr>
        <w:t xml:space="preserve"> </w:t>
      </w:r>
      <w:r w:rsidR="003E3FA2" w:rsidRPr="004C5551">
        <w:rPr>
          <w:szCs w:val="22"/>
        </w:rPr>
        <w:t xml:space="preserve">žije v domácnostiach </w:t>
      </w:r>
      <w:r w:rsidRPr="004C5551">
        <w:rPr>
          <w:szCs w:val="22"/>
        </w:rPr>
        <w:t xml:space="preserve">s výdavkami na bývanie </w:t>
      </w:r>
      <w:r w:rsidR="00287AEA" w:rsidRPr="004C5551">
        <w:rPr>
          <w:szCs w:val="22"/>
        </w:rPr>
        <w:t>vo </w:t>
      </w:r>
      <w:r w:rsidRPr="004C5551">
        <w:rPr>
          <w:szCs w:val="22"/>
        </w:rPr>
        <w:t>výške viac ako 40</w:t>
      </w:r>
      <w:r w:rsidR="009425AA" w:rsidRPr="004C5551">
        <w:rPr>
          <w:szCs w:val="22"/>
        </w:rPr>
        <w:t> %</w:t>
      </w:r>
      <w:r w:rsidRPr="004C5551">
        <w:rPr>
          <w:szCs w:val="22"/>
        </w:rPr>
        <w:t xml:space="preserve"> disponibilného príjmu domácnost</w:t>
      </w:r>
      <w:r w:rsidR="0007760D" w:rsidRPr="004C5551">
        <w:rPr>
          <w:szCs w:val="22"/>
        </w:rPr>
        <w:t>í</w:t>
      </w:r>
      <w:r w:rsidRPr="004C5551">
        <w:rPr>
          <w:szCs w:val="22"/>
        </w:rPr>
        <w:t>. Oproti predchádzajúcemu zisťovaniu došlo v prípade tejto skupiny o pokles o</w:t>
      </w:r>
      <w:r w:rsidR="003E3FA2" w:rsidRPr="004C5551">
        <w:rPr>
          <w:szCs w:val="22"/>
        </w:rPr>
        <w:t> 0,</w:t>
      </w:r>
      <w:r w:rsidRPr="004C5551">
        <w:rPr>
          <w:szCs w:val="22"/>
        </w:rPr>
        <w:t xml:space="preserve">2 p. b. </w:t>
      </w:r>
      <w:r w:rsidR="00716793" w:rsidRPr="004C5551">
        <w:rPr>
          <w:szCs w:val="22"/>
        </w:rPr>
        <w:t xml:space="preserve">Podľa typu vlastníctva bývania </w:t>
      </w:r>
      <w:r w:rsidRPr="004C5551">
        <w:rPr>
          <w:szCs w:val="22"/>
        </w:rPr>
        <w:t>najv</w:t>
      </w:r>
      <w:r w:rsidR="00716793" w:rsidRPr="004C5551">
        <w:rPr>
          <w:szCs w:val="22"/>
        </w:rPr>
        <w:t>äčšia skupina domácností preťažená nákladmi na bývanie sú</w:t>
      </w:r>
      <w:r w:rsidR="00423669" w:rsidRPr="004C5551">
        <w:rPr>
          <w:szCs w:val="22"/>
        </w:rPr>
        <w:t xml:space="preserve"> </w:t>
      </w:r>
      <w:r w:rsidRPr="004C5551">
        <w:rPr>
          <w:szCs w:val="22"/>
        </w:rPr>
        <w:t>vlastní</w:t>
      </w:r>
      <w:r w:rsidR="00716793" w:rsidRPr="004C5551">
        <w:rPr>
          <w:szCs w:val="22"/>
        </w:rPr>
        <w:t>ci</w:t>
      </w:r>
      <w:r w:rsidRPr="004C5551">
        <w:rPr>
          <w:szCs w:val="22"/>
        </w:rPr>
        <w:t xml:space="preserve"> bytu s hypotékou alebo úverom na bývanie, </w:t>
      </w:r>
      <w:r w:rsidR="00716793" w:rsidRPr="004C5551">
        <w:rPr>
          <w:szCs w:val="22"/>
        </w:rPr>
        <w:t xml:space="preserve">ktorí prestavovali </w:t>
      </w:r>
      <w:r w:rsidRPr="004C5551">
        <w:rPr>
          <w:szCs w:val="22"/>
        </w:rPr>
        <w:t>26,5</w:t>
      </w:r>
      <w:r w:rsidR="009425AA" w:rsidRPr="004C5551">
        <w:rPr>
          <w:szCs w:val="22"/>
        </w:rPr>
        <w:t> %</w:t>
      </w:r>
      <w:r w:rsidRPr="004C5551">
        <w:rPr>
          <w:szCs w:val="22"/>
        </w:rPr>
        <w:t xml:space="preserve"> takýchto domácností. V preplnených bytoch a domoch</w:t>
      </w:r>
      <w:r w:rsidRPr="004C5551">
        <w:rPr>
          <w:rStyle w:val="Odkaznapoznmkupodiarou"/>
          <w:szCs w:val="22"/>
        </w:rPr>
        <w:footnoteReference w:id="55"/>
      </w:r>
      <w:r w:rsidRPr="004C5551">
        <w:rPr>
          <w:szCs w:val="22"/>
        </w:rPr>
        <w:t xml:space="preserve"> bolo až 39,8</w:t>
      </w:r>
      <w:r w:rsidR="00875D86" w:rsidRPr="004C5551">
        <w:rPr>
          <w:szCs w:val="22"/>
        </w:rPr>
        <w:t> </w:t>
      </w:r>
      <w:r w:rsidRPr="004C5551">
        <w:rPr>
          <w:szCs w:val="22"/>
        </w:rPr>
        <w:t>% osôb na Slovensku</w:t>
      </w:r>
      <w:r w:rsidR="00D40CFE" w:rsidRPr="004C5551">
        <w:rPr>
          <w:szCs w:val="22"/>
        </w:rPr>
        <w:t>, čo je vysoko nad priemerom EU</w:t>
      </w:r>
      <w:r w:rsidRPr="004C5551">
        <w:rPr>
          <w:szCs w:val="22"/>
        </w:rPr>
        <w:t>28 (17,3</w:t>
      </w:r>
      <w:r w:rsidR="00875D86" w:rsidRPr="004C5551">
        <w:rPr>
          <w:szCs w:val="22"/>
        </w:rPr>
        <w:t> </w:t>
      </w:r>
      <w:r w:rsidRPr="004C5551">
        <w:rPr>
          <w:szCs w:val="22"/>
        </w:rPr>
        <w:t>%). Najčastejšie sú týmto zasiahnuté domácnosti s tromi a viac deťmi (68,7</w:t>
      </w:r>
      <w:r w:rsidR="00875D86" w:rsidRPr="004C5551">
        <w:rPr>
          <w:szCs w:val="22"/>
        </w:rPr>
        <w:t> </w:t>
      </w:r>
      <w:r w:rsidRPr="004C5551">
        <w:rPr>
          <w:szCs w:val="22"/>
        </w:rPr>
        <w:t>%). Taktiež významný</w:t>
      </w:r>
      <w:r w:rsidR="0007760D" w:rsidRPr="004C5551">
        <w:rPr>
          <w:szCs w:val="22"/>
        </w:rPr>
        <w:t>m</w:t>
      </w:r>
      <w:r w:rsidRPr="004C5551">
        <w:rPr>
          <w:szCs w:val="22"/>
        </w:rPr>
        <w:t xml:space="preserve"> faktorom je vlastnícky vzťah k bývaniu, nakoľko v preplnených obydliach žijú najčastejšie ľudia v podnájmoch, poskytovaných za trhovú cenu (65,5</w:t>
      </w:r>
      <w:r w:rsidR="00875D86" w:rsidRPr="004C5551">
        <w:rPr>
          <w:szCs w:val="22"/>
        </w:rPr>
        <w:t> </w:t>
      </w:r>
      <w:r w:rsidRPr="004C5551">
        <w:rPr>
          <w:szCs w:val="22"/>
        </w:rPr>
        <w:t>%), ako aj za</w:t>
      </w:r>
      <w:r w:rsidR="007F3057" w:rsidRPr="004C5551">
        <w:rPr>
          <w:szCs w:val="22"/>
        </w:rPr>
        <w:t> </w:t>
      </w:r>
      <w:r w:rsidRPr="004C5551">
        <w:rPr>
          <w:szCs w:val="22"/>
        </w:rPr>
        <w:t>zníženú cenu alebo zadarmo (65,7</w:t>
      </w:r>
      <w:r w:rsidR="00875D86" w:rsidRPr="004C5551">
        <w:rPr>
          <w:szCs w:val="22"/>
        </w:rPr>
        <w:t> </w:t>
      </w:r>
      <w:r w:rsidRPr="004C5551">
        <w:rPr>
          <w:szCs w:val="22"/>
        </w:rPr>
        <w:t>%). Ďalším vážnym faktorom je stav obydlia, resp. jeho kvalita, ten nie je však na Slovensku výrazný. V roku 2013 žilo 7,5</w:t>
      </w:r>
      <w:r w:rsidR="00875D86" w:rsidRPr="004C5551">
        <w:rPr>
          <w:szCs w:val="22"/>
        </w:rPr>
        <w:t> </w:t>
      </w:r>
      <w:r w:rsidRPr="004C5551">
        <w:rPr>
          <w:szCs w:val="22"/>
        </w:rPr>
        <w:t>% populácie v obydliach so zatekajúcou strechou a vlhkými stenami a 3,1</w:t>
      </w:r>
      <w:r w:rsidR="00875D86" w:rsidRPr="004C5551">
        <w:rPr>
          <w:szCs w:val="22"/>
        </w:rPr>
        <w:t> </w:t>
      </w:r>
      <w:r w:rsidRPr="004C5551">
        <w:rPr>
          <w:szCs w:val="22"/>
        </w:rPr>
        <w:t>% populácie v príliš tmavých obydliach.</w:t>
      </w:r>
    </w:p>
    <w:p w:rsidR="00215F8C" w:rsidRPr="004C5551" w:rsidRDefault="00215F8C" w:rsidP="003B0E51">
      <w:pPr>
        <w:pStyle w:val="Textpoznmkypodiarou"/>
        <w:ind w:firstLine="431"/>
        <w:rPr>
          <w:sz w:val="22"/>
          <w:szCs w:val="22"/>
        </w:rPr>
      </w:pPr>
      <w:r w:rsidRPr="004C5551">
        <w:rPr>
          <w:sz w:val="22"/>
          <w:szCs w:val="22"/>
        </w:rPr>
        <w:t>Vyššie uvedené merania a hodnotenia indikátorov boli predovšetkým na báze</w:t>
      </w:r>
      <w:r w:rsidR="0007760D" w:rsidRPr="004C5551">
        <w:rPr>
          <w:sz w:val="22"/>
          <w:szCs w:val="22"/>
        </w:rPr>
        <w:t xml:space="preserve"> príjmu. V prípade merania </w:t>
      </w:r>
      <w:r w:rsidRPr="004C5551">
        <w:rPr>
          <w:sz w:val="22"/>
          <w:szCs w:val="22"/>
        </w:rPr>
        <w:t>aspektu absolútnej chudoby je možné vychádzať z merania nedostatku materiálnych tovarov, finančných ťažkostí a neschopnosti osôb žiť slušný život u sledovanej populácie. Na meranie uvedených nedostatkov sa využíva nová metodika prostredníctvom indikátora „materiálnej deprivácie“. Na rozdiel od nastavenia závažnej materiálnej depriváci</w:t>
      </w:r>
      <w:r w:rsidR="0007760D" w:rsidRPr="004C5551">
        <w:rPr>
          <w:sz w:val="22"/>
          <w:szCs w:val="22"/>
        </w:rPr>
        <w:t>e</w:t>
      </w:r>
      <w:r w:rsidRPr="004C5551">
        <w:rPr>
          <w:sz w:val="22"/>
          <w:szCs w:val="22"/>
        </w:rPr>
        <w:t xml:space="preserve">, ktorá je súčasťou zoskupenia indikátorov pre nastavenie cieľovej skupiny, či už na úrovni EÚ alebo na národnej úrovni, sa v predchádzajúcich obdobiach za materiálne </w:t>
      </w:r>
      <w:proofErr w:type="spellStart"/>
      <w:r w:rsidRPr="004C5551">
        <w:rPr>
          <w:sz w:val="22"/>
          <w:szCs w:val="22"/>
        </w:rPr>
        <w:t>depri</w:t>
      </w:r>
      <w:r w:rsidR="00716793" w:rsidRPr="004C5551">
        <w:rPr>
          <w:sz w:val="22"/>
          <w:szCs w:val="22"/>
        </w:rPr>
        <w:t>v</w:t>
      </w:r>
      <w:r w:rsidRPr="004C5551">
        <w:rPr>
          <w:sz w:val="22"/>
          <w:szCs w:val="22"/>
        </w:rPr>
        <w:t>ovaného</w:t>
      </w:r>
      <w:proofErr w:type="spellEnd"/>
      <w:r w:rsidRPr="004C5551">
        <w:rPr>
          <w:sz w:val="22"/>
          <w:szCs w:val="22"/>
        </w:rPr>
        <w:t xml:space="preserve"> považoval občan, ktorý si nemôže dovoliť 3 z 9 položiek v rámci prvých dvoch dimenzií (ekonomická záťaž a predmety dlhodobej spotreby). Konkrétne ide o položky: nedoplatky v súvislosti s položkami nájomné a hypotéka, energie, kúpa na</w:t>
      </w:r>
      <w:r w:rsidR="007F3057" w:rsidRPr="004C5551">
        <w:rPr>
          <w:sz w:val="22"/>
          <w:szCs w:val="22"/>
        </w:rPr>
        <w:t> </w:t>
      </w:r>
      <w:r w:rsidRPr="004C5551">
        <w:rPr>
          <w:sz w:val="22"/>
          <w:szCs w:val="22"/>
        </w:rPr>
        <w:t xml:space="preserve">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 </w:t>
      </w:r>
    </w:p>
    <w:p w:rsidR="00215F8C" w:rsidRPr="004C5551" w:rsidRDefault="00215F8C" w:rsidP="003B0E51">
      <w:pPr>
        <w:pStyle w:val="Textpoznmkypodiarou"/>
        <w:ind w:firstLine="431"/>
        <w:rPr>
          <w:sz w:val="22"/>
          <w:szCs w:val="22"/>
        </w:rPr>
      </w:pPr>
      <w:r w:rsidRPr="004C5551">
        <w:rPr>
          <w:sz w:val="22"/>
          <w:szCs w:val="22"/>
        </w:rPr>
        <w:t xml:space="preserve">Na základe </w:t>
      </w:r>
      <w:r w:rsidR="00716793" w:rsidRPr="004C5551">
        <w:rPr>
          <w:sz w:val="22"/>
          <w:szCs w:val="22"/>
        </w:rPr>
        <w:t>tejto definície</w:t>
      </w:r>
      <w:r w:rsidRPr="004C5551">
        <w:rPr>
          <w:sz w:val="22"/>
          <w:szCs w:val="22"/>
        </w:rPr>
        <w:t xml:space="preserve"> bolo v roku 2013 materiálne </w:t>
      </w:r>
      <w:proofErr w:type="spellStart"/>
      <w:r w:rsidRPr="004C5551">
        <w:rPr>
          <w:sz w:val="22"/>
          <w:szCs w:val="22"/>
        </w:rPr>
        <w:t>deprivovaných</w:t>
      </w:r>
      <w:proofErr w:type="spellEnd"/>
      <w:r w:rsidRPr="004C5551">
        <w:rPr>
          <w:sz w:val="22"/>
          <w:szCs w:val="22"/>
        </w:rPr>
        <w:t xml:space="preserve"> 23,4</w:t>
      </w:r>
      <w:r w:rsidR="00875D86" w:rsidRPr="004C5551">
        <w:rPr>
          <w:sz w:val="22"/>
          <w:szCs w:val="22"/>
        </w:rPr>
        <w:t> </w:t>
      </w:r>
      <w:r w:rsidRPr="004C5551">
        <w:rPr>
          <w:sz w:val="22"/>
          <w:szCs w:val="22"/>
        </w:rPr>
        <w:t>% osôb (nárast oproti roku 2012 o 0,7 p. b.). V prípade použitia metodiky pre výpočet indikátora závažnej materiálnej depriváci</w:t>
      </w:r>
      <w:r w:rsidR="0007760D" w:rsidRPr="004C5551">
        <w:rPr>
          <w:sz w:val="22"/>
          <w:szCs w:val="22"/>
        </w:rPr>
        <w:t xml:space="preserve">e </w:t>
      </w:r>
      <w:r w:rsidRPr="004C5551">
        <w:rPr>
          <w:sz w:val="22"/>
          <w:szCs w:val="22"/>
        </w:rPr>
        <w:t>(4 z 9 položiek)</w:t>
      </w:r>
      <w:r w:rsidR="0007760D" w:rsidRPr="004C5551">
        <w:rPr>
          <w:sz w:val="22"/>
          <w:szCs w:val="22"/>
        </w:rPr>
        <w:t xml:space="preserve"> </w:t>
      </w:r>
      <w:r w:rsidRPr="004C5551">
        <w:rPr>
          <w:sz w:val="22"/>
          <w:szCs w:val="22"/>
        </w:rPr>
        <w:t xml:space="preserve">bolo v roku 2013 závažne materiálne </w:t>
      </w:r>
      <w:proofErr w:type="spellStart"/>
      <w:r w:rsidRPr="004C5551">
        <w:rPr>
          <w:sz w:val="22"/>
          <w:szCs w:val="22"/>
        </w:rPr>
        <w:t>deprivovaných</w:t>
      </w:r>
      <w:proofErr w:type="spellEnd"/>
      <w:r w:rsidRPr="004C5551">
        <w:rPr>
          <w:sz w:val="22"/>
          <w:szCs w:val="22"/>
        </w:rPr>
        <w:t xml:space="preserve"> 10,2</w:t>
      </w:r>
      <w:r w:rsidR="009425AA" w:rsidRPr="004C5551">
        <w:rPr>
          <w:sz w:val="22"/>
          <w:szCs w:val="22"/>
        </w:rPr>
        <w:t> %</w:t>
      </w:r>
      <w:r w:rsidRPr="004C5551">
        <w:rPr>
          <w:sz w:val="22"/>
          <w:szCs w:val="22"/>
        </w:rPr>
        <w:t xml:space="preserve"> osôb (pokles oproti roku 2012 o 0,3 p. b.). Najvyššia miera závažnej materiálnej deprivácie bola zaznamenaná v prípade domácností osamelých rodičov s deťmi (25,5</w:t>
      </w:r>
      <w:r w:rsidR="00875D86" w:rsidRPr="004C5551">
        <w:rPr>
          <w:sz w:val="22"/>
          <w:szCs w:val="22"/>
        </w:rPr>
        <w:t> </w:t>
      </w:r>
      <w:r w:rsidRPr="004C5551">
        <w:rPr>
          <w:sz w:val="22"/>
          <w:szCs w:val="22"/>
        </w:rPr>
        <w:t>%). Najrozšírenejší</w:t>
      </w:r>
      <w:r w:rsidR="0007760D" w:rsidRPr="004C5551">
        <w:rPr>
          <w:sz w:val="22"/>
          <w:szCs w:val="22"/>
        </w:rPr>
        <w:t>m</w:t>
      </w:r>
      <w:r w:rsidRPr="004C5551">
        <w:rPr>
          <w:sz w:val="22"/>
          <w:szCs w:val="22"/>
        </w:rPr>
        <w:t xml:space="preserve"> problém</w:t>
      </w:r>
      <w:r w:rsidR="0007760D" w:rsidRPr="004C5551">
        <w:rPr>
          <w:sz w:val="22"/>
          <w:szCs w:val="22"/>
        </w:rPr>
        <w:t>om</w:t>
      </w:r>
      <w:r w:rsidRPr="004C5551">
        <w:rPr>
          <w:sz w:val="22"/>
          <w:szCs w:val="22"/>
        </w:rPr>
        <w:t xml:space="preserve"> v rámci položiek materiálnej deprivácie bol</w:t>
      </w:r>
      <w:r w:rsidR="0007760D" w:rsidRPr="004C5551">
        <w:rPr>
          <w:sz w:val="22"/>
          <w:szCs w:val="22"/>
        </w:rPr>
        <w:t>o</w:t>
      </w:r>
      <w:r w:rsidRPr="004C5551">
        <w:rPr>
          <w:sz w:val="22"/>
          <w:szCs w:val="22"/>
        </w:rPr>
        <w:t xml:space="preserve"> dovoliť si zaplatiť raz ročne týždennú dovolenku mimo domu, čo sa týkalo 48,8</w:t>
      </w:r>
      <w:r w:rsidR="00875D86" w:rsidRPr="004C5551">
        <w:rPr>
          <w:sz w:val="22"/>
          <w:szCs w:val="22"/>
        </w:rPr>
        <w:t> </w:t>
      </w:r>
      <w:r w:rsidRPr="004C5551">
        <w:rPr>
          <w:sz w:val="22"/>
          <w:szCs w:val="22"/>
        </w:rPr>
        <w:t>% populácie. Situácia sa za sledované obdobie, t.j. od roku 2005 výrazne mení, viď graf č. 4.7.</w:t>
      </w:r>
      <w:r w:rsidR="00881D8B" w:rsidRPr="004C5551">
        <w:rPr>
          <w:sz w:val="22"/>
          <w:szCs w:val="22"/>
        </w:rPr>
        <w:t xml:space="preserve"> Na základe údajov z EU SILC 2014 prišlo k poklesu ako materiálnej deprivácie (o 0,8 p. b. na</w:t>
      </w:r>
      <w:r w:rsidR="007F3057" w:rsidRPr="004C5551">
        <w:rPr>
          <w:sz w:val="22"/>
          <w:szCs w:val="22"/>
        </w:rPr>
        <w:t> </w:t>
      </w:r>
      <w:r w:rsidR="00881D8B" w:rsidRPr="004C5551">
        <w:rPr>
          <w:sz w:val="22"/>
          <w:szCs w:val="22"/>
        </w:rPr>
        <w:t>22,2 %), tak aj závažnej materiálnej deprivácie (o 0,3 p. b. na 9,9 %),</w:t>
      </w:r>
    </w:p>
    <w:p w:rsidR="009B7B4B" w:rsidRPr="004C5551" w:rsidRDefault="009B7B4B">
      <w:pPr>
        <w:jc w:val="left"/>
        <w:rPr>
          <w:b/>
        </w:rPr>
      </w:pPr>
      <w:r w:rsidRPr="004C5551">
        <w:br w:type="page"/>
      </w:r>
    </w:p>
    <w:p w:rsidR="00215F8C" w:rsidRPr="004C5551" w:rsidRDefault="00215F8C" w:rsidP="00C67FF9">
      <w:pPr>
        <w:pStyle w:val="Nadpis7"/>
      </w:pPr>
      <w:r w:rsidRPr="004C5551">
        <w:t xml:space="preserve">Graf 4.7 Položky materiálnej deprivácie za vybrané obdobie (% populácie SR) </w:t>
      </w:r>
    </w:p>
    <w:p w:rsidR="00215F8C" w:rsidRPr="004C5551" w:rsidRDefault="00C67FF9" w:rsidP="00C67FF9">
      <w:pPr>
        <w:jc w:val="center"/>
        <w:rPr>
          <w:szCs w:val="22"/>
        </w:rPr>
      </w:pPr>
      <w:r w:rsidRPr="004C5551">
        <w:rPr>
          <w:noProof/>
        </w:rPr>
        <w:drawing>
          <wp:inline distT="0" distB="0" distL="0" distR="0" wp14:anchorId="68CE575E" wp14:editId="4EFAA237">
            <wp:extent cx="4572000" cy="274320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15F8C" w:rsidRPr="004C5551" w:rsidRDefault="00215F8C" w:rsidP="00C67FF9">
      <w:pPr>
        <w:pStyle w:val="zdroj"/>
      </w:pPr>
      <w:r w:rsidRPr="004C5551">
        <w:t xml:space="preserve">Zdroj: EU SILC 2005, 2009, 2013, </w:t>
      </w:r>
      <w:proofErr w:type="spellStart"/>
      <w:r w:rsidRPr="004C5551">
        <w:t>Eurostat</w:t>
      </w:r>
      <w:proofErr w:type="spellEnd"/>
    </w:p>
    <w:p w:rsidR="00215F8C" w:rsidRPr="004C5551" w:rsidRDefault="00215F8C" w:rsidP="00B02C76">
      <w:pPr>
        <w:ind w:firstLine="567"/>
        <w:rPr>
          <w:szCs w:val="22"/>
        </w:rPr>
      </w:pPr>
    </w:p>
    <w:p w:rsidR="00B02C76" w:rsidRPr="004C5551" w:rsidRDefault="00B02C76" w:rsidP="00B02C76">
      <w:pPr>
        <w:tabs>
          <w:tab w:val="center" w:pos="4536"/>
        </w:tabs>
        <w:rPr>
          <w:b/>
          <w:color w:val="000000" w:themeColor="text1"/>
        </w:rPr>
      </w:pPr>
      <w:r w:rsidRPr="004C5551">
        <w:rPr>
          <w:b/>
          <w:color w:val="000000" w:themeColor="text1"/>
        </w:rPr>
        <w:t>Pretrvávajúca chudoba</w:t>
      </w:r>
      <w:r w:rsidRPr="004C5551">
        <w:rPr>
          <w:rStyle w:val="Odkaznapoznmkupodiarou"/>
          <w:color w:val="000000" w:themeColor="text1"/>
        </w:rPr>
        <w:footnoteReference w:id="56"/>
      </w:r>
    </w:p>
    <w:p w:rsidR="00B02C76" w:rsidRPr="004C5551" w:rsidRDefault="00B02C76" w:rsidP="00B02C76">
      <w:pPr>
        <w:rPr>
          <w:color w:val="000000" w:themeColor="text1"/>
        </w:rPr>
      </w:pPr>
    </w:p>
    <w:p w:rsidR="00215F8C" w:rsidRPr="004C5551" w:rsidRDefault="00215F8C" w:rsidP="002A746E">
      <w:pPr>
        <w:ind w:firstLine="431"/>
      </w:pPr>
      <w:r w:rsidRPr="004C5551">
        <w:t>V roku 2013 bolo na Slovensku 7,1</w:t>
      </w:r>
      <w:r w:rsidR="00875D86" w:rsidRPr="004C5551">
        <w:t> </w:t>
      </w:r>
      <w:r w:rsidRPr="004C5551">
        <w:t>% osôb v pretrvávajúcom riziku chudoby, z čoho najviac ohrozené sú ženy (muži – 6,7</w:t>
      </w:r>
      <w:r w:rsidR="00875D86" w:rsidRPr="004C5551">
        <w:t> </w:t>
      </w:r>
      <w:r w:rsidRPr="004C5551">
        <w:t>%, ženy – 7,4</w:t>
      </w:r>
      <w:r w:rsidR="00875D86" w:rsidRPr="004C5551">
        <w:t> </w:t>
      </w:r>
      <w:r w:rsidRPr="004C5551">
        <w:t>%). V prípade zvýšenia hranice chudoby na 70</w:t>
      </w:r>
      <w:r w:rsidR="009425AA" w:rsidRPr="004C5551">
        <w:t> %</w:t>
      </w:r>
      <w:r w:rsidRPr="004C5551">
        <w:t xml:space="preserve"> národného mediánu ekvivalentného disponibilného príjmu by miera pretrvávajúceho rizika chudoby stúpla </w:t>
      </w:r>
      <w:r w:rsidR="00287AEA" w:rsidRPr="004C5551">
        <w:t>na </w:t>
      </w:r>
      <w:r w:rsidRPr="004C5551">
        <w:t>12,5</w:t>
      </w:r>
      <w:r w:rsidR="00875D86" w:rsidRPr="004C5551">
        <w:t> </w:t>
      </w:r>
      <w:r w:rsidRPr="004C5551">
        <w:t>%. Pri znížení hranice na 50</w:t>
      </w:r>
      <w:r w:rsidR="006D0272" w:rsidRPr="004C5551">
        <w:t> </w:t>
      </w:r>
      <w:r w:rsidRPr="004C5551">
        <w:t>% mediánu by miera pretrvávajúceho rizika chudoby predstavovala 4,2</w:t>
      </w:r>
      <w:r w:rsidR="00875D86" w:rsidRPr="004C5551">
        <w:t> </w:t>
      </w:r>
      <w:r w:rsidRPr="004C5551">
        <w:t xml:space="preserve">% populácie na Slovensku. </w:t>
      </w:r>
    </w:p>
    <w:p w:rsidR="00215F8C" w:rsidRPr="004C5551" w:rsidRDefault="00215F8C" w:rsidP="002A746E">
      <w:pPr>
        <w:ind w:firstLine="431"/>
      </w:pPr>
      <w:r w:rsidRPr="004C5551">
        <w:tab/>
        <w:t>Na Slovensku možno identifikovať niekoľko skupín, ktoré sú najviac ohrozené dlhodobejším zotrvávaním v chudobe. Z hľadiska typu domácnosti ide predovšetkým o jednorodičovské domácnosti (21,3</w:t>
      </w:r>
      <w:r w:rsidR="00875D86" w:rsidRPr="004C5551">
        <w:t> </w:t>
      </w:r>
      <w:r w:rsidRPr="004C5551">
        <w:t>%) a</w:t>
      </w:r>
      <w:r w:rsidR="00475346" w:rsidRPr="004C5551">
        <w:t> </w:t>
      </w:r>
      <w:r w:rsidRPr="004C5551">
        <w:t>domácnost</w:t>
      </w:r>
      <w:r w:rsidR="00475346" w:rsidRPr="004C5551">
        <w:t xml:space="preserve">i </w:t>
      </w:r>
      <w:r w:rsidRPr="004C5551">
        <w:t>jednotlivca (15</w:t>
      </w:r>
      <w:r w:rsidR="00135B74" w:rsidRPr="004C5551">
        <w:t>,0</w:t>
      </w:r>
      <w:r w:rsidR="00875D86" w:rsidRPr="004C5551">
        <w:t> </w:t>
      </w:r>
      <w:r w:rsidRPr="004C5551">
        <w:t>%), tieto patria medzi najviac ohrozené skupiny aj v prípade monitorovania rizika chudoby na každoročnej báze. V prípade domácnost</w:t>
      </w:r>
      <w:r w:rsidR="00475346" w:rsidRPr="004C5551">
        <w:t>í</w:t>
      </w:r>
      <w:r w:rsidRPr="004C5551">
        <w:t xml:space="preserve"> s viacerými závislými deťmi pretrvávajúce</w:t>
      </w:r>
      <w:r w:rsidR="002D2594" w:rsidRPr="004C5551">
        <w:t>mu</w:t>
      </w:r>
      <w:r w:rsidRPr="004C5551">
        <w:t xml:space="preserve"> </w:t>
      </w:r>
      <w:r w:rsidR="002D2594" w:rsidRPr="004C5551">
        <w:t xml:space="preserve">riziku </w:t>
      </w:r>
      <w:r w:rsidRPr="004C5551">
        <w:t xml:space="preserve">chudoby v roku 2013 </w:t>
      </w:r>
      <w:r w:rsidR="002D2594" w:rsidRPr="004C5551">
        <w:t>čelilo</w:t>
      </w:r>
      <w:r w:rsidRPr="004C5551">
        <w:t xml:space="preserve"> 7,6</w:t>
      </w:r>
      <w:r w:rsidR="006D0272" w:rsidRPr="004C5551">
        <w:t> </w:t>
      </w:r>
      <w:r w:rsidRPr="004C5551">
        <w:t>%. Dôležitým diferenciačným faktorom je vzdelanie, kde podľa očakávania výskyt dlhodobej chudoby vzrastá so znižujúcou sa úrovňou vzdelania. Medzi osobami s primárnym a nižším sekundárnym vzdelaním v roku 2013 bolo 14,2</w:t>
      </w:r>
      <w:r w:rsidR="00875D86" w:rsidRPr="004C5551">
        <w:t> </w:t>
      </w:r>
      <w:r w:rsidRPr="004C5551">
        <w:t xml:space="preserve">% osôb vo veku 16 rokov a viac dlhodobo pod hranicou chudoby. </w:t>
      </w:r>
    </w:p>
    <w:p w:rsidR="00215F8C" w:rsidRPr="004C5551" w:rsidRDefault="00215F8C" w:rsidP="002A746E">
      <w:pPr>
        <w:ind w:firstLine="431"/>
      </w:pPr>
      <w:r w:rsidRPr="004C5551">
        <w:t>Pretrvávajúca chudoba je spojená aj s častejším subjektívnym konštatovaním zhoršeného zdravia</w:t>
      </w:r>
      <w:r w:rsidR="00475346" w:rsidRPr="004C5551">
        <w:t xml:space="preserve">, ako </w:t>
      </w:r>
      <w:r w:rsidRPr="004C5551">
        <w:t xml:space="preserve">je tomu v celkovej populácii. </w:t>
      </w:r>
    </w:p>
    <w:p w:rsidR="00215F8C" w:rsidRPr="004C5551" w:rsidRDefault="00215F8C" w:rsidP="002A746E">
      <w:pPr>
        <w:ind w:firstLine="431"/>
      </w:pPr>
      <w:r w:rsidRPr="004C5551">
        <w:t>Na základe medzinárodného porovnania patrí Slovenská republika medzi krajiny EÚ s nižším podielom ľudí žijúcich v pretrvávajúcej chudobe (EU28 – 9,9</w:t>
      </w:r>
      <w:r w:rsidR="00875D86" w:rsidRPr="004C5551">
        <w:t> </w:t>
      </w:r>
      <w:r w:rsidRPr="004C5551">
        <w:t>%). Dôležitú úloh</w:t>
      </w:r>
      <w:r w:rsidR="00FA6724" w:rsidRPr="004C5551">
        <w:t xml:space="preserve">u </w:t>
      </w:r>
      <w:r w:rsidR="00581B6E" w:rsidRPr="004C5551">
        <w:t xml:space="preserve">na Slovensku </w:t>
      </w:r>
      <w:r w:rsidR="00FA6724" w:rsidRPr="004C5551">
        <w:t>pri vymanení sa</w:t>
      </w:r>
      <w:r w:rsidR="00581B6E" w:rsidRPr="004C5551">
        <w:t xml:space="preserve"> spod hranice rizika chudobu resp. pri </w:t>
      </w:r>
      <w:r w:rsidR="00BC0FE1" w:rsidRPr="004C5551">
        <w:t>nezotrvaní</w:t>
      </w:r>
      <w:r w:rsidR="00581B6E" w:rsidRPr="004C5551">
        <w:t xml:space="preserve"> v</w:t>
      </w:r>
      <w:r w:rsidR="00FA6724" w:rsidRPr="004C5551">
        <w:t> dlhodobej chudob</w:t>
      </w:r>
      <w:r w:rsidR="00581B6E" w:rsidRPr="004C5551">
        <w:t>e</w:t>
      </w:r>
      <w:r w:rsidR="00423669" w:rsidRPr="004C5551">
        <w:t xml:space="preserve"> </w:t>
      </w:r>
      <w:r w:rsidRPr="004C5551">
        <w:t xml:space="preserve">zohrávajú pracovné príjmy. </w:t>
      </w:r>
    </w:p>
    <w:p w:rsidR="00B02C76" w:rsidRPr="004C5551" w:rsidRDefault="00B02C76" w:rsidP="00B02C76">
      <w:pPr>
        <w:rPr>
          <w:lang w:eastAsia="cs-CZ"/>
        </w:rPr>
      </w:pPr>
      <w:r w:rsidRPr="004C5551">
        <w:br w:type="page"/>
      </w:r>
    </w:p>
    <w:p w:rsidR="007A29A1" w:rsidRPr="004C5551" w:rsidRDefault="0008700C" w:rsidP="00E120CC">
      <w:pPr>
        <w:pStyle w:val="nadpis2"/>
      </w:pPr>
      <w:bookmarkStart w:id="741" w:name="_Toc325438292"/>
      <w:bookmarkStart w:id="742" w:name="_Toc356482778"/>
      <w:bookmarkStart w:id="743" w:name="_Toc356482822"/>
      <w:bookmarkStart w:id="744" w:name="_Toc422233444"/>
      <w:r w:rsidRPr="004C5551">
        <w:t>Rodová rovnosť a rovnosť príležitostí</w:t>
      </w:r>
      <w:bookmarkEnd w:id="741"/>
      <w:bookmarkEnd w:id="742"/>
      <w:bookmarkEnd w:id="743"/>
      <w:bookmarkEnd w:id="744"/>
      <w:r w:rsidR="005B3C0A" w:rsidRPr="004C5551">
        <w:t xml:space="preserve"> </w:t>
      </w:r>
    </w:p>
    <w:p w:rsidR="009D3F13" w:rsidRPr="004C5551" w:rsidRDefault="009D3F13" w:rsidP="009D3F13">
      <w:pPr>
        <w:pStyle w:val="Default"/>
        <w:ind w:firstLine="431"/>
        <w:jc w:val="both"/>
        <w:rPr>
          <w:rFonts w:ascii="Times New Roman" w:hAnsi="Times New Roman" w:cs="Times New Roman"/>
          <w:sz w:val="22"/>
          <w:szCs w:val="22"/>
        </w:rPr>
      </w:pPr>
      <w:bookmarkStart w:id="745" w:name="_Toc356482779"/>
      <w:r w:rsidRPr="004C5551">
        <w:rPr>
          <w:rFonts w:ascii="Times New Roman" w:hAnsi="Times New Roman" w:cs="Times New Roman"/>
          <w:sz w:val="22"/>
          <w:szCs w:val="22"/>
        </w:rPr>
        <w:t xml:space="preserve">Rok 2014 zaznamenal v problematike rodovej rovnosti na jednej strane pozitívne zmeny schválením Celoštátnej stratégie rodovej rovnosti a Akčného plánu rodovej rovnosti na roky 2014 </w:t>
      </w:r>
      <w:r w:rsidR="007F3057" w:rsidRPr="004C5551">
        <w:rPr>
          <w:rFonts w:ascii="Times New Roman" w:hAnsi="Times New Roman" w:cs="Times New Roman"/>
          <w:sz w:val="22"/>
          <w:szCs w:val="22"/>
        </w:rPr>
        <w:t xml:space="preserve">– </w:t>
      </w:r>
      <w:r w:rsidRPr="004C5551">
        <w:rPr>
          <w:rFonts w:ascii="Times New Roman" w:hAnsi="Times New Roman" w:cs="Times New Roman"/>
          <w:sz w:val="22"/>
          <w:szCs w:val="22"/>
        </w:rPr>
        <w:t>2019 a konkrétnych zlepšení (napríklad zníženie rodového mzdov</w:t>
      </w:r>
      <w:r w:rsidR="00090F03" w:rsidRPr="004C5551">
        <w:rPr>
          <w:rFonts w:ascii="Times New Roman" w:hAnsi="Times New Roman" w:cs="Times New Roman"/>
          <w:sz w:val="22"/>
          <w:szCs w:val="22"/>
        </w:rPr>
        <w:t>ého rozdielu). Ďalej pokračovali</w:t>
      </w:r>
      <w:r w:rsidRPr="004C5551">
        <w:rPr>
          <w:rFonts w:ascii="Times New Roman" w:hAnsi="Times New Roman" w:cs="Times New Roman"/>
          <w:sz w:val="22"/>
          <w:szCs w:val="22"/>
        </w:rPr>
        <w:t xml:space="preserve"> inštitucionálne posilnenia a zvýšenia statusu poradného orgánu vlády SR (Rada vlády pre ľudské práva, národnostné menšiny a rodovú rovnosť a jej Výbor pre rodovú rovnosť). </w:t>
      </w: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sz w:val="22"/>
          <w:szCs w:val="22"/>
        </w:rPr>
        <w:t>Významným aspektom pri podpore rodovej rovnosti a rovnosti príležitostí v roku 2014 bola príprava nového programového obdobia 2014</w:t>
      </w:r>
      <w:r w:rsidR="00F80174" w:rsidRPr="004C5551">
        <w:rPr>
          <w:rFonts w:ascii="Times New Roman" w:hAnsi="Times New Roman" w:cs="Times New Roman"/>
          <w:sz w:val="22"/>
          <w:szCs w:val="22"/>
        </w:rPr>
        <w:t xml:space="preserve"> – </w:t>
      </w:r>
      <w:r w:rsidRPr="004C5551">
        <w:rPr>
          <w:rFonts w:ascii="Times New Roman" w:hAnsi="Times New Roman" w:cs="Times New Roman"/>
          <w:sz w:val="22"/>
          <w:szCs w:val="22"/>
        </w:rPr>
        <w:t xml:space="preserve">2020 pre čerpanie Európskych štrukturálnych a investičných fondov (ďalej len „EŠIF“). Posilnený dôraz sa kládol na uplatňovanie nediskriminácie a rovnosti mužov a žien v Partnerskej dohode, ako aj vo všetkých schválených operačných programoch. Čerpanie štrukturálnych a investičných fondov pre členské štáty vytvorením adekvátneho inštitucionálneho mechanizmu pre uplatňovanie rodovej rovnosti a vzdelávania hlavných aktérov je podmienené povinnosťou uplatňovania tzv. </w:t>
      </w:r>
      <w:proofErr w:type="spellStart"/>
      <w:r w:rsidRPr="004C5551">
        <w:rPr>
          <w:rFonts w:ascii="Times New Roman" w:hAnsi="Times New Roman" w:cs="Times New Roman"/>
          <w:sz w:val="22"/>
          <w:szCs w:val="22"/>
        </w:rPr>
        <w:t>ex-ante</w:t>
      </w:r>
      <w:proofErr w:type="spellEnd"/>
      <w:r w:rsidRPr="004C5551">
        <w:rPr>
          <w:rFonts w:ascii="Times New Roman" w:hAnsi="Times New Roman" w:cs="Times New Roman"/>
          <w:sz w:val="22"/>
          <w:szCs w:val="22"/>
        </w:rPr>
        <w:t xml:space="preserve"> podmienky „rodová rovnosť a nediskriminácia“. Odstraňovanie rodových rozdielov najmä so zameraním na trh práce a vzdelávanie je integrálnou súčasťou nového operačného programu Ľudské zdroje. </w:t>
      </w: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sz w:val="22"/>
          <w:szCs w:val="22"/>
        </w:rPr>
        <w:t>Hlavné ciele pre horizontálny princíp rovnosť medzi mužmi a ženami sú zadefinované v závislosti od operačného programu. Hlavným cieľom pre programy ESF je zabezpečiť rovnosť mužov a žien na trhu práce a v príprave naň a cieľom pre ostatné programy EŠIF je zníženie horizontálnej a vertikálnej rodovej segregácie v odvetviach hospodárstva. Hlavným cieľom horizontálneho princípu nediskriminácia pre programy ESF je zabezpečiť rovnosť príležitostí na trhu práce a v jeho príprave. Pre ostatné programy EŠIF je zabezpečiť rovnosť príležitostí v prístupe a využívaní infraštruktúry a služieb.</w:t>
      </w:r>
    </w:p>
    <w:p w:rsidR="009D3F13" w:rsidRPr="004C5551" w:rsidRDefault="009D3F13" w:rsidP="009D3F13">
      <w:pPr>
        <w:ind w:firstLine="431"/>
        <w:rPr>
          <w:color w:val="000000"/>
          <w:szCs w:val="22"/>
        </w:rPr>
      </w:pPr>
      <w:r w:rsidRPr="004C5551">
        <w:rPr>
          <w:color w:val="000000"/>
          <w:szCs w:val="22"/>
        </w:rPr>
        <w:t>Za účelom predchádzania diskriminácie, podpory prístupnosti a rovnosti mužov a žien sa budú tieto princípy uplatňovať vo všetkých OP, a to prostredníctvom zavádzania vyrovnávacích opatrení a aktivít cielených na podporu znevýhodnených skupín pri zohľadnení ich špecifík. Popis príslušných aktivít bude povinnou prílohou žiadosti o finančný príspevok. Pre identifikáciu prioritných oblastí a cieľov na uplatňovanie princípu predchádzania diskriminácie, podpory prístupnosti a rodovej rovnosti bude základným rámcom národný strategický dokument, prostredníctvom ktorého sa zabezpečí jeho aplikácia v OP v rámci EŠIF. Pre účinné uplatňovanie horizontálneho princípu rodová rovnosť, nediskriminácia a prístupnosť bude v hodnotiacom a výberovom procese žiadostí o finančný príspevok stanovené diskvalifikačné kritérium v rámci prioritných osí OP. Zároveň bude povinnou prílohou o príspevok z EŠIF aj povolenie v prípadoch činností, na ktoré sa povinnosť jeho vydania vzťahuje.</w:t>
      </w:r>
    </w:p>
    <w:p w:rsidR="009D3F13" w:rsidRPr="004C5551" w:rsidRDefault="009D3F13" w:rsidP="009D3F13">
      <w:pPr>
        <w:ind w:firstLine="431"/>
        <w:rPr>
          <w:color w:val="000000"/>
          <w:szCs w:val="22"/>
        </w:rPr>
      </w:pPr>
      <w:r w:rsidRPr="004C5551">
        <w:rPr>
          <w:color w:val="000000"/>
          <w:szCs w:val="22"/>
        </w:rPr>
        <w:tab/>
        <w:t xml:space="preserve">Proces monitorovania plnenia horizontálnych princípov bude na projektovej úrovni sledovaný prostredníctvom monitorovacích správ, ktorých súčasťou bude samostatný výstup obsahujúci informácie o horizontálnych princípoch, ale aj kontrolou na mieste realizácie projektov a následne hodnotením príspevku. Analytickú, hodnotiacu, strategickú a legislatívnu činnosť pre uplatňovanie horizontálnych princípov podpory rovnosti mužov a žien, nediskriminácie a prístupnosti zabezpečuje MPSVR SR ako gestor štátnej politiky v uvedenej </w:t>
      </w:r>
      <w:r w:rsidR="00BC0FE1" w:rsidRPr="004C5551">
        <w:rPr>
          <w:color w:val="000000"/>
          <w:szCs w:val="22"/>
        </w:rPr>
        <w:t>oblasti</w:t>
      </w:r>
      <w:r w:rsidRPr="004C5551">
        <w:rPr>
          <w:color w:val="000000"/>
          <w:szCs w:val="22"/>
        </w:rPr>
        <w:t xml:space="preserve">. </w:t>
      </w: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sz w:val="22"/>
          <w:szCs w:val="22"/>
        </w:rPr>
        <w:t xml:space="preserve">Na podporu aktivít občianskych združení a neziskových organizácií bola vytvorená dotačná schéma MPSVR SR na podporu rodovej rovnosti. V zmysle novely zákona č. 544/2010 Z. z. o dotáciách v pôsobnosti MPSVR SR (§ 9a) dotáciu na podporu rodovej rovnosti možno poskytnúť na aktivity alebo činnosti zamerané na dosiahnutie rodovej rovnosti a podporu uplatňovania zásady rovnakého zaobchádzania na základe pohlavia alebo rodu, a to na vzdelávacie aktivity, poradenskú činnosť, osvetovú činnosť, edičnú činnosť a analytickú činnosť. Dotácie na podporu rodovej rovnosti boli v roku 2014 schválené vo výške </w:t>
      </w:r>
      <w:r w:rsidR="008F6975" w:rsidRPr="004C5551">
        <w:rPr>
          <w:rFonts w:ascii="Times New Roman" w:hAnsi="Times New Roman" w:cs="Times New Roman"/>
          <w:sz w:val="22"/>
          <w:szCs w:val="22"/>
        </w:rPr>
        <w:t>82 900 eur. Poskytnutá suma dotácie predstavuje 81 558 eur pre 16 organizácií, z toho pre 14 občianskych združení a 2 neziskové organizácie.</w:t>
      </w: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sz w:val="22"/>
          <w:szCs w:val="22"/>
        </w:rPr>
        <w:t xml:space="preserve"> Dotačná schéma na podporu rodovej rovnosti je novým prvkom. Rok 2014 zaznamenal prvé skúsenosti s</w:t>
      </w:r>
      <w:r w:rsidR="00423669" w:rsidRPr="004C5551">
        <w:rPr>
          <w:rFonts w:ascii="Times New Roman" w:hAnsi="Times New Roman" w:cs="Times New Roman"/>
          <w:sz w:val="22"/>
          <w:szCs w:val="22"/>
        </w:rPr>
        <w:t xml:space="preserve"> </w:t>
      </w:r>
      <w:r w:rsidRPr="004C5551">
        <w:rPr>
          <w:rFonts w:ascii="Times New Roman" w:hAnsi="Times New Roman" w:cs="Times New Roman"/>
          <w:sz w:val="22"/>
          <w:szCs w:val="22"/>
        </w:rPr>
        <w:t>vyhodnocovaním, záväznými pravidlami podávania žiadostí, oprávnenosti výdavkov a</w:t>
      </w:r>
      <w:r w:rsidR="007F3057" w:rsidRPr="004C5551">
        <w:rPr>
          <w:rFonts w:ascii="Times New Roman" w:hAnsi="Times New Roman" w:cs="Times New Roman"/>
          <w:sz w:val="22"/>
          <w:szCs w:val="22"/>
        </w:rPr>
        <w:t> </w:t>
      </w:r>
      <w:r w:rsidRPr="004C5551">
        <w:rPr>
          <w:rFonts w:ascii="Times New Roman" w:hAnsi="Times New Roman" w:cs="Times New Roman"/>
          <w:sz w:val="22"/>
          <w:szCs w:val="22"/>
        </w:rPr>
        <w:t xml:space="preserve">hodnotenia a schvaľovania projektov. </w:t>
      </w:r>
    </w:p>
    <w:p w:rsidR="00750DBC" w:rsidRPr="004C5551" w:rsidRDefault="00750DBC" w:rsidP="009D3F13">
      <w:pPr>
        <w:pStyle w:val="Default"/>
        <w:ind w:firstLine="431"/>
        <w:jc w:val="both"/>
        <w:rPr>
          <w:rFonts w:ascii="Times New Roman" w:hAnsi="Times New Roman" w:cs="Times New Roman"/>
          <w:sz w:val="22"/>
          <w:szCs w:val="22"/>
        </w:rPr>
      </w:pPr>
    </w:p>
    <w:p w:rsidR="00750DBC" w:rsidRPr="004C5551" w:rsidRDefault="00750DBC" w:rsidP="009D3F13">
      <w:pPr>
        <w:pStyle w:val="Default"/>
        <w:ind w:firstLine="431"/>
        <w:jc w:val="both"/>
        <w:rPr>
          <w:rFonts w:ascii="Times New Roman" w:hAnsi="Times New Roman" w:cs="Times New Roman"/>
          <w:sz w:val="22"/>
          <w:szCs w:val="22"/>
        </w:rPr>
      </w:pPr>
    </w:p>
    <w:p w:rsidR="00750DBC" w:rsidRPr="004C5551" w:rsidRDefault="00750DBC" w:rsidP="009D3F13">
      <w:pPr>
        <w:pStyle w:val="Default"/>
        <w:ind w:firstLine="431"/>
        <w:jc w:val="both"/>
        <w:rPr>
          <w:rFonts w:ascii="Times New Roman" w:hAnsi="Times New Roman" w:cs="Times New Roman"/>
          <w:sz w:val="22"/>
          <w:szCs w:val="22"/>
        </w:rPr>
      </w:pP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sz w:val="22"/>
          <w:szCs w:val="22"/>
        </w:rPr>
        <w:t>V roku 2014 bola významným spôsobom posilnená agenda prevencie a eliminácie násilia na</w:t>
      </w:r>
      <w:r w:rsidR="007F3057" w:rsidRPr="004C5551">
        <w:rPr>
          <w:rFonts w:ascii="Times New Roman" w:hAnsi="Times New Roman" w:cs="Times New Roman"/>
          <w:sz w:val="22"/>
          <w:szCs w:val="22"/>
        </w:rPr>
        <w:t> </w:t>
      </w:r>
      <w:r w:rsidRPr="004C5551">
        <w:rPr>
          <w:rFonts w:ascii="Times New Roman" w:hAnsi="Times New Roman" w:cs="Times New Roman"/>
          <w:sz w:val="22"/>
          <w:szCs w:val="22"/>
        </w:rPr>
        <w:t xml:space="preserve">ženách najmä vďaka podpore Nórskeho finančného mechanizmu. Program SK 09 Rodovo podmienené a domáce násilie je predovšetkým zameraný na prevenciu domáceho násilia a zmiernenie dopadov vzniknutých domácim násilím. Správcom programu je Úrad vlády Slovenskej republiky; </w:t>
      </w:r>
      <w:proofErr w:type="spellStart"/>
      <w:r w:rsidRPr="004C5551">
        <w:rPr>
          <w:rFonts w:ascii="Times New Roman" w:hAnsi="Times New Roman" w:cs="Times New Roman"/>
          <w:sz w:val="22"/>
          <w:szCs w:val="22"/>
        </w:rPr>
        <w:t>donorskými</w:t>
      </w:r>
      <w:proofErr w:type="spellEnd"/>
      <w:r w:rsidRPr="004C5551">
        <w:rPr>
          <w:rFonts w:ascii="Times New Roman" w:hAnsi="Times New Roman" w:cs="Times New Roman"/>
          <w:sz w:val="22"/>
          <w:szCs w:val="22"/>
        </w:rPr>
        <w:t xml:space="preserve"> partnermi programu sú Nórske riaditeľstvo pre zdravie a Rada Európy. </w:t>
      </w:r>
    </w:p>
    <w:p w:rsidR="009D3F13" w:rsidRPr="004C5551" w:rsidRDefault="009D3F13" w:rsidP="009D3F13">
      <w:pPr>
        <w:ind w:firstLine="431"/>
        <w:rPr>
          <w:color w:val="000000"/>
          <w:szCs w:val="22"/>
        </w:rPr>
      </w:pPr>
      <w:r w:rsidRPr="004C5551">
        <w:rPr>
          <w:color w:val="000000"/>
          <w:szCs w:val="22"/>
        </w:rPr>
        <w:t>V roku 2014 bolo zriadené Koordinačno-metodické centrum pre násilie na ženách a domáce násilie (ďalej len „KMC“), ktorého úlohou je metodicky riadiť prevenciu a elimináciu oboch foriem násilia. V rámci KMC bol vytvorený expertný tím zodpovedný za odbornú koordináciu a </w:t>
      </w:r>
      <w:proofErr w:type="spellStart"/>
      <w:r w:rsidRPr="004C5551">
        <w:rPr>
          <w:color w:val="000000"/>
          <w:szCs w:val="22"/>
        </w:rPr>
        <w:t>supervíziu</w:t>
      </w:r>
      <w:proofErr w:type="spellEnd"/>
      <w:r w:rsidRPr="004C5551">
        <w:rPr>
          <w:color w:val="000000"/>
          <w:szCs w:val="22"/>
        </w:rPr>
        <w:t xml:space="preserve"> systémovej prevencie a intervencie na podporu obetí a poskytovania služieb v oblasti násilia páchaného na ženách a domáceho násilia. Cieľom KMC je zabezpečenie odbornej koordinácie jednotlivých aktivít prostredníctvom jednotných metodických usmernení pre poskytovanie služieb v oblasti prevencie a eliminácie násilia páchaného na ženách a deťoch, vytváranie podmienok </w:t>
      </w:r>
      <w:proofErr w:type="spellStart"/>
      <w:r w:rsidRPr="004C5551">
        <w:rPr>
          <w:color w:val="000000"/>
          <w:szCs w:val="22"/>
        </w:rPr>
        <w:t>multiinštitucionálnej</w:t>
      </w:r>
      <w:proofErr w:type="spellEnd"/>
      <w:r w:rsidRPr="004C5551">
        <w:rPr>
          <w:color w:val="000000"/>
          <w:szCs w:val="22"/>
        </w:rPr>
        <w:t xml:space="preserve"> spolupráce pomáhajúcich profesií a zabezpečenie systému ich vzdelávania, ako aj uskutočňovania výskumov, monitoringu a osvetových aktivít. Celková hodnota alokácie z NFM je cca. 8 miliónov eur.</w:t>
      </w:r>
    </w:p>
    <w:p w:rsidR="009D3F13" w:rsidRPr="004C5551" w:rsidRDefault="009D3F13" w:rsidP="009D3F13">
      <w:pPr>
        <w:ind w:firstLine="431"/>
        <w:rPr>
          <w:color w:val="000000"/>
          <w:szCs w:val="22"/>
        </w:rPr>
      </w:pPr>
      <w:r w:rsidRPr="004C5551">
        <w:rPr>
          <w:color w:val="000000"/>
          <w:szCs w:val="22"/>
        </w:rPr>
        <w:t>Komplementárne financovanie na dobudovanie a rozšírenie systému pomoci, dofinancovanie aktivít a pokrytie ďalších výdavkov ako výskum, vzdelávanie, kam</w:t>
      </w:r>
      <w:r w:rsidR="007F3057" w:rsidRPr="004C5551">
        <w:rPr>
          <w:color w:val="000000"/>
          <w:szCs w:val="22"/>
        </w:rPr>
        <w:t xml:space="preserve">pane a ďalšie soft aktivity je </w:t>
      </w:r>
      <w:r w:rsidRPr="004C5551">
        <w:rPr>
          <w:color w:val="000000"/>
          <w:szCs w:val="22"/>
        </w:rPr>
        <w:t xml:space="preserve">zabezpečené cez Nórsky finančný mechanizmus, čo spoločne s projektmi z OP </w:t>
      </w:r>
      <w:proofErr w:type="spellStart"/>
      <w:r w:rsidRPr="004C5551">
        <w:rPr>
          <w:color w:val="000000"/>
          <w:szCs w:val="22"/>
        </w:rPr>
        <w:t>ZaSI</w:t>
      </w:r>
      <w:proofErr w:type="spellEnd"/>
      <w:r w:rsidRPr="004C5551">
        <w:rPr>
          <w:color w:val="000000"/>
          <w:szCs w:val="22"/>
        </w:rPr>
        <w:t xml:space="preserve"> ESF zabezpečilo naštartovanie účinnej pomoci ženám a iným obetiam domáceho násilia</w:t>
      </w:r>
    </w:p>
    <w:p w:rsidR="009D3F13" w:rsidRPr="004C5551" w:rsidRDefault="009D3F13" w:rsidP="009D3F13">
      <w:pPr>
        <w:ind w:firstLine="431"/>
        <w:rPr>
          <w:color w:val="000000"/>
          <w:szCs w:val="22"/>
        </w:rPr>
      </w:pPr>
      <w:r w:rsidRPr="004C5551">
        <w:rPr>
          <w:color w:val="000000"/>
          <w:szCs w:val="22"/>
        </w:rPr>
        <w:t>V roku 2014 začala realizácia národných projektov v rámci operačného programu Zamestnanosť a sociálna inklúzia: Prevencia a eliminácia násilia na ženách (PPEN1) a Podpora prevencie a eliminácie násilia na ženách (PPEN2).Projekt systémovo ukotvil</w:t>
      </w:r>
      <w:r w:rsidRPr="004C5551">
        <w:rPr>
          <w:b/>
          <w:bCs/>
          <w:color w:val="000000"/>
        </w:rPr>
        <w:t xml:space="preserve"> riešenie inštitucionálnej podpory obetiam násilia na ženách a domáceho násilia. Konkrétnym opatrením na posilnenie inštitucionálnej podpory je realizácia národného projektu podpor</w:t>
      </w:r>
      <w:r w:rsidR="007F3057" w:rsidRPr="004C5551">
        <w:rPr>
          <w:b/>
          <w:bCs/>
          <w:color w:val="000000"/>
        </w:rPr>
        <w:t xml:space="preserve">eného z ESF vo výške cca </w:t>
      </w:r>
      <w:r w:rsidRPr="004C5551">
        <w:rPr>
          <w:b/>
          <w:bCs/>
          <w:color w:val="000000"/>
        </w:rPr>
        <w:t>3</w:t>
      </w:r>
      <w:r w:rsidR="007F3057" w:rsidRPr="004C5551">
        <w:rPr>
          <w:b/>
          <w:bCs/>
          <w:color w:val="000000"/>
        </w:rPr>
        <w:t> </w:t>
      </w:r>
      <w:r w:rsidRPr="004C5551">
        <w:rPr>
          <w:b/>
          <w:bCs/>
          <w:color w:val="000000"/>
        </w:rPr>
        <w:t xml:space="preserve">milióny eur, ktorého cieľom má byť zlepšenie poskytovania pomoci a komplexných služieb ženám a deťom zažívajúcim násilie a zabezpečiť regionálnu dostupnosť podporných sociálnych služieb </w:t>
      </w:r>
      <w:r w:rsidRPr="004C5551">
        <w:rPr>
          <w:color w:val="000000"/>
          <w:szCs w:val="22"/>
        </w:rPr>
        <w:t>v každom samosprávnom kraji</w:t>
      </w:r>
      <w:r w:rsidRPr="004C5551">
        <w:rPr>
          <w:b/>
          <w:bCs/>
          <w:color w:val="000000"/>
        </w:rPr>
        <w:t xml:space="preserve">. </w:t>
      </w:r>
      <w:r w:rsidRPr="004C5551">
        <w:rPr>
          <w:color w:val="000000"/>
          <w:szCs w:val="22"/>
        </w:rPr>
        <w:t>Hlavnou náplňou projektu je podpora existujúcich, ale aj zriadenie a prevádzkovanie nových azylových domov (tzv. bezpečných ženských domov) a súvisiacich sociálnych služieb (poradenských centier). V súčasnosti absentujú na Slovensku takto dobudované zariadenia, resp. sa nachádzajú len sporadicky pri mimovládnych organizáciách v niektorých regiónoch bez vzájomného sieťovania a prepojenia. Integrovaný systém krízovej intervencie vytvorený a </w:t>
      </w:r>
      <w:proofErr w:type="spellStart"/>
      <w:r w:rsidRPr="004C5551">
        <w:rPr>
          <w:color w:val="000000"/>
          <w:szCs w:val="22"/>
        </w:rPr>
        <w:t>odpilotovaný</w:t>
      </w:r>
      <w:proofErr w:type="spellEnd"/>
      <w:r w:rsidRPr="004C5551">
        <w:rPr>
          <w:color w:val="000000"/>
          <w:szCs w:val="22"/>
        </w:rPr>
        <w:t xml:space="preserve"> v rámci projektu pozostáva z nasledujúcej siete inštitúcií:</w:t>
      </w:r>
    </w:p>
    <w:p w:rsidR="009D3F13" w:rsidRPr="004C5551" w:rsidRDefault="009D3F13" w:rsidP="007F3057">
      <w:pPr>
        <w:pStyle w:val="Odsekzoznamu"/>
        <w:numPr>
          <w:ilvl w:val="0"/>
          <w:numId w:val="29"/>
        </w:numPr>
        <w:autoSpaceDE w:val="0"/>
        <w:autoSpaceDN w:val="0"/>
        <w:adjustRightInd w:val="0"/>
        <w:ind w:left="641" w:hanging="357"/>
        <w:rPr>
          <w:color w:val="000000"/>
          <w:szCs w:val="22"/>
        </w:rPr>
      </w:pPr>
      <w:r w:rsidRPr="004C5551">
        <w:rPr>
          <w:color w:val="000000"/>
          <w:szCs w:val="22"/>
        </w:rPr>
        <w:t xml:space="preserve">národná </w:t>
      </w:r>
      <w:proofErr w:type="spellStart"/>
      <w:r w:rsidRPr="004C5551">
        <w:rPr>
          <w:color w:val="000000"/>
          <w:szCs w:val="22"/>
        </w:rPr>
        <w:t>non-stop</w:t>
      </w:r>
      <w:proofErr w:type="spellEnd"/>
      <w:r w:rsidRPr="004C5551">
        <w:rPr>
          <w:color w:val="000000"/>
          <w:szCs w:val="22"/>
        </w:rPr>
        <w:t xml:space="preserve"> bezplatná telefonická linka 0800 212 </w:t>
      </w:r>
      <w:proofErr w:type="spellStart"/>
      <w:r w:rsidRPr="004C5551">
        <w:rPr>
          <w:color w:val="000000"/>
          <w:szCs w:val="22"/>
        </w:rPr>
        <w:t>212</w:t>
      </w:r>
      <w:proofErr w:type="spellEnd"/>
      <w:r w:rsidRPr="004C5551">
        <w:rPr>
          <w:color w:val="000000"/>
          <w:szCs w:val="22"/>
        </w:rPr>
        <w:t>, ktorej úlohou je</w:t>
      </w:r>
      <w:r w:rsidR="00423669" w:rsidRPr="004C5551">
        <w:rPr>
          <w:color w:val="000000"/>
          <w:szCs w:val="22"/>
        </w:rPr>
        <w:t xml:space="preserve"> </w:t>
      </w:r>
      <w:r w:rsidRPr="004C5551">
        <w:rPr>
          <w:color w:val="000000"/>
          <w:szCs w:val="22"/>
        </w:rPr>
        <w:t xml:space="preserve">telefonické poradenstvo obetiam domáceho násilia a v prípade potreby kontaktovanie poradenského centra </w:t>
      </w:r>
    </w:p>
    <w:p w:rsidR="009D3F13" w:rsidRPr="004C5551" w:rsidRDefault="009D3F13" w:rsidP="007F3057">
      <w:pPr>
        <w:pStyle w:val="Odsekzoznamu"/>
        <w:numPr>
          <w:ilvl w:val="0"/>
          <w:numId w:val="29"/>
        </w:numPr>
        <w:autoSpaceDE w:val="0"/>
        <w:autoSpaceDN w:val="0"/>
        <w:adjustRightInd w:val="0"/>
        <w:ind w:left="641" w:hanging="357"/>
        <w:rPr>
          <w:color w:val="000000"/>
          <w:szCs w:val="22"/>
        </w:rPr>
      </w:pPr>
      <w:r w:rsidRPr="004C5551">
        <w:rPr>
          <w:color w:val="000000"/>
          <w:szCs w:val="22"/>
        </w:rPr>
        <w:t>sieť špecifických sociálnych služieb - poradenských centier poskytujúcich všetky relevantné poradenské služby pre ženy a ich deti, pričom v prvej fáze sú podporené existujúce poradenské centrá. Po ukončení projektu by malo byť podporených a vytvorených celkom 20 poradenských centier po celom Slovensku.</w:t>
      </w:r>
    </w:p>
    <w:p w:rsidR="009D3F13" w:rsidRPr="004C5551" w:rsidRDefault="009D3F13" w:rsidP="009D3F13">
      <w:pPr>
        <w:pStyle w:val="Odsekzoznamu"/>
        <w:numPr>
          <w:ilvl w:val="0"/>
          <w:numId w:val="29"/>
        </w:numPr>
        <w:autoSpaceDE w:val="0"/>
        <w:autoSpaceDN w:val="0"/>
        <w:adjustRightInd w:val="0"/>
        <w:spacing w:after="120"/>
        <w:rPr>
          <w:color w:val="000000"/>
          <w:szCs w:val="22"/>
        </w:rPr>
      </w:pPr>
      <w:r w:rsidRPr="004C5551">
        <w:rPr>
          <w:color w:val="000000"/>
          <w:szCs w:val="22"/>
        </w:rPr>
        <w:t>sieť bezpečných ženských domov, ktoré poskytujú komplexnú špecializovanú pomoc ženám zažívajúcim násilie a ich deťom pobytovou formou až do vyriešenia problémov ženy. Na konci projektu by malo byť k dispozícii 110 rodinných miest po celom Slovensku (pod rodinným miestom sa rozumie matka + 2 deti).</w:t>
      </w:r>
    </w:p>
    <w:p w:rsidR="009D3F13" w:rsidRPr="004C5551" w:rsidRDefault="009D3F13" w:rsidP="009D3F13">
      <w:pPr>
        <w:autoSpaceDE w:val="0"/>
        <w:autoSpaceDN w:val="0"/>
        <w:adjustRightInd w:val="0"/>
        <w:spacing w:after="120"/>
        <w:ind w:firstLine="431"/>
        <w:rPr>
          <w:color w:val="000000"/>
        </w:rPr>
      </w:pPr>
      <w:r w:rsidRPr="004C5551">
        <w:rPr>
          <w:bCs/>
          <w:color w:val="000000"/>
        </w:rPr>
        <w:t>Celková čiastka alokovaná na štátnej úrovni na problematiku eliminácie násilia páchaného na</w:t>
      </w:r>
      <w:r w:rsidR="007F3057" w:rsidRPr="004C5551">
        <w:rPr>
          <w:bCs/>
          <w:color w:val="000000"/>
        </w:rPr>
        <w:t> </w:t>
      </w:r>
      <w:r w:rsidRPr="004C5551">
        <w:rPr>
          <w:bCs/>
          <w:color w:val="000000"/>
        </w:rPr>
        <w:t>ženách predstavuje na najbližšie 3 roky cca 12 miliónov eur.</w:t>
      </w:r>
    </w:p>
    <w:p w:rsidR="00750DBC" w:rsidRPr="004C5551" w:rsidRDefault="009D3F13" w:rsidP="009D3F13">
      <w:pPr>
        <w:ind w:firstLine="431"/>
        <w:rPr>
          <w:szCs w:val="22"/>
        </w:rPr>
      </w:pPr>
      <w:r w:rsidRPr="004C5551">
        <w:rPr>
          <w:color w:val="000000"/>
        </w:rPr>
        <w:t>V roku 2014 sa začal realizovať národný projekt „Rodina a práca“</w:t>
      </w:r>
      <w:r w:rsidRPr="004C5551">
        <w:rPr>
          <w:color w:val="000000"/>
          <w:szCs w:val="22"/>
        </w:rPr>
        <w:t xml:space="preserve"> v oblasti vytvárania vhodných </w:t>
      </w:r>
      <w:proofErr w:type="spellStart"/>
      <w:r w:rsidRPr="004C5551">
        <w:rPr>
          <w:color w:val="000000"/>
          <w:szCs w:val="22"/>
        </w:rPr>
        <w:t>prorodinných</w:t>
      </w:r>
      <w:proofErr w:type="spellEnd"/>
      <w:r w:rsidRPr="004C5551">
        <w:rPr>
          <w:color w:val="000000"/>
          <w:szCs w:val="22"/>
        </w:rPr>
        <w:t xml:space="preserve"> podmienok a starostlivosti o deti v rodinách zamestnaných rodičov. Cieľom projektu je zlepšenie podmienok pre zosúladenie rodinného a pracovného života žien, ktoré sa starajú o deti do</w:t>
      </w:r>
      <w:r w:rsidR="007F3057" w:rsidRPr="004C5551">
        <w:rPr>
          <w:color w:val="000000"/>
          <w:szCs w:val="22"/>
        </w:rPr>
        <w:t> </w:t>
      </w:r>
      <w:r w:rsidRPr="004C5551">
        <w:rPr>
          <w:color w:val="000000"/>
          <w:szCs w:val="22"/>
        </w:rPr>
        <w:t>10 rokov, a to podporou zvýšenia počtu predškolských zariadení (tzv. kútiky dočasnej starostlivosti).</w:t>
      </w:r>
      <w:r w:rsidRPr="004C5551">
        <w:rPr>
          <w:szCs w:val="22"/>
        </w:rPr>
        <w:t xml:space="preserve"> V rámci projektu sa predpokladá podpora nových pracovných miest, ktoré budú obsadené buď osobami na rodičovskej dovolenke, alebo osobami s dieťaťom pred nástupom do školy (do veku 6 rokov). V takom prípade budú pracovné miesta dotované vo výške 90 percent reálnej celkovej ceny </w:t>
      </w:r>
    </w:p>
    <w:p w:rsidR="009D3F13" w:rsidRPr="004C5551" w:rsidRDefault="009D3F13" w:rsidP="00750DBC">
      <w:pPr>
        <w:rPr>
          <w:szCs w:val="22"/>
        </w:rPr>
      </w:pPr>
      <w:r w:rsidRPr="004C5551">
        <w:rPr>
          <w:szCs w:val="22"/>
        </w:rPr>
        <w:t>práce, maximálne však do výšky priemernej mzdy v národnom hospodárstve. V druhom prípade – pri zamestnávaní matiek s deťmi vo veku 6</w:t>
      </w:r>
      <w:r w:rsidR="00F80174" w:rsidRPr="004C5551">
        <w:rPr>
          <w:szCs w:val="22"/>
        </w:rPr>
        <w:t xml:space="preserve"> – </w:t>
      </w:r>
      <w:r w:rsidRPr="004C5551">
        <w:rPr>
          <w:szCs w:val="22"/>
        </w:rPr>
        <w:t xml:space="preserve">10 rokov – bude forma podpory vo výške 50 percent z celkovej ceny práce. Prostredníctvom projektu majú byť v kútikoch dočasnej starostlivosti podporené taktiež </w:t>
      </w:r>
      <w:r w:rsidRPr="004C5551">
        <w:rPr>
          <w:i/>
          <w:szCs w:val="22"/>
        </w:rPr>
        <w:t xml:space="preserve">služby starostlivosti o deti, </w:t>
      </w:r>
      <w:r w:rsidRPr="004C5551">
        <w:rPr>
          <w:szCs w:val="22"/>
        </w:rPr>
        <w:t>ktoré</w:t>
      </w:r>
      <w:r w:rsidRPr="004C5551">
        <w:rPr>
          <w:i/>
          <w:szCs w:val="22"/>
        </w:rPr>
        <w:t xml:space="preserve"> </w:t>
      </w:r>
      <w:r w:rsidRPr="004C5551">
        <w:rPr>
          <w:szCs w:val="22"/>
        </w:rPr>
        <w:t xml:space="preserve">vytvoria buď priamo zamestnávatelia alebo spolupracujúce organizácie, poskytujúce služby starostlivosti o deti. Preplatené majú byť náklady celkovej ceny práce odborného pedagogického personálu (vychovávateľky či vychovávateľa), najviac však vo výške celkovej ceny práce vypočítanej z mediánu mesačnej hrubej mzdy na tejto pracovnej pozícii (ide o cca 700 eur hrubej mzdy). V projekte majú byť v súlade s §49, §49a, a §52 Zákonníka práce podporené nové pracovné miesta, flexibilné formy práce, domáca práca, delené pracovné miesta, </w:t>
      </w:r>
      <w:proofErr w:type="spellStart"/>
      <w:r w:rsidRPr="004C5551">
        <w:rPr>
          <w:szCs w:val="22"/>
        </w:rPr>
        <w:t>telepráca</w:t>
      </w:r>
      <w:proofErr w:type="spellEnd"/>
      <w:r w:rsidRPr="004C5551">
        <w:rPr>
          <w:szCs w:val="22"/>
        </w:rPr>
        <w:t xml:space="preserve">, ale aj kratší pracovný úväzok,. </w:t>
      </w:r>
    </w:p>
    <w:p w:rsidR="009D3F13" w:rsidRPr="004C5551" w:rsidRDefault="009D3F13" w:rsidP="009D3F13">
      <w:pPr>
        <w:pStyle w:val="Default"/>
        <w:ind w:firstLine="431"/>
        <w:jc w:val="both"/>
        <w:rPr>
          <w:rFonts w:ascii="Times New Roman" w:hAnsi="Times New Roman" w:cs="Times New Roman"/>
          <w:sz w:val="22"/>
          <w:szCs w:val="22"/>
        </w:rPr>
      </w:pPr>
      <w:r w:rsidRPr="004C5551">
        <w:rPr>
          <w:rFonts w:ascii="Times New Roman" w:hAnsi="Times New Roman" w:cs="Times New Roman"/>
          <w:bCs/>
          <w:i/>
          <w:sz w:val="22"/>
          <w:szCs w:val="22"/>
        </w:rPr>
        <w:t>Správa o stave rodovej rovnosti na Slovensku za rok 2014</w:t>
      </w:r>
      <w:r w:rsidRPr="004C5551">
        <w:rPr>
          <w:rFonts w:ascii="Times New Roman" w:hAnsi="Times New Roman" w:cs="Times New Roman"/>
          <w:bCs/>
          <w:sz w:val="22"/>
          <w:szCs w:val="22"/>
        </w:rPr>
        <w:t xml:space="preserve"> konštatuje, že </w:t>
      </w:r>
      <w:r w:rsidRPr="004C5551">
        <w:rPr>
          <w:rFonts w:ascii="Times New Roman" w:hAnsi="Times New Roman" w:cs="Times New Roman"/>
          <w:sz w:val="22"/>
          <w:szCs w:val="22"/>
        </w:rPr>
        <w:t>napriek nespornému pokroku pretrvávajú stále nerovnosti medzi mužmi a ženami takmer vo všetkých oblastiach súkromného a verejného života, predovšetkým v oblasti trhu práce (podrobnejšie výsledky obsahuje tabuľka č</w:t>
      </w:r>
      <w:r w:rsidR="00F7552C" w:rsidRPr="004C5551">
        <w:rPr>
          <w:rFonts w:ascii="Times New Roman" w:hAnsi="Times New Roman" w:cs="Times New Roman"/>
          <w:sz w:val="22"/>
          <w:szCs w:val="22"/>
        </w:rPr>
        <w:t>.4.5).</w:t>
      </w:r>
    </w:p>
    <w:p w:rsidR="009D3F13" w:rsidRPr="004C5551" w:rsidRDefault="009D3F13" w:rsidP="009D3F13">
      <w:pPr>
        <w:ind w:firstLine="431"/>
        <w:rPr>
          <w:color w:val="000000" w:themeColor="text1"/>
          <w:szCs w:val="22"/>
        </w:rPr>
      </w:pPr>
      <w:r w:rsidRPr="004C5551">
        <w:rPr>
          <w:color w:val="000000" w:themeColor="text1"/>
          <w:szCs w:val="22"/>
        </w:rPr>
        <w:t xml:space="preserve">Na trhu práce sú ženy konfrontované </w:t>
      </w:r>
      <w:r w:rsidRPr="004C5551">
        <w:rPr>
          <w:b/>
          <w:bCs/>
          <w:color w:val="000000" w:themeColor="text1"/>
          <w:szCs w:val="22"/>
        </w:rPr>
        <w:t>s horizontálnou i vertikálnou rodovou segregáciou</w:t>
      </w:r>
      <w:r w:rsidRPr="004C5551">
        <w:rPr>
          <w:color w:val="000000" w:themeColor="text1"/>
          <w:szCs w:val="22"/>
        </w:rPr>
        <w:t xml:space="preserve">. S rodovou segregáciou úzko súvisia aj </w:t>
      </w:r>
      <w:r w:rsidRPr="004C5551">
        <w:rPr>
          <w:b/>
          <w:bCs/>
          <w:color w:val="000000" w:themeColor="text1"/>
          <w:szCs w:val="22"/>
        </w:rPr>
        <w:t>celkovo nižšie príjmy žien. S</w:t>
      </w:r>
      <w:r w:rsidRPr="004C5551">
        <w:rPr>
          <w:color w:val="000000" w:themeColor="text1"/>
          <w:szCs w:val="22"/>
        </w:rPr>
        <w:t xml:space="preserve">tále pretrvávajú výrazné rozdiely v platovom ohodnotení žien a mužov. </w:t>
      </w:r>
      <w:r w:rsidRPr="004C5551">
        <w:rPr>
          <w:b/>
          <w:color w:val="000000" w:themeColor="text1"/>
          <w:szCs w:val="22"/>
        </w:rPr>
        <w:t xml:space="preserve">Rodový </w:t>
      </w:r>
      <w:r w:rsidRPr="004C5551">
        <w:rPr>
          <w:b/>
          <w:bCs/>
          <w:color w:val="000000" w:themeColor="text1"/>
          <w:szCs w:val="22"/>
        </w:rPr>
        <w:t xml:space="preserve">mzdový rozdiel je </w:t>
      </w:r>
      <w:r w:rsidRPr="004C5551">
        <w:rPr>
          <w:color w:val="000000" w:themeColor="text1"/>
          <w:szCs w:val="22"/>
        </w:rPr>
        <w:t xml:space="preserve">na Slovensku (18,73 % v roku 2014) dlhodobo vyšší ako priemer EU28 (16,4 % v roku 2013). K udržiavaniu rodového mzdového rozdielu prispieva množstvo faktorov, medzi inými je to </w:t>
      </w:r>
      <w:r w:rsidRPr="004C5551">
        <w:rPr>
          <w:b/>
          <w:bCs/>
          <w:color w:val="000000" w:themeColor="text1"/>
          <w:szCs w:val="22"/>
        </w:rPr>
        <w:t xml:space="preserve">vertikálna segregácia </w:t>
      </w:r>
      <w:r w:rsidRPr="004C5551">
        <w:rPr>
          <w:color w:val="000000" w:themeColor="text1"/>
          <w:szCs w:val="22"/>
        </w:rPr>
        <w:t>– tzv. sklený strop, limitujúci množstvo žien dosahujúcich najvyššie (a najlepšie odmeňované) pozície i v inak prefeminizovaných oblastiach. Významným dôvodom je tiež nerovnomerná deľba práce medzi ženami a mužmi a podstatne silnejšie dopady rodičovstva na ženy. Popri politikách zameraných na posilnenie rodovej rovnosti sa pozornosť venovala aj zladeniu rodiny a práce ako základnému predpokladu ekonomickej nezávislosti žien a rovnosti medzi ženami a mužmi, čo predstavuje aj jednu z dôležitých aktivít napĺňania viacerých cieľov Stratégie Európa 2020. Inšpektorátom práce bolo v roku 2014 doručených 71 podnetov zamestnancov poukazujúcich na porušenie zásady rovnakého zaobchádzania, ustanoveného pre oblasť pracovnoprávnych vzťahov a na diskrimináciu v odmeňovaní. Vykonanými inšpekciami práce bolo zistených 20 porušení povinnosti zamest</w:t>
      </w:r>
      <w:r w:rsidR="007F3057" w:rsidRPr="004C5551">
        <w:rPr>
          <w:color w:val="000000" w:themeColor="text1"/>
          <w:szCs w:val="22"/>
        </w:rPr>
        <w:t xml:space="preserve">návateľov, ustanovených v § 13 </w:t>
      </w:r>
      <w:r w:rsidRPr="004C5551">
        <w:rPr>
          <w:color w:val="000000" w:themeColor="text1"/>
          <w:szCs w:val="22"/>
        </w:rPr>
        <w:t>Zákonníka práce v sledovaných oblastiach. Kľúčovým faktorom postavenia žien a mužov v</w:t>
      </w:r>
      <w:r w:rsidR="007F3057" w:rsidRPr="004C5551">
        <w:rPr>
          <w:color w:val="000000" w:themeColor="text1"/>
          <w:szCs w:val="22"/>
        </w:rPr>
        <w:t> </w:t>
      </w:r>
      <w:r w:rsidRPr="004C5551">
        <w:rPr>
          <w:color w:val="000000" w:themeColor="text1"/>
          <w:szCs w:val="22"/>
        </w:rPr>
        <w:t xml:space="preserve">spoločnosti je vzťah medzi platenou a neplatenou prácou, ako aj </w:t>
      </w:r>
      <w:r w:rsidRPr="004C5551">
        <w:rPr>
          <w:b/>
          <w:color w:val="000000" w:themeColor="text1"/>
          <w:szCs w:val="22"/>
        </w:rPr>
        <w:t>distribúcia neplatenej práce medzi mužov a ženy</w:t>
      </w:r>
      <w:r w:rsidRPr="004C5551">
        <w:rPr>
          <w:color w:val="000000" w:themeColor="text1"/>
          <w:szCs w:val="22"/>
        </w:rPr>
        <w:t>. Dlhodobo výrazne rodovo nevyvážená je celková časová alokácia na neplatenú prácu.</w:t>
      </w:r>
    </w:p>
    <w:bookmarkEnd w:id="745"/>
    <w:p w:rsidR="00F7552C" w:rsidRPr="004C5551" w:rsidRDefault="00F7552C" w:rsidP="00460DEB">
      <w:pPr>
        <w:rPr>
          <w:color w:val="000000" w:themeColor="text1"/>
        </w:rPr>
      </w:pPr>
    </w:p>
    <w:p w:rsidR="007F3057" w:rsidRPr="004C5551" w:rsidRDefault="007F3057">
      <w:pPr>
        <w:jc w:val="left"/>
        <w:rPr>
          <w:b/>
          <w:color w:val="000000" w:themeColor="text1"/>
        </w:rPr>
      </w:pPr>
      <w:r w:rsidRPr="004C5551">
        <w:rPr>
          <w:b/>
          <w:color w:val="000000" w:themeColor="text1"/>
        </w:rPr>
        <w:br w:type="page"/>
      </w:r>
    </w:p>
    <w:p w:rsidR="00460DEB" w:rsidRPr="004C5551" w:rsidRDefault="00DE70AE" w:rsidP="00F7552C">
      <w:pPr>
        <w:jc w:val="center"/>
        <w:rPr>
          <w:b/>
          <w:color w:val="000000" w:themeColor="text1"/>
        </w:rPr>
      </w:pPr>
      <w:r w:rsidRPr="004C5551">
        <w:rPr>
          <w:b/>
          <w:color w:val="000000" w:themeColor="text1"/>
        </w:rPr>
        <w:t>Tabuľka 4.</w:t>
      </w:r>
      <w:r w:rsidR="009B7B4B" w:rsidRPr="004C5551">
        <w:rPr>
          <w:b/>
          <w:color w:val="000000" w:themeColor="text1"/>
        </w:rPr>
        <w:t>3</w:t>
      </w:r>
      <w:r w:rsidRPr="004C5551">
        <w:rPr>
          <w:b/>
          <w:color w:val="000000" w:themeColor="text1"/>
        </w:rPr>
        <w:t xml:space="preserve"> Súhrn indikátorov rodovej rovnosti – rok 2014</w:t>
      </w:r>
    </w:p>
    <w:tbl>
      <w:tblPr>
        <w:tblW w:w="9072" w:type="dxa"/>
        <w:tblInd w:w="19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57" w:type="dxa"/>
          <w:right w:w="57" w:type="dxa"/>
        </w:tblCellMar>
        <w:tblLook w:val="00A0" w:firstRow="1" w:lastRow="0" w:firstColumn="1" w:lastColumn="0" w:noHBand="0" w:noVBand="0"/>
      </w:tblPr>
      <w:tblGrid>
        <w:gridCol w:w="5245"/>
        <w:gridCol w:w="51"/>
        <w:gridCol w:w="516"/>
        <w:gridCol w:w="567"/>
        <w:gridCol w:w="142"/>
        <w:gridCol w:w="51"/>
        <w:gridCol w:w="374"/>
        <w:gridCol w:w="142"/>
        <w:gridCol w:w="425"/>
        <w:gridCol w:w="283"/>
        <w:gridCol w:w="567"/>
        <w:gridCol w:w="709"/>
      </w:tblGrid>
      <w:tr w:rsidR="00DE70AE" w:rsidRPr="004C5551" w:rsidTr="00F0314B">
        <w:trPr>
          <w:trHeight w:val="300"/>
          <w:tblHeader/>
        </w:trPr>
        <w:tc>
          <w:tcPr>
            <w:tcW w:w="5296" w:type="dxa"/>
            <w:gridSpan w:val="2"/>
            <w:vMerge w:val="restart"/>
            <w:tcBorders>
              <w:top w:val="single" w:sz="4"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C568C9">
            <w:pPr>
              <w:ind w:firstLine="360"/>
              <w:jc w:val="center"/>
              <w:rPr>
                <w:b/>
                <w:bCs/>
                <w:color w:val="FFFFFF"/>
                <w:sz w:val="20"/>
                <w:szCs w:val="18"/>
              </w:rPr>
            </w:pPr>
            <w:r w:rsidRPr="004C5551">
              <w:rPr>
                <w:b/>
                <w:bCs/>
                <w:color w:val="FFFFFF"/>
                <w:sz w:val="20"/>
                <w:szCs w:val="18"/>
              </w:rPr>
              <w:t>Indikátor</w:t>
            </w:r>
          </w:p>
        </w:tc>
        <w:tc>
          <w:tcPr>
            <w:tcW w:w="1276" w:type="dxa"/>
            <w:gridSpan w:val="4"/>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C568C9">
            <w:pPr>
              <w:jc w:val="center"/>
              <w:rPr>
                <w:b/>
                <w:bCs/>
                <w:color w:val="FFFFFF"/>
                <w:sz w:val="20"/>
                <w:szCs w:val="18"/>
              </w:rPr>
            </w:pPr>
            <w:r w:rsidRPr="004C5551">
              <w:rPr>
                <w:b/>
                <w:bCs/>
                <w:color w:val="FFFFFF"/>
                <w:sz w:val="20"/>
                <w:szCs w:val="18"/>
              </w:rPr>
              <w:t>Ženy</w:t>
            </w:r>
          </w:p>
        </w:tc>
        <w:tc>
          <w:tcPr>
            <w:tcW w:w="1224" w:type="dxa"/>
            <w:gridSpan w:val="4"/>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3039A0">
            <w:pPr>
              <w:rPr>
                <w:b/>
                <w:bCs/>
                <w:color w:val="FFFFFF"/>
                <w:sz w:val="20"/>
                <w:szCs w:val="18"/>
              </w:rPr>
            </w:pPr>
            <w:r w:rsidRPr="004C5551">
              <w:rPr>
                <w:b/>
                <w:bCs/>
                <w:color w:val="FFFFFF"/>
                <w:sz w:val="20"/>
                <w:szCs w:val="18"/>
              </w:rPr>
              <w:t>Muži</w:t>
            </w:r>
          </w:p>
        </w:tc>
        <w:tc>
          <w:tcPr>
            <w:tcW w:w="1276"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DE70AE" w:rsidRPr="004C5551" w:rsidRDefault="00DE70AE" w:rsidP="00C568C9">
            <w:pPr>
              <w:jc w:val="center"/>
              <w:rPr>
                <w:b/>
                <w:bCs/>
                <w:color w:val="FFFFFF"/>
                <w:sz w:val="20"/>
                <w:szCs w:val="18"/>
              </w:rPr>
            </w:pPr>
            <w:r w:rsidRPr="004C5551">
              <w:rPr>
                <w:b/>
                <w:bCs/>
                <w:color w:val="FFFFFF"/>
                <w:sz w:val="20"/>
                <w:szCs w:val="18"/>
              </w:rPr>
              <w:t>Rodový rozdiel</w:t>
            </w:r>
            <w:r w:rsidR="0030414F" w:rsidRPr="004C5551">
              <w:rPr>
                <w:b/>
                <w:bCs/>
                <w:color w:val="FFFFFF"/>
                <w:sz w:val="20"/>
                <w:szCs w:val="18"/>
              </w:rPr>
              <w:t xml:space="preserve"> *</w:t>
            </w:r>
          </w:p>
        </w:tc>
      </w:tr>
      <w:tr w:rsidR="003039A0" w:rsidRPr="004C5551" w:rsidTr="00F0314B">
        <w:trPr>
          <w:trHeight w:val="300"/>
          <w:tblHeader/>
        </w:trPr>
        <w:tc>
          <w:tcPr>
            <w:tcW w:w="5296" w:type="dxa"/>
            <w:gridSpan w:val="2"/>
            <w:vMerge/>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tcPr>
          <w:p w:rsidR="00DE70AE" w:rsidRPr="004C5551" w:rsidRDefault="00DE70AE" w:rsidP="00C568C9">
            <w:pPr>
              <w:ind w:firstLine="360"/>
              <w:rPr>
                <w:b/>
                <w:bCs/>
                <w:sz w:val="20"/>
                <w:szCs w:val="18"/>
              </w:rPr>
            </w:pP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C568C9">
            <w:pPr>
              <w:jc w:val="center"/>
              <w:rPr>
                <w:b/>
                <w:bCs/>
                <w:sz w:val="20"/>
                <w:szCs w:val="16"/>
              </w:rPr>
            </w:pPr>
            <w:r w:rsidRPr="004C5551">
              <w:rPr>
                <w:b/>
                <w:bCs/>
                <w:sz w:val="20"/>
                <w:szCs w:val="16"/>
              </w:rPr>
              <w:t>SK</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D40CFE">
            <w:pPr>
              <w:jc w:val="center"/>
              <w:rPr>
                <w:b/>
                <w:bCs/>
                <w:sz w:val="20"/>
                <w:szCs w:val="16"/>
              </w:rPr>
            </w:pPr>
            <w:r w:rsidRPr="004C5551">
              <w:rPr>
                <w:b/>
                <w:bCs/>
                <w:sz w:val="20"/>
                <w:szCs w:val="16"/>
              </w:rPr>
              <w:t>E</w:t>
            </w:r>
            <w:r w:rsidR="00D40CFE" w:rsidRPr="004C5551">
              <w:rPr>
                <w:b/>
                <w:bCs/>
                <w:sz w:val="20"/>
                <w:szCs w:val="16"/>
              </w:rPr>
              <w:t>U</w:t>
            </w:r>
            <w:r w:rsidRPr="004C5551">
              <w:rPr>
                <w:b/>
                <w:bCs/>
                <w:sz w:val="20"/>
                <w:szCs w:val="16"/>
              </w:rPr>
              <w:t>28</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C568C9">
            <w:pPr>
              <w:jc w:val="center"/>
              <w:rPr>
                <w:b/>
                <w:bCs/>
                <w:sz w:val="20"/>
                <w:szCs w:val="16"/>
              </w:rPr>
            </w:pPr>
            <w:r w:rsidRPr="004C5551">
              <w:rPr>
                <w:b/>
                <w:bCs/>
                <w:sz w:val="20"/>
                <w:szCs w:val="16"/>
              </w:rPr>
              <w:t>SK</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D40CFE">
            <w:pPr>
              <w:jc w:val="center"/>
              <w:rPr>
                <w:b/>
                <w:bCs/>
                <w:sz w:val="20"/>
                <w:szCs w:val="16"/>
              </w:rPr>
            </w:pPr>
            <w:r w:rsidRPr="004C5551">
              <w:rPr>
                <w:b/>
                <w:bCs/>
                <w:sz w:val="20"/>
                <w:szCs w:val="16"/>
              </w:rPr>
              <w:t>E</w:t>
            </w:r>
            <w:r w:rsidR="00D40CFE" w:rsidRPr="004C5551">
              <w:rPr>
                <w:b/>
                <w:bCs/>
                <w:sz w:val="20"/>
                <w:szCs w:val="16"/>
              </w:rPr>
              <w:t>U</w:t>
            </w:r>
            <w:r w:rsidRPr="004C5551">
              <w:rPr>
                <w:b/>
                <w:bCs/>
                <w:sz w:val="20"/>
                <w:szCs w:val="16"/>
              </w:rPr>
              <w:t>28</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DE70AE" w:rsidRPr="004C5551" w:rsidRDefault="00DE70AE" w:rsidP="00C568C9">
            <w:pPr>
              <w:jc w:val="center"/>
              <w:rPr>
                <w:b/>
                <w:bCs/>
                <w:sz w:val="20"/>
                <w:szCs w:val="16"/>
              </w:rPr>
            </w:pPr>
            <w:r w:rsidRPr="004C5551">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DE70AE" w:rsidRPr="004C5551" w:rsidRDefault="00DE70AE" w:rsidP="00D40CFE">
            <w:pPr>
              <w:jc w:val="center"/>
              <w:rPr>
                <w:b/>
                <w:bCs/>
                <w:sz w:val="20"/>
                <w:szCs w:val="16"/>
              </w:rPr>
            </w:pPr>
            <w:r w:rsidRPr="004C5551">
              <w:rPr>
                <w:b/>
                <w:bCs/>
                <w:sz w:val="20"/>
                <w:szCs w:val="16"/>
              </w:rPr>
              <w:t>E</w:t>
            </w:r>
            <w:r w:rsidR="00D40CFE" w:rsidRPr="004C5551">
              <w:rPr>
                <w:b/>
                <w:bCs/>
                <w:sz w:val="20"/>
                <w:szCs w:val="16"/>
              </w:rPr>
              <w:t>U</w:t>
            </w:r>
            <w:r w:rsidRPr="004C5551">
              <w:rPr>
                <w:b/>
                <w:bCs/>
                <w:sz w:val="20"/>
                <w:szCs w:val="16"/>
              </w:rPr>
              <w:t>28</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Miera zamestnanosti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20</w:t>
            </w:r>
            <w:r w:rsidR="00F80174" w:rsidRPr="004C5551">
              <w:rPr>
                <w:bCs/>
                <w:sz w:val="20"/>
                <w:szCs w:val="16"/>
              </w:rPr>
              <w:t xml:space="preserve"> – </w:t>
            </w:r>
            <w:r w:rsidRPr="004C5551">
              <w:rPr>
                <w:bCs/>
                <w:sz w:val="20"/>
                <w:szCs w:val="16"/>
              </w:rPr>
              <w:t xml:space="preserve">64 rokov, 2014, ŠÚ SR a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58,6</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C568C9">
            <w:pPr>
              <w:jc w:val="center"/>
              <w:rPr>
                <w:sz w:val="20"/>
                <w:szCs w:val="16"/>
              </w:rPr>
            </w:pPr>
            <w:r w:rsidRPr="004C5551">
              <w:rPr>
                <w:sz w:val="20"/>
                <w:szCs w:val="16"/>
              </w:rPr>
              <w:t>63,5</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73,2</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75,0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14,6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7D0A10" w:rsidP="00C568C9">
            <w:pPr>
              <w:jc w:val="center"/>
              <w:rPr>
                <w:sz w:val="20"/>
                <w:szCs w:val="16"/>
              </w:rPr>
            </w:pPr>
            <w:r w:rsidRPr="004C5551">
              <w:rPr>
                <w:sz w:val="20"/>
                <w:szCs w:val="16"/>
              </w:rPr>
              <w:t>11,5</w:t>
            </w:r>
          </w:p>
        </w:tc>
      </w:tr>
      <w:tr w:rsidR="003039A0"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Miera zamestnanosti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15</w:t>
            </w:r>
            <w:r w:rsidR="00F80174" w:rsidRPr="004C5551">
              <w:rPr>
                <w:bCs/>
                <w:sz w:val="20"/>
                <w:szCs w:val="16"/>
              </w:rPr>
              <w:t xml:space="preserve"> – </w:t>
            </w:r>
            <w:r w:rsidRPr="004C5551">
              <w:rPr>
                <w:bCs/>
                <w:sz w:val="20"/>
                <w:szCs w:val="16"/>
              </w:rPr>
              <w:t xml:space="preserve">64 rokov, 2014, ŠÚ SR a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54,3</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59,6</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67,7</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70,1</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13,4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10,5</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Miera zamestnanosti mladých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15</w:t>
            </w:r>
            <w:r w:rsidR="00F80174" w:rsidRPr="004C5551">
              <w:rPr>
                <w:bCs/>
                <w:sz w:val="20"/>
                <w:szCs w:val="16"/>
              </w:rPr>
              <w:t xml:space="preserve"> – </w:t>
            </w:r>
            <w:r w:rsidRPr="004C5551">
              <w:rPr>
                <w:bCs/>
                <w:sz w:val="20"/>
                <w:szCs w:val="16"/>
              </w:rPr>
              <w:t xml:space="preserve">24 rokov, 2014, ŠÚ SR a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16,5</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30,6</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26,9</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34,4</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3,8</w:t>
            </w:r>
          </w:p>
        </w:tc>
      </w:tr>
      <w:tr w:rsidR="003039A0"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Miera zamestnanosti starších (v</w:t>
            </w:r>
            <w:r w:rsidR="009425AA" w:rsidRPr="004C5551">
              <w:rPr>
                <w:bCs/>
                <w:sz w:val="20"/>
                <w:szCs w:val="16"/>
              </w:rPr>
              <w:t> %</w:t>
            </w:r>
            <w:r w:rsidRPr="004C5551">
              <w:rPr>
                <w:bCs/>
                <w:sz w:val="20"/>
                <w:szCs w:val="16"/>
              </w:rPr>
              <w:t>, 55</w:t>
            </w:r>
            <w:r w:rsidR="00F80174" w:rsidRPr="004C5551">
              <w:rPr>
                <w:bCs/>
                <w:sz w:val="20"/>
                <w:szCs w:val="16"/>
              </w:rPr>
              <w:t xml:space="preserve"> – </w:t>
            </w:r>
            <w:r w:rsidRPr="004C5551">
              <w:rPr>
                <w:bCs/>
                <w:sz w:val="20"/>
                <w:szCs w:val="16"/>
              </w:rPr>
              <w:t>64 rokov, 2013, EK)</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35,7</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43,3</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53,3</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2A689B">
            <w:pPr>
              <w:jc w:val="center"/>
              <w:rPr>
                <w:sz w:val="20"/>
                <w:szCs w:val="16"/>
              </w:rPr>
            </w:pPr>
            <w:r w:rsidRPr="004C5551">
              <w:rPr>
                <w:sz w:val="20"/>
                <w:szCs w:val="16"/>
              </w:rPr>
              <w:t>57,</w:t>
            </w:r>
            <w:r w:rsidR="002A689B" w:rsidRPr="004C5551">
              <w:rPr>
                <w:sz w:val="20"/>
                <w:szCs w:val="16"/>
              </w:rPr>
              <w:t>4</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17,6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14,2</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Miera nezamestnanosti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všetky vekové skupiny, 2014, ŠÚ SR a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13,6</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sz w:val="20"/>
                <w:szCs w:val="16"/>
              </w:rPr>
            </w:pPr>
            <w:r w:rsidRPr="004C5551">
              <w:rPr>
                <w:sz w:val="20"/>
                <w:szCs w:val="16"/>
              </w:rPr>
              <w:t>10,</w:t>
            </w:r>
            <w:r w:rsidR="007D0A10" w:rsidRPr="004C5551">
              <w:rPr>
                <w:sz w:val="20"/>
                <w:szCs w:val="16"/>
              </w:rPr>
              <w:t>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12,9</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10,1</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7D0A10">
            <w:pPr>
              <w:jc w:val="center"/>
              <w:rPr>
                <w:sz w:val="20"/>
                <w:szCs w:val="16"/>
              </w:rPr>
            </w:pPr>
            <w:r w:rsidRPr="004C5551">
              <w:rPr>
                <w:sz w:val="20"/>
                <w:szCs w:val="16"/>
              </w:rPr>
              <w:t>-0,</w:t>
            </w:r>
            <w:r w:rsidR="007D0A10" w:rsidRPr="004C5551">
              <w:rPr>
                <w:sz w:val="20"/>
                <w:szCs w:val="16"/>
              </w:rPr>
              <w:t>1</w:t>
            </w:r>
          </w:p>
        </w:tc>
      </w:tr>
      <w:tr w:rsidR="003039A0"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Miera nezamestnanosti mladých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15</w:t>
            </w:r>
            <w:r w:rsidR="00F80174" w:rsidRPr="004C5551">
              <w:rPr>
                <w:bCs/>
                <w:sz w:val="20"/>
                <w:szCs w:val="16"/>
              </w:rPr>
              <w:t xml:space="preserve"> – </w:t>
            </w:r>
            <w:r w:rsidRPr="004C5551">
              <w:rPr>
                <w:bCs/>
                <w:sz w:val="20"/>
                <w:szCs w:val="16"/>
              </w:rPr>
              <w:t>24 rokov, 2014, ŠÚ SR a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30,1</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21,</w:t>
            </w:r>
            <w:r w:rsidR="002A689B" w:rsidRPr="004C5551">
              <w:rPr>
                <w:sz w:val="20"/>
                <w:szCs w:val="16"/>
              </w:rPr>
              <w:t>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29,5</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2A689B">
            <w:pPr>
              <w:jc w:val="center"/>
              <w:rPr>
                <w:sz w:val="20"/>
                <w:szCs w:val="16"/>
              </w:rPr>
            </w:pPr>
            <w:r w:rsidRPr="004C5551">
              <w:rPr>
                <w:sz w:val="20"/>
                <w:szCs w:val="16"/>
              </w:rPr>
              <w:t>22,</w:t>
            </w:r>
            <w:r w:rsidR="002A689B" w:rsidRPr="004C5551">
              <w:rPr>
                <w:sz w:val="20"/>
                <w:szCs w:val="16"/>
              </w:rPr>
              <w:t>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w:t>
            </w:r>
          </w:p>
        </w:tc>
      </w:tr>
      <w:tr w:rsidR="00DE70AE"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Index rodovej segregácie v zamestnaniach </w:t>
            </w:r>
            <w:r w:rsidR="006D1305" w:rsidRPr="004C5551">
              <w:rPr>
                <w:bCs/>
                <w:sz w:val="20"/>
                <w:szCs w:val="16"/>
              </w:rPr>
              <w:br/>
            </w:r>
            <w:r w:rsidRPr="004C5551">
              <w:rPr>
                <w:bCs/>
                <w:sz w:val="20"/>
                <w:szCs w:val="16"/>
              </w:rPr>
              <w:t>(index z intervalu 0</w:t>
            </w:r>
            <w:r w:rsidR="00F80174" w:rsidRPr="004C5551">
              <w:rPr>
                <w:bCs/>
                <w:sz w:val="20"/>
                <w:szCs w:val="16"/>
              </w:rPr>
              <w:t xml:space="preserve"> – </w:t>
            </w:r>
            <w:r w:rsidRPr="004C5551">
              <w:rPr>
                <w:bCs/>
                <w:sz w:val="20"/>
                <w:szCs w:val="16"/>
              </w:rPr>
              <w:t>50 v</w:t>
            </w:r>
            <w:r w:rsidR="009425AA" w:rsidRPr="004C5551">
              <w:rPr>
                <w:bCs/>
                <w:sz w:val="20"/>
                <w:szCs w:val="16"/>
              </w:rPr>
              <w:t> %</w:t>
            </w:r>
            <w:r w:rsidRPr="004C5551">
              <w:rPr>
                <w:bCs/>
                <w:sz w:val="20"/>
                <w:szCs w:val="16"/>
              </w:rPr>
              <w:t>; 2013, GR)</w:t>
            </w:r>
          </w:p>
        </w:tc>
        <w:tc>
          <w:tcPr>
            <w:tcW w:w="3067" w:type="dxa"/>
            <w:gridSpan w:val="9"/>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center"/>
              <w:rPr>
                <w:b/>
                <w:bCs/>
                <w:sz w:val="20"/>
                <w:szCs w:val="16"/>
              </w:rPr>
            </w:pPr>
            <w:r w:rsidRPr="004C5551">
              <w:rPr>
                <w:b/>
                <w:bCs/>
                <w:sz w:val="20"/>
                <w:szCs w:val="16"/>
              </w:rPr>
              <w:t xml:space="preserve">30,8 </w:t>
            </w:r>
            <w:r w:rsidRPr="004C5551">
              <w:rPr>
                <w:bCs/>
                <w:sz w:val="20"/>
                <w:szCs w:val="16"/>
              </w:rPr>
              <w:t>/30,5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24,4</w:t>
            </w:r>
          </w:p>
        </w:tc>
      </w:tr>
      <w:tr w:rsidR="00DE70AE"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Index rodovej segregácie v sektoroch </w:t>
            </w:r>
            <w:r w:rsidR="006D1305" w:rsidRPr="004C5551">
              <w:rPr>
                <w:bCs/>
                <w:sz w:val="20"/>
                <w:szCs w:val="16"/>
              </w:rPr>
              <w:br/>
            </w:r>
            <w:r w:rsidRPr="004C5551">
              <w:rPr>
                <w:bCs/>
                <w:sz w:val="20"/>
                <w:szCs w:val="16"/>
              </w:rPr>
              <w:t>(index z intervalu 0</w:t>
            </w:r>
            <w:r w:rsidR="00F80174" w:rsidRPr="004C5551">
              <w:rPr>
                <w:bCs/>
                <w:sz w:val="20"/>
                <w:szCs w:val="16"/>
              </w:rPr>
              <w:t xml:space="preserve"> – </w:t>
            </w:r>
            <w:r w:rsidRPr="004C5551">
              <w:rPr>
                <w:bCs/>
                <w:sz w:val="20"/>
                <w:szCs w:val="16"/>
              </w:rPr>
              <w:t>50 v</w:t>
            </w:r>
            <w:r w:rsidR="009425AA" w:rsidRPr="004C5551">
              <w:rPr>
                <w:bCs/>
                <w:sz w:val="20"/>
                <w:szCs w:val="16"/>
              </w:rPr>
              <w:t> %</w:t>
            </w:r>
            <w:r w:rsidRPr="004C5551">
              <w:rPr>
                <w:bCs/>
                <w:sz w:val="20"/>
                <w:szCs w:val="16"/>
              </w:rPr>
              <w:t>; 2013, GR)</w:t>
            </w:r>
          </w:p>
        </w:tc>
        <w:tc>
          <w:tcPr>
            <w:tcW w:w="3067" w:type="dxa"/>
            <w:gridSpan w:val="9"/>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center"/>
              <w:rPr>
                <w:b/>
                <w:bCs/>
                <w:sz w:val="20"/>
                <w:szCs w:val="16"/>
              </w:rPr>
            </w:pPr>
            <w:r w:rsidRPr="004C5551">
              <w:rPr>
                <w:b/>
                <w:bCs/>
                <w:sz w:val="20"/>
                <w:szCs w:val="16"/>
              </w:rPr>
              <w:t xml:space="preserve">25,0 </w:t>
            </w:r>
            <w:r w:rsidRPr="004C5551">
              <w:rPr>
                <w:bCs/>
                <w:sz w:val="20"/>
                <w:szCs w:val="16"/>
              </w:rPr>
              <w:t>/22,7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18,9 </w:t>
            </w:r>
          </w:p>
        </w:tc>
      </w:tr>
      <w:tr w:rsidR="00DE70AE"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Rodový mzdový rozdiel v neupravenej </w:t>
            </w:r>
            <w:r w:rsidR="005308FD" w:rsidRPr="004C5551">
              <w:rPr>
                <w:bCs/>
                <w:sz w:val="20"/>
                <w:szCs w:val="16"/>
              </w:rPr>
              <w:t xml:space="preserve">forme </w:t>
            </w:r>
            <w:r w:rsidR="006D1305" w:rsidRPr="004C5551">
              <w:rPr>
                <w:bCs/>
                <w:sz w:val="20"/>
                <w:szCs w:val="16"/>
              </w:rPr>
              <w:br/>
            </w:r>
            <w:r w:rsidRPr="004C5551">
              <w:rPr>
                <w:bCs/>
                <w:sz w:val="20"/>
                <w:szCs w:val="16"/>
              </w:rPr>
              <w:t>(priemerná hodinová mzda v</w:t>
            </w:r>
            <w:r w:rsidR="009425AA" w:rsidRPr="004C5551">
              <w:rPr>
                <w:bCs/>
                <w:sz w:val="20"/>
                <w:szCs w:val="16"/>
              </w:rPr>
              <w:t> %</w:t>
            </w:r>
            <w:r w:rsidRPr="004C5551">
              <w:rPr>
                <w:bCs/>
                <w:sz w:val="20"/>
                <w:szCs w:val="16"/>
              </w:rPr>
              <w:t xml:space="preserve">, 2014, </w:t>
            </w:r>
            <w:proofErr w:type="spellStart"/>
            <w:r w:rsidRPr="004C5551">
              <w:rPr>
                <w:bCs/>
                <w:sz w:val="20"/>
                <w:szCs w:val="16"/>
              </w:rPr>
              <w:t>Trexima</w:t>
            </w:r>
            <w:proofErr w:type="spellEnd"/>
            <w:r w:rsidRPr="004C5551">
              <w:rPr>
                <w:bCs/>
                <w:sz w:val="20"/>
                <w:szCs w:val="16"/>
              </w:rPr>
              <w:t>, GR)</w:t>
            </w:r>
          </w:p>
        </w:tc>
        <w:tc>
          <w:tcPr>
            <w:tcW w:w="3067" w:type="dxa"/>
            <w:gridSpan w:val="9"/>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center"/>
              <w:rPr>
                <w:b/>
                <w:bCs/>
                <w:sz w:val="20"/>
                <w:szCs w:val="16"/>
              </w:rPr>
            </w:pPr>
            <w:r w:rsidRPr="004C5551">
              <w:rPr>
                <w:b/>
                <w:bCs/>
                <w:sz w:val="20"/>
                <w:szCs w:val="16"/>
              </w:rPr>
              <w:t>18,73</w:t>
            </w:r>
            <w:r w:rsidR="009425AA" w:rsidRPr="004C5551">
              <w:rPr>
                <w:b/>
                <w:bCs/>
                <w:sz w:val="20"/>
                <w:szCs w:val="16"/>
              </w:rPr>
              <w:t> %</w:t>
            </w:r>
            <w:r w:rsidRPr="004C5551">
              <w:rPr>
                <w:b/>
                <w:bCs/>
                <w:sz w:val="20"/>
                <w:szCs w:val="16"/>
              </w:rPr>
              <w:t xml:space="preserve"> (9,8</w:t>
            </w:r>
            <w:r w:rsidR="009425AA" w:rsidRPr="004C5551">
              <w:rPr>
                <w:b/>
                <w:bCs/>
                <w:sz w:val="20"/>
                <w:szCs w:val="16"/>
              </w:rPr>
              <w:t> %</w:t>
            </w:r>
            <w:r w:rsidRPr="004C5551">
              <w:rPr>
                <w:b/>
                <w:bCs/>
                <w:sz w:val="20"/>
                <w:szCs w:val="16"/>
              </w:rPr>
              <w:t xml:space="preserve"> GR)</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16,4</w:t>
            </w:r>
            <w:r w:rsidR="009425AA" w:rsidRPr="004C5551">
              <w:rPr>
                <w:sz w:val="20"/>
                <w:szCs w:val="16"/>
              </w:rPr>
              <w:t> %</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AA0137">
            <w:pPr>
              <w:jc w:val="left"/>
              <w:rPr>
                <w:bCs/>
                <w:sz w:val="20"/>
                <w:szCs w:val="16"/>
              </w:rPr>
            </w:pPr>
            <w:r w:rsidRPr="004C5551">
              <w:rPr>
                <w:bCs/>
                <w:sz w:val="20"/>
                <w:szCs w:val="16"/>
              </w:rPr>
              <w:t xml:space="preserve">Rodový mzdový rozdiel v neupravenej </w:t>
            </w:r>
            <w:r w:rsidR="005308FD" w:rsidRPr="004C5551">
              <w:rPr>
                <w:bCs/>
                <w:sz w:val="20"/>
                <w:szCs w:val="16"/>
              </w:rPr>
              <w:t xml:space="preserve">forme </w:t>
            </w:r>
            <w:r w:rsidR="006D1305" w:rsidRPr="004C5551">
              <w:rPr>
                <w:bCs/>
                <w:sz w:val="20"/>
                <w:szCs w:val="16"/>
              </w:rPr>
              <w:br/>
            </w:r>
            <w:r w:rsidRPr="004C5551">
              <w:rPr>
                <w:bCs/>
                <w:sz w:val="20"/>
                <w:szCs w:val="16"/>
              </w:rPr>
              <w:t>(priemerná hodinová mzda</w:t>
            </w:r>
            <w:r w:rsidR="005308FD" w:rsidRPr="004C5551">
              <w:rPr>
                <w:bCs/>
                <w:sz w:val="20"/>
                <w:szCs w:val="16"/>
              </w:rPr>
              <w:t xml:space="preserve">) </w:t>
            </w:r>
            <w:r w:rsidRPr="004C5551">
              <w:rPr>
                <w:bCs/>
                <w:sz w:val="20"/>
                <w:szCs w:val="16"/>
              </w:rPr>
              <w:t xml:space="preserve">(v </w:t>
            </w:r>
            <w:r w:rsidR="00AA0137" w:rsidRPr="004C5551">
              <w:rPr>
                <w:bCs/>
                <w:sz w:val="20"/>
                <w:szCs w:val="16"/>
              </w:rPr>
              <w:t>€</w:t>
            </w:r>
            <w:r w:rsidRPr="004C5551">
              <w:rPr>
                <w:bCs/>
                <w:sz w:val="20"/>
                <w:szCs w:val="16"/>
              </w:rPr>
              <w:t xml:space="preserve">, 2014, </w:t>
            </w:r>
            <w:proofErr w:type="spellStart"/>
            <w:r w:rsidRPr="004C5551">
              <w:rPr>
                <w:bCs/>
                <w:sz w:val="20"/>
                <w:szCs w:val="16"/>
              </w:rPr>
              <w:t>Trexima</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5,06</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6,23</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b/>
                <w:bCs/>
                <w:sz w:val="20"/>
                <w:szCs w:val="16"/>
              </w:rPr>
            </w:pPr>
            <w:r w:rsidRPr="004C5551">
              <w:rPr>
                <w:b/>
                <w:bCs/>
                <w:sz w:val="20"/>
                <w:szCs w:val="16"/>
              </w:rPr>
              <w:t>18,</w:t>
            </w:r>
            <w:r w:rsidR="007D0A10" w:rsidRPr="004C5551">
              <w:rPr>
                <w:b/>
                <w:bCs/>
                <w:sz w:val="20"/>
                <w:szCs w:val="16"/>
              </w:rPr>
              <w:t xml:space="preserve">78 </w:t>
            </w:r>
            <w:r w:rsidRPr="004C5551">
              <w:rPr>
                <w:b/>
                <w:bCs/>
                <w:sz w:val="20"/>
                <w:szCs w:val="16"/>
              </w:rPr>
              <w:t>%</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16,4</w:t>
            </w:r>
            <w:r w:rsidR="00875D86" w:rsidRPr="004C5551">
              <w:rPr>
                <w:sz w:val="20"/>
                <w:szCs w:val="16"/>
              </w:rPr>
              <w:t> </w:t>
            </w:r>
            <w:r w:rsidRPr="004C5551">
              <w:rPr>
                <w:sz w:val="20"/>
                <w:szCs w:val="16"/>
              </w:rPr>
              <w:t>%</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Priemerná hodinová mzda v nepodnikateľskej </w:t>
            </w:r>
            <w:r w:rsidR="005308FD" w:rsidRPr="004C5551">
              <w:rPr>
                <w:bCs/>
                <w:sz w:val="20"/>
                <w:szCs w:val="16"/>
              </w:rPr>
              <w:t xml:space="preserve">sfére </w:t>
            </w:r>
            <w:r w:rsidR="006D1305" w:rsidRPr="004C5551">
              <w:rPr>
                <w:bCs/>
                <w:sz w:val="20"/>
                <w:szCs w:val="16"/>
              </w:rPr>
              <w:br/>
            </w:r>
            <w:r w:rsidRPr="004C5551">
              <w:rPr>
                <w:bCs/>
                <w:sz w:val="20"/>
                <w:szCs w:val="16"/>
              </w:rPr>
              <w:t xml:space="preserve">(v </w:t>
            </w:r>
            <w:r w:rsidR="00AA0137" w:rsidRPr="004C5551">
              <w:rPr>
                <w:bCs/>
                <w:sz w:val="20"/>
                <w:szCs w:val="16"/>
              </w:rPr>
              <w:t>€</w:t>
            </w:r>
            <w:r w:rsidRPr="004C5551">
              <w:rPr>
                <w:bCs/>
                <w:sz w:val="20"/>
                <w:szCs w:val="16"/>
              </w:rPr>
              <w:t xml:space="preserve">, 2014, </w:t>
            </w:r>
            <w:proofErr w:type="spellStart"/>
            <w:r w:rsidRPr="004C5551">
              <w:rPr>
                <w:bCs/>
                <w:sz w:val="20"/>
                <w:szCs w:val="16"/>
              </w:rPr>
              <w:t>Trexima</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5,13</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5,78</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11,25</w:t>
            </w:r>
            <w:r w:rsidR="00875D86" w:rsidRPr="004C5551">
              <w:rPr>
                <w:b/>
                <w:bCs/>
                <w:sz w:val="20"/>
                <w:szCs w:val="16"/>
              </w:rPr>
              <w:t xml:space="preserve"> </w:t>
            </w:r>
            <w:r w:rsidRPr="004C5551">
              <w:rPr>
                <w:b/>
                <w:bCs/>
                <w:sz w:val="20"/>
                <w:szCs w:val="16"/>
              </w:rPr>
              <w:t>%</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Priemerná hodinová mzda v podnikateľskej sfére </w:t>
            </w:r>
            <w:r w:rsidR="006D1305" w:rsidRPr="004C5551">
              <w:rPr>
                <w:bCs/>
                <w:sz w:val="20"/>
                <w:szCs w:val="16"/>
              </w:rPr>
              <w:br/>
            </w:r>
            <w:r w:rsidRPr="004C5551">
              <w:rPr>
                <w:bCs/>
                <w:sz w:val="20"/>
                <w:szCs w:val="16"/>
              </w:rPr>
              <w:t xml:space="preserve">(v </w:t>
            </w:r>
            <w:r w:rsidR="00AA0137" w:rsidRPr="004C5551">
              <w:rPr>
                <w:bCs/>
                <w:sz w:val="20"/>
                <w:szCs w:val="16"/>
              </w:rPr>
              <w:t>€</w:t>
            </w:r>
            <w:r w:rsidRPr="004C5551">
              <w:rPr>
                <w:bCs/>
                <w:sz w:val="20"/>
                <w:szCs w:val="16"/>
              </w:rPr>
              <w:t xml:space="preserve">, 2014, </w:t>
            </w:r>
            <w:proofErr w:type="spellStart"/>
            <w:r w:rsidRPr="004C5551">
              <w:rPr>
                <w:bCs/>
                <w:sz w:val="20"/>
                <w:szCs w:val="16"/>
              </w:rPr>
              <w:t>Trexima</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5,02</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6,29</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b/>
                <w:bCs/>
                <w:sz w:val="20"/>
                <w:szCs w:val="16"/>
              </w:rPr>
            </w:pPr>
            <w:r w:rsidRPr="004C5551">
              <w:rPr>
                <w:b/>
                <w:bCs/>
                <w:sz w:val="20"/>
                <w:szCs w:val="16"/>
              </w:rPr>
              <w:t>20,</w:t>
            </w:r>
            <w:r w:rsidR="007D0A10" w:rsidRPr="004C5551">
              <w:rPr>
                <w:b/>
                <w:bCs/>
                <w:sz w:val="20"/>
                <w:szCs w:val="16"/>
              </w:rPr>
              <w:t xml:space="preserve">19 </w:t>
            </w:r>
            <w:r w:rsidRPr="004C5551">
              <w:rPr>
                <w:b/>
                <w:bCs/>
                <w:sz w:val="20"/>
                <w:szCs w:val="16"/>
              </w:rPr>
              <w:t>%</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Rodová distribúcia neplatenej </w:t>
            </w:r>
            <w:r w:rsidR="005308FD" w:rsidRPr="004C5551">
              <w:rPr>
                <w:bCs/>
                <w:sz w:val="20"/>
                <w:szCs w:val="16"/>
              </w:rPr>
              <w:t xml:space="preserve">práce </w:t>
            </w:r>
            <w:r w:rsidRPr="004C5551">
              <w:rPr>
                <w:bCs/>
                <w:sz w:val="20"/>
                <w:szCs w:val="16"/>
              </w:rPr>
              <w:t>rodičov detí do 6 rokov (hod./týždeň</w:t>
            </w:r>
            <w:r w:rsidR="005308FD" w:rsidRPr="004C5551">
              <w:rPr>
                <w:bCs/>
                <w:sz w:val="20"/>
                <w:szCs w:val="16"/>
              </w:rPr>
              <w:t xml:space="preserve">, </w:t>
            </w:r>
            <w:r w:rsidRPr="004C5551">
              <w:rPr>
                <w:bCs/>
                <w:sz w:val="20"/>
                <w:szCs w:val="16"/>
              </w:rPr>
              <w:t>ISSP 2012)</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59,8</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27,9</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center"/>
              <w:rPr>
                <w:b/>
                <w:bCs/>
                <w:sz w:val="20"/>
                <w:szCs w:val="16"/>
              </w:rPr>
            </w:pPr>
            <w:r w:rsidRPr="004C5551">
              <w:rPr>
                <w:b/>
                <w:bCs/>
                <w:sz w:val="20"/>
                <w:szCs w:val="16"/>
              </w:rPr>
              <w:t xml:space="preserve">31,9 </w:t>
            </w:r>
            <w:r w:rsidR="006D1305" w:rsidRPr="004C5551">
              <w:rPr>
                <w:b/>
                <w:bCs/>
                <w:sz w:val="20"/>
                <w:szCs w:val="16"/>
              </w:rPr>
              <w:t>h</w:t>
            </w:r>
            <w:r w:rsidRPr="004C5551">
              <w:rPr>
                <w:b/>
                <w:bCs/>
                <w:sz w:val="20"/>
                <w:szCs w:val="16"/>
              </w:rPr>
              <w:t>/</w:t>
            </w:r>
            <w:proofErr w:type="spellStart"/>
            <w:r w:rsidRPr="004C5551">
              <w:rPr>
                <w:b/>
                <w:bCs/>
                <w:sz w:val="20"/>
                <w:szCs w:val="16"/>
              </w:rPr>
              <w:t>týž</w:t>
            </w:r>
            <w:proofErr w:type="spellEnd"/>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Celková dotácia platenej a neplatenej práce rodičov detí </w:t>
            </w:r>
            <w:r w:rsidR="006D1305" w:rsidRPr="004C5551">
              <w:rPr>
                <w:bCs/>
                <w:sz w:val="20"/>
                <w:szCs w:val="16"/>
              </w:rPr>
              <w:br/>
            </w:r>
            <w:r w:rsidRPr="004C5551">
              <w:rPr>
                <w:bCs/>
                <w:sz w:val="20"/>
                <w:szCs w:val="16"/>
              </w:rPr>
              <w:t xml:space="preserve">do 6 </w:t>
            </w:r>
            <w:r w:rsidR="005308FD" w:rsidRPr="004C5551">
              <w:rPr>
                <w:bCs/>
                <w:sz w:val="20"/>
                <w:szCs w:val="16"/>
              </w:rPr>
              <w:t xml:space="preserve">rokov </w:t>
            </w:r>
            <w:r w:rsidRPr="004C5551">
              <w:rPr>
                <w:bCs/>
                <w:sz w:val="20"/>
                <w:szCs w:val="16"/>
              </w:rPr>
              <w:t>(hod./týždeň</w:t>
            </w:r>
            <w:r w:rsidR="005308FD" w:rsidRPr="004C5551">
              <w:rPr>
                <w:bCs/>
                <w:sz w:val="20"/>
                <w:szCs w:val="16"/>
              </w:rPr>
              <w:t xml:space="preserve">, </w:t>
            </w:r>
            <w:r w:rsidRPr="004C5551">
              <w:rPr>
                <w:bCs/>
                <w:sz w:val="20"/>
                <w:szCs w:val="16"/>
              </w:rPr>
              <w:t>ISSP 2012)</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99,3</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74,6</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center"/>
              <w:rPr>
                <w:b/>
                <w:bCs/>
                <w:sz w:val="20"/>
                <w:szCs w:val="16"/>
              </w:rPr>
            </w:pPr>
            <w:r w:rsidRPr="004C5551">
              <w:rPr>
                <w:b/>
                <w:bCs/>
                <w:sz w:val="20"/>
                <w:szCs w:val="16"/>
              </w:rPr>
              <w:t>24,7 h/</w:t>
            </w:r>
            <w:proofErr w:type="spellStart"/>
            <w:r w:rsidRPr="004C5551">
              <w:rPr>
                <w:b/>
                <w:bCs/>
                <w:sz w:val="20"/>
                <w:szCs w:val="16"/>
              </w:rPr>
              <w:t>týž</w:t>
            </w:r>
            <w:proofErr w:type="spellEnd"/>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DE70AE"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Rozdiel v mierach zamestnanosti 20</w:t>
            </w:r>
            <w:r w:rsidR="00F80174" w:rsidRPr="004C5551">
              <w:rPr>
                <w:bCs/>
                <w:sz w:val="20"/>
                <w:szCs w:val="16"/>
              </w:rPr>
              <w:t xml:space="preserve"> – </w:t>
            </w:r>
            <w:r w:rsidRPr="004C5551">
              <w:rPr>
                <w:bCs/>
                <w:sz w:val="20"/>
                <w:szCs w:val="16"/>
              </w:rPr>
              <w:t xml:space="preserve">49 ročných žien s deťmi </w:t>
            </w:r>
            <w:r w:rsidR="006D1305" w:rsidRPr="004C5551">
              <w:rPr>
                <w:bCs/>
                <w:sz w:val="20"/>
                <w:szCs w:val="16"/>
              </w:rPr>
              <w:br/>
            </w:r>
            <w:r w:rsidRPr="004C5551">
              <w:rPr>
                <w:bCs/>
                <w:sz w:val="20"/>
                <w:szCs w:val="16"/>
              </w:rPr>
              <w:t>od 0</w:t>
            </w:r>
            <w:r w:rsidR="00F80174" w:rsidRPr="004C5551">
              <w:rPr>
                <w:bCs/>
                <w:sz w:val="20"/>
                <w:szCs w:val="16"/>
              </w:rPr>
              <w:t xml:space="preserve"> – </w:t>
            </w:r>
            <w:r w:rsidRPr="004C5551">
              <w:rPr>
                <w:bCs/>
                <w:sz w:val="20"/>
                <w:szCs w:val="16"/>
              </w:rPr>
              <w:t xml:space="preserve">6 rokov </w:t>
            </w:r>
            <w:r w:rsidR="005308FD" w:rsidRPr="004C5551">
              <w:rPr>
                <w:bCs/>
                <w:sz w:val="20"/>
                <w:szCs w:val="16"/>
              </w:rPr>
              <w:t xml:space="preserve">veku </w:t>
            </w:r>
            <w:r w:rsidRPr="004C5551">
              <w:rPr>
                <w:bCs/>
                <w:sz w:val="20"/>
                <w:szCs w:val="16"/>
              </w:rPr>
              <w:t>a bez deti ( v p. b., 2012, EC)</w:t>
            </w:r>
          </w:p>
        </w:tc>
        <w:tc>
          <w:tcPr>
            <w:tcW w:w="3067" w:type="dxa"/>
            <w:gridSpan w:val="9"/>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F3057">
            <w:pPr>
              <w:jc w:val="center"/>
              <w:rPr>
                <w:bCs/>
                <w:sz w:val="20"/>
                <w:szCs w:val="16"/>
              </w:rPr>
            </w:pPr>
            <w:r w:rsidRPr="004C5551">
              <w:rPr>
                <w:bCs/>
                <w:sz w:val="20"/>
                <w:szCs w:val="16"/>
              </w:rPr>
              <w:t>-31,8**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-9,7**</w:t>
            </w:r>
          </w:p>
        </w:tc>
      </w:tr>
      <w:tr w:rsidR="00DE70AE"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Rozdiel v mierach </w:t>
            </w:r>
            <w:r w:rsidR="005308FD" w:rsidRPr="004C5551">
              <w:rPr>
                <w:bCs/>
                <w:sz w:val="20"/>
                <w:szCs w:val="16"/>
              </w:rPr>
              <w:t xml:space="preserve">zamestnanosti </w:t>
            </w:r>
            <w:r w:rsidRPr="004C5551">
              <w:rPr>
                <w:bCs/>
                <w:sz w:val="20"/>
                <w:szCs w:val="16"/>
              </w:rPr>
              <w:t>20</w:t>
            </w:r>
            <w:r w:rsidR="00F80174" w:rsidRPr="004C5551">
              <w:rPr>
                <w:bCs/>
                <w:sz w:val="20"/>
                <w:szCs w:val="16"/>
              </w:rPr>
              <w:t xml:space="preserve"> – </w:t>
            </w:r>
            <w:r w:rsidRPr="004C5551">
              <w:rPr>
                <w:bCs/>
                <w:sz w:val="20"/>
                <w:szCs w:val="16"/>
              </w:rPr>
              <w:t>49 ročných mužov s deťmi od 0</w:t>
            </w:r>
            <w:r w:rsidR="00F80174" w:rsidRPr="004C5551">
              <w:rPr>
                <w:bCs/>
                <w:sz w:val="20"/>
                <w:szCs w:val="16"/>
              </w:rPr>
              <w:t xml:space="preserve"> – </w:t>
            </w:r>
            <w:r w:rsidRPr="004C5551">
              <w:rPr>
                <w:bCs/>
                <w:sz w:val="20"/>
                <w:szCs w:val="16"/>
              </w:rPr>
              <w:t>6 rokov a bez detí (v p. b</w:t>
            </w:r>
            <w:r w:rsidR="005308FD" w:rsidRPr="004C5551">
              <w:rPr>
                <w:bCs/>
                <w:sz w:val="20"/>
                <w:szCs w:val="16"/>
              </w:rPr>
              <w:t xml:space="preserve">., </w:t>
            </w:r>
            <w:r w:rsidRPr="004C5551">
              <w:rPr>
                <w:bCs/>
                <w:sz w:val="20"/>
                <w:szCs w:val="16"/>
              </w:rPr>
              <w:t>2012, EC)</w:t>
            </w:r>
          </w:p>
        </w:tc>
        <w:tc>
          <w:tcPr>
            <w:tcW w:w="3067" w:type="dxa"/>
            <w:gridSpan w:val="9"/>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F3057">
            <w:pPr>
              <w:jc w:val="center"/>
              <w:rPr>
                <w:bCs/>
                <w:sz w:val="20"/>
                <w:szCs w:val="16"/>
              </w:rPr>
            </w:pPr>
            <w:r w:rsidRPr="004C5551">
              <w:rPr>
                <w:bCs/>
                <w:sz w:val="20"/>
                <w:szCs w:val="16"/>
              </w:rPr>
              <w:t>12,2**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11,4**</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6D1305">
            <w:pPr>
              <w:jc w:val="left"/>
              <w:rPr>
                <w:bCs/>
                <w:sz w:val="20"/>
                <w:szCs w:val="16"/>
              </w:rPr>
            </w:pPr>
            <w:r w:rsidRPr="004C5551">
              <w:rPr>
                <w:bCs/>
                <w:sz w:val="20"/>
                <w:szCs w:val="16"/>
              </w:rPr>
              <w:t>Podiel absolventov vysokých škôl (v</w:t>
            </w:r>
            <w:r w:rsidR="009425AA" w:rsidRPr="004C5551">
              <w:rPr>
                <w:bCs/>
                <w:sz w:val="20"/>
                <w:szCs w:val="16"/>
              </w:rPr>
              <w:t> %</w:t>
            </w:r>
            <w:r w:rsidRPr="004C5551">
              <w:rPr>
                <w:bCs/>
                <w:sz w:val="20"/>
                <w:szCs w:val="16"/>
              </w:rPr>
              <w:t>, 2013, všetky školy a</w:t>
            </w:r>
            <w:r w:rsidR="006D1305" w:rsidRPr="004C5551">
              <w:rPr>
                <w:bCs/>
                <w:sz w:val="20"/>
                <w:szCs w:val="16"/>
              </w:rPr>
              <w:t> </w:t>
            </w:r>
            <w:r w:rsidRPr="004C5551">
              <w:rPr>
                <w:bCs/>
                <w:sz w:val="20"/>
                <w:szCs w:val="16"/>
              </w:rPr>
              <w:t>všetky formy štúdia, MŠVV a ŠÚ SR)</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64,0</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36,0</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-28,0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Skorý odchod zo vzdelávania (% populácie vo veku 18</w:t>
            </w:r>
            <w:r w:rsidR="00F80174" w:rsidRPr="004C5551">
              <w:rPr>
                <w:bCs/>
                <w:sz w:val="20"/>
                <w:szCs w:val="16"/>
              </w:rPr>
              <w:t xml:space="preserve"> – </w:t>
            </w:r>
            <w:r w:rsidRPr="004C5551">
              <w:rPr>
                <w:bCs/>
                <w:sz w:val="20"/>
                <w:szCs w:val="16"/>
              </w:rPr>
              <w:t xml:space="preserve">24 rokov s nižším ako SŠ vzdelaním, 2013, EK) </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6,1</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6,7</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13,6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3,4</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F80174" w:rsidP="00C568C9">
            <w:pPr>
              <w:jc w:val="left"/>
              <w:rPr>
                <w:bCs/>
                <w:sz w:val="20"/>
                <w:szCs w:val="16"/>
              </w:rPr>
            </w:pPr>
            <w:r w:rsidRPr="004C5551">
              <w:rPr>
                <w:bCs/>
                <w:sz w:val="20"/>
                <w:szCs w:val="16"/>
              </w:rPr>
              <w:t xml:space="preserve">Mladí ľudia vo veku 15 – </w:t>
            </w:r>
            <w:r w:rsidR="00DE70AE" w:rsidRPr="004C5551">
              <w:rPr>
                <w:bCs/>
                <w:sz w:val="20"/>
                <w:szCs w:val="16"/>
              </w:rPr>
              <w:t>24 rokov mimo zamestnania i vzdelávania – NEET (v</w:t>
            </w:r>
            <w:r w:rsidR="009425AA" w:rsidRPr="004C5551">
              <w:rPr>
                <w:bCs/>
                <w:sz w:val="20"/>
                <w:szCs w:val="16"/>
              </w:rPr>
              <w:t> %</w:t>
            </w:r>
            <w:r w:rsidR="00DE70AE" w:rsidRPr="004C5551">
              <w:rPr>
                <w:bCs/>
                <w:sz w:val="20"/>
                <w:szCs w:val="16"/>
              </w:rPr>
              <w:t>, 2013, EK)</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13,1</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13,3</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14,2</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12,8</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-0,5</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rizika príjmovej chudoby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2013, EU SILC,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12,9</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17,2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12,8</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16,1</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C568C9">
            <w:pPr>
              <w:jc w:val="center"/>
              <w:rPr>
                <w:b/>
                <w:bCs/>
                <w:sz w:val="20"/>
                <w:szCs w:val="16"/>
              </w:rPr>
            </w:pPr>
            <w:r w:rsidRPr="004C5551">
              <w:rPr>
                <w:b/>
                <w:bCs/>
                <w:sz w:val="20"/>
                <w:szCs w:val="16"/>
              </w:rPr>
              <w:t>-</w:t>
            </w:r>
            <w:r w:rsidR="00DE70AE" w:rsidRPr="004C5551">
              <w:rPr>
                <w:b/>
                <w:bCs/>
                <w:sz w:val="20"/>
                <w:szCs w:val="16"/>
              </w:rPr>
              <w:t>0,1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-1,1</w:t>
            </w:r>
          </w:p>
        </w:tc>
      </w:tr>
      <w:tr w:rsidR="00F0314B" w:rsidRPr="004C5551" w:rsidTr="00F0314B">
        <w:trPr>
          <w:trHeight w:val="283"/>
        </w:trPr>
        <w:tc>
          <w:tcPr>
            <w:tcW w:w="5296" w:type="dxa"/>
            <w:gridSpan w:val="2"/>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Miera rizika príjmovej chudoby starších (v</w:t>
            </w:r>
            <w:r w:rsidR="009425AA" w:rsidRPr="004C5551">
              <w:rPr>
                <w:bCs/>
                <w:sz w:val="20"/>
                <w:szCs w:val="16"/>
              </w:rPr>
              <w:t> %</w:t>
            </w:r>
            <w:r w:rsidRPr="004C5551">
              <w:rPr>
                <w:bCs/>
                <w:sz w:val="20"/>
                <w:szCs w:val="16"/>
              </w:rPr>
              <w:t xml:space="preserve">, 65 a viac rokov, 2013, EU SILC, </w:t>
            </w:r>
            <w:proofErr w:type="spellStart"/>
            <w:r w:rsidRPr="004C5551">
              <w:rPr>
                <w:bCs/>
                <w:sz w:val="20"/>
                <w:szCs w:val="16"/>
              </w:rPr>
              <w:t>Eurostat</w:t>
            </w:r>
            <w:proofErr w:type="spellEnd"/>
            <w:r w:rsidRPr="004C5551">
              <w:rPr>
                <w:bCs/>
                <w:sz w:val="20"/>
                <w:szCs w:val="16"/>
              </w:rPr>
              <w:t>)</w:t>
            </w:r>
          </w:p>
        </w:tc>
        <w:tc>
          <w:tcPr>
            <w:tcW w:w="51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7,6</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15,6</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3,3</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 11,4</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b/>
                <w:bCs/>
                <w:sz w:val="20"/>
                <w:szCs w:val="16"/>
              </w:rPr>
            </w:pPr>
            <w:r w:rsidRPr="004C5551">
              <w:rPr>
                <w:b/>
                <w:bCs/>
                <w:sz w:val="20"/>
                <w:szCs w:val="16"/>
              </w:rPr>
              <w:t>-</w:t>
            </w:r>
            <w:r w:rsidR="007D0A10" w:rsidRPr="004C5551">
              <w:rPr>
                <w:b/>
                <w:bCs/>
                <w:sz w:val="20"/>
                <w:szCs w:val="16"/>
              </w:rPr>
              <w:t>4,3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 - 4,2</w:t>
            </w:r>
          </w:p>
        </w:tc>
      </w:tr>
      <w:tr w:rsidR="00DE70AE" w:rsidRPr="004C5551" w:rsidTr="00F0314B">
        <w:trPr>
          <w:trHeight w:val="283"/>
        </w:trPr>
        <w:tc>
          <w:tcPr>
            <w:tcW w:w="7796" w:type="dxa"/>
            <w:gridSpan w:val="10"/>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w:t>
            </w:r>
            <w:r w:rsidR="005308FD" w:rsidRPr="004C5551">
              <w:rPr>
                <w:bCs/>
                <w:sz w:val="20"/>
                <w:szCs w:val="16"/>
              </w:rPr>
              <w:t xml:space="preserve">rizika </w:t>
            </w:r>
            <w:r w:rsidRPr="004C5551">
              <w:rPr>
                <w:bCs/>
                <w:sz w:val="20"/>
                <w:szCs w:val="16"/>
              </w:rPr>
              <w:t xml:space="preserve">príjmovej chudoby jednorodičovských rodín </w:t>
            </w:r>
          </w:p>
          <w:p w:rsidR="00DE70AE" w:rsidRPr="004C5551" w:rsidRDefault="00DE70AE" w:rsidP="00C568C9">
            <w:pPr>
              <w:jc w:val="left"/>
              <w:rPr>
                <w:bCs/>
                <w:sz w:val="20"/>
                <w:szCs w:val="16"/>
              </w:rPr>
            </w:pPr>
            <w:r w:rsidRPr="004C5551">
              <w:rPr>
                <w:bCs/>
                <w:sz w:val="20"/>
                <w:szCs w:val="16"/>
              </w:rPr>
              <w:t>(v</w:t>
            </w:r>
            <w:r w:rsidR="009425AA" w:rsidRPr="004C5551">
              <w:rPr>
                <w:bCs/>
                <w:sz w:val="20"/>
                <w:szCs w:val="16"/>
              </w:rPr>
              <w:t> %</w:t>
            </w:r>
            <w:r w:rsidRPr="004C5551">
              <w:rPr>
                <w:bCs/>
                <w:sz w:val="20"/>
                <w:szCs w:val="16"/>
              </w:rPr>
              <w:t xml:space="preserve">, najmenej 1 dieťa, 2013 /2012, EU SILC, </w:t>
            </w:r>
            <w:proofErr w:type="spellStart"/>
            <w:r w:rsidRPr="004C5551">
              <w:rPr>
                <w:bCs/>
                <w:sz w:val="20"/>
                <w:szCs w:val="16"/>
              </w:rPr>
              <w:t>Eurostat</w:t>
            </w:r>
            <w:proofErr w:type="spellEnd"/>
            <w:r w:rsidRPr="004C5551">
              <w:rPr>
                <w:bCs/>
                <w:sz w:val="20"/>
                <w:szCs w:val="16"/>
              </w:rPr>
              <w:t>)</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 xml:space="preserve">30,1 </w:t>
            </w:r>
            <w:r w:rsidRPr="004C5551">
              <w:rPr>
                <w:bCs/>
                <w:sz w:val="20"/>
                <w:szCs w:val="16"/>
              </w:rPr>
              <w:t>/27,5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 /34,2</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rizika príjmovej chudoby jednočlennej domácnosti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2013,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14,0</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 25,1</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19,6</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 24,6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b/>
                <w:bCs/>
                <w:sz w:val="20"/>
                <w:szCs w:val="16"/>
              </w:rPr>
            </w:pPr>
            <w:r w:rsidRPr="004C5551">
              <w:rPr>
                <w:b/>
                <w:bCs/>
                <w:sz w:val="20"/>
                <w:szCs w:val="16"/>
              </w:rPr>
              <w:t>5,</w:t>
            </w:r>
            <w:r w:rsidR="007D0A10" w:rsidRPr="004C5551">
              <w:rPr>
                <w:b/>
                <w:bCs/>
                <w:sz w:val="20"/>
                <w:szCs w:val="16"/>
              </w:rPr>
              <w:t>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 xml:space="preserve"> 0,5</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Podiel ľudí žijúcich v domácnostiach s nízkou intenzitou práce (v</w:t>
            </w:r>
            <w:r w:rsidR="009425AA" w:rsidRPr="004C5551">
              <w:rPr>
                <w:bCs/>
                <w:sz w:val="20"/>
                <w:szCs w:val="16"/>
              </w:rPr>
              <w:t> %</w:t>
            </w:r>
            <w:r w:rsidRPr="004C5551">
              <w:rPr>
                <w:bCs/>
                <w:sz w:val="20"/>
                <w:szCs w:val="16"/>
              </w:rPr>
              <w:t>, populácia 0</w:t>
            </w:r>
            <w:r w:rsidR="00F80174" w:rsidRPr="004C5551">
              <w:rPr>
                <w:bCs/>
                <w:sz w:val="20"/>
                <w:szCs w:val="16"/>
              </w:rPr>
              <w:t xml:space="preserve"> – </w:t>
            </w:r>
            <w:r w:rsidRPr="004C5551">
              <w:rPr>
                <w:bCs/>
                <w:sz w:val="20"/>
                <w:szCs w:val="16"/>
              </w:rPr>
              <w:t xml:space="preserve">59 rokov,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7,9</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11,2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10,2</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pretrvávajúcej príjmovej chudoby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2011,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8,7</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10,8</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8,5</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9,5</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-1,3</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materiálnej deprivácie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4 a viac položiek, 2013,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10,5</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9,8</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10,0</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9,4</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7D0A10">
            <w:pPr>
              <w:jc w:val="center"/>
              <w:rPr>
                <w:b/>
                <w:bCs/>
                <w:sz w:val="20"/>
                <w:szCs w:val="16"/>
              </w:rPr>
            </w:pPr>
            <w:r w:rsidRPr="004C5551">
              <w:rPr>
                <w:b/>
                <w:bCs/>
                <w:sz w:val="20"/>
                <w:szCs w:val="16"/>
              </w:rPr>
              <w:t>-0</w:t>
            </w:r>
            <w:r w:rsidR="002A689B" w:rsidRPr="004C5551">
              <w:rPr>
                <w:b/>
                <w:bCs/>
                <w:sz w:val="20"/>
                <w:szCs w:val="16"/>
              </w:rPr>
              <w:t>,</w:t>
            </w:r>
            <w:r w:rsidR="007D0A10" w:rsidRPr="004C5551">
              <w:rPr>
                <w:b/>
                <w:bCs/>
                <w:sz w:val="20"/>
                <w:szCs w:val="16"/>
              </w:rPr>
              <w:t>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-0,5</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Miera rizika chudoby a sociálneho vylúčenia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2012,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21,4</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25,4</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19,4</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23,6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-2,0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-1,8</w:t>
            </w:r>
          </w:p>
        </w:tc>
      </w:tr>
      <w:tr w:rsidR="00F0314B" w:rsidRPr="004C5551" w:rsidTr="007F3057">
        <w:trPr>
          <w:cantSplit/>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Miera rizika chudoby a sociálneho </w:t>
            </w:r>
            <w:r w:rsidR="005308FD" w:rsidRPr="004C5551">
              <w:rPr>
                <w:bCs/>
                <w:sz w:val="20"/>
                <w:szCs w:val="16"/>
              </w:rPr>
              <w:t xml:space="preserve">vylúčenia </w:t>
            </w:r>
            <w:r w:rsidRPr="004C5551">
              <w:rPr>
                <w:bCs/>
                <w:sz w:val="20"/>
                <w:szCs w:val="16"/>
              </w:rPr>
              <w:t xml:space="preserve">starších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xml:space="preserve">, 65+ rokov, 2012, EU SILC, </w:t>
            </w:r>
            <w:proofErr w:type="spellStart"/>
            <w:r w:rsidRPr="004C5551">
              <w:rPr>
                <w:bCs/>
                <w:sz w:val="20"/>
                <w:szCs w:val="16"/>
              </w:rPr>
              <w:t>Eurostat</w:t>
            </w:r>
            <w:proofErr w:type="spellEnd"/>
            <w:r w:rsidRPr="004C5551">
              <w:rPr>
                <w:bCs/>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19</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21,7</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11,9</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16,3</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C568C9">
            <w:pPr>
              <w:jc w:val="center"/>
              <w:rPr>
                <w:b/>
                <w:bCs/>
                <w:sz w:val="20"/>
                <w:szCs w:val="16"/>
              </w:rPr>
            </w:pPr>
            <w:r w:rsidRPr="004C5551">
              <w:rPr>
                <w:b/>
                <w:bCs/>
                <w:sz w:val="20"/>
                <w:szCs w:val="16"/>
              </w:rPr>
              <w:t>-</w:t>
            </w:r>
            <w:r w:rsidR="00DE70AE" w:rsidRPr="004C5551">
              <w:rPr>
                <w:b/>
                <w:bCs/>
                <w:sz w:val="20"/>
                <w:szCs w:val="16"/>
              </w:rPr>
              <w:t>7,1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5,4</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Priemerná mesačná výška sólo starobných dôchodkov </w:t>
            </w:r>
            <w:r w:rsidR="006D1305" w:rsidRPr="004C5551">
              <w:rPr>
                <w:bCs/>
                <w:sz w:val="20"/>
                <w:szCs w:val="16"/>
              </w:rPr>
              <w:br/>
            </w:r>
            <w:r w:rsidRPr="004C5551">
              <w:rPr>
                <w:bCs/>
                <w:sz w:val="20"/>
                <w:szCs w:val="16"/>
              </w:rPr>
              <w:t>(v </w:t>
            </w:r>
            <w:r w:rsidR="00AA0137" w:rsidRPr="004C5551">
              <w:rPr>
                <w:bCs/>
                <w:sz w:val="20"/>
                <w:szCs w:val="16"/>
              </w:rPr>
              <w:t>€</w:t>
            </w:r>
            <w:r w:rsidRPr="004C5551">
              <w:rPr>
                <w:bCs/>
                <w:sz w:val="20"/>
                <w:szCs w:val="16"/>
              </w:rPr>
              <w:t xml:space="preserve"> a rozdiel v</w:t>
            </w:r>
            <w:r w:rsidR="009425AA" w:rsidRPr="004C5551">
              <w:rPr>
                <w:bCs/>
                <w:sz w:val="20"/>
                <w:szCs w:val="16"/>
              </w:rPr>
              <w:t> %</w:t>
            </w:r>
            <w:r w:rsidR="005308FD" w:rsidRPr="004C5551">
              <w:rPr>
                <w:bCs/>
                <w:sz w:val="20"/>
                <w:szCs w:val="16"/>
              </w:rPr>
              <w:t xml:space="preserve">, </w:t>
            </w:r>
            <w:r w:rsidRPr="004C5551">
              <w:rPr>
                <w:bCs/>
                <w:sz w:val="20"/>
                <w:szCs w:val="16"/>
              </w:rPr>
              <w:t>2013, Sociálna poisťovňa)</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346,4</w:t>
            </w:r>
          </w:p>
        </w:tc>
        <w:tc>
          <w:tcPr>
            <w:tcW w:w="709"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rPr>
                <w:sz w:val="20"/>
                <w:szCs w:val="16"/>
              </w:rPr>
            </w:pPr>
            <w:r w:rsidRPr="004C5551">
              <w:rPr>
                <w:sz w:val="20"/>
                <w:szCs w:val="16"/>
              </w:rPr>
              <w:t>442,1</w:t>
            </w:r>
          </w:p>
        </w:tc>
        <w:tc>
          <w:tcPr>
            <w:tcW w:w="708"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21,6</w:t>
            </w:r>
            <w:r w:rsidR="006D0272" w:rsidRPr="004C5551">
              <w:rPr>
                <w:b/>
                <w:bCs/>
                <w:sz w:val="20"/>
                <w:szCs w:val="16"/>
              </w:rPr>
              <w:t> </w:t>
            </w:r>
            <w:r w:rsidRPr="004C5551">
              <w:rPr>
                <w:b/>
                <w:bCs/>
                <w:sz w:val="20"/>
                <w:szCs w:val="16"/>
              </w:rPr>
              <w:t>%</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Priemerný rodový rozdiel v poberaných dôchodkoch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2012, EU-SILC, GR)</w:t>
            </w:r>
          </w:p>
        </w:tc>
        <w:tc>
          <w:tcPr>
            <w:tcW w:w="3118" w:type="dxa"/>
            <w:gridSpan w:val="10"/>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3F212C">
            <w:pPr>
              <w:jc w:val="center"/>
              <w:rPr>
                <w:b/>
                <w:bCs/>
                <w:sz w:val="20"/>
                <w:szCs w:val="16"/>
              </w:rPr>
            </w:pPr>
            <w:r w:rsidRPr="004C5551">
              <w:rPr>
                <w:b/>
                <w:bCs/>
                <w:sz w:val="20"/>
                <w:szCs w:val="16"/>
              </w:rPr>
              <w:t>7,2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38,5</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Stredná dĺžka života pri narodení </w:t>
            </w:r>
            <w:r w:rsidR="006D1305" w:rsidRPr="004C5551">
              <w:rPr>
                <w:bCs/>
                <w:sz w:val="20"/>
                <w:szCs w:val="16"/>
              </w:rPr>
              <w:br/>
            </w:r>
            <w:r w:rsidRPr="004C5551">
              <w:rPr>
                <w:bCs/>
                <w:sz w:val="20"/>
                <w:szCs w:val="16"/>
              </w:rPr>
              <w:t>(v rokoch, 2013</w:t>
            </w:r>
            <w:r w:rsidR="00F80174" w:rsidRPr="004C5551">
              <w:rPr>
                <w:bCs/>
                <w:sz w:val="20"/>
                <w:szCs w:val="16"/>
              </w:rPr>
              <w:t xml:space="preserve"> –</w:t>
            </w:r>
            <w:r w:rsidR="007D0A10" w:rsidRPr="004C5551">
              <w:rPr>
                <w:bCs/>
                <w:sz w:val="20"/>
                <w:szCs w:val="16"/>
              </w:rPr>
              <w:t xml:space="preserve"> </w:t>
            </w:r>
            <w:r w:rsidRPr="004C5551">
              <w:rPr>
                <w:bCs/>
                <w:sz w:val="20"/>
                <w:szCs w:val="16"/>
              </w:rPr>
              <w:t>ŠÚ SR a</w:t>
            </w:r>
            <w:r w:rsidR="00F80174" w:rsidRPr="004C5551">
              <w:rPr>
                <w:bCs/>
                <w:sz w:val="20"/>
                <w:szCs w:val="16"/>
              </w:rPr>
              <w:t xml:space="preserve"> 2012 – </w:t>
            </w:r>
            <w:r w:rsidRPr="004C5551">
              <w:rPr>
                <w:bCs/>
                <w:sz w:val="20"/>
                <w:szCs w:val="16"/>
              </w:rPr>
              <w:t>EK)</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79,6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83,1</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77,5</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-6,7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-5,6</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Stredná dĺžka života pri narodení – v zdraví </w:t>
            </w:r>
            <w:r w:rsidR="006D1305" w:rsidRPr="004C5551">
              <w:rPr>
                <w:bCs/>
                <w:sz w:val="20"/>
                <w:szCs w:val="16"/>
              </w:rPr>
              <w:br/>
            </w:r>
            <w:r w:rsidRPr="004C5551">
              <w:rPr>
                <w:bCs/>
                <w:sz w:val="20"/>
                <w:szCs w:val="16"/>
              </w:rPr>
              <w:t>(v rokoch, 2013</w:t>
            </w:r>
            <w:r w:rsidR="00F80174" w:rsidRPr="004C5551">
              <w:rPr>
                <w:bCs/>
                <w:sz w:val="20"/>
                <w:szCs w:val="16"/>
              </w:rPr>
              <w:t xml:space="preserve"> – </w:t>
            </w:r>
            <w:r w:rsidR="007D0A10" w:rsidRPr="004C5551">
              <w:rPr>
                <w:bCs/>
                <w:sz w:val="20"/>
                <w:szCs w:val="16"/>
              </w:rPr>
              <w:t>ŠÚ SR a</w:t>
            </w:r>
            <w:r w:rsidR="002A689B" w:rsidRPr="004C5551">
              <w:rPr>
                <w:bCs/>
                <w:sz w:val="20"/>
                <w:szCs w:val="16"/>
              </w:rPr>
              <w:t xml:space="preserve"> </w:t>
            </w:r>
            <w:r w:rsidR="007D0A10" w:rsidRPr="004C5551">
              <w:rPr>
                <w:bCs/>
                <w:sz w:val="20"/>
                <w:szCs w:val="16"/>
              </w:rPr>
              <w:t>2012</w:t>
            </w:r>
            <w:r w:rsidR="00F80174" w:rsidRPr="004C5551">
              <w:rPr>
                <w:bCs/>
                <w:sz w:val="20"/>
                <w:szCs w:val="16"/>
              </w:rPr>
              <w:t xml:space="preserve"> – </w:t>
            </w:r>
            <w:r w:rsidRPr="004C5551">
              <w:rPr>
                <w:bCs/>
                <w:sz w:val="20"/>
                <w:szCs w:val="16"/>
              </w:rPr>
              <w:t>EK)</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53,1</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62,1</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53,4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61,5</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-0,6</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Samovraždy na 100 000 </w:t>
            </w:r>
            <w:r w:rsidR="005308FD" w:rsidRPr="004C5551">
              <w:rPr>
                <w:bCs/>
                <w:sz w:val="20"/>
                <w:szCs w:val="16"/>
              </w:rPr>
              <w:t xml:space="preserve">obyvateľov </w:t>
            </w:r>
            <w:r w:rsidRPr="004C5551">
              <w:rPr>
                <w:bCs/>
                <w:sz w:val="20"/>
                <w:szCs w:val="16"/>
              </w:rPr>
              <w:t>(2013, ŠÚ SR)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C568C9">
            <w:pPr>
              <w:jc w:val="center"/>
              <w:rPr>
                <w:sz w:val="20"/>
                <w:szCs w:val="16"/>
              </w:rPr>
            </w:pPr>
            <w:r w:rsidRPr="004C5551">
              <w:rPr>
                <w:sz w:val="20"/>
                <w:szCs w:val="16"/>
              </w:rPr>
              <w:t>2,2</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C568C9">
            <w:pPr>
              <w:jc w:val="center"/>
              <w:rPr>
                <w:sz w:val="20"/>
                <w:szCs w:val="16"/>
              </w:rPr>
            </w:pPr>
            <w:r w:rsidRPr="004C5551">
              <w:rPr>
                <w:sz w:val="20"/>
                <w:szCs w:val="16"/>
              </w:rPr>
              <w:t>17,1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7D0A10" w:rsidP="007D0A10">
            <w:pPr>
              <w:jc w:val="center"/>
              <w:rPr>
                <w:b/>
                <w:bCs/>
                <w:sz w:val="20"/>
                <w:szCs w:val="16"/>
              </w:rPr>
            </w:pPr>
            <w:r w:rsidRPr="004C5551">
              <w:rPr>
                <w:b/>
                <w:bCs/>
                <w:sz w:val="20"/>
                <w:szCs w:val="16"/>
              </w:rPr>
              <w:t>14,9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proofErr w:type="spellStart"/>
            <w:r w:rsidRPr="004C5551">
              <w:rPr>
                <w:sz w:val="20"/>
                <w:szCs w:val="16"/>
              </w:rPr>
              <w:t>n.a</w:t>
            </w:r>
            <w:proofErr w:type="spellEnd"/>
            <w:r w:rsidRPr="004C5551">
              <w:rPr>
                <w:sz w:val="20"/>
                <w:szCs w:val="16"/>
              </w:rPr>
              <w:t>.</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Politická participácia </w:t>
            </w:r>
            <w:r w:rsidR="005308FD" w:rsidRPr="004C5551">
              <w:rPr>
                <w:bCs/>
                <w:sz w:val="20"/>
                <w:szCs w:val="16"/>
              </w:rPr>
              <w:t xml:space="preserve">na </w:t>
            </w:r>
            <w:r w:rsidRPr="004C5551">
              <w:rPr>
                <w:bCs/>
                <w:sz w:val="20"/>
                <w:szCs w:val="16"/>
              </w:rPr>
              <w:t xml:space="preserve">európskej úrovni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Európsky parlament, 12/2014,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30,8</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37,0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69,2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63,0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38,4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26,0</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 xml:space="preserve">Politická participácia na národnej úrovni </w:t>
            </w:r>
            <w:r w:rsidR="006D1305" w:rsidRPr="004C5551">
              <w:rPr>
                <w:bCs/>
                <w:sz w:val="20"/>
                <w:szCs w:val="16"/>
              </w:rPr>
              <w:br/>
            </w:r>
            <w:r w:rsidRPr="004C5551">
              <w:rPr>
                <w:bCs/>
                <w:sz w:val="20"/>
                <w:szCs w:val="16"/>
              </w:rPr>
              <w:t>(v</w:t>
            </w:r>
            <w:r w:rsidR="009425AA" w:rsidRPr="004C5551">
              <w:rPr>
                <w:bCs/>
                <w:sz w:val="20"/>
                <w:szCs w:val="16"/>
              </w:rPr>
              <w:t> %</w:t>
            </w:r>
            <w:r w:rsidR="005308FD" w:rsidRPr="004C5551">
              <w:rPr>
                <w:bCs/>
                <w:sz w:val="20"/>
                <w:szCs w:val="16"/>
              </w:rPr>
              <w:t xml:space="preserve">, </w:t>
            </w:r>
            <w:r w:rsidRPr="004C5551">
              <w:rPr>
                <w:bCs/>
                <w:sz w:val="20"/>
                <w:szCs w:val="16"/>
              </w:rPr>
              <w:t>národné parlamenty, 12/2014,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20,0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28,0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60,0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44</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Politická participácia v národných vládach (v</w:t>
            </w:r>
            <w:r w:rsidR="009425AA" w:rsidRPr="004C5551">
              <w:rPr>
                <w:bCs/>
                <w:sz w:val="20"/>
                <w:szCs w:val="16"/>
              </w:rPr>
              <w:t> %</w:t>
            </w:r>
            <w:r w:rsidRPr="004C5551">
              <w:rPr>
                <w:bCs/>
                <w:sz w:val="20"/>
                <w:szCs w:val="16"/>
              </w:rPr>
              <w:t>, 02/2014,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28,0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44</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Politická participácia vo vedení regionálnych zastupiteľstiev </w:t>
            </w:r>
            <w:r w:rsidR="006D1305" w:rsidRPr="004C5551">
              <w:rPr>
                <w:bCs/>
                <w:sz w:val="20"/>
                <w:szCs w:val="16"/>
              </w:rPr>
              <w:br/>
            </w:r>
            <w:r w:rsidRPr="004C5551">
              <w:rPr>
                <w:bCs/>
                <w:sz w:val="20"/>
                <w:szCs w:val="16"/>
              </w:rPr>
              <w:t>(v</w:t>
            </w:r>
            <w:r w:rsidR="009425AA" w:rsidRPr="004C5551">
              <w:rPr>
                <w:bCs/>
                <w:sz w:val="20"/>
                <w:szCs w:val="16"/>
              </w:rPr>
              <w:t> %</w:t>
            </w:r>
            <w:r w:rsidRPr="004C5551">
              <w:rPr>
                <w:bCs/>
                <w:sz w:val="20"/>
                <w:szCs w:val="16"/>
              </w:rPr>
              <w:t>, 12/2014,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86</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 xml:space="preserve">Politická participácia na regionálnej úrovni </w:t>
            </w:r>
            <w:r w:rsidR="006D1305" w:rsidRPr="004C5551">
              <w:rPr>
                <w:bCs/>
                <w:sz w:val="20"/>
                <w:szCs w:val="16"/>
              </w:rPr>
              <w:br/>
            </w:r>
            <w:r w:rsidRPr="004C5551">
              <w:rPr>
                <w:bCs/>
                <w:sz w:val="20"/>
                <w:szCs w:val="16"/>
              </w:rPr>
              <w:t>( v</w:t>
            </w:r>
            <w:r w:rsidR="009425AA" w:rsidRPr="004C5551">
              <w:rPr>
                <w:bCs/>
                <w:sz w:val="20"/>
                <w:szCs w:val="16"/>
              </w:rPr>
              <w:t> %</w:t>
            </w:r>
            <w:r w:rsidRPr="004C5551">
              <w:rPr>
                <w:bCs/>
                <w:sz w:val="20"/>
                <w:szCs w:val="16"/>
              </w:rPr>
              <w:t>, regionálne zastupiteľstvá, 12/2014, EC)</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15,4</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32,0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84,6</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68,0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69,2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36,0</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5308FD">
            <w:pPr>
              <w:jc w:val="left"/>
              <w:rPr>
                <w:bCs/>
                <w:sz w:val="20"/>
                <w:szCs w:val="16"/>
              </w:rPr>
            </w:pPr>
            <w:r w:rsidRPr="004C5551">
              <w:rPr>
                <w:bCs/>
                <w:sz w:val="20"/>
                <w:szCs w:val="16"/>
              </w:rPr>
              <w:t>Politická participácia na úrovni miest a</w:t>
            </w:r>
            <w:r w:rsidR="005308FD" w:rsidRPr="004C5551">
              <w:rPr>
                <w:bCs/>
                <w:sz w:val="20"/>
                <w:szCs w:val="16"/>
              </w:rPr>
              <w:t xml:space="preserve"> obcí </w:t>
            </w:r>
            <w:r w:rsidR="00F80174" w:rsidRPr="004C5551">
              <w:rPr>
                <w:bCs/>
                <w:sz w:val="20"/>
                <w:szCs w:val="16"/>
              </w:rPr>
              <w:t>–</w:t>
            </w:r>
            <w:r w:rsidRPr="004C5551">
              <w:rPr>
                <w:bCs/>
                <w:sz w:val="20"/>
                <w:szCs w:val="16"/>
              </w:rPr>
              <w:t xml:space="preserve"> primátori/-</w:t>
            </w:r>
            <w:proofErr w:type="spellStart"/>
            <w:r w:rsidRPr="004C5551">
              <w:rPr>
                <w:bCs/>
                <w:sz w:val="20"/>
                <w:szCs w:val="16"/>
              </w:rPr>
              <w:t>ky</w:t>
            </w:r>
            <w:proofErr w:type="spellEnd"/>
            <w:r w:rsidRPr="004C5551">
              <w:rPr>
                <w:bCs/>
                <w:sz w:val="20"/>
                <w:szCs w:val="16"/>
              </w:rPr>
              <w:t xml:space="preserve"> a</w:t>
            </w:r>
            <w:r w:rsidR="006D1305" w:rsidRPr="004C5551">
              <w:rPr>
                <w:bCs/>
                <w:sz w:val="20"/>
                <w:szCs w:val="16"/>
              </w:rPr>
              <w:t> </w:t>
            </w:r>
            <w:r w:rsidRPr="004C5551">
              <w:rPr>
                <w:bCs/>
                <w:sz w:val="20"/>
                <w:szCs w:val="16"/>
              </w:rPr>
              <w:t>starostovia/-</w:t>
            </w:r>
            <w:proofErr w:type="spellStart"/>
            <w:r w:rsidR="005308FD" w:rsidRPr="004C5551">
              <w:rPr>
                <w:bCs/>
                <w:sz w:val="20"/>
                <w:szCs w:val="16"/>
              </w:rPr>
              <w:t>tky</w:t>
            </w:r>
            <w:proofErr w:type="spellEnd"/>
            <w:r w:rsidR="005308FD" w:rsidRPr="004C5551">
              <w:rPr>
                <w:bCs/>
                <w:sz w:val="20"/>
                <w:szCs w:val="16"/>
              </w:rPr>
              <w:t xml:space="preserve"> </w:t>
            </w:r>
            <w:r w:rsidRPr="004C5551">
              <w:rPr>
                <w:bCs/>
                <w:sz w:val="20"/>
                <w:szCs w:val="16"/>
              </w:rPr>
              <w:t>(v</w:t>
            </w:r>
            <w:r w:rsidR="009425AA" w:rsidRPr="004C5551">
              <w:rPr>
                <w:bCs/>
                <w:sz w:val="20"/>
                <w:szCs w:val="16"/>
              </w:rPr>
              <w:t> %</w:t>
            </w:r>
            <w:r w:rsidRPr="004C5551">
              <w:rPr>
                <w:bCs/>
                <w:sz w:val="20"/>
                <w:szCs w:val="16"/>
              </w:rPr>
              <w:t>, 07/2013, EC)</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22</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14</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86</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56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72</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F80174">
            <w:pPr>
              <w:jc w:val="left"/>
              <w:rPr>
                <w:bCs/>
                <w:sz w:val="20"/>
                <w:szCs w:val="16"/>
              </w:rPr>
            </w:pPr>
            <w:r w:rsidRPr="004C5551">
              <w:rPr>
                <w:bCs/>
                <w:sz w:val="20"/>
                <w:szCs w:val="16"/>
              </w:rPr>
              <w:t xml:space="preserve">Politická participácia </w:t>
            </w:r>
            <w:r w:rsidR="00F80174" w:rsidRPr="004C5551">
              <w:rPr>
                <w:bCs/>
                <w:sz w:val="20"/>
                <w:szCs w:val="16"/>
              </w:rPr>
              <w:t>–</w:t>
            </w:r>
            <w:r w:rsidRPr="004C5551">
              <w:rPr>
                <w:bCs/>
                <w:sz w:val="20"/>
                <w:szCs w:val="16"/>
              </w:rPr>
              <w:t xml:space="preserve"> vedenie politických strán s najmenej 5</w:t>
            </w:r>
            <w:r w:rsidR="00875D86" w:rsidRPr="004C5551">
              <w:rPr>
                <w:bCs/>
                <w:sz w:val="20"/>
                <w:szCs w:val="16"/>
              </w:rPr>
              <w:t> </w:t>
            </w:r>
            <w:r w:rsidRPr="004C5551">
              <w:rPr>
                <w:bCs/>
                <w:sz w:val="20"/>
                <w:szCs w:val="16"/>
              </w:rPr>
              <w:t>% miest v nár. parlamentoch (v</w:t>
            </w:r>
            <w:r w:rsidR="009425AA" w:rsidRPr="004C5551">
              <w:rPr>
                <w:bCs/>
                <w:sz w:val="20"/>
                <w:szCs w:val="16"/>
              </w:rPr>
              <w:t> %</w:t>
            </w:r>
            <w:r w:rsidRPr="004C5551">
              <w:rPr>
                <w:bCs/>
                <w:sz w:val="20"/>
                <w:szCs w:val="16"/>
              </w:rPr>
              <w:t>, 14/2013,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12,0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100,0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88,0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76,0</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Miera participácie na riadení v najväčších firmách kótovaných na burze (v</w:t>
            </w:r>
            <w:r w:rsidR="009425AA" w:rsidRPr="004C5551">
              <w:rPr>
                <w:bCs/>
                <w:sz w:val="20"/>
                <w:szCs w:val="16"/>
              </w:rPr>
              <w:t> %</w:t>
            </w:r>
            <w:r w:rsidRPr="004C5551">
              <w:rPr>
                <w:bCs/>
                <w:sz w:val="20"/>
                <w:szCs w:val="16"/>
              </w:rPr>
              <w:t>, 12/2014, GR)</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20,0</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20,2</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80,0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79,8</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b/>
                <w:bCs/>
                <w:sz w:val="20"/>
                <w:szCs w:val="16"/>
              </w:rPr>
            </w:pPr>
            <w:r w:rsidRPr="004C5551">
              <w:rPr>
                <w:b/>
                <w:bCs/>
                <w:sz w:val="20"/>
                <w:szCs w:val="16"/>
              </w:rPr>
              <w:t>60,0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59,6</w:t>
            </w:r>
          </w:p>
        </w:tc>
      </w:tr>
      <w:tr w:rsidR="00F0314B" w:rsidRPr="004C5551" w:rsidTr="00F0314B">
        <w:trPr>
          <w:trHeight w:val="283"/>
        </w:trPr>
        <w:tc>
          <w:tcPr>
            <w:tcW w:w="5245"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left"/>
              <w:rPr>
                <w:bCs/>
                <w:sz w:val="20"/>
                <w:szCs w:val="16"/>
              </w:rPr>
            </w:pPr>
            <w:r w:rsidRPr="004C5551">
              <w:rPr>
                <w:bCs/>
                <w:sz w:val="20"/>
                <w:szCs w:val="16"/>
              </w:rPr>
              <w:t>Rodová skladba najvyššieho súdu (v</w:t>
            </w:r>
            <w:r w:rsidR="009425AA" w:rsidRPr="004C5551">
              <w:rPr>
                <w:bCs/>
                <w:sz w:val="20"/>
                <w:szCs w:val="16"/>
              </w:rPr>
              <w:t> %</w:t>
            </w:r>
            <w:r w:rsidRPr="004C5551">
              <w:rPr>
                <w:bCs/>
                <w:sz w:val="20"/>
                <w:szCs w:val="16"/>
              </w:rPr>
              <w:t>, 08/2013, EC)</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53,6</w:t>
            </w:r>
          </w:p>
        </w:tc>
        <w:tc>
          <w:tcPr>
            <w:tcW w:w="567"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35,0</w:t>
            </w:r>
          </w:p>
        </w:tc>
        <w:tc>
          <w:tcPr>
            <w:tcW w:w="567" w:type="dxa"/>
            <w:gridSpan w:val="3"/>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46,4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65,0</w:t>
            </w:r>
          </w:p>
        </w:tc>
        <w:tc>
          <w:tcPr>
            <w:tcW w:w="850"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DE70AE" w:rsidRPr="004C5551" w:rsidRDefault="00DE70AE" w:rsidP="00C568C9">
            <w:pPr>
              <w:ind w:left="52"/>
              <w:jc w:val="center"/>
              <w:rPr>
                <w:b/>
                <w:bCs/>
                <w:sz w:val="20"/>
                <w:szCs w:val="16"/>
              </w:rPr>
            </w:pPr>
            <w:r w:rsidRPr="004C5551">
              <w:rPr>
                <w:b/>
                <w:bCs/>
                <w:sz w:val="20"/>
                <w:szCs w:val="16"/>
              </w:rPr>
              <w:t>-7,2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30,0</w:t>
            </w:r>
          </w:p>
        </w:tc>
      </w:tr>
      <w:tr w:rsidR="00DE70AE" w:rsidRPr="004C5551" w:rsidTr="00F0314B">
        <w:trPr>
          <w:trHeight w:val="283"/>
        </w:trPr>
        <w:tc>
          <w:tcPr>
            <w:tcW w:w="5245"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DE70AE" w:rsidRPr="004C5551" w:rsidRDefault="00DE70AE" w:rsidP="00423669">
            <w:pPr>
              <w:jc w:val="left"/>
              <w:rPr>
                <w:bCs/>
                <w:caps/>
                <w:sz w:val="20"/>
                <w:szCs w:val="16"/>
              </w:rPr>
            </w:pPr>
            <w:r w:rsidRPr="004C5551">
              <w:rPr>
                <w:bCs/>
                <w:caps/>
                <w:sz w:val="20"/>
                <w:szCs w:val="16"/>
              </w:rPr>
              <w:t>Index rodovej rovnosti</w:t>
            </w:r>
            <w:r w:rsidR="00423669" w:rsidRPr="004C5551">
              <w:rPr>
                <w:bCs/>
                <w:caps/>
                <w:sz w:val="20"/>
                <w:szCs w:val="16"/>
              </w:rPr>
              <w:t xml:space="preserve"> </w:t>
            </w:r>
            <w:r w:rsidR="00306BCA" w:rsidRPr="004C5551">
              <w:rPr>
                <w:bCs/>
                <w:caps/>
                <w:sz w:val="20"/>
                <w:szCs w:val="16"/>
              </w:rPr>
              <w:t>***</w:t>
            </w:r>
            <w:r w:rsidR="006D1305" w:rsidRPr="004C5551">
              <w:rPr>
                <w:bCs/>
                <w:caps/>
                <w:sz w:val="20"/>
                <w:szCs w:val="16"/>
              </w:rPr>
              <w:br/>
            </w:r>
            <w:r w:rsidRPr="004C5551">
              <w:rPr>
                <w:bCs/>
                <w:caps/>
                <w:sz w:val="20"/>
                <w:szCs w:val="16"/>
              </w:rPr>
              <w:t>(</w:t>
            </w:r>
            <w:r w:rsidRPr="004C5551">
              <w:rPr>
                <w:bCs/>
                <w:sz w:val="20"/>
                <w:szCs w:val="16"/>
              </w:rPr>
              <w:t>v</w:t>
            </w:r>
            <w:r w:rsidR="009425AA" w:rsidRPr="004C5551">
              <w:rPr>
                <w:bCs/>
                <w:caps/>
                <w:sz w:val="20"/>
                <w:szCs w:val="16"/>
              </w:rPr>
              <w:t> %</w:t>
            </w:r>
            <w:r w:rsidRPr="004C5551">
              <w:rPr>
                <w:bCs/>
                <w:caps/>
                <w:sz w:val="20"/>
                <w:szCs w:val="16"/>
              </w:rPr>
              <w:t>, 2012 /2010 /2005, EIGE)</w:t>
            </w:r>
          </w:p>
        </w:tc>
        <w:tc>
          <w:tcPr>
            <w:tcW w:w="3118" w:type="dxa"/>
            <w:gridSpan w:val="10"/>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DE70AE" w:rsidRPr="004C5551" w:rsidRDefault="00DE70AE" w:rsidP="003F212C">
            <w:pPr>
              <w:jc w:val="center"/>
              <w:rPr>
                <w:bCs/>
                <w:sz w:val="20"/>
                <w:szCs w:val="16"/>
              </w:rPr>
            </w:pPr>
            <w:r w:rsidRPr="004C5551">
              <w:rPr>
                <w:b/>
                <w:bCs/>
                <w:sz w:val="20"/>
                <w:szCs w:val="16"/>
              </w:rPr>
              <w:t xml:space="preserve">36,5 </w:t>
            </w:r>
            <w:r w:rsidRPr="004C5551">
              <w:rPr>
                <w:bCs/>
                <w:sz w:val="20"/>
                <w:szCs w:val="16"/>
              </w:rPr>
              <w:t>/39,8 /41,5</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DE70AE" w:rsidRPr="004C5551" w:rsidRDefault="00DE70AE" w:rsidP="00C568C9">
            <w:pPr>
              <w:jc w:val="center"/>
              <w:rPr>
                <w:sz w:val="20"/>
                <w:szCs w:val="16"/>
              </w:rPr>
            </w:pPr>
            <w:r w:rsidRPr="004C5551">
              <w:rPr>
                <w:sz w:val="20"/>
                <w:szCs w:val="16"/>
              </w:rPr>
              <w:t>52,8</w:t>
            </w:r>
          </w:p>
        </w:tc>
      </w:tr>
    </w:tbl>
    <w:p w:rsidR="0030414F" w:rsidRPr="004C5551" w:rsidRDefault="00DE70AE" w:rsidP="00306BCA">
      <w:pPr>
        <w:pStyle w:val="zdroj"/>
        <w:spacing w:after="0"/>
        <w:ind w:firstLine="0"/>
      </w:pPr>
      <w:r w:rsidRPr="004C5551">
        <w:t xml:space="preserve">Poznámky: </w:t>
      </w:r>
    </w:p>
    <w:p w:rsidR="00DE70AE" w:rsidRPr="004C5551" w:rsidRDefault="0030414F" w:rsidP="00306BCA">
      <w:pPr>
        <w:pStyle w:val="zdroj"/>
        <w:spacing w:after="0"/>
        <w:ind w:firstLine="0"/>
      </w:pPr>
      <w:r w:rsidRPr="004C5551">
        <w:t>*</w:t>
      </w:r>
      <w:r w:rsidR="00DE70AE" w:rsidRPr="004C5551">
        <w:t>Rodový rozdiel = hodnoty mužov mínus hodnoty žien v percentuálnych bodoch (p. b.), ak nie je uvedené inak.</w:t>
      </w:r>
    </w:p>
    <w:p w:rsidR="00DE70AE" w:rsidRPr="004C5551" w:rsidRDefault="00DE70AE" w:rsidP="00306BCA">
      <w:pPr>
        <w:pStyle w:val="zdroj"/>
        <w:spacing w:before="0" w:after="0"/>
        <w:ind w:firstLine="0"/>
      </w:pPr>
      <w:proofErr w:type="spellStart"/>
      <w:r w:rsidRPr="004C5551">
        <w:t>n.a</w:t>
      </w:r>
      <w:proofErr w:type="spellEnd"/>
      <w:r w:rsidRPr="004C5551">
        <w:t>. = nedostupný údaj</w:t>
      </w:r>
    </w:p>
    <w:p w:rsidR="00DE70AE" w:rsidRPr="004C5551" w:rsidRDefault="00306BCA" w:rsidP="00306BCA">
      <w:pPr>
        <w:pStyle w:val="zdroj"/>
        <w:spacing w:before="0" w:after="0"/>
        <w:ind w:firstLine="0"/>
      </w:pPr>
      <w:r w:rsidRPr="004C5551">
        <w:t>ISSP</w:t>
      </w:r>
      <w:r w:rsidR="00DE70AE" w:rsidRPr="004C5551">
        <w:t xml:space="preserve">= </w:t>
      </w:r>
      <w:proofErr w:type="spellStart"/>
      <w:r w:rsidR="00DE70AE" w:rsidRPr="004C5551">
        <w:t>International</w:t>
      </w:r>
      <w:proofErr w:type="spellEnd"/>
      <w:r w:rsidR="00DE70AE" w:rsidRPr="004C5551">
        <w:t xml:space="preserve"> </w:t>
      </w:r>
      <w:proofErr w:type="spellStart"/>
      <w:r w:rsidR="00DE70AE" w:rsidRPr="004C5551">
        <w:t>Social</w:t>
      </w:r>
      <w:proofErr w:type="spellEnd"/>
      <w:r w:rsidR="00DE70AE" w:rsidRPr="004C5551">
        <w:t xml:space="preserve"> </w:t>
      </w:r>
      <w:proofErr w:type="spellStart"/>
      <w:r w:rsidR="00DE70AE" w:rsidRPr="004C5551">
        <w:t>Survey</w:t>
      </w:r>
      <w:proofErr w:type="spellEnd"/>
      <w:r w:rsidR="00DE70AE" w:rsidRPr="004C5551">
        <w:t xml:space="preserve"> </w:t>
      </w:r>
      <w:proofErr w:type="spellStart"/>
      <w:r w:rsidR="00DE70AE" w:rsidRPr="004C5551">
        <w:t>Programme</w:t>
      </w:r>
      <w:proofErr w:type="spellEnd"/>
      <w:r w:rsidR="00DE70AE" w:rsidRPr="004C5551">
        <w:t>, Slovensko 2012</w:t>
      </w:r>
    </w:p>
    <w:p w:rsidR="00306BCA" w:rsidRPr="004C5551" w:rsidRDefault="00DE70AE" w:rsidP="00306BCA">
      <w:pPr>
        <w:pStyle w:val="zdroj"/>
        <w:spacing w:before="0" w:after="0"/>
        <w:ind w:firstLine="0"/>
      </w:pPr>
      <w:r w:rsidRPr="004C5551">
        <w:t>**</w:t>
      </w:r>
      <w:r w:rsidR="0030414F" w:rsidRPr="004C5551">
        <w:t xml:space="preserve"> </w:t>
      </w:r>
      <w:r w:rsidRPr="004C5551">
        <w:t xml:space="preserve">rozdiel v percentuálnych bodoch medzi ženami/mužmi s deťmi a ženami/mužmi bez detí </w:t>
      </w:r>
    </w:p>
    <w:p w:rsidR="00306BCA" w:rsidRPr="004C5551" w:rsidRDefault="00306BCA" w:rsidP="00306BCA">
      <w:pPr>
        <w:pStyle w:val="zdroj"/>
        <w:spacing w:before="0" w:after="0"/>
        <w:ind w:firstLine="0"/>
      </w:pPr>
      <w:r w:rsidRPr="004C5551">
        <w:t>*** Európsky inštitút rodovej rovnosti (EIGE) vypracoval pre EK</w:t>
      </w:r>
      <w:r w:rsidR="00423669" w:rsidRPr="004C5551">
        <w:t xml:space="preserve"> </w:t>
      </w:r>
      <w:r w:rsidRPr="004C5551">
        <w:t>Index rodovej rovnosti</w:t>
      </w:r>
      <w:r w:rsidR="00423669" w:rsidRPr="004C5551">
        <w:t xml:space="preserve"> </w:t>
      </w:r>
      <w:r w:rsidRPr="004C5551">
        <w:t>ako</w:t>
      </w:r>
      <w:r w:rsidR="00423669" w:rsidRPr="004C5551">
        <w:t xml:space="preserve"> </w:t>
      </w:r>
      <w:r w:rsidRPr="004C5551">
        <w:t xml:space="preserve">nástroj merania a </w:t>
      </w:r>
      <w:r w:rsidR="00BC0FE1" w:rsidRPr="004C5551">
        <w:t>porovnávania</w:t>
      </w:r>
      <w:r w:rsidRPr="004C5551">
        <w:t xml:space="preserve"> situácie rodovej rovnosti v niekoľkých kľúčových oblastiach. Meranie je rozdelené do kategórií práca, peniaze, znalosti, čas, moc a zdravie vrátane násilia. Index </w:t>
      </w:r>
      <w:r w:rsidR="00BC0FE1" w:rsidRPr="004C5551">
        <w:t>u</w:t>
      </w:r>
      <w:r w:rsidRPr="004C5551">
        <w:t>možňuje, aby každý členský štát vyhodnotil a navzájom porovnal pokrok, ktorý dosiahol v uvedených dimenzi</w:t>
      </w:r>
      <w:r w:rsidR="00635489" w:rsidRPr="004C5551">
        <w:t>á</w:t>
      </w:r>
      <w:r w:rsidRPr="004C5551">
        <w:t xml:space="preserve">ch rodovej rovnosti. SR zaznamenáva iba čiastočné zlepšenie v jednotlivých doménach a </w:t>
      </w:r>
      <w:proofErr w:type="spellStart"/>
      <w:r w:rsidRPr="004C5551">
        <w:t>subdoménach</w:t>
      </w:r>
      <w:proofErr w:type="spellEnd"/>
      <w:r w:rsidRPr="004C5551">
        <w:t xml:space="preserve">. </w:t>
      </w:r>
    </w:p>
    <w:p w:rsidR="00DE70AE" w:rsidRPr="004C5551" w:rsidRDefault="00DE70AE" w:rsidP="00306BCA">
      <w:pPr>
        <w:pStyle w:val="zdroj"/>
        <w:spacing w:before="0" w:after="0"/>
        <w:ind w:firstLine="0"/>
      </w:pPr>
      <w:r w:rsidRPr="004C5551">
        <w:t>Riziko príjmovej chudoby = príjem pod hranicou 60</w:t>
      </w:r>
      <w:r w:rsidR="006D0272" w:rsidRPr="004C5551">
        <w:t> </w:t>
      </w:r>
      <w:r w:rsidRPr="004C5551">
        <w:t xml:space="preserve">% mediánu národného disponibilného príjmu po sociálnych transferoch </w:t>
      </w:r>
    </w:p>
    <w:p w:rsidR="00DE70AE" w:rsidRPr="004C5551" w:rsidRDefault="00DE70AE" w:rsidP="00306BCA">
      <w:pPr>
        <w:pStyle w:val="zdroj"/>
        <w:spacing w:before="0" w:after="0"/>
        <w:ind w:firstLine="0"/>
      </w:pPr>
      <w:r w:rsidRPr="004C5551">
        <w:t>EC = Databáza Európskej komisie Muži a ženy v riadiacich pozíciách</w:t>
      </w:r>
    </w:p>
    <w:p w:rsidR="00DE70AE" w:rsidRPr="004C5551" w:rsidRDefault="00DE70AE" w:rsidP="00306BCA">
      <w:pPr>
        <w:pStyle w:val="zdroj"/>
        <w:spacing w:before="0" w:after="0"/>
        <w:ind w:firstLine="0"/>
      </w:pPr>
      <w:r w:rsidRPr="004C5551">
        <w:t xml:space="preserve">GR = Výročná správa o rodovej rovnosti: Report on </w:t>
      </w:r>
      <w:proofErr w:type="spellStart"/>
      <w:r w:rsidRPr="004C5551">
        <w:t>Equality</w:t>
      </w:r>
      <w:proofErr w:type="spellEnd"/>
      <w:r w:rsidRPr="004C5551">
        <w:t xml:space="preserve"> </w:t>
      </w:r>
      <w:proofErr w:type="spellStart"/>
      <w:r w:rsidRPr="004C5551">
        <w:t>between</w:t>
      </w:r>
      <w:proofErr w:type="spellEnd"/>
      <w:r w:rsidRPr="004C5551">
        <w:t xml:space="preserve"> </w:t>
      </w:r>
      <w:proofErr w:type="spellStart"/>
      <w:r w:rsidRPr="004C5551">
        <w:t>Women</w:t>
      </w:r>
      <w:proofErr w:type="spellEnd"/>
      <w:r w:rsidRPr="004C5551">
        <w:t xml:space="preserve"> and </w:t>
      </w:r>
      <w:proofErr w:type="spellStart"/>
      <w:r w:rsidRPr="004C5551">
        <w:t>Men</w:t>
      </w:r>
      <w:proofErr w:type="spellEnd"/>
      <w:r w:rsidRPr="004C5551">
        <w:t xml:space="preserve"> 2014. Dostupné na: </w:t>
      </w:r>
      <w:hyperlink r:id="rId83" w:history="1">
        <w:r w:rsidRPr="004C5551">
          <w:t>http://ec.europa.eu/justice/gender-equality/files/annual_reports/150304_annual_report_2014_web_en.pdf</w:t>
        </w:r>
      </w:hyperlink>
      <w:r w:rsidRPr="004C5551">
        <w:t xml:space="preserve">. </w:t>
      </w:r>
    </w:p>
    <w:p w:rsidR="00DE70AE" w:rsidRPr="004C5551" w:rsidRDefault="00DE70AE" w:rsidP="00306BCA">
      <w:pPr>
        <w:pStyle w:val="zdroj"/>
        <w:spacing w:before="0"/>
        <w:ind w:firstLine="0"/>
      </w:pPr>
      <w:r w:rsidRPr="004C5551">
        <w:t xml:space="preserve">EK = Výročná správa Európskej komisie: </w:t>
      </w:r>
      <w:proofErr w:type="spellStart"/>
      <w:r w:rsidRPr="004C5551">
        <w:t>Em</w:t>
      </w:r>
      <w:r w:rsidR="00BC0FE1" w:rsidRPr="004C5551">
        <w:t>p</w:t>
      </w:r>
      <w:r w:rsidRPr="004C5551">
        <w:t>loyment</w:t>
      </w:r>
      <w:proofErr w:type="spellEnd"/>
      <w:r w:rsidRPr="004C5551">
        <w:t xml:space="preserve"> and </w:t>
      </w:r>
      <w:proofErr w:type="spellStart"/>
      <w:r w:rsidRPr="004C5551">
        <w:t>Social</w:t>
      </w:r>
      <w:proofErr w:type="spellEnd"/>
      <w:r w:rsidRPr="004C5551">
        <w:t xml:space="preserve"> </w:t>
      </w:r>
      <w:proofErr w:type="spellStart"/>
      <w:r w:rsidRPr="004C5551">
        <w:t>Development</w:t>
      </w:r>
      <w:proofErr w:type="spellEnd"/>
      <w:r w:rsidRPr="004C5551">
        <w:t xml:space="preserve"> in </w:t>
      </w:r>
      <w:proofErr w:type="spellStart"/>
      <w:r w:rsidRPr="004C5551">
        <w:t>Europe</w:t>
      </w:r>
      <w:proofErr w:type="spellEnd"/>
      <w:r w:rsidRPr="004C5551">
        <w:t xml:space="preserve"> 2014. Dostupné na: </w:t>
      </w:r>
      <w:hyperlink r:id="rId84" w:history="1">
        <w:r w:rsidRPr="004C5551">
          <w:t>http://ec.europa.eu/social/main.jsp?langId=en&amp;catId=89&amp;newsId=2172&amp;furtherNews=y</w:t>
        </w:r>
      </w:hyperlink>
    </w:p>
    <w:p w:rsidR="0031566A" w:rsidRPr="004C5551" w:rsidRDefault="0031566A" w:rsidP="00C5413A">
      <w:pPr>
        <w:pStyle w:val="zdroj"/>
        <w:spacing w:before="0" w:after="0"/>
        <w:ind w:left="150" w:firstLine="15"/>
        <w:rPr>
          <w:color w:val="000000" w:themeColor="text1"/>
        </w:rPr>
      </w:pPr>
    </w:p>
    <w:p w:rsidR="000E0631" w:rsidRPr="004C5551" w:rsidRDefault="000E0631" w:rsidP="00D66312">
      <w:pPr>
        <w:pStyle w:val="zdroj"/>
        <w:spacing w:before="0"/>
        <w:ind w:left="567" w:firstLine="3"/>
        <w:rPr>
          <w:i w:val="0"/>
          <w:color w:val="000000" w:themeColor="text1"/>
        </w:rPr>
        <w:sectPr w:rsidR="000E0631" w:rsidRPr="004C5551" w:rsidSect="004F3C97">
          <w:headerReference w:type="even" r:id="rId85"/>
          <w:headerReference w:type="default" r:id="rId86"/>
          <w:footerReference w:type="even" r:id="rId87"/>
          <w:type w:val="oddPage"/>
          <w:pgSz w:w="11906" w:h="16838"/>
          <w:pgMar w:top="1417" w:right="1417" w:bottom="1417" w:left="1417" w:header="708" w:footer="708" w:gutter="0"/>
          <w:cols w:space="708"/>
          <w:docGrid w:linePitch="360"/>
        </w:sectPr>
      </w:pPr>
    </w:p>
    <w:p w:rsidR="00C76C35" w:rsidRPr="004C5551" w:rsidRDefault="00AC4B2D" w:rsidP="00E120CC">
      <w:pPr>
        <w:pStyle w:val="Nadpis1"/>
        <w:rPr>
          <w:rStyle w:val="Hypertextovprepojenie"/>
          <w:color w:val="6D1D14" w:themeColor="accent2" w:themeShade="80"/>
          <w:u w:val="none"/>
        </w:rPr>
      </w:pPr>
      <w:bookmarkStart w:id="746" w:name="_Toc325438304"/>
      <w:bookmarkStart w:id="747" w:name="_Toc356482780"/>
      <w:bookmarkStart w:id="748" w:name="_Toc356482802"/>
      <w:bookmarkStart w:id="749" w:name="_Toc356482823"/>
      <w:bookmarkStart w:id="750" w:name="_Toc422233445"/>
      <w:r w:rsidRPr="004C5551">
        <w:rPr>
          <w:rStyle w:val="Hypertextovprepojenie"/>
          <w:color w:val="6D1D14" w:themeColor="accent2" w:themeShade="80"/>
          <w:u w:val="none"/>
        </w:rPr>
        <w:t>POROVNANIE V</w:t>
      </w:r>
      <w:r w:rsidR="004F58C9" w:rsidRPr="004C5551">
        <w:rPr>
          <w:rStyle w:val="Hypertextovprepojenie"/>
          <w:color w:val="6D1D14" w:themeColor="accent2" w:themeShade="80"/>
          <w:u w:val="none"/>
        </w:rPr>
        <w:t>Y</w:t>
      </w:r>
      <w:r w:rsidRPr="004C5551">
        <w:rPr>
          <w:rStyle w:val="Hypertextovprepojenie"/>
          <w:color w:val="6D1D14" w:themeColor="accent2" w:themeShade="80"/>
          <w:u w:val="none"/>
        </w:rPr>
        <w:t>BRAN</w:t>
      </w:r>
      <w:r w:rsidR="004F58C9" w:rsidRPr="004C5551">
        <w:rPr>
          <w:rStyle w:val="Hypertextovprepojenie"/>
          <w:color w:val="6D1D14" w:themeColor="accent2" w:themeShade="80"/>
          <w:u w:val="none"/>
        </w:rPr>
        <w:t>Ý</w:t>
      </w:r>
      <w:r w:rsidRPr="004C5551">
        <w:rPr>
          <w:rStyle w:val="Hypertextovprepojenie"/>
          <w:color w:val="6D1D14" w:themeColor="accent2" w:themeShade="80"/>
          <w:u w:val="none"/>
        </w:rPr>
        <w:t xml:space="preserve">CH UKAZOVATEĽOV MEDZI </w:t>
      </w:r>
      <w:r w:rsidR="00C12111" w:rsidRPr="004C5551">
        <w:rPr>
          <w:rStyle w:val="Hypertextovprepojenie"/>
          <w:color w:val="6D1D14" w:themeColor="accent2" w:themeShade="80"/>
          <w:u w:val="none"/>
        </w:rPr>
        <w:t xml:space="preserve">KRAJINAMI </w:t>
      </w:r>
      <w:r w:rsidRPr="004C5551">
        <w:rPr>
          <w:rStyle w:val="Hypertextovprepojenie"/>
          <w:color w:val="6D1D14" w:themeColor="accent2" w:themeShade="80"/>
          <w:u w:val="none"/>
        </w:rPr>
        <w:t>EÚ V KONTEXTE STRATÉGIE EURÓPA</w:t>
      </w:r>
      <w:r w:rsidR="00C76C35" w:rsidRPr="004C5551">
        <w:rPr>
          <w:rStyle w:val="Hypertextovprepojenie"/>
          <w:color w:val="6D1D14" w:themeColor="accent2" w:themeShade="80"/>
          <w:u w:val="none"/>
        </w:rPr>
        <w:t xml:space="preserve"> 2020</w:t>
      </w:r>
      <w:bookmarkEnd w:id="746"/>
      <w:bookmarkEnd w:id="747"/>
      <w:bookmarkEnd w:id="748"/>
      <w:bookmarkEnd w:id="749"/>
      <w:bookmarkEnd w:id="750"/>
    </w:p>
    <w:p w:rsidR="007135B3" w:rsidRPr="004C5551" w:rsidRDefault="007135B3" w:rsidP="007135B3">
      <w:pPr>
        <w:ind w:firstLine="567"/>
      </w:pPr>
      <w:r w:rsidRPr="004C5551">
        <w:t>Stratégia Európa 2020 prijatá Európskou radou 17. júna 2010 je</w:t>
      </w:r>
      <w:r w:rsidR="00423669" w:rsidRPr="004C5551">
        <w:t xml:space="preserve"> </w:t>
      </w:r>
      <w:r w:rsidR="002C0E34" w:rsidRPr="004C5551">
        <w:t>stratégia</w:t>
      </w:r>
      <w:r w:rsidRPr="004C5551">
        <w:t xml:space="preserve"> EÚ pre </w:t>
      </w:r>
      <w:r w:rsidR="002C0E34" w:rsidRPr="004C5551">
        <w:t xml:space="preserve">hospodársky </w:t>
      </w:r>
      <w:r w:rsidRPr="004C5551">
        <w:t>rast a </w:t>
      </w:r>
      <w:r w:rsidR="002C0E34" w:rsidRPr="004C5551">
        <w:t>zamestnanosť</w:t>
      </w:r>
      <w:r w:rsidRPr="004C5551">
        <w:t xml:space="preserve"> v súčasnej dekáde. Stratégia Európa 2020 má pomôcť vyjsť európskym krajinám zo súčasnej hospodárskej krízy a vytvoriť z EÚ inteligentné, udržateľné a </w:t>
      </w:r>
      <w:proofErr w:type="spellStart"/>
      <w:r w:rsidRPr="004C5551">
        <w:t>inkluzívne</w:t>
      </w:r>
      <w:proofErr w:type="spellEnd"/>
      <w:r w:rsidRPr="004C5551">
        <w:t xml:space="preserve"> hospodárstvo s</w:t>
      </w:r>
      <w:r w:rsidR="007F3057" w:rsidRPr="004C5551">
        <w:t> </w:t>
      </w:r>
      <w:r w:rsidRPr="004C5551">
        <w:t>vysokou mierou zamestnanosti, produktivity a sociálnej súdržnosti. Je nástupkyňou Lisabonskej stratégie, ktorá stanovila európske ciele do roku 2010. Hlavné ciele stratégie Európa 2020 sú merané 8</w:t>
      </w:r>
      <w:r w:rsidR="007F3057" w:rsidRPr="004C5551">
        <w:t> </w:t>
      </w:r>
      <w:r w:rsidRPr="004C5551">
        <w:t>hlavnými indikátormi, z ktorých 4 sa priamo viažu na sociálnu oblasť. Tieto ciele boli prevedené do</w:t>
      </w:r>
      <w:r w:rsidR="007F3057" w:rsidRPr="004C5551">
        <w:t> </w:t>
      </w:r>
      <w:r w:rsidRPr="004C5551">
        <w:t>národných cieľov, ktoré zohľadňujú špecifickú situáciu jednotlivých krajín EÚ a zároveň ich maximálne angažujú k dosahovaniu európskych cieľov, a tak zabezpečujú príspevok každej krajiny EÚ k napĺňaniu stratégie.</w:t>
      </w:r>
    </w:p>
    <w:p w:rsidR="007135B3" w:rsidRPr="004C5551" w:rsidRDefault="007135B3" w:rsidP="007135B3">
      <w:pPr>
        <w:pStyle w:val="Normlnysozarkami1"/>
        <w:ind w:firstLine="567"/>
        <w:rPr>
          <w:color w:val="000000" w:themeColor="text1"/>
        </w:rPr>
      </w:pPr>
      <w:r w:rsidRPr="004C5551">
        <w:rPr>
          <w:color w:val="000000" w:themeColor="text1"/>
        </w:rPr>
        <w:t xml:space="preserve">Nasledovné údaje reflektujú sociálno-ekonomickú situáciu na Slovensku v porovnaní s ostatnými krajinami EÚ a v kontexte dosahovania cieľov stratégie Európa 2020. Indikátory sú počítané na základe jednotnej metodiky, ich zdrojom je </w:t>
      </w:r>
      <w:proofErr w:type="spellStart"/>
      <w:r w:rsidRPr="004C5551">
        <w:rPr>
          <w:color w:val="000000" w:themeColor="text1"/>
        </w:rPr>
        <w:t>Eurostat</w:t>
      </w:r>
      <w:proofErr w:type="spellEnd"/>
      <w:r w:rsidRPr="004C5551">
        <w:rPr>
          <w:color w:val="000000" w:themeColor="text1"/>
        </w:rPr>
        <w:t>, a preto sa môžu do istej miery odlišovať od údajov národných štatistických úradov. V prílohe k tejto kapitole sa nachádzajú tabuľky s údajmi v jednotlivých krajinách EU28 v poslednom dostupnom roku.</w:t>
      </w:r>
    </w:p>
    <w:p w:rsidR="007135B3" w:rsidRPr="004C5551" w:rsidRDefault="007135B3" w:rsidP="007135B3">
      <w:pPr>
        <w:rPr>
          <w:color w:val="000000" w:themeColor="text1"/>
        </w:rPr>
      </w:pPr>
    </w:p>
    <w:p w:rsidR="007135B3" w:rsidRPr="004C5551" w:rsidRDefault="007135B3" w:rsidP="007135B3">
      <w:pPr>
        <w:pStyle w:val="nadpis2"/>
        <w:numPr>
          <w:ilvl w:val="0"/>
          <w:numId w:val="0"/>
        </w:numPr>
        <w:ind w:left="576"/>
      </w:pPr>
      <w:bookmarkStart w:id="751" w:name="_Toc394062236"/>
      <w:bookmarkStart w:id="752" w:name="_Toc422233446"/>
      <w:r w:rsidRPr="004C5551">
        <w:t>Makroekonomické prostredie</w:t>
      </w:r>
      <w:bookmarkEnd w:id="751"/>
      <w:bookmarkEnd w:id="752"/>
    </w:p>
    <w:p w:rsidR="007135B3" w:rsidRPr="004C5551" w:rsidRDefault="007135B3" w:rsidP="007135B3">
      <w:pPr>
        <w:pStyle w:val="Normlnysozarkami1"/>
        <w:ind w:firstLine="567"/>
        <w:rPr>
          <w:color w:val="000000" w:themeColor="text1"/>
        </w:rPr>
      </w:pPr>
      <w:r w:rsidRPr="004C5551">
        <w:rPr>
          <w:color w:val="000000" w:themeColor="text1"/>
        </w:rPr>
        <w:t>Vývoj HDP v SR v roku 2014 bol tak ako v predchádzajúcom období priaznivejší ako v EU28, ktorá zaznamenala rast reálneho HDP o 1,3 %. Reálne HDP v SR v priemere v roku 2014 medziročne zrýchlilo svoj rast o 1 p. b. na 2,4 %, a to najmä vďaka nárastu súkromnej spotreby a investícií. Spomedzi krajín EÚ najviac rástol HDP v Írsku (4,8 %), Maďarsku (3,6 %) a Malte (3,5 %). HDP narástlo vo väčšine krajín EU28. Mierny pokles zaznamenalo Fínsko (-0,1 %), Chorvátsko a Taliansko (-0,4 %) a najvyšší bol už druhý rok za sebou pokles HDP na Cypre (</w:t>
      </w:r>
      <w:r w:rsidR="00F80174" w:rsidRPr="004C5551">
        <w:rPr>
          <w:color w:val="000000" w:themeColor="text1"/>
        </w:rPr>
        <w:t>-</w:t>
      </w:r>
      <w:r w:rsidRPr="004C5551">
        <w:rPr>
          <w:color w:val="000000" w:themeColor="text1"/>
        </w:rPr>
        <w:t>2,3 %).</w:t>
      </w:r>
      <w:r w:rsidR="00423669" w:rsidRPr="004C5551">
        <w:rPr>
          <w:color w:val="000000" w:themeColor="text1"/>
        </w:rPr>
        <w:t xml:space="preserve"> </w:t>
      </w:r>
      <w:r w:rsidRPr="004C5551">
        <w:rPr>
          <w:color w:val="000000" w:themeColor="text1"/>
        </w:rPr>
        <w:t>Podľa prognózy Európskej komisie</w:t>
      </w:r>
      <w:r w:rsidR="005377FD" w:rsidRPr="004C5551">
        <w:rPr>
          <w:rStyle w:val="Odkaznapoznmkupodiarou"/>
          <w:color w:val="000000" w:themeColor="text1"/>
        </w:rPr>
        <w:footnoteReference w:id="57"/>
      </w:r>
      <w:r w:rsidRPr="004C5551">
        <w:rPr>
          <w:color w:val="000000" w:themeColor="text1"/>
        </w:rPr>
        <w:t xml:space="preserve"> (ďalej len „EK“) reálne HDP na Slovensku v nasledujúcom období ešte posilní svoj rast a v roku 2015 zrýchli na 3 % (5. najvyšší prognózovaný rast v rámci E</w:t>
      </w:r>
      <w:r w:rsidR="00D40CFE" w:rsidRPr="004C5551">
        <w:rPr>
          <w:color w:val="000000" w:themeColor="text1"/>
        </w:rPr>
        <w:t>U</w:t>
      </w:r>
      <w:r w:rsidRPr="004C5551">
        <w:rPr>
          <w:color w:val="000000" w:themeColor="text1"/>
        </w:rPr>
        <w:t>28) a v roku 2016 na</w:t>
      </w:r>
      <w:r w:rsidR="007F3057" w:rsidRPr="004C5551">
        <w:rPr>
          <w:color w:val="000000" w:themeColor="text1"/>
        </w:rPr>
        <w:t> </w:t>
      </w:r>
      <w:r w:rsidRPr="004C5551">
        <w:rPr>
          <w:color w:val="000000" w:themeColor="text1"/>
        </w:rPr>
        <w:t>3,4 % (3. najvyšší prognózovaný rast v EU28). Podľa odhadu sa rast reálneho HDP posilní aj v priemere v Európe, a to na úrovni 1,6 % v roku 2015 a 2,1 % v roku 2016. Rast o 3 % a viac v nasledujúcich rokoch je okrem Slovenska očakávaný v Írsku, Malte, Luxembursku, v Poľsku a v roku 2016 aj v Litve, Rumunsku a Lotyšsku.</w:t>
      </w:r>
    </w:p>
    <w:p w:rsidR="007135B3" w:rsidRPr="004C5551" w:rsidRDefault="007135B3" w:rsidP="007135B3">
      <w:pPr>
        <w:pStyle w:val="Normlnysozarkami1"/>
        <w:ind w:firstLine="567"/>
        <w:rPr>
          <w:color w:val="000000" w:themeColor="text1"/>
        </w:rPr>
      </w:pPr>
      <w:r w:rsidRPr="004C5551">
        <w:rPr>
          <w:color w:val="000000" w:themeColor="text1"/>
        </w:rPr>
        <w:t xml:space="preserve">V roku 2013 dosiahlo </w:t>
      </w:r>
      <w:r w:rsidRPr="004C5551">
        <w:rPr>
          <w:b/>
          <w:color w:val="000000" w:themeColor="text1"/>
        </w:rPr>
        <w:t>HDP na hlavu</w:t>
      </w:r>
      <w:r w:rsidRPr="004C5551">
        <w:rPr>
          <w:color w:val="000000" w:themeColor="text1"/>
        </w:rPr>
        <w:t xml:space="preserve"> (v PPS) na Slovensku 75 % z priemeru EU28, pričom táto hodnota medziročne narástla o 1 p. b. Nižšie hodnoty HDP na hlavu v porovnaní s EU28 ako Slovensko mali Grécko, Litva, Poľsko, Maďarsko, Lotyšsko, Chorvátsko, Rumunsko a Bulharsko.</w:t>
      </w:r>
    </w:p>
    <w:p w:rsidR="007135B3" w:rsidRPr="004C5551" w:rsidRDefault="007135B3" w:rsidP="007135B3">
      <w:pPr>
        <w:pStyle w:val="Normlnysozarkami1"/>
        <w:ind w:firstLine="567"/>
        <w:rPr>
          <w:color w:val="000000" w:themeColor="text1"/>
        </w:rPr>
      </w:pPr>
      <w:r w:rsidRPr="004C5551">
        <w:rPr>
          <w:color w:val="000000" w:themeColor="text1"/>
        </w:rPr>
        <w:t>Slovensko bola jedna zo 6 krajín EU28, ktoré v roku 2014 zažívali defláciu.</w:t>
      </w:r>
      <w:r w:rsidRPr="004C5551">
        <w:rPr>
          <w:b/>
          <w:color w:val="000000" w:themeColor="text1"/>
        </w:rPr>
        <w:t xml:space="preserve"> Harmonizovaná miera inflácie</w:t>
      </w:r>
      <w:r w:rsidRPr="004C5551">
        <w:rPr>
          <w:color w:val="000000" w:themeColor="text1"/>
        </w:rPr>
        <w:t xml:space="preserve"> na Slovensku v roku 2014 medziročne klesla na -0,1 %, pričom v priemere v E</w:t>
      </w:r>
      <w:r w:rsidR="00D40CFE" w:rsidRPr="004C5551">
        <w:rPr>
          <w:color w:val="000000" w:themeColor="text1"/>
        </w:rPr>
        <w:t>U</w:t>
      </w:r>
      <w:r w:rsidRPr="004C5551">
        <w:rPr>
          <w:color w:val="000000" w:themeColor="text1"/>
        </w:rPr>
        <w:t xml:space="preserve">28 dosiahla 0,6 %. Predpokladá sa, že inflácia ostane v nasledujúcich rokoch utlmená. Podľa odhadov EK v SR sa v roku 2015 očakáva negatívna inflácia úrovni -0,2 %, ktorá vplyvom posilňujúceho domáceho dopytu v roku 2016 stúpne na 1,4 % (v EU28 sa očakáva inflácia na úrovni 0,3 % v 2015 a 1,5 % v 2016). Rast reálneho HDP v SR sa prejavil aj na zlepšení situácie na trhu práce, nakoľko </w:t>
      </w:r>
      <w:r w:rsidRPr="004C5551">
        <w:rPr>
          <w:b/>
          <w:color w:val="000000" w:themeColor="text1"/>
        </w:rPr>
        <w:t>zamestnanosť</w:t>
      </w:r>
      <w:r w:rsidRPr="004C5551">
        <w:rPr>
          <w:color w:val="000000" w:themeColor="text1"/>
        </w:rPr>
        <w:t xml:space="preserve"> v roku 2014</w:t>
      </w:r>
      <w:r w:rsidR="00423669" w:rsidRPr="004C5551">
        <w:rPr>
          <w:color w:val="000000" w:themeColor="text1"/>
        </w:rPr>
        <w:t xml:space="preserve"> </w:t>
      </w:r>
      <w:r w:rsidRPr="004C5551">
        <w:rPr>
          <w:color w:val="000000" w:themeColor="text1"/>
        </w:rPr>
        <w:t>medziročne vzrástla podľa domáceho konceptu (ESA 2010) o 1,4 %. Zamestnanosť podľa ESA 2010 vzrástla aj v priemere v EU28 (0,8 %), hoci nie tak výrazne ako na</w:t>
      </w:r>
      <w:r w:rsidR="007F3057" w:rsidRPr="004C5551">
        <w:rPr>
          <w:color w:val="000000" w:themeColor="text1"/>
        </w:rPr>
        <w:t> </w:t>
      </w:r>
      <w:r w:rsidRPr="004C5551">
        <w:rPr>
          <w:color w:val="000000" w:themeColor="text1"/>
        </w:rPr>
        <w:t>Slovensku. Najväčší nárast zamestnanosti zaznamenala Malta (4,2 %), Maďarsko (3,2 %), Chorvátsko (2,7 %), Veľká Británia (2,3 %) a Litva (2 %). Vyšší rast zamestnanosti ako na Slovensku bol ešte v Írsku a Poľsku (1,7 %) a rovnaký v Portugalsku (1,4 %). V Holandsku, Fínsku, Lotyšsku a na Cypre zamestnanosť klesla. V nasledujúcich rokoch sa očakáva ďalší rast zamestnanosti, a to aj na Slovensku (v roku 2015 o 1,3 % a v roku 2015 o 1,5 %) aj v EU28 (1 % v roku 2014 aj v roku 2015). Nárast zamestnanosti v rokoch 2015 a 2016 na Slovensku bude 6. najvyšší v rámci E</w:t>
      </w:r>
      <w:r w:rsidR="00D40CFE" w:rsidRPr="004C5551">
        <w:rPr>
          <w:color w:val="000000" w:themeColor="text1"/>
        </w:rPr>
        <w:t>U</w:t>
      </w:r>
      <w:r w:rsidRPr="004C5551">
        <w:rPr>
          <w:color w:val="000000" w:themeColor="text1"/>
        </w:rPr>
        <w:t>28.</w:t>
      </w:r>
    </w:p>
    <w:p w:rsidR="007135B3" w:rsidRPr="004C5551" w:rsidRDefault="007135B3" w:rsidP="007135B3">
      <w:pPr>
        <w:pStyle w:val="Normlnysozarkami1"/>
        <w:ind w:firstLine="567"/>
        <w:rPr>
          <w:color w:val="000000" w:themeColor="text1"/>
        </w:rPr>
      </w:pPr>
      <w:r w:rsidRPr="004C5551">
        <w:rPr>
          <w:b/>
          <w:color w:val="000000" w:themeColor="text1"/>
        </w:rPr>
        <w:t>Deficit verejných financií</w:t>
      </w:r>
      <w:r w:rsidRPr="004C5551">
        <w:rPr>
          <w:color w:val="000000" w:themeColor="text1"/>
        </w:rPr>
        <w:t xml:space="preserve"> podľa </w:t>
      </w:r>
      <w:proofErr w:type="spellStart"/>
      <w:r w:rsidRPr="004C5551">
        <w:rPr>
          <w:color w:val="000000" w:themeColor="text1"/>
        </w:rPr>
        <w:t>Eurostatu</w:t>
      </w:r>
      <w:proofErr w:type="spellEnd"/>
      <w:r w:rsidRPr="004C5551">
        <w:rPr>
          <w:color w:val="000000" w:themeColor="text1"/>
        </w:rPr>
        <w:t xml:space="preserve"> na Slovensku v roku 2014 stúpol na 2,9 % HDP</w:t>
      </w:r>
      <w:r w:rsidR="002C0E34" w:rsidRPr="004C5551">
        <w:rPr>
          <w:color w:val="000000" w:themeColor="text1"/>
        </w:rPr>
        <w:t xml:space="preserve"> (z</w:t>
      </w:r>
      <w:r w:rsidR="007F3057" w:rsidRPr="004C5551">
        <w:rPr>
          <w:color w:val="000000" w:themeColor="text1"/>
        </w:rPr>
        <w:t> </w:t>
      </w:r>
      <w:r w:rsidR="002C0E34" w:rsidRPr="004C5551">
        <w:rPr>
          <w:color w:val="000000" w:themeColor="text1"/>
        </w:rPr>
        <w:t>2,6 % v roku 2013)</w:t>
      </w:r>
      <w:r w:rsidRPr="004C5551">
        <w:rPr>
          <w:color w:val="000000" w:themeColor="text1"/>
        </w:rPr>
        <w:t xml:space="preserve"> a bol na rovnakej úrovni ako priemerný deficit EU28. Najvyšší deficit v rámci EU28 mal Cyprus (8,8 %), Španielsko (5,8 %), Veľká Británia a Chorvátsko (obe krajiny 5,7 %). Podľa prognózy EK by sa deficit na Slovensku mal v nasledujúcich rokoch znížiť na 2,7 % HDP v roku 2015 a 2,5 % HDP v roku 2016. </w:t>
      </w:r>
      <w:r w:rsidR="00173201" w:rsidRPr="004C5551">
        <w:rPr>
          <w:color w:val="000000" w:themeColor="text1"/>
        </w:rPr>
        <w:t xml:space="preserve">V roku 2014 bolo Slovensko vyradené z procedúry nadmerného deficitu a Európska komisia </w:t>
      </w:r>
      <w:r w:rsidR="00DE321A" w:rsidRPr="004C5551">
        <w:rPr>
          <w:color w:val="000000" w:themeColor="text1"/>
        </w:rPr>
        <w:t>ho</w:t>
      </w:r>
      <w:r w:rsidR="00173201" w:rsidRPr="004C5551">
        <w:rPr>
          <w:color w:val="000000" w:themeColor="text1"/>
        </w:rPr>
        <w:t xml:space="preserve"> zaradila do elitnej skupiny štyroch krajín eurozóny s najzodpovednejším deficitom.</w:t>
      </w:r>
      <w:r w:rsidR="009611FF" w:rsidRPr="004C5551">
        <w:rPr>
          <w:color w:val="000000" w:themeColor="text1"/>
        </w:rPr>
        <w:t xml:space="preserve"> Prijaté reformy penzijného systému a ozdravenie verejných financií viedli k zlepšeniu dlhodobej udržateľnosti verejných financií.</w:t>
      </w:r>
      <w:r w:rsidR="00173201" w:rsidRPr="004C5551">
        <w:rPr>
          <w:color w:val="000000" w:themeColor="text1"/>
        </w:rPr>
        <w:t xml:space="preserve"> </w:t>
      </w:r>
      <w:r w:rsidRPr="004C5551">
        <w:rPr>
          <w:b/>
          <w:color w:val="000000" w:themeColor="text1"/>
        </w:rPr>
        <w:t>Konsolidovaný dlh verejných financií</w:t>
      </w:r>
      <w:r w:rsidRPr="004C5551">
        <w:rPr>
          <w:color w:val="000000" w:themeColor="text1"/>
        </w:rPr>
        <w:t xml:space="preserve"> podľa </w:t>
      </w:r>
      <w:proofErr w:type="spellStart"/>
      <w:r w:rsidRPr="004C5551">
        <w:rPr>
          <w:color w:val="000000" w:themeColor="text1"/>
        </w:rPr>
        <w:t>Eurostatu</w:t>
      </w:r>
      <w:proofErr w:type="spellEnd"/>
      <w:r w:rsidRPr="004C5551">
        <w:rPr>
          <w:color w:val="000000" w:themeColor="text1"/>
        </w:rPr>
        <w:t xml:space="preserve"> (hrubý dlh verejnej správy) v SR v roku 2014 klesol na 53,6 % HDP (priemer v E</w:t>
      </w:r>
      <w:r w:rsidR="00D40CFE" w:rsidRPr="004C5551">
        <w:rPr>
          <w:color w:val="000000" w:themeColor="text1"/>
        </w:rPr>
        <w:t>Ú</w:t>
      </w:r>
      <w:r w:rsidRPr="004C5551">
        <w:rPr>
          <w:color w:val="000000" w:themeColor="text1"/>
        </w:rPr>
        <w:t xml:space="preserve"> 86,8 % HDP). Hodnotu nad 100 % HDP predstavoval verejný dlh v Grécku (177,1 %), v Taliansku (132,1 %), v Portugalsku (130,2 %), v Írsku (109,7 %) ale aj na Cypre (107,5 %) a v Belgicku (106,5 %). </w:t>
      </w:r>
    </w:p>
    <w:p w:rsidR="009B7B4B" w:rsidRPr="004C5551" w:rsidRDefault="009B7B4B" w:rsidP="007135B3">
      <w:pPr>
        <w:pStyle w:val="Normlnysozarkami1"/>
        <w:ind w:firstLine="567"/>
        <w:rPr>
          <w:color w:val="000000" w:themeColor="text1"/>
        </w:rPr>
      </w:pPr>
    </w:p>
    <w:p w:rsidR="007135B3" w:rsidRPr="004C5551" w:rsidRDefault="007135B3" w:rsidP="007135B3">
      <w:pPr>
        <w:pStyle w:val="nadpis2"/>
        <w:numPr>
          <w:ilvl w:val="0"/>
          <w:numId w:val="0"/>
        </w:numPr>
        <w:ind w:left="576"/>
      </w:pPr>
      <w:bookmarkStart w:id="753" w:name="_Toc394062237"/>
      <w:bookmarkStart w:id="754" w:name="_Toc422233447"/>
      <w:r w:rsidRPr="004C5551">
        <w:t>Inteligentný a inkluzívny rast</w:t>
      </w:r>
      <w:bookmarkEnd w:id="753"/>
      <w:bookmarkEnd w:id="754"/>
    </w:p>
    <w:p w:rsidR="007135B3" w:rsidRPr="004C5551" w:rsidRDefault="007135B3" w:rsidP="007135B3">
      <w:pPr>
        <w:pStyle w:val="Normlnysozarkami1"/>
        <w:ind w:firstLine="567"/>
        <w:rPr>
          <w:color w:val="000000" w:themeColor="text1"/>
        </w:rPr>
      </w:pPr>
      <w:r w:rsidRPr="004C5551">
        <w:rPr>
          <w:color w:val="000000" w:themeColor="text1"/>
        </w:rPr>
        <w:t xml:space="preserve">Hlavným cieľom stratégie Európa 2020 je zvýšiť </w:t>
      </w:r>
      <w:r w:rsidRPr="004C5551">
        <w:rPr>
          <w:b/>
          <w:color w:val="000000" w:themeColor="text1"/>
        </w:rPr>
        <w:t>mieru zamestnanosti</w:t>
      </w:r>
      <w:r w:rsidRPr="004C5551">
        <w:rPr>
          <w:color w:val="000000" w:themeColor="text1"/>
        </w:rPr>
        <w:t xml:space="preserve"> mužov a žien vo veku od 20 do 64 rokov na 75 %. SR má k tomuto európskemu cieľu prispieť zvýšením miery zamestnanosti svojich obyvateľov v danej vekovej kategórii na 72 %. Vyššia miera zamestnanosti v Európe sa má dosiahnuť najmä prostredníctvom vyššej zamestnanosti žien, starších osôb, mladých ľudí, ľudí s nízkou kvalifikáciou a legálnych migrantov. V roku 2014 sa miera zamestnanosti </w:t>
      </w:r>
      <w:r w:rsidR="006507F4" w:rsidRPr="004C5551">
        <w:rPr>
          <w:color w:val="000000" w:themeColor="text1"/>
        </w:rPr>
        <w:t>vo</w:t>
      </w:r>
      <w:r w:rsidR="007F3057" w:rsidRPr="004C5551">
        <w:rPr>
          <w:color w:val="000000" w:themeColor="text1"/>
        </w:rPr>
        <w:t> </w:t>
      </w:r>
      <w:r w:rsidR="006507F4" w:rsidRPr="004C5551">
        <w:rPr>
          <w:color w:val="000000" w:themeColor="text1"/>
        </w:rPr>
        <w:t xml:space="preserve">vekovej skupine od 20 do 64 rokov </w:t>
      </w:r>
      <w:r w:rsidRPr="004C5551">
        <w:rPr>
          <w:color w:val="000000" w:themeColor="text1"/>
        </w:rPr>
        <w:t xml:space="preserve">v priemere v EU28 medziročne zvýšila o 0,8 p. b. na úroveň 69,2 % </w:t>
      </w:r>
      <w:r w:rsidR="006507F4" w:rsidRPr="004C5551">
        <w:rPr>
          <w:color w:val="000000" w:themeColor="text1"/>
        </w:rPr>
        <w:t xml:space="preserve">(u žien sa zvýšila o 0,9 p. b. </w:t>
      </w:r>
      <w:r w:rsidRPr="004C5551">
        <w:rPr>
          <w:color w:val="000000" w:themeColor="text1"/>
        </w:rPr>
        <w:t>a 63,5 % a u mužov o 0,7 p. b. na 75 %). V SR miera zamestnanosti dosiahla 65,9 % a oproti predchádzajúcemu roku sa zvýšila o 0,9 p. b. (u žien sa zvýšila o 0,8 p. b. na 58,6 % a u mužov o 1 p. b. na 72,2 %,). Najvyššiu mieru zamestnanosti v rámci EU28 malo v roku 201</w:t>
      </w:r>
      <w:r w:rsidR="002C0E34" w:rsidRPr="004C5551">
        <w:rPr>
          <w:color w:val="000000" w:themeColor="text1"/>
        </w:rPr>
        <w:t>4</w:t>
      </w:r>
      <w:r w:rsidRPr="004C5551">
        <w:rPr>
          <w:color w:val="000000" w:themeColor="text1"/>
        </w:rPr>
        <w:t xml:space="preserve"> Švédsko, konkrétne na úrovni 80 %, čím dosiahlo svoj národný cieľ v tejto oblasti (80 %). Vysokú mieru zamestnanosti nad 75 % dosahovali tiež krajiny ako Nemecko (77,7 %), Veľká Británia (76,2 %), Holandsko (76,1 %) a Dánsko (75,9 %). Miera zamestnanosti bola najnižšia v</w:t>
      </w:r>
      <w:r w:rsidR="007F3057" w:rsidRPr="004C5551">
        <w:rPr>
          <w:color w:val="000000" w:themeColor="text1"/>
        </w:rPr>
        <w:t> </w:t>
      </w:r>
      <w:r w:rsidRPr="004C5551">
        <w:rPr>
          <w:color w:val="000000" w:themeColor="text1"/>
        </w:rPr>
        <w:t>Grécku, kde po piatich rokoch prudkého poklesu medziročne mierne stúpla na 53,3 %. K nízkej miere celkovej zamestnanosti prispieva nižšia miera aktivity žien a starších ľudí.</w:t>
      </w:r>
    </w:p>
    <w:p w:rsidR="007135B3" w:rsidRPr="004C5551" w:rsidRDefault="007135B3" w:rsidP="007135B3">
      <w:pPr>
        <w:autoSpaceDE w:val="0"/>
        <w:autoSpaceDN w:val="0"/>
        <w:adjustRightInd w:val="0"/>
        <w:ind w:firstLine="567"/>
        <w:rPr>
          <w:noProof/>
        </w:rPr>
      </w:pPr>
      <w:r w:rsidRPr="004C5551">
        <w:rPr>
          <w:noProof/>
        </w:rPr>
        <w:t>Cieľ zamestnanosti vo výške 75 % pre E</w:t>
      </w:r>
      <w:r w:rsidR="00D40CFE" w:rsidRPr="004C5551">
        <w:rPr>
          <w:noProof/>
        </w:rPr>
        <w:t>U</w:t>
      </w:r>
      <w:r w:rsidRPr="004C5551">
        <w:rPr>
          <w:noProof/>
        </w:rPr>
        <w:t xml:space="preserve">28 a 72 % pre SR </w:t>
      </w:r>
      <w:r w:rsidR="001D3928" w:rsidRPr="004C5551">
        <w:rPr>
          <w:noProof/>
        </w:rPr>
        <w:t xml:space="preserve">vo </w:t>
      </w:r>
      <w:r w:rsidR="001D3928" w:rsidRPr="004C5551">
        <w:rPr>
          <w:color w:val="000000" w:themeColor="text1"/>
        </w:rPr>
        <w:t>vekovej skupine od 20 do 64</w:t>
      </w:r>
      <w:r w:rsidR="007F3057" w:rsidRPr="004C5551">
        <w:rPr>
          <w:color w:val="000000" w:themeColor="text1"/>
        </w:rPr>
        <w:t> </w:t>
      </w:r>
      <w:r w:rsidR="001D3928" w:rsidRPr="004C5551">
        <w:rPr>
          <w:color w:val="000000" w:themeColor="text1"/>
        </w:rPr>
        <w:t xml:space="preserve">rokov </w:t>
      </w:r>
      <w:r w:rsidRPr="004C5551">
        <w:rPr>
          <w:noProof/>
        </w:rPr>
        <w:t>sa nepodarí do roku 2020 dosiahnuť bez zapojenia žien</w:t>
      </w:r>
      <w:r w:rsidRPr="004C5551">
        <w:rPr>
          <w:rFonts w:eastAsiaTheme="majorEastAsia"/>
          <w:noProof/>
        </w:rPr>
        <w:t xml:space="preserve">. </w:t>
      </w:r>
      <w:r w:rsidRPr="004C5551">
        <w:rPr>
          <w:b/>
          <w:color w:val="000000" w:themeColor="text1"/>
        </w:rPr>
        <w:t xml:space="preserve">Miera zamestnanosti u žien </w:t>
      </w:r>
      <w:r w:rsidRPr="004C5551">
        <w:rPr>
          <w:color w:val="000000" w:themeColor="text1"/>
        </w:rPr>
        <w:t>zaostáva za mierou zamestnanosti mužov na Slovensku (v roku 2014</w:t>
      </w:r>
      <w:r w:rsidR="00423669" w:rsidRPr="004C5551">
        <w:rPr>
          <w:color w:val="000000" w:themeColor="text1"/>
        </w:rPr>
        <w:t xml:space="preserve"> </w:t>
      </w:r>
      <w:r w:rsidRPr="004C5551">
        <w:rPr>
          <w:color w:val="000000" w:themeColor="text1"/>
        </w:rPr>
        <w:t>o 14,6 p. b.) i v priemere v EU28 (o 11,5 p. b.). Rodové rozdiely v miere zamestnanosti v roku 2014 sa v EU28 medziročne znížili (-0,2 p. b.) a v SR mierne zvýšili (o 0,2 p. b.). Najnižšia miera zamestnanosti žien a zároveň vysoké rozdiely v zamestnanosti medzi mužmi a ženami sú v Grécku (44,3 %, 18,3 p. b.), v Taliansku (50,3 %, 19,4 p. b.) a na Malte (51,9 %, 28,4 p. b.). Vysokú mieru zamestnanosti žien nad 70 % dosahuje Švédsko (77,6 %), Nemecko (73,1 %), Dánsko (72,2 %), Fínsko (72,1 %), Holandsko (70,7 %), Estónsko, Litva, Veľká Británia (všetky tri krajiny rovnako 70,6 %) a Rakúsko (70,1 %), z toho Fínsko, Litva, Lotyšsko a Švédsko majú aj relatívne malé rozdiely v miere zamestnanosti medzi mužmi a ženami.</w:t>
      </w:r>
    </w:p>
    <w:p w:rsidR="007135B3" w:rsidRPr="004C5551" w:rsidRDefault="007135B3" w:rsidP="007135B3">
      <w:pPr>
        <w:autoSpaceDE w:val="0"/>
        <w:autoSpaceDN w:val="0"/>
        <w:adjustRightInd w:val="0"/>
        <w:ind w:firstLine="567"/>
        <w:rPr>
          <w:color w:val="000000" w:themeColor="text1"/>
        </w:rPr>
      </w:pPr>
      <w:r w:rsidRPr="004C5551">
        <w:rPr>
          <w:noProof/>
        </w:rPr>
        <w:t>Na podporu zamestnanosti žien sú potrebné politiky na zosúladenie pracovného a súkromného života. Hlavným faktorom, ktorý ovplyvňuje účasť žien na pracovnom trhu, je predovšetkým prístup k</w:t>
      </w:r>
      <w:r w:rsidR="007F3057" w:rsidRPr="004C5551">
        <w:rPr>
          <w:noProof/>
        </w:rPr>
        <w:t> </w:t>
      </w:r>
      <w:r w:rsidRPr="004C5551">
        <w:rPr>
          <w:noProof/>
        </w:rPr>
        <w:t xml:space="preserve">službám starostlivosti o deti. </w:t>
      </w:r>
      <w:r w:rsidRPr="004C5551">
        <w:rPr>
          <w:color w:val="000000" w:themeColor="text1"/>
        </w:rPr>
        <w:t>Keďže ženy častejšie zabezpečujú starostlivosť o deti a rodinu ako muži, rodičovstvo a rodinné povinnosti viac ovplyvňujú ich zamestnanosť obzvlášť v podmienkach, keď chýbajú služby starostlivosti o deti či iných na starostlivosť odkázaných členov rodiny alebo sú príliš drahé, a tak málo dostupné. Rozdiely v miere zamestnanosti medzi mužmi a ženami sú na</w:t>
      </w:r>
      <w:r w:rsidR="007F3057" w:rsidRPr="004C5551">
        <w:rPr>
          <w:color w:val="000000" w:themeColor="text1"/>
        </w:rPr>
        <w:t> </w:t>
      </w:r>
      <w:r w:rsidRPr="004C5551">
        <w:rPr>
          <w:color w:val="000000" w:themeColor="text1"/>
        </w:rPr>
        <w:t>Slovensku najvýraznejšie pri starostlivosti o dieťa do 6 rokov, keď predstavujú až 46,4 p. b. (38,1</w:t>
      </w:r>
      <w:r w:rsidR="007F3057" w:rsidRPr="004C5551">
        <w:rPr>
          <w:color w:val="000000" w:themeColor="text1"/>
        </w:rPr>
        <w:t> </w:t>
      </w:r>
      <w:r w:rsidRPr="004C5551">
        <w:rPr>
          <w:color w:val="000000" w:themeColor="text1"/>
        </w:rPr>
        <w:t>% ženy a 84,5 % muži vo vekovej kategórii 15 </w:t>
      </w:r>
      <w:r w:rsidRPr="004C5551">
        <w:rPr>
          <w:color w:val="000000" w:themeColor="text1"/>
        </w:rPr>
        <w:noBreakHyphen/>
        <w:t> 64 rokov), v EU28 je tento rozdiel nižší (25,8</w:t>
      </w:r>
      <w:r w:rsidR="007F3057" w:rsidRPr="004C5551">
        <w:rPr>
          <w:color w:val="000000" w:themeColor="text1"/>
        </w:rPr>
        <w:t> </w:t>
      </w:r>
      <w:r w:rsidRPr="004C5551">
        <w:rPr>
          <w:color w:val="000000" w:themeColor="text1"/>
        </w:rPr>
        <w:t>p.</w:t>
      </w:r>
      <w:r w:rsidR="007F3057" w:rsidRPr="004C5551">
        <w:rPr>
          <w:color w:val="000000" w:themeColor="text1"/>
        </w:rPr>
        <w:t> </w:t>
      </w:r>
      <w:r w:rsidRPr="004C5551">
        <w:rPr>
          <w:color w:val="000000" w:themeColor="text1"/>
        </w:rPr>
        <w:t>b.). V prípade Slovenska ide o tretí najvyšší rozdiel v EU28 pri starostlivosti o dieťa do</w:t>
      </w:r>
      <w:r w:rsidR="007F3057" w:rsidRPr="004C5551">
        <w:rPr>
          <w:color w:val="000000" w:themeColor="text1"/>
        </w:rPr>
        <w:t> </w:t>
      </w:r>
      <w:r w:rsidRPr="004C5551">
        <w:rPr>
          <w:color w:val="000000" w:themeColor="text1"/>
        </w:rPr>
        <w:t>6</w:t>
      </w:r>
      <w:r w:rsidR="007F3057" w:rsidRPr="004C5551">
        <w:rPr>
          <w:color w:val="000000" w:themeColor="text1"/>
        </w:rPr>
        <w:t> </w:t>
      </w:r>
      <w:r w:rsidRPr="004C5551">
        <w:rPr>
          <w:color w:val="000000" w:themeColor="text1"/>
        </w:rPr>
        <w:t>rokov, vyšší je iba v Českej republike a v Maďarsku. Rozdiely sa znižujú s vekom dieťaťa, pri sta</w:t>
      </w:r>
      <w:r w:rsidRPr="004C5551">
        <w:rPr>
          <w:color w:val="000000" w:themeColor="text1"/>
        </w:rPr>
        <w:softHyphen/>
        <w:t>ro</w:t>
      </w:r>
      <w:r w:rsidRPr="004C5551">
        <w:rPr>
          <w:color w:val="000000" w:themeColor="text1"/>
        </w:rPr>
        <w:softHyphen/>
        <w:t xml:space="preserve">stlivosti o dieťa vo veku 6 – 11 rokov je rodový rozdiel v miere zamestnanosti v SR už nižší ako v priemere v EU28 (12,4 p. b. verzus 15,6 p. b.) a pri dieťati nad 12 rokov predstavuje je rodový rozdiel v SR iba 2,4 p. b. (oproti 9,7 p. b. v EU28). </w:t>
      </w:r>
    </w:p>
    <w:p w:rsidR="007135B3" w:rsidRPr="004C5551" w:rsidRDefault="007135B3" w:rsidP="003E2565">
      <w:pPr>
        <w:autoSpaceDE w:val="0"/>
        <w:autoSpaceDN w:val="0"/>
        <w:adjustRightInd w:val="0"/>
        <w:ind w:firstLine="567"/>
      </w:pPr>
      <w:r w:rsidRPr="004C5551">
        <w:rPr>
          <w:noProof/>
        </w:rPr>
        <w:t>Jednou z priorít Európskej únie je zabezpečiť dostupnosť služieb starostlivosti o deti vo veku od</w:t>
      </w:r>
      <w:r w:rsidR="007F3057" w:rsidRPr="004C5551">
        <w:rPr>
          <w:noProof/>
        </w:rPr>
        <w:t> </w:t>
      </w:r>
      <w:r w:rsidRPr="004C5551">
        <w:rPr>
          <w:noProof/>
        </w:rPr>
        <w:t xml:space="preserve">0 rokov do začiatku povinnej školskej dochádzky, ktoré sú cenovo prístupné a kvalitné. Barcelonský cieľ z roku 2002 zahrnutý do lisabonskej stratégie, ktorý spočíval v požiadavke </w:t>
      </w:r>
      <w:r w:rsidRPr="004C5551">
        <w:rPr>
          <w:i/>
          <w:noProof/>
        </w:rPr>
        <w:t>odstrániť prekážky v účasti žien na trhu práce a s prihliadnutím na dopyt a v súlade s vnútroštátnymi systémami v danej oblasti v krajinách zriadiť do roku 2010 zariadenia starostlivosti pre najmenej 90 % detí vo</w:t>
      </w:r>
      <w:r w:rsidR="007F3057" w:rsidRPr="004C5551">
        <w:rPr>
          <w:i/>
          <w:noProof/>
        </w:rPr>
        <w:t> </w:t>
      </w:r>
      <w:r w:rsidRPr="004C5551">
        <w:rPr>
          <w:i/>
          <w:noProof/>
        </w:rPr>
        <w:t>veku od troch rokov do začiatku povinnej školskej dochádzky a pre najmenej 33 % detí vo veku do</w:t>
      </w:r>
      <w:r w:rsidR="007F3057" w:rsidRPr="004C5551">
        <w:rPr>
          <w:i/>
          <w:noProof/>
        </w:rPr>
        <w:t> </w:t>
      </w:r>
      <w:r w:rsidRPr="004C5551">
        <w:rPr>
          <w:i/>
          <w:noProof/>
        </w:rPr>
        <w:t>troch rokov,</w:t>
      </w:r>
      <w:r w:rsidRPr="004C5551">
        <w:rPr>
          <w:noProof/>
        </w:rPr>
        <w:t xml:space="preserve"> je včlenený aj do stratégie Európa 2020. </w:t>
      </w:r>
      <w:r w:rsidRPr="004C5551">
        <w:rPr>
          <w:szCs w:val="22"/>
        </w:rPr>
        <w:t>Podľa údajov EU SILC 2013 v E</w:t>
      </w:r>
      <w:r w:rsidR="00D40CFE" w:rsidRPr="004C5551">
        <w:rPr>
          <w:szCs w:val="22"/>
        </w:rPr>
        <w:t>U</w:t>
      </w:r>
      <w:r w:rsidRPr="004C5551">
        <w:rPr>
          <w:szCs w:val="22"/>
        </w:rPr>
        <w:t xml:space="preserve">28 sa v roku 2013 poskytovala </w:t>
      </w:r>
      <w:r w:rsidRPr="004C5551">
        <w:rPr>
          <w:b/>
          <w:szCs w:val="22"/>
        </w:rPr>
        <w:t>formálna starostlivosť o deti</w:t>
      </w:r>
      <w:r w:rsidRPr="004C5551">
        <w:rPr>
          <w:szCs w:val="22"/>
        </w:rPr>
        <w:t xml:space="preserve"> v zariadeniach o 27 % detí do 3 rokov veku. Na Slovensku sa takýto typ starostlivosti využíval iba minimálne (4 % detí do 3 rokov), pričom v prípade 1 % detí sa využila starostlivosť v trvaní od 1 do 29 hodín týždenne a v prípade 3 % detí do</w:t>
      </w:r>
      <w:r w:rsidR="007F3057" w:rsidRPr="004C5551">
        <w:rPr>
          <w:szCs w:val="22"/>
        </w:rPr>
        <w:t> </w:t>
      </w:r>
      <w:r w:rsidRPr="004C5551">
        <w:rPr>
          <w:szCs w:val="22"/>
        </w:rPr>
        <w:t>3 rokov starostlivosť v trvaní viac ako 30 hodín týždenne. Pre deti vo veku 3 až 6 rokov sa poskytuje formálna starostlivosť na Slovensku v širšom meradle. V roku 2013 bola takáto starostlivosť poskytovaná pre 74 % detí (v priemere EÚ išlo o 82 % detí) a v prípade 61 % detí išlo o starostlivosť nad 30 hodín týždenne (v priemere v EÚ menej iba 47 % detí v tomto veku). Podiel detí do 3 rokov, ktorým sa poskytuje formálna starostlivosť, je na Slovensku veľmi nízky a za cieľom a priemerom EÚ zaostáva aj podiel detí vo veku od 3 do 6 rokov, pre ktoré sa poskytuje formálna starostlivosť.</w:t>
      </w:r>
      <w:r w:rsidRPr="004C5551">
        <w:rPr>
          <w:color w:val="000000" w:themeColor="text1"/>
        </w:rPr>
        <w:t xml:space="preserve"> V tejto súvislosti a v kontexte nízkej zamestnanosti žien Európska rada odporúča Slovenskej republike </w:t>
      </w:r>
      <w:r w:rsidRPr="004C5551">
        <w:t>zlepšiť motivačné opatrenia pre ženy, aby zostali v zamestnaní alebo sa do zamestnania vrátili, a to zlepšením poskytovania služieb starostlivosti o deti. Poskytovanie kvalitných služieb a univerzálny prístup ku</w:t>
      </w:r>
      <w:r w:rsidR="007F3057" w:rsidRPr="004C5551">
        <w:t> </w:t>
      </w:r>
      <w:r w:rsidRPr="004C5551">
        <w:t>kvalitnému predškolskému vzdelávaniu sa takisto objavujú medzi preventívnymi opatreniami proti predčasnému ukončeniu školskej dochádzky.</w:t>
      </w:r>
      <w:r w:rsidR="009B037C" w:rsidRPr="004C5551">
        <w:t xml:space="preserve"> Slovenská republika pripravuje projekty na</w:t>
      </w:r>
      <w:r w:rsidR="007F3057" w:rsidRPr="004C5551">
        <w:t> </w:t>
      </w:r>
      <w:r w:rsidR="009B037C" w:rsidRPr="004C5551">
        <w:t xml:space="preserve">zosúlaďovanie rodinného a pracovného života a na podporu zamestnanosti žien ako </w:t>
      </w:r>
      <w:r w:rsidR="003E2565" w:rsidRPr="004C5551">
        <w:t>napr. národný projekt R</w:t>
      </w:r>
      <w:r w:rsidR="009B037C" w:rsidRPr="004C5551">
        <w:t>odina a práca, ktor</w:t>
      </w:r>
      <w:r w:rsidR="003E2565" w:rsidRPr="004C5551">
        <w:t xml:space="preserve">ý sa </w:t>
      </w:r>
      <w:r w:rsidR="00DE321A" w:rsidRPr="004C5551">
        <w:t xml:space="preserve">realizuje </w:t>
      </w:r>
      <w:r w:rsidR="003E2565" w:rsidRPr="004C5551">
        <w:t>od začiatku roku 2015. Projekt má výrazne napomôcť k</w:t>
      </w:r>
      <w:r w:rsidR="007F3057" w:rsidRPr="004C5551">
        <w:t> </w:t>
      </w:r>
      <w:r w:rsidR="003E2565" w:rsidRPr="004C5551">
        <w:t xml:space="preserve">vytváraniu flexibilných foriem práce zamestnávateľmi pre ženy s malými deťmi. Súčasťou národného projektu je poskytovanie služieb starostlivosti o deti pre osoby s rodičovskými povinnosťami a odborné vedenie v oblasti vytvárania </w:t>
      </w:r>
      <w:proofErr w:type="spellStart"/>
      <w:r w:rsidR="003E2565" w:rsidRPr="004C5551">
        <w:t>prorodinného</w:t>
      </w:r>
      <w:proofErr w:type="spellEnd"/>
      <w:r w:rsidR="003E2565" w:rsidRPr="004C5551">
        <w:t xml:space="preserve"> pracovného prostredia pre</w:t>
      </w:r>
      <w:r w:rsidR="007F3057" w:rsidRPr="004C5551">
        <w:t> </w:t>
      </w:r>
      <w:r w:rsidR="003E2565" w:rsidRPr="004C5551">
        <w:t>zamestnávateľov.</w:t>
      </w:r>
    </w:p>
    <w:p w:rsidR="007135B3" w:rsidRPr="004C5551" w:rsidRDefault="007135B3" w:rsidP="007135B3">
      <w:pPr>
        <w:pStyle w:val="Normlnysozarkami1"/>
        <w:ind w:firstLine="567"/>
        <w:rPr>
          <w:color w:val="000000" w:themeColor="text1"/>
        </w:rPr>
      </w:pPr>
      <w:r w:rsidRPr="004C5551">
        <w:rPr>
          <w:color w:val="000000" w:themeColor="text1"/>
        </w:rPr>
        <w:t xml:space="preserve">Dosiahnutie miery zamestnanosti na úrovni 75 % do roku 2020 do veľkej miery závisí </w:t>
      </w:r>
      <w:r w:rsidR="00C53500" w:rsidRPr="004C5551">
        <w:rPr>
          <w:color w:val="000000" w:themeColor="text1"/>
        </w:rPr>
        <w:t xml:space="preserve">aj </w:t>
      </w:r>
      <w:r w:rsidRPr="004C5551">
        <w:rPr>
          <w:color w:val="000000" w:themeColor="text1"/>
        </w:rPr>
        <w:t>od ďalšieho zvýšenia zamestnanosti u starších ľudí. Taktiež demografické výzvy, ktoré súvisia so starnutím populácie, vedú EÚ k potrebe spoločne zvýšiť participáciu starších ľudí na trhu práce a podpore predlžovania pracovného života. M</w:t>
      </w:r>
      <w:r w:rsidRPr="004C5551">
        <w:rPr>
          <w:b/>
          <w:color w:val="000000" w:themeColor="text1"/>
        </w:rPr>
        <w:t>iera zamestnanosti u starších ľudí</w:t>
      </w:r>
      <w:r w:rsidRPr="004C5551">
        <w:rPr>
          <w:color w:val="000000" w:themeColor="text1"/>
        </w:rPr>
        <w:t xml:space="preserve"> (55 – 64 rokov) na Slovensku od roku 2001 nepretržite rastie, pričom v roku 2014 dosiahla 44,8 % (priemer EU28 51,8 %). Rastie aj miera zamestnanosti starších žien (37,2 %), ktorá sa za posledných 10 rokov viac ako zdvojnásobila, čo súvisí najmä s predlžovaním veku odchodu do dôchodku. Napriek neustálemu rastu je stále pod priemernou úrovňou EU28 (45,2 %). Najvyššia miera zamestnanosti starších žien je dlhodobo vo Švédsku (71,5 %), vysokú úroveň nad 60 % dosahuje aj v Estónsku (63,1 %) a vo Fínsku (61,4 %).</w:t>
      </w:r>
    </w:p>
    <w:p w:rsidR="007135B3" w:rsidRPr="004C5551" w:rsidRDefault="007135B3" w:rsidP="007135B3">
      <w:pPr>
        <w:pStyle w:val="Normlnysozarkami1"/>
        <w:ind w:firstLine="567"/>
        <w:rPr>
          <w:color w:val="000000" w:themeColor="text1"/>
        </w:rPr>
      </w:pPr>
      <w:r w:rsidRPr="004C5551">
        <w:rPr>
          <w:color w:val="000000" w:themeColor="text1"/>
        </w:rPr>
        <w:t xml:space="preserve">Dlhší pracovný život a zvýšenie miery zamestnanosti by mali byť podporené aj prostredníctvom lepšieho prístupu k celoživotnému vzdelávaniu. Inkluzívny rast okrem iného znamená investovanie do odbornej prípravy a zvyšovania kvalifikácie s cieľom pomôcť ľuďom všetkých vekových kategórií pripraviť sa na očakávané zmeny na pracovnom trhu. V tejto oblasti Slovensko stále zaostáva, hoci v roku 2014 </w:t>
      </w:r>
      <w:r w:rsidRPr="004C5551">
        <w:rPr>
          <w:b/>
          <w:color w:val="000000" w:themeColor="text1"/>
        </w:rPr>
        <w:t>miera celoživotného vzdelávania</w:t>
      </w:r>
      <w:r w:rsidRPr="004C5551">
        <w:rPr>
          <w:color w:val="000000" w:themeColor="text1"/>
        </w:rPr>
        <w:t xml:space="preserve"> zaznamenala mierny medziročný nárast, je štvrtá najnižšia v EU28. V roku 2014 bolo do ďalšieho vzdelávania či tréningu zapojených 3 % ľudí vo veku 25 – 64 rokov, oproti tomu priemer EU28 predstavoval 10,7 %. Menší podiel dospelých zapojených do celoživotného vzdelávania bol v roku 2014 v Bulharsku, Rumunsku (menej ako 2 %) a Chorvátsku (2,5 %) a rovnaký podiel bol v Grécku. Najvyšší podiel dospelých zapojených do celoživotného vzdelávania bol v roku 2013 v Dánsku (31,7 %), Švédsku (28,9 %) a Fínsku (25,1 %). Nízka miera celoživotného vzdelávania môže mať nepriaznivý vplyv na </w:t>
      </w:r>
      <w:proofErr w:type="spellStart"/>
      <w:r w:rsidRPr="004C5551">
        <w:rPr>
          <w:color w:val="000000" w:themeColor="text1"/>
        </w:rPr>
        <w:t>zamestnateľnosť</w:t>
      </w:r>
      <w:proofErr w:type="spellEnd"/>
      <w:r w:rsidRPr="004C5551">
        <w:rPr>
          <w:color w:val="000000" w:themeColor="text1"/>
        </w:rPr>
        <w:t xml:space="preserve"> najmä u nízko-kvalifikovaných pracovníkov, čím oslabuje úsilie znížiť vysokú mieru nezamestnanosti.</w:t>
      </w:r>
    </w:p>
    <w:p w:rsidR="007135B3" w:rsidRPr="004C5551" w:rsidRDefault="007135B3" w:rsidP="007135B3">
      <w:pPr>
        <w:pStyle w:val="Normlnysozarkami1"/>
        <w:ind w:firstLine="567"/>
        <w:rPr>
          <w:color w:val="000000" w:themeColor="text1"/>
        </w:rPr>
      </w:pPr>
      <w:r w:rsidRPr="004C5551">
        <w:rPr>
          <w:b/>
          <w:color w:val="000000" w:themeColor="text1"/>
        </w:rPr>
        <w:t>Miera nezamestnanosti</w:t>
      </w:r>
      <w:r w:rsidRPr="004C5551">
        <w:rPr>
          <w:color w:val="000000" w:themeColor="text1"/>
        </w:rPr>
        <w:t xml:space="preserve"> na Slovensku patrí dlhodobo k vyšším v rámci Európy a ekonomická kríza tento problém prehĺbila. V roku 2014 sa situácia na trhu práce v SR výrazne zlepšovala a miera nezamestnanosti sa znížila o 1 p. b. na úroveň 13,2 %. V rámci EU28 sa miera nezamestnanosti znížila aj vo väčšine ostatných krajín, v priemere o 0,7 p. b. na úroveň 10,2 %. Miera nezamestnanosti vyššia ako na Slovensku bola v Grécku (26,5 %), v Španielsku (24,5 %), v Chorvátsku ( 17,3 %), na Cypre (16,1 %) a v Portugalsku (14,1 %). Najnižšia miera nezamestnanosti bola v Nemecku (5 %). Miera nezamestnanosti v roku 2014 v SR klesla viac u mužov ako u žien, pričom u žien dosiahla (13,6 %) a</w:t>
      </w:r>
      <w:r w:rsidR="007F3057" w:rsidRPr="004C5551">
        <w:rPr>
          <w:color w:val="000000" w:themeColor="text1"/>
        </w:rPr>
        <w:t> </w:t>
      </w:r>
      <w:r w:rsidRPr="004C5551">
        <w:rPr>
          <w:color w:val="000000" w:themeColor="text1"/>
        </w:rPr>
        <w:t>u mužov (12,8 %). Podľa prognózy EK vplyvom zvýšenej ekonomickej výkonnosti sa podmienky na</w:t>
      </w:r>
      <w:r w:rsidR="007F3057" w:rsidRPr="004C5551">
        <w:rPr>
          <w:color w:val="000000" w:themeColor="text1"/>
        </w:rPr>
        <w:t> </w:t>
      </w:r>
      <w:r w:rsidRPr="004C5551">
        <w:rPr>
          <w:color w:val="000000" w:themeColor="text1"/>
        </w:rPr>
        <w:t>trhu práce na Slovensku budú naďalej vylepšovať a miera nezamestnanosti klesne na 12,1 % v roku 2015 a 10,8 % v roku 2016. Pozitívnemu vývoju situácie napomôžu reformy uskutočnené na trhu práce (vrátane zníženia príspevkov na zdravotné poistenie pre nízkopríjmových zamestnancov a zvýšenie osobitného príspevku pre dlhodobo nezamestnaných poberateľov dávky v hmotnej núdzi, ak sa zamestnajú), ktoré vstúpili do platnosti v roku 2015. Predpokladá sa, že podiel nezamestnaných na ekonomicky aktívnych klesne aj v priemere v EU28, a to na úroveň 9,6 % v roku 2015 a 9,1 % v roku 2016. Vďaka prognózovanému výraznejšiemu poklesu miery nezamestnanosti na Slovensku, by sa zaostávanie SR za priemerom</w:t>
      </w:r>
      <w:r w:rsidR="00423669" w:rsidRPr="004C5551">
        <w:rPr>
          <w:color w:val="000000" w:themeColor="text1"/>
        </w:rPr>
        <w:t xml:space="preserve"> </w:t>
      </w:r>
      <w:r w:rsidRPr="004C5551">
        <w:rPr>
          <w:color w:val="000000" w:themeColor="text1"/>
        </w:rPr>
        <w:t>EU28 mohlo znížiť z 3 p. b.</w:t>
      </w:r>
      <w:r w:rsidR="00C53500" w:rsidRPr="004C5551">
        <w:rPr>
          <w:color w:val="000000" w:themeColor="text1"/>
        </w:rPr>
        <w:t xml:space="preserve"> v roku 2014</w:t>
      </w:r>
      <w:r w:rsidRPr="004C5551">
        <w:rPr>
          <w:color w:val="000000" w:themeColor="text1"/>
        </w:rPr>
        <w:t xml:space="preserve"> na 1,7 p. b.</w:t>
      </w:r>
      <w:r w:rsidR="00C53500" w:rsidRPr="004C5551">
        <w:rPr>
          <w:color w:val="000000" w:themeColor="text1"/>
        </w:rPr>
        <w:t xml:space="preserve"> v roku 2016</w:t>
      </w:r>
      <w:r w:rsidRPr="004C5551">
        <w:rPr>
          <w:color w:val="000000" w:themeColor="text1"/>
        </w:rPr>
        <w:t>.</w:t>
      </w:r>
    </w:p>
    <w:p w:rsidR="007135B3" w:rsidRPr="004C5551" w:rsidRDefault="007135B3" w:rsidP="007135B3">
      <w:pPr>
        <w:pStyle w:val="Normlnysozarkami1"/>
        <w:ind w:firstLine="567"/>
        <w:rPr>
          <w:color w:val="000000" w:themeColor="text1"/>
        </w:rPr>
      </w:pPr>
      <w:r w:rsidRPr="004C5551">
        <w:rPr>
          <w:color w:val="000000" w:themeColor="text1"/>
        </w:rPr>
        <w:t xml:space="preserve">Kľúčovými pre dosiahnutie ambicióznych cieľov inteligentného a udržateľného rastu pre všetkých sú mladí ľudia a predovšetkým ich úspešný prechod na trh práce. Mladí ľudia v súčasnosti stoja pred výzvami v systémoch vzdelávania a odbornej prípravy, ako aj pri vstupe na trh práce. </w:t>
      </w:r>
      <w:r w:rsidRPr="004C5551">
        <w:rPr>
          <w:b/>
          <w:color w:val="000000" w:themeColor="text1"/>
        </w:rPr>
        <w:t>Miera nezamestnanosti mladých</w:t>
      </w:r>
      <w:r w:rsidRPr="004C5551">
        <w:rPr>
          <w:color w:val="000000" w:themeColor="text1"/>
        </w:rPr>
        <w:t xml:space="preserve"> (do 25 rokov) v EÚ vždy vykazovala vyššie hodnoty ako celková nezamestnanosť, navyše v čase krízy výrazne narástla a stále si udržiava vysokú úroveň. Táto skupina patrí medzi tie, ktoré boli krízou zasiahnuté najviac. V rámci EU28 podiel mladých nezamestnaných od roku 2009 neustále rástol, a to až do roku 2014, kedy konečne medziročne poklesol o 1,5 p. b. na 22,2 %. Na Slovensku sa v posledných rokoch dosiahol výraznejší pokrok a</w:t>
      </w:r>
      <w:r w:rsidR="007F3057" w:rsidRPr="004C5551">
        <w:rPr>
          <w:color w:val="000000" w:themeColor="text1"/>
        </w:rPr>
        <w:t> </w:t>
      </w:r>
      <w:r w:rsidRPr="004C5551">
        <w:rPr>
          <w:color w:val="000000" w:themeColor="text1"/>
        </w:rPr>
        <w:t>miera nezamestnanosti mladých aj vďaka úspešným opatreniam na trhu práce zamiereným práve na</w:t>
      </w:r>
      <w:r w:rsidR="007F3057" w:rsidRPr="004C5551">
        <w:rPr>
          <w:color w:val="000000" w:themeColor="text1"/>
        </w:rPr>
        <w:t> </w:t>
      </w:r>
      <w:r w:rsidRPr="004C5551">
        <w:rPr>
          <w:color w:val="000000" w:themeColor="text1"/>
        </w:rPr>
        <w:t xml:space="preserve">túto skupinu už druhý rok po sebe medziročne klesala, v roku 2014 viac ako v roku 2013, konkrétne o 4 p. b. na úroveň 29,7 %. Išlo o </w:t>
      </w:r>
      <w:r w:rsidR="0006537E" w:rsidRPr="004C5551">
        <w:rPr>
          <w:color w:val="000000" w:themeColor="text1"/>
        </w:rPr>
        <w:t>piat</w:t>
      </w:r>
      <w:r w:rsidRPr="004C5551">
        <w:rPr>
          <w:color w:val="000000" w:themeColor="text1"/>
        </w:rPr>
        <w:t>y najväčší pokles v EU28. V niektorých krajinách dosahovala miera nezamestnanosti mladých aj v roku 2014 viac ako 50 %, a to napriek medziročnému poklesu konkrétne v Španielsku (53,2 %) a v Grécku (52,4 %). Najnižšiu mieru nezamestnanosti mladých v roku 2014 vykazovalo Nemecko (7,7 %), Rakúsko (10,3 %) a Malta (11,8 %).</w:t>
      </w:r>
    </w:p>
    <w:p w:rsidR="007135B3" w:rsidRPr="004C5551" w:rsidRDefault="007135B3" w:rsidP="007135B3">
      <w:pPr>
        <w:pStyle w:val="Normlnysozarkami1"/>
        <w:ind w:firstLine="567"/>
        <w:rPr>
          <w:bCs/>
          <w:color w:val="000000" w:themeColor="text1"/>
          <w:sz w:val="24"/>
        </w:rPr>
      </w:pPr>
      <w:r w:rsidRPr="004C5551">
        <w:rPr>
          <w:color w:val="000000" w:themeColor="text1"/>
        </w:rPr>
        <w:t xml:space="preserve">Vysoká miera nezamestnanosti mladých poukazuje na ťažkosti pracovnej sily v tejto vekovej skupine uplatniť sa na trhu práce. Na druhej strane pri porovnávaní krajín treba vziať do úvahy, že veľkosť tejto pracovnej sily, t.j. ekonomicky aktívnej populácie v tomto veku sa medzi jednotlivými krajinami odlišuje, nakoľko závisí aj od počtu študujúcej mládeže. Na Slovensku študuje vysoký podiel mládeže, čoho dôsledkom je nízka </w:t>
      </w:r>
      <w:r w:rsidRPr="004C5551">
        <w:rPr>
          <w:b/>
          <w:color w:val="000000" w:themeColor="text1"/>
        </w:rPr>
        <w:t>miera ekonomickej aktivity mladých do 25 rokov</w:t>
      </w:r>
      <w:r w:rsidRPr="004C5551">
        <w:rPr>
          <w:color w:val="000000" w:themeColor="text1"/>
        </w:rPr>
        <w:t>. V roku 2014 predstavovala pracovná sila 31 % z celkovej populácie 15 – 24 ročných, a bola 8. najnižšia v rámci EU28. V priemere v EU28 je medzi mladými do 25 rokov vyšší podiel pracovnej sily (41,7 % v roku 2014).</w:t>
      </w:r>
      <w:r w:rsidR="00C53500" w:rsidRPr="004C5551">
        <w:rPr>
          <w:color w:val="000000" w:themeColor="text1"/>
        </w:rPr>
        <w:t xml:space="preserve"> </w:t>
      </w:r>
      <w:r w:rsidRPr="004C5551">
        <w:rPr>
          <w:color w:val="000000" w:themeColor="text1"/>
        </w:rPr>
        <w:t>Až 93,9 % z ekonomicky neaktívnej populácie mladých do 25 rokov v roku 201</w:t>
      </w:r>
      <w:r w:rsidR="00C53500" w:rsidRPr="004C5551">
        <w:rPr>
          <w:color w:val="000000" w:themeColor="text1"/>
        </w:rPr>
        <w:t>4</w:t>
      </w:r>
      <w:r w:rsidRPr="004C5551">
        <w:rPr>
          <w:color w:val="000000" w:themeColor="text1"/>
        </w:rPr>
        <w:t xml:space="preserve"> na</w:t>
      </w:r>
      <w:r w:rsidR="009A02B2" w:rsidRPr="004C5551">
        <w:rPr>
          <w:color w:val="000000" w:themeColor="text1"/>
        </w:rPr>
        <w:t> </w:t>
      </w:r>
      <w:r w:rsidRPr="004C5551">
        <w:rPr>
          <w:color w:val="000000" w:themeColor="text1"/>
        </w:rPr>
        <w:t xml:space="preserve">Slovensku bolo z dôvodu vzdelávania sa, čo bol tretí </w:t>
      </w:r>
      <w:r w:rsidRPr="004C5551">
        <w:rPr>
          <w:color w:val="000000" w:themeColor="text1"/>
          <w:szCs w:val="22"/>
        </w:rPr>
        <w:t>najvyšší podiel vzdelávajúcej sa ekonomicky neaktívnej mládeže v EU28, pričom v priemere v EU28 predstavuje tento podiel 89,1 %. Po</w:t>
      </w:r>
      <w:r w:rsidR="009A02B2" w:rsidRPr="004C5551">
        <w:rPr>
          <w:color w:val="000000" w:themeColor="text1"/>
          <w:szCs w:val="22"/>
        </w:rPr>
        <w:t> </w:t>
      </w:r>
      <w:r w:rsidRPr="004C5551">
        <w:rPr>
          <w:color w:val="000000" w:themeColor="text1"/>
          <w:szCs w:val="22"/>
        </w:rPr>
        <w:t>zohľadnení počtu mladých ľudí vo vzdelávacom procese, podiel</w:t>
      </w:r>
      <w:r w:rsidRPr="004C5551">
        <w:rPr>
          <w:i/>
          <w:color w:val="000000" w:themeColor="text1"/>
          <w:szCs w:val="22"/>
        </w:rPr>
        <w:t xml:space="preserve"> </w:t>
      </w:r>
      <w:r w:rsidRPr="004C5551">
        <w:rPr>
          <w:b/>
          <w:color w:val="000000" w:themeColor="text1"/>
          <w:szCs w:val="22"/>
        </w:rPr>
        <w:t>mladých ľudí pod 25 rokov, ktorí nie sú zamestnaní ani zapojení do procesu vzdelávania alebo odbornej prípravy</w:t>
      </w:r>
      <w:r w:rsidRPr="004C5551">
        <w:rPr>
          <w:color w:val="000000" w:themeColor="text1"/>
          <w:szCs w:val="22"/>
        </w:rPr>
        <w:t xml:space="preserve"> (tzv. </w:t>
      </w:r>
      <w:r w:rsidRPr="004C5551">
        <w:rPr>
          <w:b/>
          <w:color w:val="000000" w:themeColor="text1"/>
          <w:szCs w:val="22"/>
        </w:rPr>
        <w:t>NEET</w:t>
      </w:r>
      <w:r w:rsidRPr="004C5551">
        <w:rPr>
          <w:color w:val="000000" w:themeColor="text1"/>
          <w:szCs w:val="22"/>
        </w:rPr>
        <w:t>)</w:t>
      </w:r>
      <w:r w:rsidRPr="004C5551">
        <w:rPr>
          <w:i/>
          <w:color w:val="000000" w:themeColor="text1"/>
          <w:szCs w:val="22"/>
        </w:rPr>
        <w:t xml:space="preserve"> </w:t>
      </w:r>
      <w:r w:rsidRPr="004C5551">
        <w:rPr>
          <w:color w:val="000000" w:themeColor="text1"/>
          <w:szCs w:val="22"/>
        </w:rPr>
        <w:t xml:space="preserve">v roku 2014 predstavoval na Slovensku 12,8 %, čo je menej výrazný rozdiel, oproti priemeru EU28 (12,4 %). </w:t>
      </w:r>
      <w:r w:rsidRPr="004C5551">
        <w:rPr>
          <w:bCs/>
          <w:color w:val="000000" w:themeColor="text1"/>
          <w:szCs w:val="22"/>
        </w:rPr>
        <w:t xml:space="preserve">Vyšší podiel takýchto mladých (t.j. nezamestnaných a neaktívnych, ktorí sa nevzdelávajú) malo v roku 2014 ďalších 9 krajín EU28. Na základe </w:t>
      </w:r>
      <w:r w:rsidRPr="004C5551">
        <w:rPr>
          <w:color w:val="000000" w:themeColor="text1"/>
          <w:szCs w:val="22"/>
        </w:rPr>
        <w:t>odporúčaní Európskej rady ohľadom nezamestnanosti mladých ľudí SR vytvára schémy garancií, ktorých cieľom je zaistiť pre mladých pod 25 rokov, ktorí</w:t>
      </w:r>
      <w:r w:rsidRPr="004C5551">
        <w:rPr>
          <w:color w:val="000000" w:themeColor="text1"/>
        </w:rPr>
        <w:t xml:space="preserve"> stratili prácu alebo si nemôžu nájsť prácu po ukončení vzdelávania, rýchlu ponuku kvalitného miesta, absolventskej praxe alebo odbornej prípravy, a to do 4 mesiacov.</w:t>
      </w:r>
    </w:p>
    <w:p w:rsidR="007135B3" w:rsidRPr="004C5551" w:rsidRDefault="007135B3" w:rsidP="007135B3">
      <w:pPr>
        <w:pStyle w:val="Normlnysozarkami1"/>
        <w:ind w:firstLine="567"/>
        <w:rPr>
          <w:color w:val="000000" w:themeColor="text1"/>
        </w:rPr>
      </w:pPr>
      <w:r w:rsidRPr="004C5551">
        <w:rPr>
          <w:color w:val="000000" w:themeColor="text1"/>
        </w:rPr>
        <w:t xml:space="preserve">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 Podľa EK čoraz viac pracovných miest si vyžaduje elektronické zručnosti, pritom hospodárstvo EÚ trpí nedostatkom vysokokvalifikovaných pracovníkov v informačných a komunikačných technológiách. V roku 2014 sa </w:t>
      </w:r>
      <w:r w:rsidRPr="004C5551">
        <w:rPr>
          <w:b/>
          <w:color w:val="000000" w:themeColor="text1"/>
        </w:rPr>
        <w:t>miera vysoko</w:t>
      </w:r>
      <w:r w:rsidRPr="004C5551">
        <w:rPr>
          <w:b/>
          <w:color w:val="000000" w:themeColor="text1"/>
        </w:rPr>
        <w:softHyphen/>
        <w:t>školsky vzdelanej populácie</w:t>
      </w:r>
      <w:r w:rsidRPr="004C5551">
        <w:rPr>
          <w:color w:val="000000" w:themeColor="text1"/>
        </w:rPr>
        <w:t xml:space="preserve"> vo veku 30 – 34 rokov na Slovensku medziročne nezmenila, a tak ostala na úrovni 26,9 % (u žien 31,5 % a u mužov 22,5 %), pričom cieľom je dosiahnuť 40 % do roku 2020. V priemere v</w:t>
      </w:r>
      <w:r w:rsidR="009A02B2" w:rsidRPr="004C5551">
        <w:rPr>
          <w:color w:val="000000" w:themeColor="text1"/>
        </w:rPr>
        <w:t> </w:t>
      </w:r>
      <w:r w:rsidRPr="004C5551">
        <w:rPr>
          <w:color w:val="000000" w:themeColor="text1"/>
        </w:rPr>
        <w:t xml:space="preserve">EU28 v roku 2014 bolo 37,9 % vysokoškolsky vzdelaných ľudí vo veku 30 – 34 rokov. </w:t>
      </w:r>
    </w:p>
    <w:p w:rsidR="007135B3" w:rsidRPr="004C5551" w:rsidRDefault="007135B3" w:rsidP="007135B3">
      <w:pPr>
        <w:ind w:firstLine="567"/>
        <w:rPr>
          <w:color w:val="000000" w:themeColor="text1"/>
          <w:lang w:eastAsia="cs-CZ"/>
        </w:rPr>
      </w:pPr>
      <w:r w:rsidRPr="004C5551">
        <w:rPr>
          <w:color w:val="000000" w:themeColor="text1"/>
          <w:lang w:eastAsia="cs-CZ"/>
        </w:rPr>
        <w:t>Využitiu potenciálu mladých ľudí a ich úspešnému prechodu na trh práce bráni opustenie školskej dochádzky s nižším ako stredoškolským vzdelaním. V EU28 odchádza zo škôl predčasne a ďalej sa nevzdeláva vysoký podiel mladých ľudí. Napriek dlhodobému poklesu, v roku 2014 bolo 11,1 % ľudí vo veku 18 – 24 rokov, ktorí predčasne ukončili vzdelávanie. Nedostatok kvalifikácie je hlavnou bariérou pre inklúziu, nakoľko od vzdelania závisí úspešnosť začlenenia sa na trh práce, kvalita práce, odmeňovanie ale aj úspešnosť ďalšej prípravy pre trh práce počas celého života. Pre dosiahnutie inteligentného a </w:t>
      </w:r>
      <w:proofErr w:type="spellStart"/>
      <w:r w:rsidRPr="004C5551">
        <w:rPr>
          <w:color w:val="000000" w:themeColor="text1"/>
          <w:lang w:eastAsia="cs-CZ"/>
        </w:rPr>
        <w:t>inkluzívneho</w:t>
      </w:r>
      <w:proofErr w:type="spellEnd"/>
      <w:r w:rsidRPr="004C5551">
        <w:rPr>
          <w:color w:val="000000" w:themeColor="text1"/>
          <w:lang w:eastAsia="cs-CZ"/>
        </w:rPr>
        <w:t xml:space="preserve"> rastu bol stanovený cieľ</w:t>
      </w:r>
      <w:r w:rsidRPr="004C5551">
        <w:rPr>
          <w:color w:val="000000" w:themeColor="text1"/>
        </w:rPr>
        <w:t xml:space="preserve"> </w:t>
      </w:r>
      <w:r w:rsidRPr="004C5551">
        <w:rPr>
          <w:color w:val="000000" w:themeColor="text1"/>
          <w:lang w:eastAsia="cs-CZ"/>
        </w:rPr>
        <w:t xml:space="preserve">udržať mladých ľudí vo vzdelávacom procese a znížiť </w:t>
      </w:r>
      <w:r w:rsidRPr="004C5551">
        <w:rPr>
          <w:b/>
          <w:color w:val="000000" w:themeColor="text1"/>
          <w:lang w:eastAsia="cs-CZ"/>
        </w:rPr>
        <w:t>podiel predčasne ukončujúcich vzdelávanie</w:t>
      </w:r>
      <w:r w:rsidRPr="004C5551">
        <w:rPr>
          <w:color w:val="000000" w:themeColor="text1"/>
          <w:lang w:eastAsia="cs-CZ"/>
        </w:rPr>
        <w:t xml:space="preserve"> aspoň na úroveň 10 %. Slovenská republika dlhodobo patrí ku krajinám v rámci EÚ s relatívne nízkym podielom osôb, ktoré predčasne ukončujú školskú dochádzku. V roku 2014 sa tento podiel medziročne zvýšil o 0,3 p. b. na úroveň 6,7 %, pričom cieľom je udržať tento podiel pod 6 % do roku 2020. Osôb, ktoré predčasne zanechali školskú dochádzku bolo viac medzi mužmi (6,9 %) ako ženami (6,6 %). Významnú pozornosť si vyžaduje aj predčasné ukončovanie školskej dochádzky v </w:t>
      </w:r>
      <w:proofErr w:type="spellStart"/>
      <w:r w:rsidRPr="004C5551">
        <w:rPr>
          <w:color w:val="000000" w:themeColor="text1"/>
          <w:lang w:eastAsia="cs-CZ"/>
        </w:rPr>
        <w:t>marginalizovaných</w:t>
      </w:r>
      <w:proofErr w:type="spellEnd"/>
      <w:r w:rsidRPr="004C5551">
        <w:rPr>
          <w:color w:val="000000" w:themeColor="text1"/>
          <w:lang w:eastAsia="cs-CZ"/>
        </w:rPr>
        <w:t xml:space="preserve"> rómskych komunitách. Európska rada v tomto kontexte odporúča Slovenskej republik</w:t>
      </w:r>
      <w:r w:rsidR="00C53500" w:rsidRPr="004C5551">
        <w:rPr>
          <w:color w:val="000000" w:themeColor="text1"/>
          <w:lang w:eastAsia="cs-CZ"/>
        </w:rPr>
        <w:t>e</w:t>
      </w:r>
      <w:r w:rsidRPr="004C5551">
        <w:rPr>
          <w:color w:val="000000" w:themeColor="text1"/>
          <w:lang w:eastAsia="cs-CZ"/>
        </w:rPr>
        <w:t xml:space="preserve"> zvýšiť účasť rómskych detí v hlavnom vzdelávacom prúde a na vysoko kvalitnom vzdelávaní v rannom detstve. </w:t>
      </w:r>
    </w:p>
    <w:p w:rsidR="007135B3" w:rsidRPr="004C5551" w:rsidRDefault="007135B3" w:rsidP="007135B3">
      <w:pPr>
        <w:ind w:firstLine="567"/>
        <w:rPr>
          <w:color w:val="000000" w:themeColor="text1"/>
          <w:lang w:eastAsia="cs-CZ"/>
        </w:rPr>
      </w:pPr>
      <w:r w:rsidRPr="004C5551">
        <w:rPr>
          <w:color w:val="000000" w:themeColor="text1"/>
          <w:lang w:eastAsia="cs-CZ"/>
        </w:rPr>
        <w:t xml:space="preserve">Nízko-kvalifikovaní pracovníci majú na Slovensku obzvlášť ťažkú pozíciu na trhu práce, keď miera ich nezamestnanosti je dlhodobo najvyššia a miera zamestnanosti dlhodobo najnižšia v celej Európe. </w:t>
      </w:r>
      <w:r w:rsidRPr="004C5551">
        <w:rPr>
          <w:b/>
          <w:color w:val="000000" w:themeColor="text1"/>
          <w:lang w:eastAsia="cs-CZ"/>
        </w:rPr>
        <w:t>Miera nezamestnanosti ľudí</w:t>
      </w:r>
      <w:r w:rsidRPr="004C5551">
        <w:rPr>
          <w:color w:val="000000" w:themeColor="text1"/>
          <w:lang w:eastAsia="cs-CZ"/>
        </w:rPr>
        <w:t xml:space="preserve"> vo veku 25 – 64 rokov s dosiahnutým vzdelaním </w:t>
      </w:r>
      <w:r w:rsidRPr="004C5551">
        <w:rPr>
          <w:b/>
          <w:color w:val="000000" w:themeColor="text1"/>
          <w:lang w:eastAsia="cs-CZ"/>
        </w:rPr>
        <w:t xml:space="preserve">na úrovni ISCED 0 </w:t>
      </w:r>
      <w:r w:rsidRPr="004C5551">
        <w:rPr>
          <w:color w:val="000000" w:themeColor="text1"/>
        </w:rPr>
        <w:t xml:space="preserve">– </w:t>
      </w:r>
      <w:r w:rsidRPr="004C5551">
        <w:rPr>
          <w:b/>
          <w:color w:val="000000" w:themeColor="text1"/>
          <w:lang w:eastAsia="cs-CZ"/>
        </w:rPr>
        <w:t>2</w:t>
      </w:r>
      <w:r w:rsidRPr="004C5551">
        <w:rPr>
          <w:color w:val="000000" w:themeColor="text1"/>
          <w:lang w:eastAsia="cs-CZ"/>
        </w:rPr>
        <w:t xml:space="preserve"> (maximálne základné vzdelanie) v roku 2014 na Slovensku medziročne klesla o 0,7 p. b. na 39,3 %, stále bola vyše dvojnásobná oproti priemeru EU28 (17,3 %). Najnižšia miera nezamestnanosti ľudí s nízkou kvalifikáciou je v Rumunsku (6,4 %), v Luxembursku (7,7 %), na</w:t>
      </w:r>
      <w:r w:rsidR="009A02B2" w:rsidRPr="004C5551">
        <w:rPr>
          <w:color w:val="000000" w:themeColor="text1"/>
          <w:lang w:eastAsia="cs-CZ"/>
        </w:rPr>
        <w:t> </w:t>
      </w:r>
      <w:r w:rsidRPr="004C5551">
        <w:rPr>
          <w:color w:val="000000" w:themeColor="text1"/>
          <w:lang w:eastAsia="cs-CZ"/>
        </w:rPr>
        <w:t xml:space="preserve">Malte (7,8 %), v Dánsku (8,2 %) a vo Veľkej Británii (8,4 %). </w:t>
      </w:r>
      <w:r w:rsidRPr="004C5551">
        <w:rPr>
          <w:b/>
          <w:color w:val="000000" w:themeColor="text1"/>
          <w:lang w:eastAsia="cs-CZ"/>
        </w:rPr>
        <w:t>Miera zamestnanosti nízko-kvalifikovaných ľudí</w:t>
      </w:r>
      <w:r w:rsidRPr="004C5551">
        <w:rPr>
          <w:color w:val="000000" w:themeColor="text1"/>
          <w:lang w:eastAsia="cs-CZ"/>
        </w:rPr>
        <w:t xml:space="preserve"> (ISCED 0 </w:t>
      </w:r>
      <w:r w:rsidRPr="004C5551">
        <w:rPr>
          <w:color w:val="000000" w:themeColor="text1"/>
        </w:rPr>
        <w:t xml:space="preserve">– </w:t>
      </w:r>
      <w:r w:rsidRPr="004C5551">
        <w:rPr>
          <w:color w:val="000000" w:themeColor="text1"/>
          <w:lang w:eastAsia="cs-CZ"/>
        </w:rPr>
        <w:t>2) vo veku 25 </w:t>
      </w:r>
      <w:r w:rsidRPr="004C5551">
        <w:rPr>
          <w:color w:val="000000" w:themeColor="text1"/>
          <w:lang w:eastAsia="cs-CZ"/>
        </w:rPr>
        <w:noBreakHyphen/>
        <w:t xml:space="preserve"> 64 rokov v SR dosiahla 32,7 %, a hoci medziročne stúpla o 1,4 p. b., je najnižšou v Európe a hlboko pod priemerom EU28 (52,7 %). Oproti SR približne dvojnásobná miera zamestnanosti nízko-kvalifikovaných ľudí je v Švédsku (63,6 %), Portugalsku (63 %) a v Dánsku (61,7 %). </w:t>
      </w:r>
    </w:p>
    <w:p w:rsidR="007135B3" w:rsidRPr="004C5551" w:rsidRDefault="007135B3" w:rsidP="007135B3">
      <w:pPr>
        <w:ind w:firstLine="567"/>
        <w:rPr>
          <w:color w:val="000000" w:themeColor="text1"/>
          <w:lang w:eastAsia="cs-CZ"/>
        </w:rPr>
      </w:pPr>
      <w:r w:rsidRPr="004C5551">
        <w:rPr>
          <w:color w:val="000000" w:themeColor="text1"/>
          <w:lang w:eastAsia="cs-CZ"/>
        </w:rPr>
        <w:t xml:space="preserve">Vysoká miera nezamestnanosti sa na Slovensku premieta do vysokej </w:t>
      </w:r>
      <w:r w:rsidRPr="004C5551">
        <w:rPr>
          <w:b/>
          <w:color w:val="000000" w:themeColor="text1"/>
          <w:lang w:eastAsia="cs-CZ"/>
        </w:rPr>
        <w:t>miery dlhodobej nezamestnanosti</w:t>
      </w:r>
      <w:r w:rsidRPr="004C5551">
        <w:rPr>
          <w:b/>
          <w:i/>
          <w:color w:val="000000" w:themeColor="text1"/>
          <w:lang w:eastAsia="cs-CZ"/>
        </w:rPr>
        <w:t xml:space="preserve">, </w:t>
      </w:r>
      <w:r w:rsidRPr="004C5551">
        <w:rPr>
          <w:color w:val="000000" w:themeColor="text1"/>
          <w:lang w:eastAsia="cs-CZ"/>
        </w:rPr>
        <w:t>ktorá bola do roku 2012 dlhodobo najvyššou v Európe. V súvislosti s ekonomickou krízou a veľmi nepriaznivou ekonomickou situáciou výrazne narástla miera dlhodobej nezamestnanosti aj v Grécku a Španielsku (v Grécku v roku 2014 až na hodnotu 19,5 %), vyššiu mieru dlhodobej nezamestnanosti ako Slovensko má okrem týchto krajín aj Chorvátsko. Pozitívny vývoj na</w:t>
      </w:r>
      <w:r w:rsidR="009A02B2" w:rsidRPr="004C5551">
        <w:rPr>
          <w:color w:val="000000" w:themeColor="text1"/>
          <w:lang w:eastAsia="cs-CZ"/>
        </w:rPr>
        <w:t> </w:t>
      </w:r>
      <w:r w:rsidRPr="004C5551">
        <w:rPr>
          <w:color w:val="000000" w:themeColor="text1"/>
          <w:lang w:eastAsia="cs-CZ"/>
        </w:rPr>
        <w:t xml:space="preserve">trhu práce v podobe zníženia nezamestnanosti v dôsledku zrýchlenia ekonomiky na Slovensku sa v roku 2014 týkal aj dlhodobo nezamestnaných. Miera dlhodobej nezamestnanosti na Slovensku sa medziročne znížila o 0,7 p. b. a dosiahla 9,3 % (9,4 % u mužov a 9,1 % u žien). Podiel dlhodobo nezamestnaných na ekonomicky aktívnej populácii sa mierne znížil aj v priemere v EU28, a to o 0,1 p. b. na 5,1 %. Najnižšia miera dlhodobej nezamestnanosti je v Rakúsku (1,5 %) a v Švédsku (1,5 %) a hodnoty pod 2 % vykazujú miery dlhodobej nezamestnanosti v Luxembursku (1,6 %) a v Dánsku (1,7 %) a vo Fínsku (1,9 %). </w:t>
      </w:r>
      <w:r w:rsidRPr="004C5551">
        <w:t xml:space="preserve">Dlhodobá nezamestnanosť pretrváva v Slovenskej ekonomike vo vysokom rozsahu dlhodobo, čo poukazuje na prítomnosť štrukturálnych nevyvážeností na trhu práce. Dlhodobá nezamestnanosť vyúsťuje do </w:t>
      </w:r>
      <w:proofErr w:type="spellStart"/>
      <w:r w:rsidRPr="004C5551">
        <w:t>marginalizácie</w:t>
      </w:r>
      <w:proofErr w:type="spellEnd"/>
      <w:r w:rsidRPr="004C5551">
        <w:t xml:space="preserve"> časti ekonomicky aktívneho obyvateľstva a súvisiacich vysokých spoločenských nákladov. Veľmi vysokú mieru dlhodobej nezamestnanosti vykazujú skupiny ľudí, ktoré dosiahli najvyššie základné vzdelanie. Európska rada preto odporúča Slovensku prijať dodatočné opatrenia na riešenie dlhodobej nezamestnanosti, a to zavedením aktivačných</w:t>
      </w:r>
      <w:r w:rsidR="00423669" w:rsidRPr="004C5551">
        <w:t xml:space="preserve"> </w:t>
      </w:r>
      <w:r w:rsidRPr="004C5551">
        <w:t>opatrení, druhej</w:t>
      </w:r>
      <w:r w:rsidR="00423669" w:rsidRPr="004C5551">
        <w:t xml:space="preserve"> </w:t>
      </w:r>
      <w:r w:rsidRPr="004C5551">
        <w:t>šance</w:t>
      </w:r>
      <w:r w:rsidR="00423669" w:rsidRPr="004C5551">
        <w:t xml:space="preserve"> </w:t>
      </w:r>
      <w:r w:rsidRPr="004C5551">
        <w:t>na</w:t>
      </w:r>
      <w:r w:rsidR="00423669" w:rsidRPr="004C5551">
        <w:t xml:space="preserve"> </w:t>
      </w:r>
      <w:r w:rsidRPr="004C5551">
        <w:t>vzdelávanie a vysoko kvalitnej</w:t>
      </w:r>
      <w:r w:rsidR="00423669" w:rsidRPr="004C5551">
        <w:t xml:space="preserve"> </w:t>
      </w:r>
      <w:r w:rsidRPr="004C5551">
        <w:t xml:space="preserve">odbornej prípravy prispôsobenej potrebám jednotlivcov. </w:t>
      </w:r>
    </w:p>
    <w:p w:rsidR="007135B3" w:rsidRPr="004C5551" w:rsidRDefault="007135B3" w:rsidP="007135B3">
      <w:pPr>
        <w:ind w:firstLine="567"/>
        <w:rPr>
          <w:b/>
          <w:color w:val="000000" w:themeColor="text1"/>
        </w:rPr>
      </w:pPr>
      <w:r w:rsidRPr="004C5551">
        <w:rPr>
          <w:color w:val="000000" w:themeColor="text1"/>
        </w:rPr>
        <w:t xml:space="preserve">Na zamestnanosť môže mať nežiaduce účinky vysoká miera daňového a odvodového zaťaženia pracovných príjmov. Tieto účinky sa môžu týkať hlavne istých skupín, najmä nízko-kvalifikovaných pracovníkov alebo pracovníkov s nízkymi mzdami, nakoľko ponuka a dopyt po práci týchto skupín reagujú vo všeobecnosti citlivejšie na zmeny v tejto oblasti. Miera daňového zaťaženia nízkych zárobkov na Slovensku vo všeobecnosti nie je vysoká, čo možno konštatovať na základe nasledovných indikátorov. V súlade s odporúčaniami Európskej rady Slovenská republika od roku 2015 zaviedla opatrenia na zníženie odvodového zaťaženia nízkych miezd prostredníctvom zavedenia odpočítateľnej položky na zdravotné poistenie a zároveň významne zvýšila minimálnu mzdu bez zvýšenia nákladov zamestnávateľov, čím ďalej redukovala </w:t>
      </w:r>
      <w:proofErr w:type="spellStart"/>
      <w:r w:rsidRPr="004C5551">
        <w:rPr>
          <w:color w:val="000000" w:themeColor="text1"/>
        </w:rPr>
        <w:t>demotivačné</w:t>
      </w:r>
      <w:proofErr w:type="spellEnd"/>
      <w:r w:rsidRPr="004C5551">
        <w:rPr>
          <w:color w:val="000000" w:themeColor="text1"/>
        </w:rPr>
        <w:t xml:space="preserve"> faktory. Vyhodnotenie vplyvu tejto reformy bude možné až v budúcom období.</w:t>
      </w:r>
    </w:p>
    <w:p w:rsidR="003F212C" w:rsidRPr="004C5551" w:rsidRDefault="003F212C">
      <w:pPr>
        <w:jc w:val="left"/>
        <w:rPr>
          <w:b/>
          <w:color w:val="000000" w:themeColor="text1"/>
        </w:rPr>
      </w:pPr>
      <w:r w:rsidRPr="004C5551">
        <w:rPr>
          <w:b/>
          <w:color w:val="000000" w:themeColor="text1"/>
        </w:rPr>
        <w:br w:type="page"/>
      </w:r>
    </w:p>
    <w:p w:rsidR="007135B3" w:rsidRPr="004C5551" w:rsidRDefault="007135B3" w:rsidP="007135B3">
      <w:pPr>
        <w:ind w:firstLine="567"/>
        <w:rPr>
          <w:color w:val="000000" w:themeColor="text1"/>
        </w:rPr>
      </w:pPr>
      <w:r w:rsidRPr="004C5551">
        <w:rPr>
          <w:b/>
          <w:color w:val="000000" w:themeColor="text1"/>
        </w:rPr>
        <w:t>Daňový klin v prípade nízkych miezd</w:t>
      </w:r>
      <w:r w:rsidRPr="004C5551">
        <w:rPr>
          <w:rStyle w:val="Odkaznapoznmkupodiarou"/>
          <w:color w:val="000000" w:themeColor="text1"/>
        </w:rPr>
        <w:footnoteReference w:id="58"/>
      </w:r>
      <w:r w:rsidRPr="004C5551">
        <w:rPr>
          <w:color w:val="000000" w:themeColor="text1"/>
        </w:rPr>
        <w:t xml:space="preserve"> (podiel daní a odvodov zaplatených zamestnancom a zamestnávateľom na celkovej cene práce) na Slovensku v roku 2014 mierne medziročne narástol o 0,1 p. b. na 38,6 %, čím sa dostal tesne nad priemernú úroveň E</w:t>
      </w:r>
      <w:r w:rsidR="00D40CFE" w:rsidRPr="004C5551">
        <w:rPr>
          <w:color w:val="000000" w:themeColor="text1"/>
        </w:rPr>
        <w:t>U</w:t>
      </w:r>
      <w:r w:rsidRPr="004C5551">
        <w:rPr>
          <w:color w:val="000000" w:themeColor="text1"/>
        </w:rPr>
        <w:t>25</w:t>
      </w:r>
      <w:r w:rsidRPr="004C5551">
        <w:rPr>
          <w:rStyle w:val="Odkaznapoznmkupodiarou"/>
          <w:color w:val="000000" w:themeColor="text1"/>
        </w:rPr>
        <w:footnoteReference w:id="59"/>
      </w:r>
      <w:r w:rsidRPr="004C5551">
        <w:rPr>
          <w:color w:val="000000" w:themeColor="text1"/>
        </w:rPr>
        <w:t xml:space="preserve"> (38,5 %). </w:t>
      </w:r>
    </w:p>
    <w:p w:rsidR="007135B3" w:rsidRPr="004C5551" w:rsidRDefault="007135B3" w:rsidP="007135B3">
      <w:pPr>
        <w:ind w:firstLine="567"/>
        <w:rPr>
          <w:color w:val="000000" w:themeColor="text1"/>
        </w:rPr>
      </w:pPr>
      <w:r w:rsidRPr="004C5551">
        <w:rPr>
          <w:b/>
          <w:color w:val="000000" w:themeColor="text1"/>
        </w:rPr>
        <w:t>Indikátor</w:t>
      </w:r>
      <w:r w:rsidRPr="004C5551">
        <w:rPr>
          <w:color w:val="000000" w:themeColor="text1"/>
        </w:rPr>
        <w:t xml:space="preserve"> </w:t>
      </w:r>
      <w:r w:rsidRPr="004C5551">
        <w:rPr>
          <w:b/>
          <w:color w:val="000000" w:themeColor="text1"/>
        </w:rPr>
        <w:t>pasca nezamestnanosti</w:t>
      </w:r>
      <w:r w:rsidRPr="004C5551">
        <w:rPr>
          <w:rStyle w:val="Odkaznapoznmkupodiarou"/>
          <w:i/>
          <w:color w:val="000000" w:themeColor="text1"/>
        </w:rPr>
        <w:footnoteReference w:id="60"/>
      </w:r>
      <w:r w:rsidRPr="004C5551">
        <w:rPr>
          <w:color w:val="000000" w:themeColor="text1"/>
        </w:rPr>
        <w:t xml:space="preserve"> umožňuje merať rozdiely v príjme pri prechode zo systému sociálnych dávok na trh práce. Na Slovensku sa v roku 2004 vplyvom reformy daňového a sociálneho systému pasca nezamestnanosti prudko znížila až o 28 p. b. na úroveň 43 %. Pasca nezamestnanosti v rámci EU28 si udržuje relatívne vysokú úroveň oproti SR, v roku 2013 bola na úrovni 75,01 %. Pasca nezamestnanosti v SR sa v roku 2013 medziročne mierne znížila (o 0,1 p. b. na 44,26 %) a ostáva hlboko pod priemerom EU27. Ide o najmenšiu pascu nezamestnanosti v rámci celej Európy a znamená, že po prijatí zamestnania so mzdou na úrovni 67 % priemernej mzdy sa predtým nezamestnanému jednotlivcovi zdvihne čistý príjem až o 55,74 %. (V E</w:t>
      </w:r>
      <w:r w:rsidR="00D40CFE" w:rsidRPr="004C5551">
        <w:rPr>
          <w:color w:val="000000" w:themeColor="text1"/>
        </w:rPr>
        <w:t>U</w:t>
      </w:r>
      <w:r w:rsidRPr="004C5551">
        <w:rPr>
          <w:color w:val="000000" w:themeColor="text1"/>
        </w:rPr>
        <w:t>27 v priemere by sa hypoteticky jednotlivcovi v takejto situácii zdvihol príjem iba o 24,99 %).</w:t>
      </w:r>
    </w:p>
    <w:p w:rsidR="007135B3" w:rsidRPr="004C5551" w:rsidRDefault="007135B3" w:rsidP="007135B3">
      <w:pPr>
        <w:ind w:firstLine="567"/>
        <w:rPr>
          <w:color w:val="000000" w:themeColor="text1"/>
        </w:rPr>
      </w:pPr>
      <w:r w:rsidRPr="004C5551">
        <w:rPr>
          <w:b/>
          <w:color w:val="000000" w:themeColor="text1"/>
        </w:rPr>
        <w:t>Pasca nízkej mzdy</w:t>
      </w:r>
      <w:r w:rsidRPr="004C5551">
        <w:rPr>
          <w:rStyle w:val="Odkaznapoznmkupodiarou"/>
          <w:i/>
          <w:color w:val="000000" w:themeColor="text1"/>
        </w:rPr>
        <w:footnoteReference w:id="61"/>
      </w:r>
      <w:r w:rsidRPr="004C5551">
        <w:rPr>
          <w:color w:val="000000" w:themeColor="text1"/>
        </w:rPr>
        <w:t xml:space="preserve"> podobne ako pasca nezamestnanosti vypovedá o </w:t>
      </w:r>
      <w:proofErr w:type="spellStart"/>
      <w:r w:rsidRPr="004C5551">
        <w:rPr>
          <w:color w:val="000000" w:themeColor="text1"/>
        </w:rPr>
        <w:t>demotivácii</w:t>
      </w:r>
      <w:proofErr w:type="spellEnd"/>
      <w:r w:rsidRPr="004C5551">
        <w:rPr>
          <w:color w:val="000000" w:themeColor="text1"/>
        </w:rPr>
        <w:t xml:space="preserve"> pracovať, v tomto prípade za vyššiu mzdu. V roku 2013 pasca nízkej mzdy u dvojice (s jedným zarábajúcim členom) s dvomi deťmi na Slovensku medziročne klesla (o 2 p. b.) na úroveň 47,61 %, pričom priemer EU28 sa zvýšil o 1,9 p. b. na 60,23 % %. Pasca nízkej mzdy v prípade jednotlivca v roku 2013 dosiahla 26,21 %, čo je hlboko pod priemerom EU28 (49,25 %). Údaje o pasci nízkej mzdy za Slovensko v roku 2013 znamenajú, že pri zvýšení hrubej mzdy z 33 % na 67 % priemernej mzdy vzrastie čistý príjem u dvojice (s jedným zarábajúcim členom) s dvomi deťmi o 52,39 % a</w:t>
      </w:r>
      <w:r w:rsidR="009A02B2" w:rsidRPr="004C5551">
        <w:rPr>
          <w:color w:val="000000" w:themeColor="text1"/>
        </w:rPr>
        <w:t> </w:t>
      </w:r>
      <w:r w:rsidRPr="004C5551">
        <w:rPr>
          <w:color w:val="000000" w:themeColor="text1"/>
        </w:rPr>
        <w:t>u</w:t>
      </w:r>
      <w:r w:rsidR="009A02B2" w:rsidRPr="004C5551">
        <w:rPr>
          <w:color w:val="000000" w:themeColor="text1"/>
        </w:rPr>
        <w:t> </w:t>
      </w:r>
      <w:r w:rsidRPr="004C5551">
        <w:rPr>
          <w:color w:val="000000" w:themeColor="text1"/>
        </w:rPr>
        <w:t xml:space="preserve">jednotlivca až o 73,79 %. Či už v prípade jednotlivca alebo dvojice (s jedným zarábajúcim členom) s dvomi deťmi patrí pasca nízkej mzdy na Slovensku skôr k nižším v Európe. </w:t>
      </w:r>
    </w:p>
    <w:p w:rsidR="007135B3" w:rsidRPr="004C5551" w:rsidRDefault="007135B3" w:rsidP="007135B3">
      <w:pPr>
        <w:ind w:firstLine="567"/>
        <w:rPr>
          <w:color w:val="000000" w:themeColor="text1"/>
          <w:lang w:eastAsia="cs-CZ"/>
        </w:rPr>
      </w:pPr>
      <w:r w:rsidRPr="004C5551">
        <w:rPr>
          <w:color w:val="000000" w:themeColor="text1"/>
          <w:lang w:eastAsia="cs-CZ"/>
        </w:rPr>
        <w:t xml:space="preserve">V rámci stratégie Európa 2020 a podpory </w:t>
      </w:r>
      <w:proofErr w:type="spellStart"/>
      <w:r w:rsidRPr="004C5551">
        <w:rPr>
          <w:color w:val="000000" w:themeColor="text1"/>
          <w:lang w:eastAsia="cs-CZ"/>
        </w:rPr>
        <w:t>inkluzívneho</w:t>
      </w:r>
      <w:proofErr w:type="spellEnd"/>
      <w:r w:rsidRPr="004C5551">
        <w:rPr>
          <w:color w:val="000000" w:themeColor="text1"/>
          <w:lang w:eastAsia="cs-CZ"/>
        </w:rPr>
        <w:t xml:space="preserve"> rastu je stanovený ďalší hlavný cieľ, a to znížiť </w:t>
      </w:r>
      <w:r w:rsidRPr="004C5551">
        <w:rPr>
          <w:b/>
          <w:color w:val="000000" w:themeColor="text1"/>
          <w:lang w:eastAsia="cs-CZ"/>
        </w:rPr>
        <w:t>počet osôb v riziku chudoby alebo sociálneho vylúčenia</w:t>
      </w:r>
      <w:r w:rsidRPr="004C5551">
        <w:rPr>
          <w:color w:val="000000" w:themeColor="text1"/>
          <w:lang w:eastAsia="cs-CZ"/>
        </w:rPr>
        <w:t xml:space="preserve"> aspoň o 20 mil. (na 19,4 %). V roku 2013 v rámci EU28 bolo 122,897 mil. ľudí (24,5 %) ohrozených chudobou alebo sociálnym vylúčením, pričom tento počet medziročne klesol, a to o 1,169 mil. osôb (0,2 p. b.). Cieľ je monitorovaný prostredníctvom indikátora zloženého z 3 </w:t>
      </w:r>
      <w:proofErr w:type="spellStart"/>
      <w:r w:rsidRPr="004C5551">
        <w:rPr>
          <w:color w:val="000000" w:themeColor="text1"/>
          <w:lang w:eastAsia="cs-CZ"/>
        </w:rPr>
        <w:t>subindikátorov</w:t>
      </w:r>
      <w:proofErr w:type="spellEnd"/>
      <w:r w:rsidRPr="004C5551">
        <w:rPr>
          <w:color w:val="000000" w:themeColor="text1"/>
          <w:lang w:eastAsia="cs-CZ"/>
        </w:rPr>
        <w:t xml:space="preserve"> t.j. ľudia v riziku chudoby a sociálneho vylúčenia boli buď žijúci v domácnostiach s veľmi nízkou pracovnou intenzitou</w:t>
      </w:r>
      <w:r w:rsidRPr="004C5551">
        <w:rPr>
          <w:rStyle w:val="Odkaznapoznmkupodiarou"/>
          <w:bCs/>
          <w:color w:val="000000" w:themeColor="text1"/>
          <w:szCs w:val="22"/>
        </w:rPr>
        <w:footnoteReference w:id="62"/>
      </w:r>
      <w:r w:rsidRPr="004C5551">
        <w:rPr>
          <w:color w:val="000000" w:themeColor="text1"/>
          <w:lang w:eastAsia="cs-CZ"/>
        </w:rPr>
        <w:t>, a/alebo osoby žijúce v riziku chudoby po sociálnych transferoch</w:t>
      </w:r>
      <w:r w:rsidRPr="004C5551">
        <w:rPr>
          <w:rStyle w:val="Odkaznapoznmkupodiarou"/>
          <w:bCs/>
          <w:color w:val="000000" w:themeColor="text1"/>
          <w:szCs w:val="22"/>
        </w:rPr>
        <w:footnoteReference w:id="63"/>
      </w:r>
      <w:r w:rsidRPr="004C5551">
        <w:rPr>
          <w:color w:val="000000" w:themeColor="text1"/>
          <w:lang w:eastAsia="cs-CZ"/>
        </w:rPr>
        <w:t xml:space="preserve"> a/alebo závažne materiálne </w:t>
      </w:r>
      <w:proofErr w:type="spellStart"/>
      <w:r w:rsidRPr="004C5551">
        <w:rPr>
          <w:color w:val="000000" w:themeColor="text1"/>
          <w:lang w:eastAsia="cs-CZ"/>
        </w:rPr>
        <w:t>deprivované</w:t>
      </w:r>
      <w:proofErr w:type="spellEnd"/>
      <w:r w:rsidRPr="004C5551">
        <w:rPr>
          <w:color w:val="000000" w:themeColor="text1"/>
          <w:lang w:eastAsia="cs-CZ"/>
        </w:rPr>
        <w:t xml:space="preserve"> osoby</w:t>
      </w:r>
      <w:r w:rsidRPr="004C5551">
        <w:rPr>
          <w:rStyle w:val="Odkaznapoznmkupodiarou"/>
          <w:bCs/>
          <w:color w:val="000000" w:themeColor="text1"/>
          <w:szCs w:val="22"/>
        </w:rPr>
        <w:footnoteReference w:id="64"/>
      </w:r>
      <w:r w:rsidRPr="004C5551">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w:t>
      </w:r>
      <w:proofErr w:type="spellStart"/>
      <w:r w:rsidRPr="004C5551">
        <w:rPr>
          <w:color w:val="000000" w:themeColor="text1"/>
          <w:lang w:eastAsia="cs-CZ"/>
        </w:rPr>
        <w:t>subindikátoroch</w:t>
      </w:r>
      <w:proofErr w:type="spellEnd"/>
      <w:r w:rsidRPr="004C5551">
        <w:rPr>
          <w:color w:val="000000" w:themeColor="text1"/>
          <w:lang w:eastAsia="cs-CZ"/>
        </w:rPr>
        <w:t xml:space="preserve">. Celkový počet ľudí v riziku chudoby a sociálneho vylúčenia je nižší ako suma počtov ľudí v každej z troch foriem chudoby a sociálneho vylúčenia, nakoľko niektoré osoby môžu trpieť súčasne viacerými formami. </w:t>
      </w:r>
    </w:p>
    <w:p w:rsidR="007135B3" w:rsidRPr="004C5551" w:rsidRDefault="007135B3" w:rsidP="007135B3">
      <w:pPr>
        <w:ind w:firstLine="567"/>
        <w:rPr>
          <w:color w:val="000000" w:themeColor="text1"/>
          <w:lang w:eastAsia="cs-CZ"/>
        </w:rPr>
      </w:pPr>
      <w:r w:rsidRPr="004C5551">
        <w:rPr>
          <w:color w:val="000000" w:themeColor="text1"/>
          <w:lang w:eastAsia="cs-CZ"/>
        </w:rPr>
        <w:t>S</w:t>
      </w:r>
      <w:r w:rsidR="00C53500" w:rsidRPr="004C5551">
        <w:rPr>
          <w:color w:val="000000" w:themeColor="text1"/>
          <w:lang w:eastAsia="cs-CZ"/>
        </w:rPr>
        <w:t>lovenská republika</w:t>
      </w:r>
      <w:r w:rsidRPr="004C5551">
        <w:rPr>
          <w:color w:val="000000" w:themeColor="text1"/>
          <w:lang w:eastAsia="cs-CZ"/>
        </w:rPr>
        <w:t xml:space="preserve"> si za cieľ vytýčila, že do roku 2020 zníži celkový počet týchto osôb o</w:t>
      </w:r>
      <w:r w:rsidR="009A02B2" w:rsidRPr="004C5551">
        <w:rPr>
          <w:color w:val="000000" w:themeColor="text1"/>
          <w:lang w:eastAsia="cs-CZ"/>
        </w:rPr>
        <w:t> </w:t>
      </w:r>
      <w:r w:rsidRPr="004C5551">
        <w:rPr>
          <w:color w:val="000000" w:themeColor="text1"/>
          <w:lang w:eastAsia="cs-CZ"/>
        </w:rPr>
        <w:t>170</w:t>
      </w:r>
      <w:r w:rsidR="009A02B2" w:rsidRPr="004C5551">
        <w:rPr>
          <w:color w:val="000000" w:themeColor="text1"/>
          <w:lang w:eastAsia="cs-CZ"/>
        </w:rPr>
        <w:t> </w:t>
      </w:r>
      <w:r w:rsidRPr="004C5551">
        <w:rPr>
          <w:color w:val="000000" w:themeColor="text1"/>
          <w:lang w:eastAsia="cs-CZ"/>
        </w:rPr>
        <w:t xml:space="preserve">tis. (na 17,2 %). V roku 2013 počet ľudí v riziku chudoby alebo sociálneho vylúčenia medziročne klesol o 39 tis. ľudí na 1 070 tis. (o 0,7 p. b. na 19,8 %), pričom viac bolo ohrozených žien (20,2 %) ako mužov (19,3 %), hoci pokles bol vyšší u žien. Klesol počet ľudí v riziku chudoby (príjmovej) a závažne materiálne </w:t>
      </w:r>
      <w:proofErr w:type="spellStart"/>
      <w:r w:rsidRPr="004C5551">
        <w:rPr>
          <w:color w:val="000000" w:themeColor="text1"/>
          <w:lang w:eastAsia="cs-CZ"/>
        </w:rPr>
        <w:t>deprivovaných</w:t>
      </w:r>
      <w:proofErr w:type="spellEnd"/>
      <w:r w:rsidRPr="004C5551">
        <w:rPr>
          <w:color w:val="000000" w:themeColor="text1"/>
          <w:lang w:eastAsia="cs-CZ"/>
        </w:rPr>
        <w:t xml:space="preserve">, zatiaľ čo počet ľudí žijúcich v domácnosti s nízkou intenzitou práce narástol. V roku 2013 bolo v SR 694 tis. </w:t>
      </w:r>
      <w:r w:rsidRPr="004C5551">
        <w:rPr>
          <w:b/>
          <w:color w:val="000000" w:themeColor="text1"/>
          <w:lang w:eastAsia="cs-CZ"/>
        </w:rPr>
        <w:t>ľudí v riziku chudoby</w:t>
      </w:r>
      <w:r w:rsidRPr="004C5551">
        <w:rPr>
          <w:color w:val="000000" w:themeColor="text1"/>
          <w:lang w:eastAsia="cs-CZ"/>
        </w:rPr>
        <w:t xml:space="preserve"> (12,8 % oproti 16,6 % v EU28), 554 tis. </w:t>
      </w:r>
      <w:r w:rsidRPr="004C5551">
        <w:rPr>
          <w:b/>
          <w:color w:val="000000" w:themeColor="text1"/>
          <w:lang w:eastAsia="cs-CZ"/>
        </w:rPr>
        <w:t xml:space="preserve">ľudí závažne materiálne </w:t>
      </w:r>
      <w:proofErr w:type="spellStart"/>
      <w:r w:rsidRPr="004C5551">
        <w:rPr>
          <w:b/>
          <w:color w:val="000000" w:themeColor="text1"/>
          <w:lang w:eastAsia="cs-CZ"/>
        </w:rPr>
        <w:t>deprivovaných</w:t>
      </w:r>
      <w:proofErr w:type="spellEnd"/>
      <w:r w:rsidRPr="004C5551">
        <w:rPr>
          <w:color w:val="000000" w:themeColor="text1"/>
          <w:lang w:eastAsia="cs-CZ"/>
        </w:rPr>
        <w:t xml:space="preserve"> (10,2 % oproti 9,6 % v EU28) a</w:t>
      </w:r>
      <w:r w:rsidR="009A02B2" w:rsidRPr="004C5551">
        <w:rPr>
          <w:color w:val="000000" w:themeColor="text1"/>
          <w:lang w:eastAsia="cs-CZ"/>
        </w:rPr>
        <w:t> </w:t>
      </w:r>
      <w:r w:rsidRPr="004C5551">
        <w:rPr>
          <w:color w:val="000000" w:themeColor="text1"/>
          <w:lang w:eastAsia="cs-CZ"/>
        </w:rPr>
        <w:t xml:space="preserve">328 tis. osôb </w:t>
      </w:r>
      <w:r w:rsidRPr="004C5551">
        <w:rPr>
          <w:b/>
          <w:color w:val="000000" w:themeColor="text1"/>
          <w:lang w:eastAsia="cs-CZ"/>
        </w:rPr>
        <w:t>žijúcich v domácnostiach s veľmi nízkou intenzitou práce</w:t>
      </w:r>
      <w:r w:rsidRPr="004C5551">
        <w:rPr>
          <w:color w:val="000000" w:themeColor="text1"/>
          <w:lang w:eastAsia="cs-CZ"/>
        </w:rPr>
        <w:t xml:space="preserve"> (7,6 % oproti 10,8 % v</w:t>
      </w:r>
      <w:r w:rsidR="009A02B2" w:rsidRPr="004C5551">
        <w:rPr>
          <w:color w:val="000000" w:themeColor="text1"/>
          <w:lang w:eastAsia="cs-CZ"/>
        </w:rPr>
        <w:t> </w:t>
      </w:r>
      <w:r w:rsidRPr="004C5551">
        <w:rPr>
          <w:color w:val="000000" w:themeColor="text1"/>
          <w:lang w:eastAsia="cs-CZ"/>
        </w:rPr>
        <w:t>EU28). Podľa predbežných údajov na základe EU SILC 2014 počet ľudí v riziku chudoby ďalej klesal na úroveň 660 tis. (o 0,2 p. b. na 12,6 %) podobne ako závažná materiálna deprivácia (pokles na</w:t>
      </w:r>
      <w:r w:rsidR="009A02B2" w:rsidRPr="004C5551">
        <w:rPr>
          <w:color w:val="000000" w:themeColor="text1"/>
          <w:lang w:eastAsia="cs-CZ"/>
        </w:rPr>
        <w:t> </w:t>
      </w:r>
      <w:r w:rsidRPr="004C5551">
        <w:rPr>
          <w:color w:val="000000" w:themeColor="text1"/>
          <w:lang w:eastAsia="cs-CZ"/>
        </w:rPr>
        <w:t xml:space="preserve">514 tis. ľudí t.j. o 0,3 p. b. na 9,9 %). </w:t>
      </w:r>
    </w:p>
    <w:p w:rsidR="007135B3" w:rsidRPr="004C5551" w:rsidRDefault="007135B3" w:rsidP="007135B3">
      <w:pPr>
        <w:ind w:firstLine="567"/>
        <w:rPr>
          <w:color w:val="000000" w:themeColor="text1"/>
          <w:lang w:eastAsia="cs-CZ"/>
        </w:rPr>
      </w:pPr>
      <w:r w:rsidRPr="004C5551">
        <w:rPr>
          <w:color w:val="000000" w:themeColor="text1"/>
          <w:lang w:eastAsia="cs-CZ"/>
        </w:rPr>
        <w:t>Najvyšší podiel osôb v riziku chudoby alebo sociálneho vylúčenia sa nachádzal v Bulharsku (48 %) a v Rumunsku (40,4 %) a najnižší v</w:t>
      </w:r>
      <w:r w:rsidR="00423669" w:rsidRPr="004C5551">
        <w:rPr>
          <w:color w:val="000000" w:themeColor="text1"/>
          <w:lang w:eastAsia="cs-CZ"/>
        </w:rPr>
        <w:t xml:space="preserve"> </w:t>
      </w:r>
      <w:r w:rsidRPr="004C5551">
        <w:rPr>
          <w:color w:val="000000" w:themeColor="text1"/>
          <w:lang w:eastAsia="cs-CZ"/>
        </w:rPr>
        <w:t>Českej republike (14,6 %), v Holandsku (15,9 %) a</w:t>
      </w:r>
      <w:r w:rsidR="009A02B2" w:rsidRPr="004C5551">
        <w:rPr>
          <w:color w:val="000000" w:themeColor="text1"/>
          <w:lang w:eastAsia="cs-CZ"/>
        </w:rPr>
        <w:t> </w:t>
      </w:r>
      <w:r w:rsidRPr="004C5551">
        <w:rPr>
          <w:color w:val="000000" w:themeColor="text1"/>
          <w:lang w:eastAsia="cs-CZ"/>
        </w:rPr>
        <w:t>vo</w:t>
      </w:r>
      <w:r w:rsidR="009A02B2" w:rsidRPr="004C5551">
        <w:rPr>
          <w:color w:val="000000" w:themeColor="text1"/>
          <w:lang w:eastAsia="cs-CZ"/>
        </w:rPr>
        <w:t> </w:t>
      </w:r>
      <w:r w:rsidRPr="004C5551">
        <w:rPr>
          <w:color w:val="000000" w:themeColor="text1"/>
          <w:lang w:eastAsia="cs-CZ"/>
        </w:rPr>
        <w:t xml:space="preserve">Fínsku (16 %). </w:t>
      </w:r>
    </w:p>
    <w:p w:rsidR="007135B3" w:rsidRPr="004C5551" w:rsidRDefault="007135B3" w:rsidP="007135B3">
      <w:pPr>
        <w:ind w:firstLine="567"/>
        <w:rPr>
          <w:color w:val="000000" w:themeColor="text1"/>
          <w:lang w:eastAsia="cs-CZ"/>
        </w:rPr>
      </w:pPr>
      <w:r w:rsidRPr="004C5551">
        <w:rPr>
          <w:color w:val="000000" w:themeColor="text1"/>
          <w:lang w:eastAsia="cs-CZ"/>
        </w:rPr>
        <w:t>Z hľadiska veku vo vyššom riziku chudoby a sociálneho vylúčenia ako ostatné vekové skupiny sa nachádzajú deti, a to vo väčšine krajín EU28 vrátane Slovenska. V roku 2013 v EU28 trpelo aspoň jednou z troch foriem chudoby a sociálneho vylúčenia 27,7 % detí mladších ako 18 rokov (23,8 % ľudí nad 18 rokov a 18,2 % nad 65 rokov). Na Slovensku to bolo 25,5 % detí do 18 rokov v riziku chudoby a sociálneho vylúčenia oproti 18,5 % ľudí nad 18 rokov a 13,6 % ľudí nad 65 rokov. Pozitívne je, že podiel detí v riziku chudoby a sociálneho vylúčenia na Slovensku sa v roku 2013 medziročne znížil o 1,1 p. b., čo bolo viac ako v prípade podielu ohrozených chudobou a sociálnym vylúčením nad 18 rokov, ktorý klesol o 0,8 p. b..</w:t>
      </w:r>
    </w:p>
    <w:p w:rsidR="007135B3" w:rsidRPr="004C5551" w:rsidRDefault="007135B3" w:rsidP="007135B3">
      <w:pPr>
        <w:ind w:firstLine="567"/>
        <w:rPr>
          <w:color w:val="000000" w:themeColor="text1"/>
          <w:lang w:eastAsia="cs-CZ"/>
        </w:rPr>
      </w:pPr>
      <w:r w:rsidRPr="004C5551">
        <w:rPr>
          <w:color w:val="000000" w:themeColor="text1"/>
          <w:lang w:eastAsia="cs-CZ"/>
        </w:rPr>
        <w:t>Čo sa týka jednotlivých elementov, ktoré definujú riziko chudoby a sociálneho vylúčenia, najvyšší podiel ľudí s disponibilným príjmom pod hranicou rizika chudoby bol v roku 2013 v Grécku (23,1 %), vysoký nad 20 % bol aj v Rumunsku (22,4 %), v Bulharsku (21 %), v Litve (20,6 %) a</w:t>
      </w:r>
      <w:r w:rsidR="009A02B2" w:rsidRPr="004C5551">
        <w:rPr>
          <w:color w:val="000000" w:themeColor="text1"/>
          <w:lang w:eastAsia="cs-CZ"/>
        </w:rPr>
        <w:t> </w:t>
      </w:r>
      <w:r w:rsidRPr="004C5551">
        <w:rPr>
          <w:color w:val="000000" w:themeColor="text1"/>
          <w:lang w:eastAsia="cs-CZ"/>
        </w:rPr>
        <w:t xml:space="preserve">v Španielsku (20,4 %) a najnižší podiel ľudí s takýmto nízkym príjmom bol v Českej republike (8,6 %) a v Holandsku (10,4 %). Podiel ľudí v EU28, ktorí sú závažne materiálne </w:t>
      </w:r>
      <w:proofErr w:type="spellStart"/>
      <w:r w:rsidRPr="004C5551">
        <w:rPr>
          <w:color w:val="000000" w:themeColor="text1"/>
          <w:lang w:eastAsia="cs-CZ"/>
        </w:rPr>
        <w:t>deprivovaní</w:t>
      </w:r>
      <w:proofErr w:type="spellEnd"/>
      <w:r w:rsidRPr="004C5551">
        <w:rPr>
          <w:color w:val="000000" w:themeColor="text1"/>
          <w:lang w:eastAsia="cs-CZ"/>
        </w:rPr>
        <w:t>, výrazne variuje od 1,4 % vo Švédsku až po 43 % v Bulharsku. Podiel ľudí do 59 rokov žijúcich v domácnostiach s nízkou pracovnou intenzitou je najvyšší v Írsku (23,9 %) a najnižší je vo</w:t>
      </w:r>
      <w:r w:rsidR="009A02B2" w:rsidRPr="004C5551">
        <w:rPr>
          <w:color w:val="000000" w:themeColor="text1"/>
          <w:lang w:eastAsia="cs-CZ"/>
        </w:rPr>
        <w:t> </w:t>
      </w:r>
      <w:r w:rsidRPr="004C5551">
        <w:rPr>
          <w:color w:val="000000" w:themeColor="text1"/>
          <w:lang w:eastAsia="cs-CZ"/>
        </w:rPr>
        <w:t>Rumunsku (6,4 %).</w:t>
      </w:r>
    </w:p>
    <w:p w:rsidR="007135B3" w:rsidRPr="004C5551" w:rsidRDefault="007135B3" w:rsidP="007135B3">
      <w:pPr>
        <w:pStyle w:val="Nadpis7"/>
        <w:rPr>
          <w:color w:val="000000" w:themeColor="text1"/>
        </w:rPr>
      </w:pPr>
      <w:r w:rsidRPr="004C5551">
        <w:rPr>
          <w:color w:val="000000" w:themeColor="text1"/>
        </w:rPr>
        <w:t>Tabuľka 5.1 Vývoj vybraných hlavných ukazovateľov stratégie Európa 2020</w:t>
      </w:r>
    </w:p>
    <w:p w:rsidR="007135B3" w:rsidRPr="004C5551" w:rsidRDefault="00543CF2" w:rsidP="009A02B2">
      <w:pPr>
        <w:ind w:left="-426"/>
        <w:jc w:val="center"/>
      </w:pPr>
      <w:r w:rsidRPr="004C5551">
        <w:rPr>
          <w:noProof/>
        </w:rPr>
        <w:drawing>
          <wp:inline distT="0" distB="0" distL="0" distR="0" wp14:anchorId="002DF57F" wp14:editId="7E2FB09F">
            <wp:extent cx="6301554" cy="2200275"/>
            <wp:effectExtent l="0" t="0" r="4445"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03842" cy="2201074"/>
                    </a:xfrm>
                    <a:prstGeom prst="rect">
                      <a:avLst/>
                    </a:prstGeom>
                    <a:noFill/>
                    <a:ln>
                      <a:noFill/>
                    </a:ln>
                  </pic:spPr>
                </pic:pic>
              </a:graphicData>
            </a:graphic>
          </wp:inline>
        </w:drawing>
      </w:r>
    </w:p>
    <w:p w:rsidR="007135B3" w:rsidRPr="004C5551" w:rsidRDefault="007135B3" w:rsidP="009A02B2">
      <w:pPr>
        <w:pStyle w:val="zdroj"/>
        <w:spacing w:after="0"/>
        <w:ind w:firstLine="142"/>
        <w:rPr>
          <w:color w:val="000000" w:themeColor="text1"/>
        </w:rPr>
      </w:pPr>
      <w:r w:rsidRPr="004C5551">
        <w:rPr>
          <w:color w:val="000000" w:themeColor="text1"/>
        </w:rPr>
        <w:t>Zdroj: EUROSTAT</w:t>
      </w:r>
    </w:p>
    <w:p w:rsidR="007135B3" w:rsidRPr="004C5551" w:rsidRDefault="007135B3" w:rsidP="009A02B2">
      <w:pPr>
        <w:pStyle w:val="zdroj"/>
        <w:spacing w:before="0" w:after="0"/>
        <w:ind w:left="142" w:firstLine="0"/>
        <w:rPr>
          <w:color w:val="000000" w:themeColor="text1"/>
        </w:rPr>
      </w:pPr>
      <w:r w:rsidRPr="004C5551">
        <w:rPr>
          <w:color w:val="000000" w:themeColor="text1"/>
        </w:rPr>
        <w:t>Poznámky: Údaje o chudobe sú počítané ŠÚ SR na základe EU SILC, referenčný rok pre zisťovanie príjmu je predchádzajúci rok, v roku 2011 v SR zmena v časovom rade pri miere nezamestnanosti 20 – 64 ročných a podiele osôb predčasne opúšťajúcich vzdelávací systém</w:t>
      </w:r>
    </w:p>
    <w:p w:rsidR="001E0522" w:rsidRPr="004C5551" w:rsidRDefault="001E0522" w:rsidP="007135B3">
      <w:pPr>
        <w:sectPr w:rsidR="001E0522" w:rsidRPr="004C5551" w:rsidSect="004F3C97">
          <w:headerReference w:type="even" r:id="rId89"/>
          <w:headerReference w:type="default" r:id="rId90"/>
          <w:type w:val="oddPage"/>
          <w:pgSz w:w="11906" w:h="16838"/>
          <w:pgMar w:top="1417" w:right="1417" w:bottom="1417" w:left="1417" w:header="708" w:footer="708" w:gutter="0"/>
          <w:cols w:space="708"/>
          <w:docGrid w:linePitch="360"/>
        </w:sectPr>
      </w:pPr>
    </w:p>
    <w:p w:rsidR="006C1C9A" w:rsidRPr="004C5551" w:rsidRDefault="006A44E7" w:rsidP="003F212C">
      <w:pPr>
        <w:pStyle w:val="Nadpis1"/>
        <w:numPr>
          <w:ilvl w:val="0"/>
          <w:numId w:val="0"/>
        </w:numPr>
        <w:ind w:left="432" w:hanging="432"/>
      </w:pPr>
      <w:bookmarkStart w:id="755" w:name="_Toc325438307"/>
      <w:bookmarkStart w:id="756" w:name="_Toc356482784"/>
      <w:bookmarkStart w:id="757" w:name="_Toc356482803"/>
      <w:bookmarkStart w:id="758" w:name="_Toc356482826"/>
      <w:bookmarkStart w:id="759" w:name="_Toc422233448"/>
      <w:r w:rsidRPr="004C5551">
        <w:t>Zoznam príloh</w:t>
      </w:r>
      <w:bookmarkEnd w:id="755"/>
      <w:bookmarkEnd w:id="756"/>
      <w:bookmarkEnd w:id="757"/>
      <w:bookmarkEnd w:id="758"/>
      <w:bookmarkEnd w:id="759"/>
    </w:p>
    <w:p w:rsidR="006F1EB4" w:rsidRPr="004C5551" w:rsidRDefault="006F1EB4" w:rsidP="00D36FB8"/>
    <w:p w:rsidR="00613D59" w:rsidRPr="004C5551" w:rsidRDefault="00613D59" w:rsidP="00ED16E0">
      <w:pPr>
        <w:pStyle w:val="nadpis2"/>
        <w:numPr>
          <w:ilvl w:val="0"/>
          <w:numId w:val="0"/>
        </w:numPr>
      </w:pPr>
      <w:bookmarkStart w:id="760" w:name="_Toc356482785"/>
      <w:bookmarkStart w:id="761" w:name="_Toc356482827"/>
      <w:bookmarkStart w:id="762" w:name="_Toc388534239"/>
      <w:bookmarkStart w:id="763" w:name="_Toc389646861"/>
      <w:bookmarkStart w:id="764" w:name="_Toc394062239"/>
      <w:bookmarkStart w:id="765" w:name="_Toc418672281"/>
      <w:bookmarkStart w:id="766" w:name="_Toc419355266"/>
      <w:bookmarkStart w:id="767" w:name="_Toc419795389"/>
      <w:bookmarkStart w:id="768" w:name="_Toc422151009"/>
      <w:bookmarkStart w:id="769" w:name="_Toc422233449"/>
      <w:r w:rsidRPr="004C5551">
        <w:t>Príloh</w:t>
      </w:r>
      <w:r w:rsidR="00C83676" w:rsidRPr="004C5551">
        <w:t>a</w:t>
      </w:r>
      <w:r w:rsidRPr="004C5551">
        <w:t xml:space="preserve"> ku kapitole 1</w:t>
      </w:r>
      <w:bookmarkEnd w:id="760"/>
      <w:bookmarkEnd w:id="761"/>
      <w:bookmarkEnd w:id="762"/>
      <w:bookmarkEnd w:id="763"/>
      <w:bookmarkEnd w:id="764"/>
      <w:bookmarkEnd w:id="765"/>
      <w:bookmarkEnd w:id="766"/>
      <w:bookmarkEnd w:id="767"/>
      <w:bookmarkEnd w:id="768"/>
      <w:bookmarkEnd w:id="769"/>
      <w:r w:rsidRPr="004C5551">
        <w:tab/>
      </w:r>
    </w:p>
    <w:p w:rsidR="00613D59" w:rsidRPr="004C5551" w:rsidRDefault="00613D59" w:rsidP="00D36FB8">
      <w:pPr>
        <w:tabs>
          <w:tab w:val="left" w:pos="851"/>
        </w:tabs>
        <w:rPr>
          <w:color w:val="000000" w:themeColor="text1"/>
        </w:rPr>
      </w:pPr>
      <w:r w:rsidRPr="004C5551">
        <w:rPr>
          <w:color w:val="000000" w:themeColor="text1"/>
        </w:rPr>
        <w:t>Tab</w:t>
      </w:r>
      <w:r w:rsidR="00C461BD" w:rsidRPr="004C5551">
        <w:rPr>
          <w:color w:val="000000" w:themeColor="text1"/>
        </w:rPr>
        <w:t>uľka</w:t>
      </w:r>
      <w:r w:rsidRPr="004C5551">
        <w:rPr>
          <w:color w:val="000000" w:themeColor="text1"/>
        </w:rPr>
        <w:t xml:space="preserve"> 1</w:t>
      </w:r>
      <w:r w:rsidRPr="004C5551">
        <w:rPr>
          <w:color w:val="000000" w:themeColor="text1"/>
        </w:rPr>
        <w:tab/>
        <w:t>Základné ukazovatele ekonomického vývoja SR</w:t>
      </w:r>
    </w:p>
    <w:p w:rsidR="00613D59" w:rsidRPr="004C5551" w:rsidRDefault="00C461BD" w:rsidP="00D36FB8">
      <w:pPr>
        <w:tabs>
          <w:tab w:val="left" w:pos="851"/>
        </w:tabs>
        <w:rPr>
          <w:color w:val="000000" w:themeColor="text1"/>
        </w:rPr>
      </w:pPr>
      <w:r w:rsidRPr="004C5551">
        <w:rPr>
          <w:color w:val="000000" w:themeColor="text1"/>
        </w:rPr>
        <w:t>Tabuľka</w:t>
      </w:r>
      <w:r w:rsidR="00613D59" w:rsidRPr="004C5551">
        <w:rPr>
          <w:color w:val="000000" w:themeColor="text1"/>
        </w:rPr>
        <w:t xml:space="preserve"> 2</w:t>
      </w:r>
      <w:r w:rsidR="00613D59" w:rsidRPr="004C5551">
        <w:rPr>
          <w:color w:val="000000" w:themeColor="text1"/>
        </w:rPr>
        <w:tab/>
        <w:t>Indexy spotrebiteľských cien</w:t>
      </w:r>
    </w:p>
    <w:p w:rsidR="00613D59" w:rsidRPr="004C5551" w:rsidRDefault="00C461BD" w:rsidP="00D36FB8">
      <w:pPr>
        <w:tabs>
          <w:tab w:val="left" w:pos="851"/>
        </w:tabs>
        <w:rPr>
          <w:color w:val="000000" w:themeColor="text1"/>
        </w:rPr>
      </w:pPr>
      <w:r w:rsidRPr="004C5551">
        <w:rPr>
          <w:color w:val="000000" w:themeColor="text1"/>
        </w:rPr>
        <w:t>Tabuľka</w:t>
      </w:r>
      <w:r w:rsidR="00613D59" w:rsidRPr="004C5551">
        <w:rPr>
          <w:color w:val="000000" w:themeColor="text1"/>
        </w:rPr>
        <w:t xml:space="preserve"> 3</w:t>
      </w:r>
      <w:r w:rsidR="00613D59" w:rsidRPr="004C5551">
        <w:rPr>
          <w:color w:val="000000" w:themeColor="text1"/>
        </w:rPr>
        <w:tab/>
        <w:t>Výstavba a úbytok bytov</w:t>
      </w:r>
    </w:p>
    <w:p w:rsidR="00613D59" w:rsidRPr="004C5551" w:rsidRDefault="00422C1D" w:rsidP="00422C1D">
      <w:pPr>
        <w:tabs>
          <w:tab w:val="left" w:pos="2655"/>
        </w:tabs>
        <w:rPr>
          <w:color w:val="000000" w:themeColor="text1"/>
        </w:rPr>
      </w:pPr>
      <w:r w:rsidRPr="004C5551">
        <w:rPr>
          <w:color w:val="000000" w:themeColor="text1"/>
        </w:rPr>
        <w:tab/>
      </w:r>
    </w:p>
    <w:p w:rsidR="00613D59" w:rsidRPr="004C5551" w:rsidRDefault="00613D59" w:rsidP="00ED16E0">
      <w:pPr>
        <w:pStyle w:val="nadpis2"/>
        <w:numPr>
          <w:ilvl w:val="0"/>
          <w:numId w:val="0"/>
        </w:numPr>
      </w:pPr>
      <w:bookmarkStart w:id="770" w:name="_Toc356482786"/>
      <w:bookmarkStart w:id="771" w:name="_Toc356482828"/>
      <w:bookmarkStart w:id="772" w:name="_Toc388534240"/>
      <w:bookmarkStart w:id="773" w:name="_Toc389646862"/>
      <w:bookmarkStart w:id="774" w:name="_Toc394062240"/>
      <w:bookmarkStart w:id="775" w:name="_Toc418672282"/>
      <w:bookmarkStart w:id="776" w:name="_Toc419355267"/>
      <w:bookmarkStart w:id="777" w:name="_Toc419795390"/>
      <w:bookmarkStart w:id="778" w:name="_Toc422151010"/>
      <w:bookmarkStart w:id="779" w:name="_Toc422233450"/>
      <w:r w:rsidRPr="004C5551">
        <w:t>Príloh</w:t>
      </w:r>
      <w:r w:rsidR="00C83676" w:rsidRPr="004C5551">
        <w:t>a</w:t>
      </w:r>
      <w:r w:rsidRPr="004C5551">
        <w:t xml:space="preserve"> ku kapitole 2</w:t>
      </w:r>
      <w:bookmarkEnd w:id="770"/>
      <w:bookmarkEnd w:id="771"/>
      <w:bookmarkEnd w:id="772"/>
      <w:bookmarkEnd w:id="773"/>
      <w:bookmarkEnd w:id="774"/>
      <w:bookmarkEnd w:id="775"/>
      <w:bookmarkEnd w:id="776"/>
      <w:bookmarkEnd w:id="777"/>
      <w:bookmarkEnd w:id="778"/>
      <w:bookmarkEnd w:id="779"/>
      <w:r w:rsidRPr="004C5551">
        <w:tab/>
      </w:r>
    </w:p>
    <w:p w:rsidR="009F4B68" w:rsidRPr="004C5551" w:rsidRDefault="00C461BD" w:rsidP="009F4B68">
      <w:pPr>
        <w:tabs>
          <w:tab w:val="left" w:pos="851"/>
        </w:tabs>
        <w:rPr>
          <w:color w:val="000000" w:themeColor="text1"/>
        </w:rPr>
      </w:pPr>
      <w:r w:rsidRPr="004C5551">
        <w:rPr>
          <w:color w:val="000000" w:themeColor="text1"/>
        </w:rPr>
        <w:t>Tabuľka</w:t>
      </w:r>
      <w:r w:rsidR="00613D59" w:rsidRPr="004C5551">
        <w:rPr>
          <w:color w:val="000000" w:themeColor="text1"/>
        </w:rPr>
        <w:t xml:space="preserve"> 1</w:t>
      </w:r>
      <w:r w:rsidR="00613D59" w:rsidRPr="004C5551">
        <w:rPr>
          <w:color w:val="000000" w:themeColor="text1"/>
        </w:rPr>
        <w:tab/>
        <w:t xml:space="preserve">Miera zamestnanosti podľa veku a vzdelania v roku </w:t>
      </w:r>
      <w:r w:rsidR="000A557A" w:rsidRPr="004C5551">
        <w:rPr>
          <w:color w:val="000000" w:themeColor="text1"/>
        </w:rPr>
        <w:t>2014</w:t>
      </w:r>
      <w:r w:rsidR="00613D59" w:rsidRPr="004C5551">
        <w:rPr>
          <w:color w:val="000000" w:themeColor="text1"/>
        </w:rPr>
        <w:t xml:space="preserve"> (priemer za rok v</w:t>
      </w:r>
      <w:r w:rsidR="009425AA" w:rsidRPr="004C5551">
        <w:rPr>
          <w:color w:val="000000" w:themeColor="text1"/>
        </w:rPr>
        <w:t> %</w:t>
      </w:r>
      <w:r w:rsidR="00613D59" w:rsidRPr="004C5551">
        <w:rPr>
          <w:color w:val="000000" w:themeColor="text1"/>
        </w:rPr>
        <w:t>)</w:t>
      </w:r>
    </w:p>
    <w:p w:rsidR="00F7552C" w:rsidRPr="004C5551" w:rsidRDefault="00F85D3B" w:rsidP="009F4B68">
      <w:pPr>
        <w:tabs>
          <w:tab w:val="left" w:pos="851"/>
        </w:tabs>
        <w:rPr>
          <w:color w:val="000000" w:themeColor="text1"/>
        </w:rPr>
      </w:pPr>
      <w:r w:rsidRPr="004C5551">
        <w:rPr>
          <w:color w:val="000000" w:themeColor="text1"/>
        </w:rPr>
        <w:t>Tabuľka 2</w:t>
      </w:r>
      <w:r w:rsidRPr="004C5551">
        <w:rPr>
          <w:color w:val="000000" w:themeColor="text1"/>
        </w:rPr>
        <w:tab/>
        <w:t>Odvetvová štruktúra zamestnanosti podľa SK NACE Rev. 2</w:t>
      </w:r>
    </w:p>
    <w:p w:rsidR="009F4B68" w:rsidRPr="004C5551" w:rsidRDefault="009F4B68" w:rsidP="009F4B68">
      <w:pPr>
        <w:tabs>
          <w:tab w:val="left" w:pos="851"/>
        </w:tabs>
        <w:rPr>
          <w:color w:val="000000" w:themeColor="text1"/>
        </w:rPr>
      </w:pPr>
      <w:r w:rsidRPr="004C5551">
        <w:rPr>
          <w:color w:val="000000" w:themeColor="text1"/>
        </w:rPr>
        <w:t>Tabuľka</w:t>
      </w:r>
      <w:r w:rsidR="00B607D7" w:rsidRPr="004C5551">
        <w:rPr>
          <w:color w:val="000000" w:themeColor="text1"/>
        </w:rPr>
        <w:t xml:space="preserve"> </w:t>
      </w:r>
      <w:r w:rsidR="00F85D3B" w:rsidRPr="004C5551">
        <w:rPr>
          <w:color w:val="000000" w:themeColor="text1"/>
        </w:rPr>
        <w:t>3</w:t>
      </w:r>
      <w:r w:rsidR="00B607D7" w:rsidRPr="004C5551">
        <w:rPr>
          <w:color w:val="000000" w:themeColor="text1"/>
        </w:rPr>
        <w:tab/>
      </w:r>
      <w:r w:rsidRPr="004C5551">
        <w:rPr>
          <w:color w:val="000000" w:themeColor="text1"/>
        </w:rPr>
        <w:t xml:space="preserve">Miera nezamestnanosti podľa veku a vzdelania v roku </w:t>
      </w:r>
      <w:r w:rsidR="000A557A" w:rsidRPr="004C5551">
        <w:rPr>
          <w:color w:val="000000" w:themeColor="text1"/>
        </w:rPr>
        <w:t>2014</w:t>
      </w:r>
      <w:r w:rsidR="00B607D7" w:rsidRPr="004C5551">
        <w:rPr>
          <w:color w:val="000000" w:themeColor="text1"/>
        </w:rPr>
        <w:t xml:space="preserve"> </w:t>
      </w:r>
      <w:r w:rsidRPr="004C5551">
        <w:rPr>
          <w:color w:val="000000" w:themeColor="text1"/>
        </w:rPr>
        <w:t>(priemer za rok v</w:t>
      </w:r>
      <w:r w:rsidR="009425AA" w:rsidRPr="004C5551">
        <w:rPr>
          <w:color w:val="000000" w:themeColor="text1"/>
        </w:rPr>
        <w:t> %</w:t>
      </w:r>
      <w:r w:rsidRPr="004C5551">
        <w:rPr>
          <w:color w:val="000000" w:themeColor="text1"/>
        </w:rPr>
        <w:t xml:space="preserve">) </w:t>
      </w:r>
    </w:p>
    <w:p w:rsidR="007309B2" w:rsidRPr="004C5551" w:rsidRDefault="00B607D7" w:rsidP="0034156B">
      <w:pPr>
        <w:ind w:left="1134" w:hanging="1134"/>
        <w:rPr>
          <w:color w:val="000000" w:themeColor="text1"/>
        </w:rPr>
      </w:pPr>
      <w:r w:rsidRPr="004C5551">
        <w:t xml:space="preserve">Tabuľka </w:t>
      </w:r>
      <w:r w:rsidR="00F85D3B" w:rsidRPr="004C5551">
        <w:t>4</w:t>
      </w:r>
      <w:r w:rsidRPr="004C5551">
        <w:tab/>
      </w:r>
      <w:r w:rsidR="007309B2" w:rsidRPr="004C5551">
        <w:t xml:space="preserve">Stav uchádzačov o zamestnanie absolventov škôl ku koncu roka </w:t>
      </w:r>
      <w:r w:rsidR="000A557A" w:rsidRPr="004C5551">
        <w:t>2014</w:t>
      </w:r>
    </w:p>
    <w:p w:rsidR="00613D59" w:rsidRPr="004C5551" w:rsidRDefault="00C461BD" w:rsidP="00D36FB8">
      <w:pPr>
        <w:tabs>
          <w:tab w:val="left" w:pos="851"/>
        </w:tabs>
        <w:ind w:left="709" w:hanging="709"/>
        <w:rPr>
          <w:color w:val="000000" w:themeColor="text1"/>
        </w:rPr>
      </w:pPr>
      <w:r w:rsidRPr="004C5551">
        <w:rPr>
          <w:color w:val="000000" w:themeColor="text1"/>
        </w:rPr>
        <w:t>Tabuľka</w:t>
      </w:r>
      <w:r w:rsidR="00613D59" w:rsidRPr="004C5551">
        <w:rPr>
          <w:color w:val="000000" w:themeColor="text1"/>
        </w:rPr>
        <w:t xml:space="preserve"> </w:t>
      </w:r>
      <w:r w:rsidR="00F85D3B" w:rsidRPr="004C5551">
        <w:rPr>
          <w:color w:val="000000" w:themeColor="text1"/>
        </w:rPr>
        <w:t>5</w:t>
      </w:r>
      <w:r w:rsidR="00613D59" w:rsidRPr="004C5551">
        <w:rPr>
          <w:color w:val="000000" w:themeColor="text1"/>
        </w:rPr>
        <w:tab/>
        <w:t>Nástroje aktívnych opatrení trhu práce</w:t>
      </w:r>
    </w:p>
    <w:p w:rsidR="00DD6145" w:rsidRPr="004C5551" w:rsidRDefault="00DD6145" w:rsidP="00D36FB8">
      <w:pPr>
        <w:tabs>
          <w:tab w:val="left" w:pos="851"/>
        </w:tabs>
        <w:ind w:left="709" w:hanging="709"/>
        <w:rPr>
          <w:color w:val="000000" w:themeColor="text1"/>
        </w:rPr>
      </w:pPr>
      <w:r w:rsidRPr="004C5551">
        <w:rPr>
          <w:color w:val="000000" w:themeColor="text1"/>
        </w:rPr>
        <w:tab/>
      </w:r>
      <w:r w:rsidRPr="004C5551">
        <w:rPr>
          <w:color w:val="000000" w:themeColor="text1"/>
        </w:rPr>
        <w:tab/>
      </w:r>
      <w:r w:rsidRPr="004C5551">
        <w:rPr>
          <w:color w:val="000000" w:themeColor="text1"/>
        </w:rPr>
        <w:tab/>
      </w:r>
      <w:r w:rsidR="008A391A" w:rsidRPr="004C5551">
        <w:rPr>
          <w:color w:val="000000" w:themeColor="text1"/>
        </w:rPr>
        <w:t>Prehľad realizácie aktívnych opatrení na trhu práce</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w:t>
      </w:r>
      <w:r w:rsidR="00F57DF2" w:rsidRPr="004C5551">
        <w:rPr>
          <w:color w:val="000000" w:themeColor="text1"/>
        </w:rPr>
        <w:t>6</w:t>
      </w:r>
      <w:r w:rsidR="00613D59" w:rsidRPr="004C5551">
        <w:rPr>
          <w:color w:val="000000" w:themeColor="text1"/>
        </w:rPr>
        <w:tab/>
        <w:t>Priemerná hrubá mesačná mzda v podnikateľskej a nepodnikateľskej sfére podľa stupňov vzdelania</w:t>
      </w:r>
      <w:r w:rsidR="00B607D7" w:rsidRPr="004C5551">
        <w:rPr>
          <w:color w:val="000000" w:themeColor="text1"/>
        </w:rPr>
        <w:t xml:space="preserve"> (plný pracovný čas)</w:t>
      </w:r>
      <w:r w:rsidR="00613D59" w:rsidRPr="004C5551">
        <w:rPr>
          <w:color w:val="000000" w:themeColor="text1"/>
        </w:rPr>
        <w:t xml:space="preserve"> – 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w:t>
      </w:r>
      <w:r w:rsidR="00F57DF2" w:rsidRPr="004C5551">
        <w:rPr>
          <w:color w:val="000000" w:themeColor="text1"/>
        </w:rPr>
        <w:t>7</w:t>
      </w:r>
      <w:r w:rsidR="00613D59" w:rsidRPr="004C5551">
        <w:rPr>
          <w:color w:val="000000" w:themeColor="text1"/>
        </w:rPr>
        <w:tab/>
        <w:t xml:space="preserve">Priemerná hrubá mesačná mzda v podnikateľskej a nepodnikateľskej sfére podľa hlavnej triedy </w:t>
      </w:r>
      <w:r w:rsidR="005B0D16" w:rsidRPr="004C5551">
        <w:t>SK ISCO-08</w:t>
      </w:r>
      <w:r w:rsidR="00613D59" w:rsidRPr="004C5551">
        <w:rPr>
          <w:color w:val="000000" w:themeColor="text1"/>
        </w:rPr>
        <w:t xml:space="preserve"> a</w:t>
      </w:r>
      <w:r w:rsidR="00B607D7" w:rsidRPr="004C5551">
        <w:rPr>
          <w:color w:val="000000" w:themeColor="text1"/>
        </w:rPr>
        <w:t> </w:t>
      </w:r>
      <w:r w:rsidR="00613D59" w:rsidRPr="004C5551">
        <w:rPr>
          <w:color w:val="000000" w:themeColor="text1"/>
        </w:rPr>
        <w:t>pohlavia</w:t>
      </w:r>
      <w:r w:rsidR="00B607D7" w:rsidRPr="004C5551">
        <w:rPr>
          <w:color w:val="000000" w:themeColor="text1"/>
        </w:rPr>
        <w:t xml:space="preserve"> (plný pracovný čas)</w:t>
      </w:r>
      <w:r w:rsidR="00613D59" w:rsidRPr="004C5551">
        <w:rPr>
          <w:color w:val="000000" w:themeColor="text1"/>
        </w:rPr>
        <w:t xml:space="preserve"> – 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w:t>
      </w:r>
      <w:r w:rsidR="00F57DF2" w:rsidRPr="004C5551">
        <w:rPr>
          <w:color w:val="000000" w:themeColor="text1"/>
        </w:rPr>
        <w:t>8</w:t>
      </w:r>
      <w:r w:rsidR="00613D59" w:rsidRPr="004C5551">
        <w:rPr>
          <w:color w:val="000000" w:themeColor="text1"/>
        </w:rPr>
        <w:tab/>
        <w:t xml:space="preserve">Priemerná hrubá mesačná mzda v podnikateľskej a nepodnikateľskej sfére podľa veku – 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w:t>
      </w:r>
      <w:r w:rsidR="00F57DF2" w:rsidRPr="004C5551">
        <w:rPr>
          <w:color w:val="000000" w:themeColor="text1"/>
        </w:rPr>
        <w:t>9</w:t>
      </w:r>
      <w:r w:rsidR="00613D59" w:rsidRPr="004C5551">
        <w:rPr>
          <w:color w:val="000000" w:themeColor="text1"/>
        </w:rPr>
        <w:tab/>
        <w:t xml:space="preserve">Priemerná hrubá mesačná mzda v podnikateľskej a nepodnikateľskej sfére podľa regiónov </w:t>
      </w:r>
      <w:r w:rsidR="00E52DFA" w:rsidRPr="004C5551">
        <w:rPr>
          <w:color w:val="000000" w:themeColor="text1"/>
        </w:rPr>
        <w:t>–</w:t>
      </w:r>
      <w:r w:rsidR="00613D59" w:rsidRPr="004C5551">
        <w:rPr>
          <w:color w:val="000000" w:themeColor="text1"/>
        </w:rPr>
        <w:t xml:space="preserve"> 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0</w:t>
      </w:r>
      <w:r w:rsidR="00613D59" w:rsidRPr="004C5551">
        <w:rPr>
          <w:color w:val="000000" w:themeColor="text1"/>
        </w:rPr>
        <w:tab/>
        <w:t xml:space="preserve">Priemerná hrubá mesačná mzda a vybrané zložky mzdy zamestnancov podľa pohlavia </w:t>
      </w:r>
      <w:r w:rsidR="00C12111" w:rsidRPr="004C5551">
        <w:rPr>
          <w:color w:val="000000" w:themeColor="text1"/>
        </w:rPr>
        <w:t xml:space="preserve">– </w:t>
      </w:r>
      <w:r w:rsidR="00613D59" w:rsidRPr="004C5551">
        <w:rPr>
          <w:color w:val="000000" w:themeColor="text1"/>
        </w:rPr>
        <w:t xml:space="preserve">rok </w:t>
      </w:r>
      <w:r w:rsidR="000A557A" w:rsidRPr="004C5551">
        <w:rPr>
          <w:color w:val="000000" w:themeColor="text1"/>
        </w:rPr>
        <w:t>2014</w:t>
      </w:r>
    </w:p>
    <w:p w:rsidR="00613D59" w:rsidRPr="004C5551" w:rsidRDefault="00C461BD" w:rsidP="00D36FB8">
      <w:pPr>
        <w:ind w:left="851" w:hanging="851"/>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1</w:t>
      </w:r>
      <w:r w:rsidR="00613D59" w:rsidRPr="004C5551">
        <w:rPr>
          <w:color w:val="000000" w:themeColor="text1"/>
        </w:rPr>
        <w:tab/>
        <w:t xml:space="preserve">Podiely zamestnancov v pásmach priemernej hrubej mesačnej mzdy – rok </w:t>
      </w:r>
      <w:r w:rsidR="000A557A" w:rsidRPr="004C5551">
        <w:rPr>
          <w:color w:val="000000" w:themeColor="text1"/>
        </w:rPr>
        <w:t>2014</w:t>
      </w:r>
    </w:p>
    <w:p w:rsidR="00613D59" w:rsidRPr="004C5551" w:rsidRDefault="00C461BD" w:rsidP="00D36FB8">
      <w:pPr>
        <w:ind w:left="851" w:hanging="851"/>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2</w:t>
      </w:r>
      <w:r w:rsidR="00613D59" w:rsidRPr="004C5551">
        <w:rPr>
          <w:color w:val="000000" w:themeColor="text1"/>
        </w:rPr>
        <w:tab/>
        <w:t xml:space="preserve">Priemerný hodinový zárobok podľa krajov v podnikateľskej sfére – 4. štvrťrok </w:t>
      </w:r>
      <w:r w:rsidR="000A557A" w:rsidRPr="004C5551">
        <w:rPr>
          <w:color w:val="000000" w:themeColor="text1"/>
        </w:rPr>
        <w:t>2014</w:t>
      </w:r>
    </w:p>
    <w:p w:rsidR="00613D59" w:rsidRPr="004C5551" w:rsidRDefault="00C461BD" w:rsidP="00D36FB8">
      <w:pPr>
        <w:ind w:left="851" w:hanging="851"/>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3</w:t>
      </w:r>
      <w:r w:rsidR="00613D59" w:rsidRPr="004C5551">
        <w:rPr>
          <w:color w:val="000000" w:themeColor="text1"/>
        </w:rPr>
        <w:tab/>
        <w:t xml:space="preserve">Priemerný hodinový zárobok podľa odvetví v podnikateľskej sfére – 4. štvrťrok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4</w:t>
      </w:r>
      <w:r w:rsidR="00613D59" w:rsidRPr="004C5551">
        <w:rPr>
          <w:color w:val="000000" w:themeColor="text1"/>
        </w:rPr>
        <w:tab/>
        <w:t xml:space="preserve">Priemerný hodinový zárobok podľa veľkosti organizácie v podnikateľskej sfére </w:t>
      </w:r>
      <w:r w:rsidR="00E52DFA" w:rsidRPr="004C5551">
        <w:rPr>
          <w:color w:val="000000" w:themeColor="text1"/>
        </w:rPr>
        <w:t>–</w:t>
      </w:r>
      <w:r w:rsidR="00613D59" w:rsidRPr="004C5551">
        <w:rPr>
          <w:color w:val="000000" w:themeColor="text1"/>
        </w:rPr>
        <w:t>4. štvrťrok 201</w:t>
      </w:r>
      <w:r w:rsidR="000A557A" w:rsidRPr="004C5551">
        <w:rPr>
          <w:color w:val="000000" w:themeColor="text1"/>
        </w:rPr>
        <w:t>3</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5</w:t>
      </w:r>
      <w:r w:rsidR="00613D59" w:rsidRPr="004C5551">
        <w:rPr>
          <w:color w:val="000000" w:themeColor="text1"/>
        </w:rPr>
        <w:tab/>
        <w:t xml:space="preserve">Priemerný hodinový zárobok podľa veku v podnikateľskej sfére </w:t>
      </w:r>
      <w:r w:rsidR="00E52DFA" w:rsidRPr="004C5551">
        <w:rPr>
          <w:color w:val="000000" w:themeColor="text1"/>
        </w:rPr>
        <w:t>–</w:t>
      </w:r>
      <w:r w:rsidR="00613D59" w:rsidRPr="004C5551">
        <w:rPr>
          <w:color w:val="000000" w:themeColor="text1"/>
        </w:rPr>
        <w:t xml:space="preserve"> 4. štvrťrok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6</w:t>
      </w:r>
      <w:r w:rsidR="00613D59" w:rsidRPr="004C5551">
        <w:rPr>
          <w:color w:val="000000" w:themeColor="text1"/>
        </w:rPr>
        <w:tab/>
        <w:t xml:space="preserve">Priemerný hodinový zárobok podľa rodového členenia v podnikateľskej sfére </w:t>
      </w:r>
      <w:r w:rsidR="00E52DFA" w:rsidRPr="004C5551">
        <w:rPr>
          <w:color w:val="000000" w:themeColor="text1"/>
        </w:rPr>
        <w:t>–</w:t>
      </w:r>
      <w:r w:rsidR="00613D59" w:rsidRPr="004C5551">
        <w:rPr>
          <w:color w:val="000000" w:themeColor="text1"/>
        </w:rPr>
        <w:t xml:space="preserve"> 4. štvrťrok 201</w:t>
      </w:r>
      <w:r w:rsidR="000A557A" w:rsidRPr="004C5551">
        <w:rPr>
          <w:color w:val="000000" w:themeColor="text1"/>
        </w:rPr>
        <w:t>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F57DF2" w:rsidRPr="004C5551">
        <w:rPr>
          <w:color w:val="000000" w:themeColor="text1"/>
        </w:rPr>
        <w:t>7</w:t>
      </w:r>
      <w:r w:rsidR="00613D59" w:rsidRPr="004C5551">
        <w:rPr>
          <w:color w:val="000000" w:themeColor="text1"/>
        </w:rPr>
        <w:tab/>
        <w:t>Mesačné náklady práce na zamestnanca v SR za rok 201</w:t>
      </w:r>
      <w:r w:rsidR="000A557A" w:rsidRPr="004C5551">
        <w:rPr>
          <w:color w:val="000000" w:themeColor="text1"/>
        </w:rPr>
        <w:t>3</w:t>
      </w:r>
      <w:r w:rsidR="00E831C1" w:rsidRPr="004C5551">
        <w:rPr>
          <w:color w:val="000000" w:themeColor="text1"/>
        </w:rPr>
        <w:t xml:space="preserve"> podľa odvetví</w:t>
      </w:r>
    </w:p>
    <w:p w:rsidR="00613D59" w:rsidRPr="004C5551" w:rsidRDefault="00613D59" w:rsidP="00D36FB8">
      <w:pPr>
        <w:ind w:hanging="567"/>
      </w:pPr>
    </w:p>
    <w:p w:rsidR="00613D59" w:rsidRPr="004C5551" w:rsidRDefault="00613D59" w:rsidP="00ED16E0">
      <w:pPr>
        <w:pStyle w:val="nadpis2"/>
        <w:numPr>
          <w:ilvl w:val="0"/>
          <w:numId w:val="0"/>
        </w:numPr>
      </w:pPr>
      <w:bookmarkStart w:id="780" w:name="_Toc356482787"/>
      <w:bookmarkStart w:id="781" w:name="_Toc356482829"/>
      <w:bookmarkStart w:id="782" w:name="_Toc388534241"/>
      <w:bookmarkStart w:id="783" w:name="_Toc389646863"/>
      <w:bookmarkStart w:id="784" w:name="_Toc394062241"/>
      <w:bookmarkStart w:id="785" w:name="_Toc418672283"/>
      <w:bookmarkStart w:id="786" w:name="_Toc419355268"/>
      <w:bookmarkStart w:id="787" w:name="_Toc419795391"/>
      <w:bookmarkStart w:id="788" w:name="_Toc422151011"/>
      <w:bookmarkStart w:id="789" w:name="_Toc422233451"/>
      <w:r w:rsidRPr="004C5551">
        <w:t>Príloh</w:t>
      </w:r>
      <w:r w:rsidR="00C83676" w:rsidRPr="004C5551">
        <w:t>a</w:t>
      </w:r>
      <w:r w:rsidRPr="004C5551">
        <w:t xml:space="preserve"> ku kapitole 3</w:t>
      </w:r>
      <w:bookmarkEnd w:id="780"/>
      <w:bookmarkEnd w:id="781"/>
      <w:bookmarkEnd w:id="782"/>
      <w:bookmarkEnd w:id="783"/>
      <w:bookmarkEnd w:id="784"/>
      <w:bookmarkEnd w:id="785"/>
      <w:bookmarkEnd w:id="786"/>
      <w:bookmarkEnd w:id="787"/>
      <w:bookmarkEnd w:id="788"/>
      <w:bookmarkEnd w:id="789"/>
      <w:r w:rsidRPr="004C5551">
        <w:tab/>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 </w:t>
      </w:r>
      <w:r w:rsidR="00613D59" w:rsidRPr="004C5551">
        <w:rPr>
          <w:color w:val="000000" w:themeColor="text1"/>
        </w:rPr>
        <w:tab/>
        <w:t>Výdavky základného fondu nemocenského poistenia (ZFNP) a nemocenské dávky v roku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2</w:t>
      </w:r>
      <w:r w:rsidR="00613D59" w:rsidRPr="004C5551">
        <w:rPr>
          <w:color w:val="000000" w:themeColor="text1"/>
        </w:rPr>
        <w:tab/>
        <w:t>Počet poberateľov samostatne vyplácaných dôchodkov a v súbehu s vdovským, resp. vdoveckým dôchodkom k 31.12.</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3 </w:t>
      </w:r>
      <w:r w:rsidR="00613D59" w:rsidRPr="004C5551">
        <w:rPr>
          <w:color w:val="000000" w:themeColor="text1"/>
        </w:rPr>
        <w:tab/>
        <w:t>Počet poberateľov dôchodku a výška sólo dôchodkovej dávky podľa pohlavia</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4 </w:t>
      </w:r>
      <w:r w:rsidR="00613D59" w:rsidRPr="004C5551">
        <w:rPr>
          <w:color w:val="000000" w:themeColor="text1"/>
        </w:rPr>
        <w:tab/>
        <w:t>Rozdelenie poberateľov podľa výšky dôchodkových dávok</w:t>
      </w:r>
      <w:r w:rsidR="00F85D3B" w:rsidRPr="004C5551">
        <w:rPr>
          <w:color w:val="000000" w:themeColor="text1"/>
        </w:rPr>
        <w:t xml:space="preserve"> k 31. 12. 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5 </w:t>
      </w:r>
      <w:r w:rsidR="00613D59" w:rsidRPr="004C5551">
        <w:rPr>
          <w:color w:val="000000" w:themeColor="text1"/>
        </w:rPr>
        <w:tab/>
        <w:t xml:space="preserve">Prehľad výdavkov na dôchodkové dávky k 31. 12.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6 </w:t>
      </w:r>
      <w:r w:rsidR="00613D59" w:rsidRPr="004C5551">
        <w:rPr>
          <w:color w:val="000000" w:themeColor="text1"/>
        </w:rPr>
        <w:tab/>
        <w:t xml:space="preserve">Výdavky základného fondu úrazového poistenia (ZFÚP) v roku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7 </w:t>
      </w:r>
      <w:r w:rsidR="00613D59" w:rsidRPr="004C5551">
        <w:rPr>
          <w:color w:val="000000" w:themeColor="text1"/>
        </w:rPr>
        <w:tab/>
        <w:t xml:space="preserve">Priemerná výška a počet vyplatených dávok úrazového poistenia v roku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8 </w:t>
      </w:r>
      <w:r w:rsidR="00613D59" w:rsidRPr="004C5551">
        <w:rPr>
          <w:color w:val="000000" w:themeColor="text1"/>
        </w:rPr>
        <w:tab/>
        <w:t>Štátne dávky týkajúce sa úrazového poistenia</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9 </w:t>
      </w:r>
      <w:r w:rsidR="00613D59" w:rsidRPr="004C5551">
        <w:rPr>
          <w:color w:val="000000" w:themeColor="text1"/>
        </w:rPr>
        <w:tab/>
        <w:t xml:space="preserve">Výdavky základného fondu garančného poistenia (ZFGP) v roku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10</w:t>
      </w:r>
      <w:r w:rsidR="00613D59" w:rsidRPr="004C5551">
        <w:rPr>
          <w:color w:val="000000" w:themeColor="text1"/>
        </w:rPr>
        <w:tab/>
        <w:t>Vyplatené dávky v nezamestnanosti, počet prípadov a priemerná výška dávky v</w:t>
      </w:r>
      <w:r w:rsidR="009C3807" w:rsidRPr="004C5551">
        <w:rPr>
          <w:color w:val="000000" w:themeColor="text1"/>
        </w:rPr>
        <w:t> </w:t>
      </w:r>
      <w:r w:rsidR="00613D59" w:rsidRPr="004C5551">
        <w:rPr>
          <w:color w:val="000000" w:themeColor="text1"/>
        </w:rPr>
        <w:t>roku</w:t>
      </w:r>
      <w:r w:rsidR="009C3807" w:rsidRPr="004C5551">
        <w:rPr>
          <w:color w:val="000000" w:themeColor="text1"/>
        </w:rPr>
        <w:t>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11</w:t>
      </w:r>
      <w:r w:rsidR="00613D59" w:rsidRPr="004C5551">
        <w:rPr>
          <w:color w:val="000000" w:themeColor="text1"/>
        </w:rPr>
        <w:tab/>
        <w:t xml:space="preserve">Počet poberateľov dávky v nezamestnanosti v členení podľa veku a pohlavia za rok </w:t>
      </w:r>
      <w:r w:rsidR="000A557A" w:rsidRPr="004C5551">
        <w:rPr>
          <w:color w:val="000000" w:themeColor="text1"/>
        </w:rPr>
        <w:t>2014</w:t>
      </w:r>
    </w:p>
    <w:p w:rsidR="00BE7DC2" w:rsidRPr="004C5551" w:rsidRDefault="00BE7DC2" w:rsidP="00027E20">
      <w:pPr>
        <w:ind w:left="1134" w:hanging="1134"/>
        <w:rPr>
          <w:color w:val="000000" w:themeColor="text1"/>
        </w:rPr>
      </w:pPr>
      <w:r w:rsidRPr="004C5551">
        <w:rPr>
          <w:color w:val="000000" w:themeColor="text1"/>
        </w:rPr>
        <w:t xml:space="preserve">Graf 1 </w:t>
      </w:r>
      <w:r w:rsidRPr="004C5551">
        <w:rPr>
          <w:color w:val="000000" w:themeColor="text1"/>
        </w:rPr>
        <w:tab/>
        <w:t xml:space="preserve">Rozdelenie sporiteľov v II. pilieri podľa veku k 31. 12. </w:t>
      </w:r>
      <w:r w:rsidR="000A557A" w:rsidRPr="004C5551">
        <w:rPr>
          <w:color w:val="000000" w:themeColor="text1"/>
        </w:rPr>
        <w:t>2014</w:t>
      </w:r>
    </w:p>
    <w:p w:rsidR="007A0E02" w:rsidRPr="004C5551" w:rsidRDefault="007A0E02" w:rsidP="00027E20">
      <w:pPr>
        <w:ind w:left="1134" w:hanging="1134"/>
        <w:rPr>
          <w:color w:val="000000" w:themeColor="text1"/>
        </w:rPr>
      </w:pPr>
      <w:r w:rsidRPr="004C5551">
        <w:rPr>
          <w:color w:val="000000" w:themeColor="text1"/>
        </w:rPr>
        <w:t xml:space="preserve">Graf 2 </w:t>
      </w:r>
      <w:r w:rsidRPr="004C5551">
        <w:rPr>
          <w:color w:val="000000" w:themeColor="text1"/>
        </w:rPr>
        <w:tab/>
        <w:t xml:space="preserve">Veková štruktúra sporiteľov v II. pilieri k 31. 12.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1</w:t>
      </w:r>
      <w:r w:rsidR="00900E22" w:rsidRPr="004C5551">
        <w:rPr>
          <w:color w:val="000000" w:themeColor="text1"/>
        </w:rPr>
        <w:t>2</w:t>
      </w:r>
      <w:r w:rsidR="00613D59" w:rsidRPr="004C5551">
        <w:rPr>
          <w:color w:val="000000" w:themeColor="text1"/>
        </w:rPr>
        <w:tab/>
        <w:t>Vývoj počtu poberateľov resocializačného príspevku v roku 201</w:t>
      </w:r>
      <w:r w:rsidR="000A557A" w:rsidRPr="004C5551">
        <w:rPr>
          <w:color w:val="000000" w:themeColor="text1"/>
        </w:rPr>
        <w:t>3</w:t>
      </w:r>
      <w:r w:rsidR="00613D59" w:rsidRPr="004C5551">
        <w:rPr>
          <w:color w:val="000000" w:themeColor="text1"/>
        </w:rPr>
        <w:t xml:space="preserve"> a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13</w:t>
      </w:r>
      <w:r w:rsidR="00613D59" w:rsidRPr="004C5551">
        <w:rPr>
          <w:color w:val="000000" w:themeColor="text1"/>
        </w:rPr>
        <w:tab/>
        <w:t>Vývoj čerpania finančných prostriedkov na resoci</w:t>
      </w:r>
      <w:r w:rsidR="00D260B3" w:rsidRPr="004C5551">
        <w:rPr>
          <w:color w:val="000000" w:themeColor="text1"/>
        </w:rPr>
        <w:t>alizačný príspevok za roky 201</w:t>
      </w:r>
      <w:r w:rsidR="000A557A" w:rsidRPr="004C5551">
        <w:rPr>
          <w:color w:val="000000" w:themeColor="text1"/>
        </w:rPr>
        <w:t>3</w:t>
      </w:r>
      <w:r w:rsidR="00613D59" w:rsidRPr="004C5551">
        <w:rPr>
          <w:color w:val="000000" w:themeColor="text1"/>
        </w:rPr>
        <w:t xml:space="preserve"> a </w:t>
      </w:r>
      <w:r w:rsidR="000A557A" w:rsidRPr="004C5551">
        <w:rPr>
          <w:color w:val="000000" w:themeColor="text1"/>
        </w:rPr>
        <w:t>2014</w:t>
      </w:r>
      <w:r w:rsidR="00613D59" w:rsidRPr="004C5551">
        <w:rPr>
          <w:color w:val="000000" w:themeColor="text1"/>
        </w:rPr>
        <w:t xml:space="preserve"> </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14</w:t>
      </w:r>
      <w:r w:rsidR="00613D59" w:rsidRPr="004C5551">
        <w:rPr>
          <w:color w:val="000000" w:themeColor="text1"/>
        </w:rPr>
        <w:tab/>
        <w:t xml:space="preserve">Pomoc deťom týraným, sexuálne zneužívaným a šikanovaným v roku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15</w:t>
      </w:r>
      <w:r w:rsidR="00613D59" w:rsidRPr="004C5551">
        <w:rPr>
          <w:color w:val="000000" w:themeColor="text1"/>
        </w:rPr>
        <w:tab/>
        <w:t>Deti umiestnené na základe rozhodnutia súdu do zariadení na výkon rozhodnutia súdu/predbežné opatrenie, výchovné opatrenie, ústavná starostlivosť a ochranná výchova/</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16</w:t>
      </w:r>
      <w:r w:rsidR="00613D59" w:rsidRPr="004C5551">
        <w:rPr>
          <w:color w:val="000000" w:themeColor="text1"/>
        </w:rPr>
        <w:t xml:space="preserve"> </w:t>
      </w:r>
      <w:r w:rsidR="00613D59" w:rsidRPr="004C5551">
        <w:rPr>
          <w:color w:val="000000" w:themeColor="text1"/>
        </w:rPr>
        <w:tab/>
        <w:t>Jednotlivé formy starostlivosti v detských domovoch</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17</w:t>
      </w:r>
      <w:r w:rsidR="00613D59" w:rsidRPr="004C5551">
        <w:rPr>
          <w:color w:val="000000" w:themeColor="text1"/>
        </w:rPr>
        <w:t xml:space="preserve"> </w:t>
      </w:r>
      <w:r w:rsidR="00613D59" w:rsidRPr="004C5551">
        <w:rPr>
          <w:color w:val="000000" w:themeColor="text1"/>
        </w:rPr>
        <w:tab/>
        <w:t>Počty umiestnených detí a mladých dospelých v jednotlivých formách starostlivosti v detských domovoch k 31.12.</w:t>
      </w:r>
      <w:r w:rsidR="00CA26A1" w:rsidRPr="004C5551">
        <w:rPr>
          <w:color w:val="000000" w:themeColor="text1"/>
        </w:rPr>
        <w:t xml:space="preserve"> </w:t>
      </w:r>
      <w:r w:rsidR="00F85D3B" w:rsidRPr="004C5551">
        <w:rPr>
          <w:color w:val="000000" w:themeColor="text1"/>
        </w:rPr>
        <w:t>za </w:t>
      </w:r>
      <w:r w:rsidR="00CA26A1" w:rsidRPr="004C5551">
        <w:rPr>
          <w:color w:val="000000" w:themeColor="text1"/>
        </w:rPr>
        <w:t>jednotliv</w:t>
      </w:r>
      <w:r w:rsidR="00F85D3B" w:rsidRPr="004C5551">
        <w:rPr>
          <w:color w:val="000000" w:themeColor="text1"/>
        </w:rPr>
        <w:t>é</w:t>
      </w:r>
      <w:r w:rsidR="00CA26A1" w:rsidRPr="004C5551">
        <w:rPr>
          <w:color w:val="000000" w:themeColor="text1"/>
        </w:rPr>
        <w:t xml:space="preserve"> rok</w:t>
      </w:r>
      <w:r w:rsidR="00F85D3B" w:rsidRPr="004C5551">
        <w:rPr>
          <w:color w:val="000000" w:themeColor="text1"/>
        </w:rPr>
        <w:t>y</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18</w:t>
      </w:r>
      <w:r w:rsidR="00613D59" w:rsidRPr="004C5551">
        <w:rPr>
          <w:color w:val="000000" w:themeColor="text1"/>
        </w:rPr>
        <w:t xml:space="preserve"> </w:t>
      </w:r>
      <w:r w:rsidR="00613D59" w:rsidRPr="004C5551">
        <w:rPr>
          <w:color w:val="000000" w:themeColor="text1"/>
        </w:rPr>
        <w:tab/>
        <w:t>Celkový počet detí zverených do jednotlivých foriem náhradnej rodinnej starostlivosti</w:t>
      </w:r>
      <w:r w:rsidR="0016196A" w:rsidRPr="004C5551">
        <w:rPr>
          <w:color w:val="000000" w:themeColor="text1"/>
        </w:rPr>
        <w:t xml:space="preserve"> </w:t>
      </w:r>
      <w:r w:rsidR="00CA26A1" w:rsidRPr="004C5551">
        <w:rPr>
          <w:color w:val="000000" w:themeColor="text1"/>
        </w:rPr>
        <w:t>v jednotlivých rokoch</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19</w:t>
      </w:r>
      <w:r w:rsidR="00613D59" w:rsidRPr="004C5551">
        <w:rPr>
          <w:color w:val="000000" w:themeColor="text1"/>
        </w:rPr>
        <w:t xml:space="preserve"> </w:t>
      </w:r>
      <w:r w:rsidR="00613D59" w:rsidRPr="004C5551">
        <w:rPr>
          <w:color w:val="000000" w:themeColor="text1"/>
        </w:rPr>
        <w:tab/>
        <w:t>Základné štatistické údaje o činnosti RPPS za roky 201</w:t>
      </w:r>
      <w:r w:rsidR="000A557A" w:rsidRPr="004C5551">
        <w:rPr>
          <w:color w:val="000000" w:themeColor="text1"/>
        </w:rPr>
        <w:t>3</w:t>
      </w:r>
      <w:r w:rsidR="00613D59" w:rsidRPr="004C5551">
        <w:rPr>
          <w:color w:val="000000" w:themeColor="text1"/>
        </w:rPr>
        <w:t xml:space="preserve"> a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20</w:t>
      </w:r>
      <w:r w:rsidR="00613D59" w:rsidRPr="004C5551">
        <w:rPr>
          <w:color w:val="000000" w:themeColor="text1"/>
        </w:rPr>
        <w:t xml:space="preserve"> </w:t>
      </w:r>
      <w:r w:rsidR="00613D59" w:rsidRPr="004C5551">
        <w:rPr>
          <w:color w:val="000000" w:themeColor="text1"/>
        </w:rPr>
        <w:tab/>
        <w:t>Činnosť referátov poradensko-psy</w:t>
      </w:r>
      <w:r w:rsidR="00B96434" w:rsidRPr="004C5551">
        <w:rPr>
          <w:color w:val="000000" w:themeColor="text1"/>
        </w:rPr>
        <w:t>chologických služieb v roku 201</w:t>
      </w:r>
      <w:r w:rsidR="000A557A" w:rsidRPr="004C5551">
        <w:rPr>
          <w:color w:val="000000" w:themeColor="text1"/>
        </w:rPr>
        <w:t>3</w:t>
      </w:r>
      <w:r w:rsidR="00613D59" w:rsidRPr="004C5551">
        <w:rPr>
          <w:color w:val="000000" w:themeColor="text1"/>
        </w:rPr>
        <w:t xml:space="preserve"> a </w:t>
      </w:r>
      <w:r w:rsidR="000A557A" w:rsidRPr="004C5551">
        <w:rPr>
          <w:color w:val="000000" w:themeColor="text1"/>
        </w:rPr>
        <w:t>2014</w:t>
      </w:r>
    </w:p>
    <w:p w:rsidR="00613D59" w:rsidRPr="004C5551" w:rsidRDefault="00C461BD" w:rsidP="00027E20">
      <w:pPr>
        <w:ind w:left="1134" w:hanging="1134"/>
        <w:rPr>
          <w:color w:val="000000" w:themeColor="text1"/>
        </w:rPr>
      </w:pPr>
      <w:r w:rsidRPr="004C5551">
        <w:rPr>
          <w:color w:val="000000" w:themeColor="text1"/>
        </w:rPr>
        <w:t>Tabuľka</w:t>
      </w:r>
      <w:r w:rsidR="00732584" w:rsidRPr="004C5551">
        <w:rPr>
          <w:color w:val="000000" w:themeColor="text1"/>
        </w:rPr>
        <w:t xml:space="preserve"> </w:t>
      </w:r>
      <w:r w:rsidR="00900E22" w:rsidRPr="004C5551">
        <w:rPr>
          <w:color w:val="000000" w:themeColor="text1"/>
        </w:rPr>
        <w:t>21</w:t>
      </w:r>
      <w:r w:rsidR="00613D59" w:rsidRPr="004C5551">
        <w:rPr>
          <w:color w:val="000000" w:themeColor="text1"/>
        </w:rPr>
        <w:t xml:space="preserve"> </w:t>
      </w:r>
      <w:r w:rsidR="00613D59" w:rsidRPr="004C5551">
        <w:rPr>
          <w:color w:val="000000" w:themeColor="text1"/>
        </w:rPr>
        <w:tab/>
        <w:t>Opatrovateľská služ</w:t>
      </w:r>
      <w:r w:rsidR="00B96434" w:rsidRPr="004C5551">
        <w:rPr>
          <w:color w:val="000000" w:themeColor="text1"/>
        </w:rPr>
        <w:t>ba posky</w:t>
      </w:r>
      <w:r w:rsidR="00CA26A1" w:rsidRPr="004C5551">
        <w:rPr>
          <w:color w:val="000000" w:themeColor="text1"/>
        </w:rPr>
        <w:t>tovaná obcami</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22</w:t>
      </w:r>
      <w:r w:rsidR="00B96434" w:rsidRPr="004C5551">
        <w:rPr>
          <w:color w:val="000000" w:themeColor="text1"/>
        </w:rPr>
        <w:t xml:space="preserve"> </w:t>
      </w:r>
      <w:r w:rsidR="00B96434" w:rsidRPr="004C5551">
        <w:rPr>
          <w:color w:val="000000" w:themeColor="text1"/>
        </w:rPr>
        <w:tab/>
        <w:t>Pre</w:t>
      </w:r>
      <w:r w:rsidR="00CA26A1" w:rsidRPr="004C5551">
        <w:rPr>
          <w:color w:val="000000" w:themeColor="text1"/>
        </w:rPr>
        <w:t>pravná služba</w:t>
      </w:r>
      <w:r w:rsidR="00D247DF" w:rsidRPr="004C5551">
        <w:rPr>
          <w:color w:val="000000" w:themeColor="text1"/>
        </w:rPr>
        <w:t xml:space="preserve"> poskytovaná obcami</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23</w:t>
      </w:r>
      <w:r w:rsidR="00613D59" w:rsidRPr="004C5551">
        <w:rPr>
          <w:color w:val="000000" w:themeColor="text1"/>
        </w:rPr>
        <w:t xml:space="preserve"> </w:t>
      </w:r>
      <w:r w:rsidR="00613D59" w:rsidRPr="004C5551">
        <w:rPr>
          <w:color w:val="000000" w:themeColor="text1"/>
        </w:rPr>
        <w:tab/>
        <w:t>Počet zariadení sociálnych služieb a ich kapac</w:t>
      </w:r>
      <w:r w:rsidR="00CA26A1" w:rsidRPr="004C5551">
        <w:rPr>
          <w:color w:val="000000" w:themeColor="text1"/>
        </w:rPr>
        <w:t>ita</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24</w:t>
      </w:r>
      <w:r w:rsidR="00613D59" w:rsidRPr="004C5551">
        <w:rPr>
          <w:color w:val="000000" w:themeColor="text1"/>
        </w:rPr>
        <w:t xml:space="preserve"> </w:t>
      </w:r>
      <w:r w:rsidR="00613D59" w:rsidRPr="004C5551">
        <w:rPr>
          <w:color w:val="000000" w:themeColor="text1"/>
        </w:rPr>
        <w:tab/>
        <w:t>Obyvatelia zaria</w:t>
      </w:r>
      <w:r w:rsidR="00CA26A1" w:rsidRPr="004C5551">
        <w:rPr>
          <w:color w:val="000000" w:themeColor="text1"/>
        </w:rPr>
        <w:t>dení sociálnych služieb</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w:t>
      </w:r>
      <w:r w:rsidR="00F85D3B" w:rsidRPr="004C5551">
        <w:rPr>
          <w:color w:val="000000" w:themeColor="text1"/>
        </w:rPr>
        <w:t>5</w:t>
      </w:r>
      <w:r w:rsidR="00613D59" w:rsidRPr="004C5551">
        <w:rPr>
          <w:color w:val="000000" w:themeColor="text1"/>
        </w:rPr>
        <w:t xml:space="preserve"> </w:t>
      </w:r>
      <w:r w:rsidR="00613D59" w:rsidRPr="004C5551">
        <w:rPr>
          <w:color w:val="000000" w:themeColor="text1"/>
        </w:rPr>
        <w:tab/>
        <w:t>Výdavky zariadení</w:t>
      </w:r>
      <w:r w:rsidR="00CA26A1" w:rsidRPr="004C5551">
        <w:rPr>
          <w:color w:val="000000" w:themeColor="text1"/>
        </w:rPr>
        <w:t xml:space="preserve"> sociálnych služieb</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w:t>
      </w:r>
      <w:r w:rsidR="00F85D3B" w:rsidRPr="004C5551">
        <w:rPr>
          <w:color w:val="000000" w:themeColor="text1"/>
        </w:rPr>
        <w:t>6</w:t>
      </w:r>
      <w:r w:rsidR="00613D59" w:rsidRPr="004C5551">
        <w:rPr>
          <w:color w:val="000000" w:themeColor="text1"/>
        </w:rPr>
        <w:t xml:space="preserve"> </w:t>
      </w:r>
      <w:r w:rsidR="00613D59" w:rsidRPr="004C5551">
        <w:rPr>
          <w:color w:val="000000" w:themeColor="text1"/>
        </w:rPr>
        <w:tab/>
        <w:t xml:space="preserve">Zamestnanci zariadení sociálnych služieb (spolu) za roky </w:t>
      </w:r>
      <w:r w:rsidR="00B96434" w:rsidRPr="004C5551">
        <w:rPr>
          <w:color w:val="000000" w:themeColor="text1"/>
        </w:rPr>
        <w:t>201</w:t>
      </w:r>
      <w:r w:rsidR="00F72DD2" w:rsidRPr="004C5551">
        <w:rPr>
          <w:color w:val="000000" w:themeColor="text1"/>
        </w:rPr>
        <w:t>2</w:t>
      </w:r>
      <w:r w:rsidR="00B96434" w:rsidRPr="004C5551">
        <w:rPr>
          <w:color w:val="000000" w:themeColor="text1"/>
        </w:rPr>
        <w:t xml:space="preserve"> a 201</w:t>
      </w:r>
      <w:r w:rsidR="00F72DD2" w:rsidRPr="004C5551">
        <w:rPr>
          <w:color w:val="000000" w:themeColor="text1"/>
        </w:rPr>
        <w:t>3</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w:t>
      </w:r>
      <w:r w:rsidR="00F85D3B" w:rsidRPr="004C5551">
        <w:rPr>
          <w:color w:val="000000" w:themeColor="text1"/>
        </w:rPr>
        <w:t>7</w:t>
      </w:r>
      <w:r w:rsidR="00613D59" w:rsidRPr="004C5551">
        <w:rPr>
          <w:color w:val="000000" w:themeColor="text1"/>
        </w:rPr>
        <w:t xml:space="preserve"> </w:t>
      </w:r>
      <w:r w:rsidR="00613D59" w:rsidRPr="004C5551">
        <w:rPr>
          <w:color w:val="000000" w:themeColor="text1"/>
        </w:rPr>
        <w:tab/>
        <w:t>Vybrané zariadenia sociálnych služieb</w:t>
      </w:r>
      <w:r w:rsidR="00CA26A1" w:rsidRPr="004C5551">
        <w:rPr>
          <w:color w:val="000000" w:themeColor="text1"/>
        </w:rPr>
        <w:t xml:space="preserve"> zriadené alebo založené obcou alebo vyšším územným celkom</w:t>
      </w:r>
    </w:p>
    <w:p w:rsidR="00613D59" w:rsidRPr="004C5551" w:rsidRDefault="00C461BD" w:rsidP="00027E20">
      <w:pPr>
        <w:ind w:left="1134" w:hanging="1134"/>
        <w:rPr>
          <w:color w:val="000000" w:themeColor="text1"/>
        </w:rPr>
      </w:pPr>
      <w:r w:rsidRPr="004C5551">
        <w:rPr>
          <w:color w:val="000000" w:themeColor="text1"/>
        </w:rPr>
        <w:t>Tabuľka</w:t>
      </w:r>
      <w:r w:rsidR="00900E22" w:rsidRPr="004C5551">
        <w:rPr>
          <w:color w:val="000000" w:themeColor="text1"/>
        </w:rPr>
        <w:t xml:space="preserve"> 2</w:t>
      </w:r>
      <w:r w:rsidR="00F85D3B" w:rsidRPr="004C5551">
        <w:rPr>
          <w:color w:val="000000" w:themeColor="text1"/>
        </w:rPr>
        <w:t>8</w:t>
      </w:r>
      <w:r w:rsidR="00613D59" w:rsidRPr="004C5551">
        <w:rPr>
          <w:color w:val="000000" w:themeColor="text1"/>
        </w:rPr>
        <w:t xml:space="preserve"> </w:t>
      </w:r>
      <w:r w:rsidR="00613D59" w:rsidRPr="004C5551">
        <w:rPr>
          <w:color w:val="000000" w:themeColor="text1"/>
        </w:rPr>
        <w:tab/>
        <w:t>Počet občanov zaradených do poradovníka čakateľov na poskytovanie starostlivosti vo</w:t>
      </w:r>
      <w:r w:rsidR="00027E20" w:rsidRPr="004C5551">
        <w:rPr>
          <w:color w:val="000000" w:themeColor="text1"/>
        </w:rPr>
        <w:t> </w:t>
      </w:r>
      <w:r w:rsidR="00CA26A1" w:rsidRPr="004C5551">
        <w:rPr>
          <w:color w:val="000000" w:themeColor="text1"/>
        </w:rPr>
        <w:t>vybraných zariadeniach</w:t>
      </w:r>
    </w:p>
    <w:p w:rsidR="00B96434" w:rsidRPr="004C5551" w:rsidRDefault="00C461BD" w:rsidP="00027E20">
      <w:pPr>
        <w:ind w:left="1134" w:hanging="1134"/>
        <w:rPr>
          <w:color w:val="000000" w:themeColor="text1"/>
        </w:rPr>
      </w:pPr>
      <w:r w:rsidRPr="004C5551">
        <w:rPr>
          <w:color w:val="000000" w:themeColor="text1"/>
        </w:rPr>
        <w:t>Tabuľka</w:t>
      </w:r>
      <w:r w:rsidR="007E07BA" w:rsidRPr="004C5551">
        <w:rPr>
          <w:color w:val="000000" w:themeColor="text1"/>
        </w:rPr>
        <w:t xml:space="preserve"> </w:t>
      </w:r>
      <w:r w:rsidR="00A569C6" w:rsidRPr="004C5551">
        <w:rPr>
          <w:color w:val="000000" w:themeColor="text1"/>
        </w:rPr>
        <w:t>2</w:t>
      </w:r>
      <w:r w:rsidR="00F85D3B" w:rsidRPr="004C5551">
        <w:rPr>
          <w:color w:val="000000" w:themeColor="text1"/>
        </w:rPr>
        <w:t>9</w:t>
      </w:r>
      <w:r w:rsidR="00C12111" w:rsidRPr="004C5551">
        <w:rPr>
          <w:color w:val="000000" w:themeColor="text1"/>
        </w:rPr>
        <w:tab/>
      </w:r>
      <w:r w:rsidR="00B96434" w:rsidRPr="004C5551">
        <w:rPr>
          <w:color w:val="000000" w:themeColor="text1"/>
        </w:rPr>
        <w:t>Vybrané druhy sociálnych služieb poskytované neverejnými poskytovateľmi sociálnych</w:t>
      </w:r>
      <w:r w:rsidR="007E07BA" w:rsidRPr="004C5551">
        <w:rPr>
          <w:color w:val="000000" w:themeColor="text1"/>
        </w:rPr>
        <w:t xml:space="preserve"> </w:t>
      </w:r>
      <w:r w:rsidR="00B92533" w:rsidRPr="004C5551">
        <w:rPr>
          <w:color w:val="000000" w:themeColor="text1"/>
        </w:rPr>
        <w:t>s</w:t>
      </w:r>
      <w:r w:rsidR="00B96434" w:rsidRPr="004C5551">
        <w:rPr>
          <w:color w:val="000000" w:themeColor="text1"/>
        </w:rPr>
        <w:t>lužieb</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3</w:t>
      </w:r>
      <w:r w:rsidR="00F85D3B" w:rsidRPr="004C5551">
        <w:rPr>
          <w:color w:val="000000" w:themeColor="text1"/>
        </w:rPr>
        <w:t>0</w:t>
      </w:r>
      <w:r w:rsidR="00613D59" w:rsidRPr="004C5551">
        <w:rPr>
          <w:color w:val="000000" w:themeColor="text1"/>
        </w:rPr>
        <w:tab/>
        <w:t>Počet zamestnancov, objemy platov a vybrané zložky platu v</w:t>
      </w:r>
      <w:r w:rsidR="00355B43" w:rsidRPr="004C5551">
        <w:rPr>
          <w:color w:val="000000" w:themeColor="text1"/>
        </w:rPr>
        <w:t> </w:t>
      </w:r>
      <w:r w:rsidR="00AA0137" w:rsidRPr="004C5551">
        <w:rPr>
          <w:color w:val="000000" w:themeColor="text1"/>
        </w:rPr>
        <w:t>eurách</w:t>
      </w:r>
      <w:r w:rsidR="00613D59" w:rsidRPr="004C5551">
        <w:rPr>
          <w:color w:val="000000" w:themeColor="text1"/>
        </w:rPr>
        <w:t xml:space="preserve"> za rok 201</w:t>
      </w:r>
      <w:r w:rsidR="00A77488" w:rsidRPr="004C5551">
        <w:rPr>
          <w:color w:val="000000" w:themeColor="text1"/>
        </w:rPr>
        <w:t>4</w:t>
      </w:r>
      <w:r w:rsidR="00613D59" w:rsidRPr="004C5551">
        <w:rPr>
          <w:color w:val="000000" w:themeColor="text1"/>
        </w:rPr>
        <w:t xml:space="preserve"> v</w:t>
      </w:r>
      <w:r w:rsidR="00027E20" w:rsidRPr="004C5551">
        <w:rPr>
          <w:color w:val="000000" w:themeColor="text1"/>
        </w:rPr>
        <w:t> </w:t>
      </w:r>
      <w:r w:rsidR="00613D59" w:rsidRPr="004C5551">
        <w:rPr>
          <w:color w:val="000000" w:themeColor="text1"/>
        </w:rPr>
        <w:t>zariadeniach sociálnych služieb podľa agregovaných zamestnaní.</w:t>
      </w:r>
      <w:r w:rsidR="00BD0C59" w:rsidRPr="004C5551">
        <w:rPr>
          <w:color w:val="000000" w:themeColor="text1"/>
        </w:rPr>
        <w:t xml:space="preserve"> </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3</w:t>
      </w:r>
      <w:r w:rsidR="00F85D3B" w:rsidRPr="004C5551">
        <w:rPr>
          <w:color w:val="000000" w:themeColor="text1"/>
        </w:rPr>
        <w:t>1</w:t>
      </w:r>
      <w:r w:rsidR="00613D59" w:rsidRPr="004C5551">
        <w:rPr>
          <w:color w:val="000000" w:themeColor="text1"/>
        </w:rPr>
        <w:t xml:space="preserve"> </w:t>
      </w:r>
      <w:r w:rsidR="00613D59" w:rsidRPr="004C5551">
        <w:rPr>
          <w:color w:val="000000" w:themeColor="text1"/>
        </w:rPr>
        <w:tab/>
      </w:r>
      <w:r w:rsidR="00D4466B" w:rsidRPr="004C5551">
        <w:rPr>
          <w:color w:val="000000" w:themeColor="text1"/>
        </w:rPr>
        <w:t>Hrubé výdavky na sociálnu ochranu</w:t>
      </w:r>
      <w:r w:rsidR="00CA26A1" w:rsidRPr="004C5551">
        <w:rPr>
          <w:color w:val="000000" w:themeColor="text1"/>
        </w:rPr>
        <w:t xml:space="preserve">, </w:t>
      </w:r>
      <w:r w:rsidR="00D4466B" w:rsidRPr="004C5551">
        <w:rPr>
          <w:color w:val="000000" w:themeColor="text1"/>
        </w:rPr>
        <w:t>2012</w:t>
      </w:r>
    </w:p>
    <w:p w:rsidR="00A77488"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3</w:t>
      </w:r>
      <w:r w:rsidR="00F85D3B" w:rsidRPr="004C5551">
        <w:rPr>
          <w:color w:val="000000" w:themeColor="text1"/>
        </w:rPr>
        <w:t>2</w:t>
      </w:r>
      <w:r w:rsidR="00613D59" w:rsidRPr="004C5551">
        <w:rPr>
          <w:color w:val="000000" w:themeColor="text1"/>
        </w:rPr>
        <w:t xml:space="preserve"> </w:t>
      </w:r>
      <w:r w:rsidR="00613D59" w:rsidRPr="004C5551">
        <w:rPr>
          <w:color w:val="000000" w:themeColor="text1"/>
        </w:rPr>
        <w:tab/>
        <w:t>Príjmy na sociálnu ochranu</w:t>
      </w:r>
      <w:r w:rsidR="00CA26A1" w:rsidRPr="004C5551">
        <w:rPr>
          <w:color w:val="000000" w:themeColor="text1"/>
        </w:rPr>
        <w:t xml:space="preserve">, </w:t>
      </w:r>
      <w:r w:rsidR="00E84B2E" w:rsidRPr="004C5551">
        <w:rPr>
          <w:color w:val="000000" w:themeColor="text1"/>
        </w:rPr>
        <w:t>2012</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3</w:t>
      </w:r>
      <w:r w:rsidR="00F85D3B" w:rsidRPr="004C5551">
        <w:rPr>
          <w:color w:val="000000" w:themeColor="text1"/>
        </w:rPr>
        <w:t>3</w:t>
      </w:r>
      <w:r w:rsidR="00613D59" w:rsidRPr="004C5551">
        <w:rPr>
          <w:color w:val="000000" w:themeColor="text1"/>
        </w:rPr>
        <w:t xml:space="preserve"> </w:t>
      </w:r>
      <w:r w:rsidR="00613D59" w:rsidRPr="004C5551">
        <w:rPr>
          <w:color w:val="000000" w:themeColor="text1"/>
        </w:rPr>
        <w:tab/>
        <w:t>Výdavky na dôchodky a</w:t>
      </w:r>
      <w:r w:rsidR="00E831C1" w:rsidRPr="004C5551">
        <w:rPr>
          <w:color w:val="000000" w:themeColor="text1"/>
        </w:rPr>
        <w:t> štruktúra podľa kategórií dôchodkov</w:t>
      </w:r>
      <w:r w:rsidR="00CA26A1" w:rsidRPr="004C5551">
        <w:rPr>
          <w:color w:val="000000" w:themeColor="text1"/>
        </w:rPr>
        <w:t xml:space="preserve">, </w:t>
      </w:r>
      <w:r w:rsidR="00E84B2E" w:rsidRPr="004C5551">
        <w:rPr>
          <w:color w:val="000000" w:themeColor="text1"/>
        </w:rPr>
        <w:t>2012</w:t>
      </w:r>
    </w:p>
    <w:p w:rsidR="00E84B2E" w:rsidRPr="004C5551" w:rsidRDefault="00CA26A1" w:rsidP="00027E20">
      <w:pPr>
        <w:ind w:left="1134" w:hanging="1134"/>
        <w:rPr>
          <w:color w:val="000000" w:themeColor="text1"/>
        </w:rPr>
      </w:pPr>
      <w:r w:rsidRPr="004C5551">
        <w:rPr>
          <w:color w:val="000000" w:themeColor="text1"/>
        </w:rPr>
        <w:t>Tabuľ</w:t>
      </w:r>
      <w:r w:rsidR="00900E22" w:rsidRPr="004C5551">
        <w:rPr>
          <w:color w:val="000000" w:themeColor="text1"/>
        </w:rPr>
        <w:t>ka 3</w:t>
      </w:r>
      <w:r w:rsidR="00F85D3B" w:rsidRPr="004C5551">
        <w:rPr>
          <w:color w:val="000000" w:themeColor="text1"/>
        </w:rPr>
        <w:t>4</w:t>
      </w:r>
      <w:r w:rsidR="00423669" w:rsidRPr="004C5551">
        <w:rPr>
          <w:color w:val="000000" w:themeColor="text1"/>
        </w:rPr>
        <w:t xml:space="preserve"> </w:t>
      </w:r>
      <w:r w:rsidR="00E84B2E" w:rsidRPr="004C5551">
        <w:rPr>
          <w:color w:val="000000" w:themeColor="text1"/>
        </w:rPr>
        <w:t xml:space="preserve">Počet </w:t>
      </w:r>
      <w:r w:rsidR="00BC0FE1" w:rsidRPr="004C5551">
        <w:rPr>
          <w:color w:val="000000" w:themeColor="text1"/>
        </w:rPr>
        <w:t>poberateľov dôchodkov</w:t>
      </w:r>
      <w:r w:rsidR="00E84B2E" w:rsidRPr="004C5551">
        <w:rPr>
          <w:color w:val="000000" w:themeColor="text1"/>
        </w:rPr>
        <w:t xml:space="preserve"> podľa rodu, indexy 2012/2011a 2012/2006</w:t>
      </w:r>
    </w:p>
    <w:p w:rsidR="00CA26A1" w:rsidRPr="004C5551" w:rsidRDefault="00E84B2E" w:rsidP="00027E20">
      <w:pPr>
        <w:ind w:left="1134" w:hanging="1134"/>
        <w:rPr>
          <w:color w:val="000000" w:themeColor="text1"/>
        </w:rPr>
      </w:pPr>
      <w:r w:rsidRPr="004C5551">
        <w:rPr>
          <w:color w:val="000000" w:themeColor="text1"/>
        </w:rPr>
        <w:t>Tabuľka 3</w:t>
      </w:r>
      <w:r w:rsidR="00F85D3B" w:rsidRPr="004C5551">
        <w:rPr>
          <w:color w:val="000000" w:themeColor="text1"/>
        </w:rPr>
        <w:t>5</w:t>
      </w:r>
      <w:r w:rsidRPr="004C5551">
        <w:rPr>
          <w:color w:val="000000" w:themeColor="text1"/>
        </w:rPr>
        <w:t xml:space="preserve"> </w:t>
      </w:r>
      <w:r w:rsidR="00CA26A1" w:rsidRPr="004C5551">
        <w:rPr>
          <w:color w:val="000000" w:themeColor="text1"/>
        </w:rPr>
        <w:t xml:space="preserve">Dane a odvody platené zo sociálnych dávok </w:t>
      </w:r>
      <w:r w:rsidRPr="004C5551">
        <w:rPr>
          <w:color w:val="000000" w:themeColor="text1"/>
        </w:rPr>
        <w:t>,2011</w:t>
      </w:r>
    </w:p>
    <w:p w:rsidR="00CE0AAE" w:rsidRPr="004C5551" w:rsidRDefault="00C461BD" w:rsidP="00027E20">
      <w:pPr>
        <w:ind w:left="1134" w:hanging="1134"/>
        <w:rPr>
          <w:color w:val="000000" w:themeColor="text1"/>
        </w:rPr>
      </w:pPr>
      <w:r w:rsidRPr="004C5551">
        <w:rPr>
          <w:color w:val="000000" w:themeColor="text1"/>
        </w:rPr>
        <w:t>Tabuľka</w:t>
      </w:r>
      <w:r w:rsidR="00CE0AAE" w:rsidRPr="004C5551">
        <w:rPr>
          <w:color w:val="000000" w:themeColor="text1"/>
        </w:rPr>
        <w:t xml:space="preserve"> 3</w:t>
      </w:r>
      <w:r w:rsidR="00F85D3B" w:rsidRPr="004C5551">
        <w:rPr>
          <w:color w:val="000000" w:themeColor="text1"/>
        </w:rPr>
        <w:t>6</w:t>
      </w:r>
      <w:r w:rsidR="00027E20" w:rsidRPr="004C5551">
        <w:rPr>
          <w:color w:val="000000" w:themeColor="text1"/>
        </w:rPr>
        <w:tab/>
      </w:r>
      <w:r w:rsidR="00DA6CD1" w:rsidRPr="004C5551">
        <w:rPr>
          <w:color w:val="000000" w:themeColor="text1"/>
        </w:rPr>
        <w:t xml:space="preserve">Národné projekty </w:t>
      </w:r>
      <w:proofErr w:type="spellStart"/>
      <w:r w:rsidR="00DA6CD1" w:rsidRPr="004C5551">
        <w:rPr>
          <w:color w:val="000000" w:themeColor="text1"/>
        </w:rPr>
        <w:t>zazmluvnené</w:t>
      </w:r>
      <w:proofErr w:type="spellEnd"/>
      <w:r w:rsidR="00DA6CD1" w:rsidRPr="004C5551">
        <w:rPr>
          <w:color w:val="000000" w:themeColor="text1"/>
        </w:rPr>
        <w:t xml:space="preserve"> v roku 2014</w:t>
      </w:r>
    </w:p>
    <w:p w:rsidR="00613D59" w:rsidRPr="004C5551" w:rsidRDefault="00C461BD" w:rsidP="00027E20">
      <w:pPr>
        <w:ind w:left="1134" w:hanging="1134"/>
        <w:rPr>
          <w:color w:val="000000" w:themeColor="text1"/>
        </w:rPr>
      </w:pPr>
      <w:r w:rsidRPr="004C5551">
        <w:rPr>
          <w:color w:val="000000" w:themeColor="text1"/>
        </w:rPr>
        <w:t>Tabuľka</w:t>
      </w:r>
      <w:r w:rsidR="00613D59" w:rsidRPr="004C5551">
        <w:rPr>
          <w:color w:val="000000" w:themeColor="text1"/>
        </w:rPr>
        <w:t xml:space="preserve"> </w:t>
      </w:r>
      <w:r w:rsidR="00E84B2E" w:rsidRPr="004C5551">
        <w:rPr>
          <w:color w:val="000000" w:themeColor="text1"/>
        </w:rPr>
        <w:t>3</w:t>
      </w:r>
      <w:r w:rsidR="00DA6CD1" w:rsidRPr="004C5551">
        <w:rPr>
          <w:color w:val="000000" w:themeColor="text1"/>
        </w:rPr>
        <w:t>7</w:t>
      </w:r>
      <w:r w:rsidR="00027E20" w:rsidRPr="004C5551">
        <w:rPr>
          <w:color w:val="000000" w:themeColor="text1"/>
        </w:rPr>
        <w:tab/>
      </w:r>
      <w:r w:rsidR="00613D59" w:rsidRPr="004C5551">
        <w:rPr>
          <w:color w:val="000000" w:themeColor="text1"/>
        </w:rPr>
        <w:t xml:space="preserve">Čerpanie výdavkov kapitoly 22 </w:t>
      </w:r>
      <w:r w:rsidR="00E52DFA" w:rsidRPr="004C5551">
        <w:rPr>
          <w:color w:val="000000" w:themeColor="text1"/>
        </w:rPr>
        <w:t>–</w:t>
      </w:r>
      <w:r w:rsidR="00613D59" w:rsidRPr="004C5551">
        <w:rPr>
          <w:color w:val="000000" w:themeColor="text1"/>
        </w:rPr>
        <w:t xml:space="preserve"> MPSVR SR podľa programového rozpočtovania</w:t>
      </w:r>
    </w:p>
    <w:p w:rsidR="009B7B4B" w:rsidRPr="004C5551" w:rsidRDefault="009B7B4B" w:rsidP="00027E20">
      <w:pPr>
        <w:ind w:left="1134" w:hanging="1134"/>
        <w:rPr>
          <w:color w:val="000000" w:themeColor="text1"/>
        </w:rPr>
      </w:pPr>
    </w:p>
    <w:p w:rsidR="00613D59" w:rsidRPr="004C5551" w:rsidRDefault="00613D59" w:rsidP="00D5149D">
      <w:pPr>
        <w:pStyle w:val="nadpis2"/>
        <w:numPr>
          <w:ilvl w:val="0"/>
          <w:numId w:val="0"/>
        </w:numPr>
        <w:ind w:left="576" w:hanging="576"/>
      </w:pPr>
      <w:bookmarkStart w:id="790" w:name="_Toc356482788"/>
      <w:bookmarkStart w:id="791" w:name="_Toc356482830"/>
      <w:bookmarkStart w:id="792" w:name="_Toc388534242"/>
      <w:bookmarkStart w:id="793" w:name="_Toc389646864"/>
      <w:bookmarkStart w:id="794" w:name="_Toc394062242"/>
      <w:bookmarkStart w:id="795" w:name="_Toc418672284"/>
      <w:bookmarkStart w:id="796" w:name="_Toc419355269"/>
      <w:bookmarkStart w:id="797" w:name="_Toc419795392"/>
      <w:bookmarkStart w:id="798" w:name="_Toc422151012"/>
      <w:bookmarkStart w:id="799" w:name="_Toc422233452"/>
      <w:r w:rsidRPr="004C5551">
        <w:t>Príloh</w:t>
      </w:r>
      <w:r w:rsidR="00C83676" w:rsidRPr="004C5551">
        <w:t>a</w:t>
      </w:r>
      <w:r w:rsidRPr="004C5551">
        <w:t xml:space="preserve"> ku kapitole 4</w:t>
      </w:r>
      <w:bookmarkEnd w:id="790"/>
      <w:bookmarkEnd w:id="791"/>
      <w:bookmarkEnd w:id="792"/>
      <w:bookmarkEnd w:id="793"/>
      <w:bookmarkEnd w:id="794"/>
      <w:bookmarkEnd w:id="795"/>
      <w:bookmarkEnd w:id="796"/>
      <w:bookmarkEnd w:id="797"/>
      <w:bookmarkEnd w:id="798"/>
      <w:bookmarkEnd w:id="799"/>
      <w:r w:rsidRPr="004C5551">
        <w:tab/>
      </w:r>
    </w:p>
    <w:p w:rsidR="00AF77A7" w:rsidRPr="004C5551" w:rsidRDefault="00AF77A7" w:rsidP="000A557A">
      <w:pPr>
        <w:ind w:left="1134" w:hanging="1134"/>
        <w:rPr>
          <w:color w:val="000000" w:themeColor="text1"/>
        </w:rPr>
      </w:pPr>
    </w:p>
    <w:p w:rsidR="00CE0AAE" w:rsidRPr="004C5551" w:rsidRDefault="00C461BD" w:rsidP="00027E20">
      <w:pPr>
        <w:ind w:left="1134" w:hanging="1134"/>
        <w:rPr>
          <w:color w:val="000000" w:themeColor="text1"/>
        </w:rPr>
      </w:pPr>
      <w:r w:rsidRPr="004C5551">
        <w:rPr>
          <w:color w:val="000000" w:themeColor="text1"/>
        </w:rPr>
        <w:t>Tabuľka</w:t>
      </w:r>
      <w:r w:rsidR="00CE0AAE" w:rsidRPr="004C5551">
        <w:rPr>
          <w:color w:val="000000" w:themeColor="text1"/>
        </w:rPr>
        <w:t xml:space="preserve"> </w:t>
      </w:r>
      <w:r w:rsidR="006B40DB" w:rsidRPr="004C5551">
        <w:rPr>
          <w:color w:val="000000" w:themeColor="text1"/>
        </w:rPr>
        <w:t>1</w:t>
      </w:r>
      <w:r w:rsidR="00027E20" w:rsidRPr="004C5551">
        <w:rPr>
          <w:color w:val="000000" w:themeColor="text1"/>
        </w:rPr>
        <w:tab/>
      </w:r>
      <w:r w:rsidR="00CE0AAE" w:rsidRPr="004C5551">
        <w:rPr>
          <w:color w:val="000000" w:themeColor="text1"/>
        </w:rPr>
        <w:t xml:space="preserve">Zoznam </w:t>
      </w:r>
      <w:r w:rsidR="00943E79" w:rsidRPr="004C5551">
        <w:rPr>
          <w:color w:val="000000" w:themeColor="text1"/>
        </w:rPr>
        <w:t>vybraných</w:t>
      </w:r>
      <w:r w:rsidR="00CE0AAE" w:rsidRPr="004C5551">
        <w:rPr>
          <w:color w:val="000000" w:themeColor="text1"/>
        </w:rPr>
        <w:t xml:space="preserve"> indikátorov </w:t>
      </w:r>
      <w:r w:rsidR="00943E79" w:rsidRPr="004C5551">
        <w:rPr>
          <w:color w:val="000000" w:themeColor="text1"/>
        </w:rPr>
        <w:t>sociálnej inklúzie</w:t>
      </w:r>
      <w:r w:rsidR="00CE0AAE" w:rsidRPr="004C5551">
        <w:rPr>
          <w:color w:val="000000" w:themeColor="text1"/>
        </w:rPr>
        <w:t xml:space="preserve"> </w:t>
      </w:r>
      <w:r w:rsidR="00943E79" w:rsidRPr="004C5551">
        <w:rPr>
          <w:color w:val="000000" w:themeColor="text1"/>
        </w:rPr>
        <w:t>(201</w:t>
      </w:r>
      <w:r w:rsidR="003200FE" w:rsidRPr="004C5551">
        <w:rPr>
          <w:color w:val="000000" w:themeColor="text1"/>
        </w:rPr>
        <w:t>2</w:t>
      </w:r>
      <w:r w:rsidR="00E52DFA" w:rsidRPr="004C5551">
        <w:rPr>
          <w:color w:val="000000" w:themeColor="text1"/>
        </w:rPr>
        <w:t xml:space="preserve"> – </w:t>
      </w:r>
      <w:r w:rsidR="00CE0AAE" w:rsidRPr="004C5551">
        <w:rPr>
          <w:color w:val="000000" w:themeColor="text1"/>
        </w:rPr>
        <w:t>201</w:t>
      </w:r>
      <w:r w:rsidR="003200FE" w:rsidRPr="004C5551">
        <w:rPr>
          <w:color w:val="000000" w:themeColor="text1"/>
        </w:rPr>
        <w:t>3</w:t>
      </w:r>
      <w:r w:rsidR="00943E79" w:rsidRPr="004C5551">
        <w:rPr>
          <w:color w:val="000000" w:themeColor="text1"/>
        </w:rPr>
        <w:t>)</w:t>
      </w:r>
    </w:p>
    <w:p w:rsidR="00AF77A7" w:rsidRPr="004C5551" w:rsidRDefault="00AF77A7" w:rsidP="00027E20">
      <w:pPr>
        <w:ind w:left="1134" w:hanging="1134"/>
        <w:rPr>
          <w:color w:val="000000" w:themeColor="text1"/>
        </w:rPr>
      </w:pPr>
    </w:p>
    <w:p w:rsidR="00613D59" w:rsidRPr="004C5551" w:rsidRDefault="00613D59" w:rsidP="00ED16E0">
      <w:pPr>
        <w:pStyle w:val="nadpis2"/>
        <w:numPr>
          <w:ilvl w:val="0"/>
          <w:numId w:val="0"/>
        </w:numPr>
      </w:pPr>
      <w:bookmarkStart w:id="800" w:name="_Toc356482789"/>
      <w:bookmarkStart w:id="801" w:name="_Toc356482831"/>
      <w:bookmarkStart w:id="802" w:name="_Toc388534243"/>
      <w:bookmarkStart w:id="803" w:name="_Toc389646865"/>
      <w:bookmarkStart w:id="804" w:name="_Toc394062243"/>
      <w:bookmarkStart w:id="805" w:name="_Toc418672285"/>
      <w:bookmarkStart w:id="806" w:name="_Toc419355270"/>
      <w:bookmarkStart w:id="807" w:name="_Toc419795393"/>
      <w:bookmarkStart w:id="808" w:name="_Toc422151013"/>
      <w:bookmarkStart w:id="809" w:name="_Toc422233453"/>
      <w:r w:rsidRPr="004C5551">
        <w:t>Príloh</w:t>
      </w:r>
      <w:r w:rsidR="00C83676" w:rsidRPr="004C5551">
        <w:t>a</w:t>
      </w:r>
      <w:r w:rsidRPr="004C5551">
        <w:t xml:space="preserve"> ku kapitole 5</w:t>
      </w:r>
      <w:bookmarkEnd w:id="800"/>
      <w:bookmarkEnd w:id="801"/>
      <w:bookmarkEnd w:id="802"/>
      <w:bookmarkEnd w:id="803"/>
      <w:bookmarkEnd w:id="804"/>
      <w:bookmarkEnd w:id="805"/>
      <w:bookmarkEnd w:id="806"/>
      <w:bookmarkEnd w:id="807"/>
      <w:bookmarkEnd w:id="808"/>
      <w:bookmarkEnd w:id="809"/>
      <w:r w:rsidRPr="004C5551">
        <w:tab/>
      </w:r>
    </w:p>
    <w:p w:rsidR="00613D59" w:rsidRPr="004C5551" w:rsidRDefault="00C461BD" w:rsidP="00027E20">
      <w:pPr>
        <w:ind w:left="1134" w:hanging="1134"/>
        <w:rPr>
          <w:color w:val="000000" w:themeColor="text1"/>
        </w:rPr>
      </w:pPr>
      <w:bookmarkStart w:id="810" w:name="_Toc313879809"/>
      <w:r w:rsidRPr="004C5551">
        <w:rPr>
          <w:color w:val="000000" w:themeColor="text1"/>
        </w:rPr>
        <w:t>Tabuľka</w:t>
      </w:r>
      <w:r w:rsidR="00613D59" w:rsidRPr="004C5551">
        <w:rPr>
          <w:color w:val="000000" w:themeColor="text1"/>
        </w:rPr>
        <w:t xml:space="preserve"> 1</w:t>
      </w:r>
      <w:r w:rsidR="0040201A" w:rsidRPr="004C5551">
        <w:rPr>
          <w:color w:val="000000" w:themeColor="text1"/>
        </w:rPr>
        <w:t xml:space="preserve"> </w:t>
      </w:r>
      <w:r w:rsidR="0040201A" w:rsidRPr="004C5551">
        <w:rPr>
          <w:color w:val="000000" w:themeColor="text1"/>
        </w:rPr>
        <w:tab/>
      </w:r>
      <w:r w:rsidR="00613D59" w:rsidRPr="004C5551">
        <w:rPr>
          <w:color w:val="000000" w:themeColor="text1"/>
        </w:rPr>
        <w:t>Porovnanie vybraných indikátorov v kontexte stratégie Európa 2020 medzi krajinami E</w:t>
      </w:r>
      <w:r w:rsidR="00AE42B3" w:rsidRPr="004C5551">
        <w:rPr>
          <w:color w:val="000000" w:themeColor="text1"/>
        </w:rPr>
        <w:t>U</w:t>
      </w:r>
      <w:r w:rsidR="00613D59" w:rsidRPr="004C5551">
        <w:rPr>
          <w:color w:val="000000" w:themeColor="text1"/>
        </w:rPr>
        <w:t>2</w:t>
      </w:r>
      <w:r w:rsidR="0099287D" w:rsidRPr="004C5551">
        <w:rPr>
          <w:color w:val="000000" w:themeColor="text1"/>
        </w:rPr>
        <w:t>8</w:t>
      </w:r>
      <w:r w:rsidR="00613D59" w:rsidRPr="004C5551">
        <w:rPr>
          <w:color w:val="000000" w:themeColor="text1"/>
        </w:rPr>
        <w:t xml:space="preserve"> v poslednom dostupnom roku</w:t>
      </w:r>
      <w:bookmarkEnd w:id="810"/>
      <w:r w:rsidR="00613D59" w:rsidRPr="004C5551">
        <w:rPr>
          <w:color w:val="000000" w:themeColor="text1"/>
        </w:rPr>
        <w:t xml:space="preserve"> </w:t>
      </w:r>
      <w:r w:rsidR="00E52DFA" w:rsidRPr="004C5551">
        <w:rPr>
          <w:color w:val="000000" w:themeColor="text1"/>
        </w:rPr>
        <w:t>–</w:t>
      </w:r>
      <w:r w:rsidR="00613D59" w:rsidRPr="004C5551">
        <w:rPr>
          <w:color w:val="000000" w:themeColor="text1"/>
        </w:rPr>
        <w:t xml:space="preserve"> makroekonomické prostredie</w:t>
      </w:r>
    </w:p>
    <w:p w:rsidR="00613D59" w:rsidRPr="004C5551" w:rsidRDefault="00C461BD" w:rsidP="00027E20">
      <w:pPr>
        <w:ind w:left="1134" w:hanging="1134"/>
        <w:rPr>
          <w:color w:val="000000" w:themeColor="text1"/>
        </w:rPr>
      </w:pPr>
      <w:bookmarkStart w:id="811" w:name="_Toc313879810"/>
      <w:r w:rsidRPr="004C5551">
        <w:rPr>
          <w:color w:val="000000" w:themeColor="text1"/>
        </w:rPr>
        <w:t>Tabuľka</w:t>
      </w:r>
      <w:r w:rsidR="00613D59" w:rsidRPr="004C5551">
        <w:rPr>
          <w:color w:val="000000" w:themeColor="text1"/>
        </w:rPr>
        <w:t xml:space="preserve"> 2 </w:t>
      </w:r>
      <w:r w:rsidR="0040201A" w:rsidRPr="004C5551">
        <w:rPr>
          <w:color w:val="000000" w:themeColor="text1"/>
        </w:rPr>
        <w:tab/>
      </w:r>
      <w:r w:rsidR="00613D59" w:rsidRPr="004C5551">
        <w:rPr>
          <w:color w:val="000000" w:themeColor="text1"/>
        </w:rPr>
        <w:t>Porovnanie vybraných indikátorov v kontexte stratégie Európa 2020 medzi krajinami E</w:t>
      </w:r>
      <w:r w:rsidR="00AE42B3" w:rsidRPr="004C5551">
        <w:rPr>
          <w:color w:val="000000" w:themeColor="text1"/>
        </w:rPr>
        <w:t>U</w:t>
      </w:r>
      <w:r w:rsidR="00613D59" w:rsidRPr="004C5551">
        <w:rPr>
          <w:color w:val="000000" w:themeColor="text1"/>
        </w:rPr>
        <w:t>2</w:t>
      </w:r>
      <w:r w:rsidR="0099287D" w:rsidRPr="004C5551">
        <w:rPr>
          <w:color w:val="000000" w:themeColor="text1"/>
        </w:rPr>
        <w:t>8</w:t>
      </w:r>
      <w:r w:rsidR="00613D59" w:rsidRPr="004C5551">
        <w:rPr>
          <w:color w:val="000000" w:themeColor="text1"/>
        </w:rPr>
        <w:t xml:space="preserve"> v poslednom dostupnom roku</w:t>
      </w:r>
      <w:bookmarkEnd w:id="811"/>
      <w:r w:rsidR="00613D59" w:rsidRPr="004C5551">
        <w:rPr>
          <w:color w:val="000000" w:themeColor="text1"/>
        </w:rPr>
        <w:t xml:space="preserve"> </w:t>
      </w:r>
      <w:r w:rsidR="00E52DFA" w:rsidRPr="004C5551">
        <w:rPr>
          <w:color w:val="000000" w:themeColor="text1"/>
        </w:rPr>
        <w:t>–</w:t>
      </w:r>
      <w:r w:rsidR="00613D59" w:rsidRPr="004C5551">
        <w:rPr>
          <w:color w:val="000000" w:themeColor="text1"/>
        </w:rPr>
        <w:t xml:space="preserve"> inteligentný a inkluzívny rast</w:t>
      </w:r>
    </w:p>
    <w:p w:rsidR="00783552" w:rsidRPr="004C5551" w:rsidRDefault="00783552" w:rsidP="00D36FB8">
      <w:pPr>
        <w:ind w:left="851" w:hanging="851"/>
        <w:rPr>
          <w:color w:val="000000" w:themeColor="text1"/>
        </w:rPr>
      </w:pPr>
    </w:p>
    <w:p w:rsidR="001E0522" w:rsidRPr="004C5551" w:rsidRDefault="001E0522" w:rsidP="00D36FB8">
      <w:pPr>
        <w:ind w:left="851" w:hanging="851"/>
        <w:rPr>
          <w:color w:val="000000" w:themeColor="text1"/>
        </w:rPr>
        <w:sectPr w:rsidR="001E0522" w:rsidRPr="004C5551" w:rsidSect="004F3C97">
          <w:headerReference w:type="even" r:id="rId91"/>
          <w:headerReference w:type="default" r:id="rId92"/>
          <w:footerReference w:type="default" r:id="rId93"/>
          <w:headerReference w:type="first" r:id="rId94"/>
          <w:pgSz w:w="11906" w:h="16838"/>
          <w:pgMar w:top="1417" w:right="1417" w:bottom="1417" w:left="1417" w:header="708" w:footer="708" w:gutter="0"/>
          <w:cols w:space="708"/>
          <w:titlePg/>
          <w:docGrid w:linePitch="360"/>
        </w:sectPr>
      </w:pPr>
    </w:p>
    <w:p w:rsidR="006A153B" w:rsidRPr="004C5551" w:rsidRDefault="006A153B" w:rsidP="00D36FB8">
      <w:pPr>
        <w:ind w:left="851" w:hanging="851"/>
        <w:rPr>
          <w:color w:val="000000" w:themeColor="text1"/>
        </w:rPr>
      </w:pPr>
    </w:p>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0E7856"/>
    <w:p w:rsidR="000E7856" w:rsidRPr="004C5551" w:rsidRDefault="000E7856" w:rsidP="00A8320D">
      <w:pPr>
        <w:pStyle w:val="Nadpis1"/>
        <w:numPr>
          <w:ilvl w:val="0"/>
          <w:numId w:val="0"/>
        </w:numPr>
        <w:ind w:left="432"/>
        <w:jc w:val="center"/>
      </w:pPr>
      <w:bookmarkStart w:id="812" w:name="_Toc313879670"/>
      <w:bookmarkStart w:id="813" w:name="_Toc387413123"/>
      <w:bookmarkStart w:id="814" w:name="_Toc387659189"/>
      <w:bookmarkStart w:id="815" w:name="_Toc388534244"/>
      <w:bookmarkStart w:id="816" w:name="_Toc389646866"/>
      <w:bookmarkStart w:id="817" w:name="_Toc394062244"/>
      <w:bookmarkStart w:id="818" w:name="_Toc418672286"/>
      <w:bookmarkStart w:id="819" w:name="_Toc419355271"/>
      <w:bookmarkStart w:id="820" w:name="_Toc419795394"/>
      <w:bookmarkStart w:id="821" w:name="_Toc422151014"/>
      <w:bookmarkStart w:id="822" w:name="_Toc422233454"/>
      <w:r w:rsidRPr="004C5551">
        <w:t>Príloh</w:t>
      </w:r>
      <w:r w:rsidR="006F6AA3" w:rsidRPr="004C5551">
        <w:t>a</w:t>
      </w:r>
      <w:r w:rsidRPr="004C5551">
        <w:t xml:space="preserve"> ku kapitole 1</w:t>
      </w:r>
      <w:bookmarkEnd w:id="812"/>
      <w:bookmarkEnd w:id="813"/>
      <w:bookmarkEnd w:id="814"/>
      <w:bookmarkEnd w:id="815"/>
      <w:bookmarkEnd w:id="816"/>
      <w:bookmarkEnd w:id="817"/>
      <w:bookmarkEnd w:id="818"/>
      <w:bookmarkEnd w:id="819"/>
      <w:bookmarkEnd w:id="820"/>
      <w:bookmarkEnd w:id="821"/>
      <w:bookmarkEnd w:id="822"/>
    </w:p>
    <w:p w:rsidR="006A153B" w:rsidRPr="004C5551" w:rsidRDefault="006A153B" w:rsidP="000E7856">
      <w:pPr>
        <w:sectPr w:rsidR="006A153B" w:rsidRPr="004C5551" w:rsidSect="004F3C97">
          <w:headerReference w:type="first" r:id="rId95"/>
          <w:footerReference w:type="first" r:id="rId96"/>
          <w:type w:val="oddPage"/>
          <w:pgSz w:w="11906" w:h="16838"/>
          <w:pgMar w:top="1417" w:right="1417" w:bottom="1417" w:left="1417" w:header="708" w:footer="708" w:gutter="0"/>
          <w:cols w:space="708"/>
          <w:titlePg/>
          <w:docGrid w:linePitch="360"/>
        </w:sectPr>
      </w:pPr>
    </w:p>
    <w:p w:rsidR="004E3123" w:rsidRPr="004C5551" w:rsidRDefault="004E3123" w:rsidP="004E3123">
      <w:pPr>
        <w:pStyle w:val="Nadpis7"/>
      </w:pPr>
      <w:bookmarkStart w:id="823" w:name="_Toc313879671"/>
      <w:r w:rsidRPr="004C5551">
        <w:t>Tabuľka 1 Základné ukazovatele ekonomického vývoja SR</w:t>
      </w:r>
    </w:p>
    <w:tbl>
      <w:tblPr>
        <w:tblW w:w="8569" w:type="dxa"/>
        <w:jc w:val="center"/>
        <w:tblInd w:w="55" w:type="dxa"/>
        <w:tblCellMar>
          <w:left w:w="70" w:type="dxa"/>
          <w:right w:w="70" w:type="dxa"/>
        </w:tblCellMar>
        <w:tblLook w:val="04A0" w:firstRow="1" w:lastRow="0" w:firstColumn="1" w:lastColumn="0" w:noHBand="0" w:noVBand="1"/>
      </w:tblPr>
      <w:tblGrid>
        <w:gridCol w:w="4211"/>
        <w:gridCol w:w="896"/>
        <w:gridCol w:w="701"/>
        <w:gridCol w:w="700"/>
        <w:gridCol w:w="701"/>
        <w:gridCol w:w="680"/>
        <w:gridCol w:w="680"/>
      </w:tblGrid>
      <w:tr w:rsidR="00B24E7A" w:rsidRPr="004C5551" w:rsidTr="009A02B2">
        <w:trPr>
          <w:trHeight w:val="510"/>
          <w:jc w:val="center"/>
        </w:trPr>
        <w:tc>
          <w:tcPr>
            <w:tcW w:w="42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Ukazovateľ</w:t>
            </w:r>
          </w:p>
        </w:tc>
        <w:tc>
          <w:tcPr>
            <w:tcW w:w="896"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 xml:space="preserve">Merná jednotka </w:t>
            </w:r>
          </w:p>
        </w:tc>
        <w:tc>
          <w:tcPr>
            <w:tcW w:w="701"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2010</w:t>
            </w:r>
          </w:p>
        </w:tc>
        <w:tc>
          <w:tcPr>
            <w:tcW w:w="70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2011</w:t>
            </w:r>
          </w:p>
        </w:tc>
        <w:tc>
          <w:tcPr>
            <w:tcW w:w="701"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2012</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B24E7A" w:rsidRPr="004C5551" w:rsidRDefault="00B24E7A" w:rsidP="004E3123">
            <w:pPr>
              <w:jc w:val="center"/>
              <w:rPr>
                <w:b/>
                <w:bCs/>
                <w:color w:val="000000"/>
                <w:sz w:val="20"/>
                <w:szCs w:val="20"/>
              </w:rPr>
            </w:pPr>
            <w:r w:rsidRPr="004C5551">
              <w:rPr>
                <w:b/>
                <w:bCs/>
                <w:color w:val="000000"/>
                <w:sz w:val="20"/>
                <w:szCs w:val="20"/>
              </w:rPr>
              <w:t>2013</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B24E7A" w:rsidRPr="004C5551" w:rsidRDefault="00B24E7A" w:rsidP="00B24E7A">
            <w:pPr>
              <w:jc w:val="center"/>
              <w:rPr>
                <w:b/>
                <w:bCs/>
                <w:color w:val="000000"/>
                <w:sz w:val="20"/>
                <w:szCs w:val="20"/>
              </w:rPr>
            </w:pPr>
            <w:r w:rsidRPr="004C5551">
              <w:rPr>
                <w:b/>
                <w:bCs/>
                <w:color w:val="000000"/>
                <w:sz w:val="20"/>
                <w:szCs w:val="20"/>
              </w:rPr>
              <w:t>2014</w:t>
            </w:r>
          </w:p>
        </w:tc>
      </w:tr>
      <w:tr w:rsidR="00B24E7A" w:rsidRPr="004C5551" w:rsidTr="00864ED5">
        <w:trPr>
          <w:trHeight w:val="158"/>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b/>
                <w:bCs/>
                <w:color w:val="000000"/>
                <w:sz w:val="20"/>
                <w:szCs w:val="20"/>
              </w:rPr>
            </w:pPr>
            <w:r w:rsidRPr="004C5551">
              <w:rPr>
                <w:b/>
                <w:bCs/>
                <w:color w:val="000000"/>
                <w:sz w:val="20"/>
                <w:szCs w:val="20"/>
              </w:rPr>
              <w:t xml:space="preserve"> HRUBÝ DOMÁCI PRODUKT </w:t>
            </w:r>
            <w:r w:rsidRPr="004C5551">
              <w:rPr>
                <w:color w:val="000000"/>
                <w:sz w:val="20"/>
                <w:szCs w:val="20"/>
                <w:vertAlign w:val="superscript"/>
              </w:rPr>
              <w:t>1)</w:t>
            </w:r>
            <w:r w:rsidRPr="004C5551">
              <w:rPr>
                <w:b/>
                <w:bCs/>
                <w:color w:val="000000"/>
                <w:sz w:val="20"/>
                <w:szCs w:val="20"/>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rPr>
                <w:color w:val="000000"/>
                <w:sz w:val="20"/>
                <w:szCs w:val="20"/>
              </w:rPr>
            </w:pPr>
            <w:r w:rsidRPr="004C5551">
              <w:rPr>
                <w:color w:val="000000"/>
                <w:sz w:val="20"/>
                <w:szCs w:val="20"/>
              </w:rPr>
              <w:t> </w:t>
            </w:r>
          </w:p>
        </w:tc>
        <w:tc>
          <w:tcPr>
            <w:tcW w:w="680" w:type="dxa"/>
            <w:tcBorders>
              <w:top w:val="nil"/>
              <w:left w:val="nil"/>
              <w:bottom w:val="single" w:sz="4" w:space="0" w:color="auto"/>
              <w:right w:val="single" w:sz="4" w:space="0" w:color="auto"/>
            </w:tcBorders>
          </w:tcPr>
          <w:p w:rsidR="00B24E7A" w:rsidRPr="004C5551" w:rsidRDefault="00B24E7A" w:rsidP="00B24E7A">
            <w:pPr>
              <w:jc w:val="center"/>
              <w:rPr>
                <w:b/>
                <w:bCs/>
                <w:color w:val="000000"/>
                <w:sz w:val="20"/>
                <w:szCs w:val="20"/>
              </w:rPr>
            </w:pPr>
          </w:p>
        </w:tc>
      </w:tr>
      <w:tr w:rsidR="00B24E7A" w:rsidRPr="004C5551" w:rsidTr="00864ED5">
        <w:trPr>
          <w:trHeight w:val="6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 Hrubý domáci produkt v bežných cenách</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xml:space="preserve">mld. </w:t>
            </w:r>
            <w:r w:rsidR="00AA0137"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67,2</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70,2</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72,2</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C8782D" w:rsidP="004E3123">
            <w:pPr>
              <w:jc w:val="right"/>
              <w:rPr>
                <w:color w:val="000000"/>
                <w:sz w:val="18"/>
                <w:szCs w:val="18"/>
              </w:rPr>
            </w:pPr>
            <w:r w:rsidRPr="004C5551">
              <w:rPr>
                <w:color w:val="000000"/>
                <w:sz w:val="18"/>
                <w:szCs w:val="18"/>
              </w:rPr>
              <w:t>73,6</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20"/>
                <w:szCs w:val="20"/>
              </w:rPr>
            </w:pPr>
            <w:r w:rsidRPr="004C5551">
              <w:rPr>
                <w:bCs/>
                <w:color w:val="000000"/>
                <w:sz w:val="18"/>
                <w:szCs w:val="20"/>
              </w:rPr>
              <w:t>75,2</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 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105,3</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104,4</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102,9</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C8782D" w:rsidP="004E3123">
            <w:pPr>
              <w:jc w:val="right"/>
              <w:rPr>
                <w:color w:val="000000"/>
                <w:sz w:val="18"/>
                <w:szCs w:val="18"/>
              </w:rPr>
            </w:pPr>
            <w:r w:rsidRPr="004C5551">
              <w:rPr>
                <w:color w:val="000000"/>
                <w:sz w:val="18"/>
                <w:szCs w:val="18"/>
              </w:rPr>
              <w:t>102,0</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102,2</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Hrubý domáci produkt v </w:t>
            </w:r>
            <w:proofErr w:type="spellStart"/>
            <w:r w:rsidRPr="004C5551">
              <w:rPr>
                <w:color w:val="000000"/>
                <w:sz w:val="20"/>
                <w:szCs w:val="20"/>
              </w:rPr>
              <w:t>s.c</w:t>
            </w:r>
            <w:proofErr w:type="spellEnd"/>
            <w:r w:rsidRPr="004C5551">
              <w:rPr>
                <w:color w:val="000000"/>
                <w:sz w:val="20"/>
                <w:szCs w:val="20"/>
              </w:rPr>
              <w:t xml:space="preserve">. </w:t>
            </w:r>
            <w:r w:rsidRPr="004C5551">
              <w:rPr>
                <w:color w:val="000000"/>
                <w:sz w:val="20"/>
                <w:szCs w:val="20"/>
                <w:vertAlign w:val="superscript"/>
              </w:rPr>
              <w:t>2)</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xml:space="preserve">mld. </w:t>
            </w:r>
            <w:r w:rsidR="00AA0137"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67,2</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69,0</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70,1</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C8782D" w:rsidP="004E3123">
            <w:pPr>
              <w:jc w:val="right"/>
              <w:rPr>
                <w:color w:val="000000"/>
                <w:sz w:val="18"/>
                <w:szCs w:val="18"/>
              </w:rPr>
            </w:pPr>
            <w:r w:rsidRPr="004C5551">
              <w:rPr>
                <w:color w:val="000000"/>
                <w:sz w:val="18"/>
                <w:szCs w:val="18"/>
              </w:rPr>
              <w:t>71,1</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72,8</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104,8</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102,7</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C8782D" w:rsidP="004E3123">
            <w:pPr>
              <w:jc w:val="right"/>
              <w:rPr>
                <w:color w:val="000000"/>
                <w:sz w:val="18"/>
                <w:szCs w:val="18"/>
              </w:rPr>
            </w:pPr>
            <w:r w:rsidRPr="004C5551">
              <w:rPr>
                <w:color w:val="000000"/>
                <w:sz w:val="18"/>
                <w:szCs w:val="18"/>
              </w:rPr>
              <w:t>101,6</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C8782D" w:rsidP="004E3123">
            <w:pPr>
              <w:jc w:val="right"/>
              <w:rPr>
                <w:color w:val="000000"/>
                <w:sz w:val="18"/>
                <w:szCs w:val="18"/>
              </w:rPr>
            </w:pPr>
            <w:r w:rsidRPr="004C5551">
              <w:rPr>
                <w:color w:val="000000"/>
                <w:sz w:val="18"/>
                <w:szCs w:val="18"/>
              </w:rPr>
              <w:t>101,4</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102,4</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31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b/>
                <w:bCs/>
                <w:color w:val="000000"/>
                <w:sz w:val="20"/>
                <w:szCs w:val="20"/>
              </w:rPr>
            </w:pPr>
            <w:r w:rsidRPr="004C5551">
              <w:rPr>
                <w:b/>
                <w:bCs/>
                <w:color w:val="000000"/>
                <w:sz w:val="20"/>
                <w:szCs w:val="20"/>
              </w:rPr>
              <w:t xml:space="preserve">INFLÁCIA </w:t>
            </w:r>
            <w:r w:rsidRPr="004C5551">
              <w:rPr>
                <w:color w:val="000000"/>
                <w:sz w:val="20"/>
                <w:szCs w:val="20"/>
                <w:vertAlign w:val="superscript"/>
              </w:rPr>
              <w:t>3)</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Medziročná miera inflácie</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posledný mesiac obdobia</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1,3</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4,4</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3,2</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0,4</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-0,1</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v priemere za obdobie</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3,9</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3,6</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1,4</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-0,1</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b/>
                <w:bCs/>
                <w:color w:val="000000"/>
                <w:sz w:val="20"/>
                <w:szCs w:val="20"/>
              </w:rPr>
            </w:pPr>
            <w:r w:rsidRPr="004C5551">
              <w:rPr>
                <w:b/>
                <w:bCs/>
                <w:color w:val="000000"/>
                <w:sz w:val="20"/>
                <w:szCs w:val="20"/>
              </w:rPr>
              <w:t>EKONOMICKÁ AKTIVITA PODĽA VZPS</w:t>
            </w:r>
            <w:r w:rsidRPr="004C5551">
              <w:rPr>
                <w:color w:val="000000"/>
                <w:sz w:val="20"/>
                <w:szCs w:val="20"/>
                <w:vertAlign w:val="superscript"/>
              </w:rPr>
              <w:t>4)</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Počet pracujúcich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2 317,5</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2 315,3</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2 329,0</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2 329,3</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2 363,0</w:t>
            </w:r>
          </w:p>
        </w:tc>
      </w:tr>
      <w:tr w:rsidR="00B24E7A" w:rsidRPr="004C5551" w:rsidTr="00864ED5">
        <w:trPr>
          <w:trHeight w:val="77"/>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98,0</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99,9</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100,6</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100,0</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101,4</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Počet nezamestnaných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389,0</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364,6</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377,5</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386,0</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358,7</w:t>
            </w:r>
          </w:p>
        </w:tc>
      </w:tr>
      <w:tr w:rsidR="00B24E7A" w:rsidRPr="004C5551" w:rsidTr="00864ED5">
        <w:trPr>
          <w:trHeight w:val="8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120,0</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93,7</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103,5</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102,3</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92,9</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Miera nezamestnanosti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14,4</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13,6</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14,0</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14,2</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13,2</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b/>
                <w:bCs/>
                <w:color w:val="000000"/>
                <w:sz w:val="20"/>
                <w:szCs w:val="20"/>
              </w:rPr>
            </w:pPr>
            <w:r w:rsidRPr="004C5551">
              <w:rPr>
                <w:b/>
                <w:bCs/>
                <w:color w:val="000000"/>
                <w:sz w:val="20"/>
                <w:szCs w:val="20"/>
              </w:rPr>
              <w:t>ZAMESTNANOSŤ</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Priemerný počet zamestnaných osôb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v hospodárstve spolu </w:t>
            </w:r>
            <w:r w:rsidRPr="004C5551">
              <w:rPr>
                <w:color w:val="000000"/>
                <w:sz w:val="20"/>
                <w:szCs w:val="20"/>
                <w:vertAlign w:val="superscript"/>
              </w:rPr>
              <w:t>5)</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2 151,9</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2 192,5</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2 191,3</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2</w:t>
            </w:r>
            <w:r w:rsidR="00C8782D" w:rsidRPr="004C5551">
              <w:rPr>
                <w:color w:val="000000"/>
                <w:sz w:val="18"/>
                <w:szCs w:val="18"/>
              </w:rPr>
              <w:t xml:space="preserve"> </w:t>
            </w:r>
            <w:r w:rsidRPr="004C5551">
              <w:rPr>
                <w:color w:val="000000"/>
                <w:sz w:val="18"/>
                <w:szCs w:val="18"/>
              </w:rPr>
              <w:t>176,1</w:t>
            </w:r>
          </w:p>
        </w:tc>
        <w:tc>
          <w:tcPr>
            <w:tcW w:w="680" w:type="dxa"/>
            <w:tcBorders>
              <w:top w:val="nil"/>
              <w:left w:val="nil"/>
              <w:bottom w:val="single" w:sz="4" w:space="0" w:color="auto"/>
              <w:right w:val="single" w:sz="4" w:space="0" w:color="auto"/>
            </w:tcBorders>
            <w:vAlign w:val="center"/>
          </w:tcPr>
          <w:p w:rsidR="00B24E7A" w:rsidRPr="004C5551" w:rsidRDefault="00460DEB" w:rsidP="00C8782D">
            <w:pPr>
              <w:jc w:val="right"/>
              <w:rPr>
                <w:bCs/>
                <w:color w:val="000000"/>
                <w:sz w:val="18"/>
                <w:szCs w:val="20"/>
              </w:rPr>
            </w:pPr>
            <w:r w:rsidRPr="004C5551">
              <w:rPr>
                <w:bCs/>
                <w:color w:val="000000"/>
                <w:sz w:val="18"/>
                <w:szCs w:val="20"/>
              </w:rPr>
              <w:t>2 204,6</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98,9</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101,9</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99,9</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99,3</w:t>
            </w:r>
          </w:p>
        </w:tc>
        <w:tc>
          <w:tcPr>
            <w:tcW w:w="680" w:type="dxa"/>
            <w:tcBorders>
              <w:top w:val="nil"/>
              <w:left w:val="nil"/>
              <w:bottom w:val="single" w:sz="4" w:space="0" w:color="auto"/>
              <w:right w:val="single" w:sz="4" w:space="0" w:color="auto"/>
            </w:tcBorders>
            <w:vAlign w:val="center"/>
          </w:tcPr>
          <w:p w:rsidR="00B24E7A" w:rsidRPr="004C5551" w:rsidRDefault="00C8782D" w:rsidP="00C8782D">
            <w:pPr>
              <w:jc w:val="right"/>
              <w:rPr>
                <w:bCs/>
                <w:color w:val="000000"/>
                <w:sz w:val="18"/>
                <w:szCs w:val="20"/>
              </w:rPr>
            </w:pPr>
            <w:r w:rsidRPr="004C5551">
              <w:rPr>
                <w:bCs/>
                <w:color w:val="000000"/>
                <w:sz w:val="18"/>
                <w:szCs w:val="20"/>
              </w:rPr>
              <w:t>101,3</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b/>
                <w:bCs/>
                <w:color w:val="000000"/>
                <w:sz w:val="20"/>
                <w:szCs w:val="20"/>
              </w:rPr>
            </w:pPr>
            <w:r w:rsidRPr="004C5551">
              <w:rPr>
                <w:b/>
                <w:bCs/>
                <w:color w:val="000000"/>
                <w:sz w:val="20"/>
                <w:szCs w:val="20"/>
              </w:rPr>
              <w:t>PRIEMERNÁ MESAČNÁ MZDA</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7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zamestnanca za hospodárstvo spolu </w:t>
            </w:r>
            <w:r w:rsidRPr="004C5551">
              <w:rPr>
                <w:color w:val="000000"/>
                <w:sz w:val="20"/>
                <w:szCs w:val="20"/>
                <w:vertAlign w:val="superscript"/>
              </w:rPr>
              <w:t>6)</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 </w:t>
            </w:r>
          </w:p>
        </w:tc>
        <w:tc>
          <w:tcPr>
            <w:tcW w:w="680" w:type="dxa"/>
            <w:tcBorders>
              <w:top w:val="nil"/>
              <w:left w:val="nil"/>
              <w:bottom w:val="single" w:sz="4" w:space="0" w:color="auto"/>
              <w:right w:val="single" w:sz="4" w:space="0" w:color="auto"/>
            </w:tcBorders>
            <w:vAlign w:val="center"/>
          </w:tcPr>
          <w:p w:rsidR="00B24E7A" w:rsidRPr="004C5551" w:rsidRDefault="00B24E7A" w:rsidP="00C8782D">
            <w:pPr>
              <w:jc w:val="right"/>
              <w:rPr>
                <w:bCs/>
                <w:color w:val="000000"/>
                <w:sz w:val="18"/>
                <w:szCs w:val="20"/>
              </w:rPr>
            </w:pP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nominálna</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AA0137"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01079">
            <w:pPr>
              <w:jc w:val="right"/>
              <w:rPr>
                <w:color w:val="000000"/>
                <w:sz w:val="18"/>
                <w:szCs w:val="18"/>
              </w:rPr>
            </w:pPr>
            <w:r w:rsidRPr="004C5551">
              <w:rPr>
                <w:color w:val="000000"/>
                <w:sz w:val="18"/>
                <w:szCs w:val="18"/>
              </w:rPr>
              <w:t>769</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01079">
            <w:pPr>
              <w:jc w:val="right"/>
              <w:rPr>
                <w:color w:val="000000"/>
                <w:sz w:val="18"/>
                <w:szCs w:val="18"/>
              </w:rPr>
            </w:pPr>
            <w:r w:rsidRPr="004C5551">
              <w:rPr>
                <w:color w:val="000000"/>
                <w:sz w:val="18"/>
                <w:szCs w:val="18"/>
              </w:rPr>
              <w:t>786</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01079">
            <w:pPr>
              <w:jc w:val="right"/>
              <w:rPr>
                <w:color w:val="000000"/>
                <w:sz w:val="18"/>
                <w:szCs w:val="18"/>
              </w:rPr>
            </w:pPr>
            <w:r w:rsidRPr="004C5551">
              <w:rPr>
                <w:color w:val="000000"/>
                <w:sz w:val="18"/>
                <w:szCs w:val="18"/>
              </w:rPr>
              <w:t>805</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01079">
            <w:pPr>
              <w:jc w:val="right"/>
              <w:rPr>
                <w:color w:val="000000"/>
                <w:sz w:val="18"/>
                <w:szCs w:val="18"/>
              </w:rPr>
            </w:pPr>
            <w:r w:rsidRPr="004C5551">
              <w:rPr>
                <w:color w:val="000000"/>
                <w:sz w:val="18"/>
                <w:szCs w:val="18"/>
              </w:rPr>
              <w:t>824</w:t>
            </w:r>
          </w:p>
        </w:tc>
        <w:tc>
          <w:tcPr>
            <w:tcW w:w="680" w:type="dxa"/>
            <w:tcBorders>
              <w:top w:val="nil"/>
              <w:left w:val="nil"/>
              <w:bottom w:val="single" w:sz="4" w:space="0" w:color="auto"/>
              <w:right w:val="single" w:sz="4" w:space="0" w:color="auto"/>
            </w:tcBorders>
            <w:vAlign w:val="center"/>
          </w:tcPr>
          <w:p w:rsidR="00B24E7A" w:rsidRPr="004C5551" w:rsidRDefault="00401079" w:rsidP="00C8782D">
            <w:pPr>
              <w:jc w:val="right"/>
              <w:rPr>
                <w:bCs/>
                <w:color w:val="000000"/>
                <w:sz w:val="18"/>
                <w:szCs w:val="20"/>
              </w:rPr>
            </w:pPr>
            <w:r w:rsidRPr="004C5551">
              <w:rPr>
                <w:bCs/>
                <w:color w:val="000000"/>
                <w:sz w:val="18"/>
                <w:szCs w:val="20"/>
              </w:rPr>
              <w:t>858</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index, rovnaké obdobie </w:t>
            </w:r>
            <w:proofErr w:type="spellStart"/>
            <w:r w:rsidRPr="004C5551">
              <w:rPr>
                <w:color w:val="000000"/>
                <w:sz w:val="20"/>
                <w:szCs w:val="20"/>
              </w:rPr>
              <w:t>predchádz</w:t>
            </w:r>
            <w:proofErr w:type="spellEnd"/>
            <w:r w:rsidRPr="004C5551">
              <w:rPr>
                <w:color w:val="000000"/>
                <w:sz w:val="20"/>
                <w:szCs w:val="20"/>
              </w:rPr>
              <w:t>. roku = 100</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103,2</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102,2</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102,4</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102,4</w:t>
            </w:r>
          </w:p>
        </w:tc>
        <w:tc>
          <w:tcPr>
            <w:tcW w:w="680" w:type="dxa"/>
            <w:tcBorders>
              <w:top w:val="nil"/>
              <w:left w:val="nil"/>
              <w:bottom w:val="single" w:sz="4" w:space="0" w:color="auto"/>
              <w:right w:val="single" w:sz="4" w:space="0" w:color="auto"/>
            </w:tcBorders>
            <w:vAlign w:val="center"/>
          </w:tcPr>
          <w:p w:rsidR="00B24E7A" w:rsidRPr="004C5551" w:rsidRDefault="00401079" w:rsidP="00C8782D">
            <w:pPr>
              <w:jc w:val="right"/>
              <w:rPr>
                <w:bCs/>
                <w:color w:val="000000"/>
                <w:sz w:val="18"/>
                <w:szCs w:val="20"/>
              </w:rPr>
            </w:pPr>
            <w:r w:rsidRPr="004C5551">
              <w:rPr>
                <w:bCs/>
                <w:color w:val="000000"/>
                <w:sz w:val="18"/>
                <w:szCs w:val="20"/>
              </w:rPr>
              <w:t>104,1</w:t>
            </w:r>
          </w:p>
        </w:tc>
      </w:tr>
      <w:tr w:rsidR="00B24E7A" w:rsidRPr="004C5551" w:rsidTr="00864ED5">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B24E7A" w:rsidRPr="004C5551" w:rsidRDefault="00B24E7A" w:rsidP="004E3123">
            <w:pPr>
              <w:rPr>
                <w:color w:val="000000"/>
                <w:sz w:val="20"/>
                <w:szCs w:val="20"/>
              </w:rPr>
            </w:pPr>
            <w:r w:rsidRPr="004C5551">
              <w:rPr>
                <w:color w:val="000000"/>
                <w:sz w:val="20"/>
                <w:szCs w:val="20"/>
              </w:rPr>
              <w:t xml:space="preserve">reálna </w:t>
            </w:r>
            <w:r w:rsidRPr="004C5551">
              <w:rPr>
                <w:color w:val="000000" w:themeColor="text1"/>
              </w:rPr>
              <w:t>–</w:t>
            </w:r>
            <w:r w:rsidRPr="004C5551">
              <w:rPr>
                <w:color w:val="000000"/>
                <w:sz w:val="20"/>
                <w:szCs w:val="20"/>
              </w:rPr>
              <w:t xml:space="preserve"> index, rovnaké obdobie </w:t>
            </w:r>
            <w:proofErr w:type="spellStart"/>
            <w:r w:rsidRPr="004C5551">
              <w:rPr>
                <w:color w:val="000000"/>
                <w:sz w:val="20"/>
                <w:szCs w:val="20"/>
              </w:rPr>
              <w:t>predchádz</w:t>
            </w:r>
            <w:proofErr w:type="spellEnd"/>
            <w:r w:rsidRPr="004C5551">
              <w:rPr>
                <w:color w:val="000000"/>
                <w:sz w:val="20"/>
                <w:szCs w:val="20"/>
              </w:rPr>
              <w:t xml:space="preserve">. roku = 100 </w:t>
            </w:r>
            <w:r w:rsidRPr="004C5551">
              <w:rPr>
                <w:color w:val="000000"/>
                <w:sz w:val="20"/>
                <w:szCs w:val="20"/>
                <w:vertAlign w:val="superscript"/>
              </w:rPr>
              <w:t>7)</w:t>
            </w:r>
          </w:p>
        </w:tc>
        <w:tc>
          <w:tcPr>
            <w:tcW w:w="896"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center"/>
              <w:rPr>
                <w:color w:val="000000"/>
                <w:sz w:val="20"/>
                <w:szCs w:val="20"/>
              </w:rPr>
            </w:pPr>
            <w:r w:rsidRPr="004C5551">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102,2</w:t>
            </w:r>
          </w:p>
        </w:tc>
        <w:tc>
          <w:tcPr>
            <w:tcW w:w="700"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98,4</w:t>
            </w:r>
          </w:p>
        </w:tc>
        <w:tc>
          <w:tcPr>
            <w:tcW w:w="701" w:type="dxa"/>
            <w:tcBorders>
              <w:top w:val="nil"/>
              <w:left w:val="nil"/>
              <w:bottom w:val="single" w:sz="4" w:space="0" w:color="auto"/>
              <w:right w:val="single" w:sz="4" w:space="0" w:color="auto"/>
            </w:tcBorders>
            <w:shd w:val="clear" w:color="auto" w:fill="auto"/>
            <w:noWrap/>
            <w:vAlign w:val="center"/>
            <w:hideMark/>
          </w:tcPr>
          <w:p w:rsidR="00B24E7A" w:rsidRPr="004C5551" w:rsidRDefault="00B24E7A" w:rsidP="004E3123">
            <w:pPr>
              <w:jc w:val="right"/>
              <w:rPr>
                <w:color w:val="000000"/>
                <w:sz w:val="18"/>
                <w:szCs w:val="18"/>
              </w:rPr>
            </w:pPr>
            <w:r w:rsidRPr="004C5551">
              <w:rPr>
                <w:color w:val="000000"/>
                <w:sz w:val="18"/>
                <w:szCs w:val="18"/>
              </w:rPr>
              <w:t>98,8</w:t>
            </w:r>
          </w:p>
        </w:tc>
        <w:tc>
          <w:tcPr>
            <w:tcW w:w="680" w:type="dxa"/>
            <w:tcBorders>
              <w:top w:val="nil"/>
              <w:left w:val="nil"/>
              <w:bottom w:val="single" w:sz="4" w:space="0" w:color="auto"/>
              <w:right w:val="single" w:sz="4" w:space="0" w:color="auto"/>
            </w:tcBorders>
            <w:shd w:val="clear" w:color="auto" w:fill="auto"/>
            <w:vAlign w:val="center"/>
            <w:hideMark/>
          </w:tcPr>
          <w:p w:rsidR="00B24E7A" w:rsidRPr="004C5551" w:rsidRDefault="00B24E7A" w:rsidP="004E3123">
            <w:pPr>
              <w:jc w:val="right"/>
              <w:rPr>
                <w:color w:val="000000"/>
                <w:sz w:val="18"/>
                <w:szCs w:val="18"/>
              </w:rPr>
            </w:pPr>
            <w:r w:rsidRPr="004C5551">
              <w:rPr>
                <w:color w:val="000000"/>
                <w:sz w:val="18"/>
                <w:szCs w:val="18"/>
              </w:rPr>
              <w:t>101,0</w:t>
            </w:r>
          </w:p>
        </w:tc>
        <w:tc>
          <w:tcPr>
            <w:tcW w:w="680" w:type="dxa"/>
            <w:tcBorders>
              <w:top w:val="nil"/>
              <w:left w:val="nil"/>
              <w:bottom w:val="single" w:sz="4" w:space="0" w:color="auto"/>
              <w:right w:val="single" w:sz="4" w:space="0" w:color="auto"/>
            </w:tcBorders>
            <w:vAlign w:val="center"/>
          </w:tcPr>
          <w:p w:rsidR="00B24E7A" w:rsidRPr="004C5551" w:rsidRDefault="00401079" w:rsidP="00C8782D">
            <w:pPr>
              <w:jc w:val="right"/>
              <w:rPr>
                <w:bCs/>
                <w:color w:val="000000"/>
                <w:sz w:val="18"/>
                <w:szCs w:val="20"/>
              </w:rPr>
            </w:pPr>
            <w:r w:rsidRPr="004C5551">
              <w:rPr>
                <w:bCs/>
                <w:color w:val="000000"/>
                <w:sz w:val="18"/>
                <w:szCs w:val="20"/>
              </w:rPr>
              <w:t>104,2</w:t>
            </w:r>
          </w:p>
        </w:tc>
      </w:tr>
    </w:tbl>
    <w:p w:rsidR="004E3123" w:rsidRPr="004C5551" w:rsidRDefault="004E3123" w:rsidP="008A391A">
      <w:pPr>
        <w:pStyle w:val="zdroj"/>
        <w:spacing w:after="0"/>
        <w:ind w:left="142" w:firstLine="3"/>
      </w:pPr>
      <w:r w:rsidRPr="004C5551">
        <w:t>Zdroj: ŠÚ SR Štatistická správa o základných vývojových tendenciách v hospodárstve SR v 4.štvrťroku 201</w:t>
      </w:r>
      <w:r w:rsidR="00401079" w:rsidRPr="004C5551">
        <w:t>4</w:t>
      </w:r>
    </w:p>
    <w:p w:rsidR="004E3123" w:rsidRPr="004C5551" w:rsidRDefault="004E3123" w:rsidP="008A391A">
      <w:pPr>
        <w:pStyle w:val="zdroj"/>
        <w:spacing w:before="0" w:after="0"/>
        <w:ind w:left="142" w:firstLine="3"/>
      </w:pPr>
      <w:r w:rsidRPr="004C5551">
        <w:t>1) metodika ES</w:t>
      </w:r>
      <w:r w:rsidR="00C8782D" w:rsidRPr="004C5551">
        <w:t>A 2010</w:t>
      </w:r>
      <w:r w:rsidRPr="004C5551">
        <w:t>, údaje od roku 201</w:t>
      </w:r>
      <w:r w:rsidR="00C8782D" w:rsidRPr="004C5551">
        <w:t>4</w:t>
      </w:r>
      <w:r w:rsidRPr="004C5551">
        <w:t xml:space="preserve"> sú spresnenými štvrťročnými odhadmi</w:t>
      </w:r>
    </w:p>
    <w:p w:rsidR="004E3123" w:rsidRPr="004C5551" w:rsidRDefault="004E3123" w:rsidP="008A391A">
      <w:pPr>
        <w:pStyle w:val="zdroj"/>
        <w:spacing w:before="0" w:after="0"/>
        <w:ind w:left="142" w:firstLine="3"/>
      </w:pPr>
      <w:r w:rsidRPr="004C5551">
        <w:t>2) v stálych cenách vypočítaných reťazením objemov k referenčnému roku 20</w:t>
      </w:r>
      <w:r w:rsidR="00C8782D" w:rsidRPr="004C5551">
        <w:t>10</w:t>
      </w:r>
    </w:p>
    <w:p w:rsidR="004E3123" w:rsidRPr="004C5551" w:rsidRDefault="004E3123" w:rsidP="008A391A">
      <w:pPr>
        <w:pStyle w:val="zdroj"/>
        <w:spacing w:before="0" w:after="0"/>
        <w:ind w:left="142" w:firstLine="3"/>
      </w:pPr>
      <w:r w:rsidRPr="004C5551">
        <w:t>3) počítaná zo spotrebiteľských cien, od roku 2005 s ročnou aktualizáciou váh</w:t>
      </w:r>
    </w:p>
    <w:p w:rsidR="004E3123" w:rsidRPr="004C5551" w:rsidRDefault="004E3123" w:rsidP="008A391A">
      <w:pPr>
        <w:pStyle w:val="zdroj"/>
        <w:spacing w:before="0" w:after="0"/>
        <w:ind w:left="142" w:firstLine="3"/>
      </w:pPr>
      <w:r w:rsidRPr="004C5551">
        <w:t xml:space="preserve">4) VZPS </w:t>
      </w:r>
      <w:r w:rsidR="00E52DFA" w:rsidRPr="004C5551">
        <w:rPr>
          <w:color w:val="000000" w:themeColor="text1"/>
        </w:rPr>
        <w:t>–</w:t>
      </w:r>
      <w:r w:rsidR="00E94CC0" w:rsidRPr="004C5551">
        <w:t xml:space="preserve"> v</w:t>
      </w:r>
      <w:r w:rsidRPr="004C5551">
        <w:t xml:space="preserve">ýberové zisťovanie pracovných síl; v priemere za obdobie; pracujúci v zmysle VZPS sú všetky osoby vo veku od 15 rokov, ktoré v sledovanom (referenčnom) týždni vykonávajú aspoň 1 hodinu prácu </w:t>
      </w:r>
      <w:r w:rsidR="008A391A" w:rsidRPr="004C5551">
        <w:t>za </w:t>
      </w:r>
      <w:r w:rsidRPr="004C5551">
        <w:t>mzdu, plat alebo iný druh odmeny alebo prácu za účelom dosiahnutia zisku, vrátane osôb vykonávajúcich prácu na základe dohôd, sezónnych pracovníkov, osôb na riadnej materske</w:t>
      </w:r>
      <w:r w:rsidR="008A391A" w:rsidRPr="004C5551">
        <w:t>j dovolenke, osôb pracujúcich v </w:t>
      </w:r>
      <w:r w:rsidRPr="004C5551">
        <w:t xml:space="preserve">zahraničí menej ako 1 rok, osôb dochádzajúcich za prácou do zahraničia a osôb platených na aktivačných prácach; </w:t>
      </w:r>
    </w:p>
    <w:p w:rsidR="004E3123" w:rsidRPr="004C5551" w:rsidRDefault="004E3123" w:rsidP="008A391A">
      <w:pPr>
        <w:pStyle w:val="zdroj"/>
        <w:spacing w:before="0" w:after="0"/>
        <w:ind w:left="142" w:firstLine="3"/>
      </w:pPr>
      <w:r w:rsidRPr="004C5551">
        <w:t>5) zo štvrťročného štatistického výkazníctva; zamestnané osoby sú zamestnanci a podnikatelia; bez žien na</w:t>
      </w:r>
      <w:r w:rsidR="009C3807" w:rsidRPr="004C5551">
        <w:t> </w:t>
      </w:r>
      <w:r w:rsidRPr="004C5551">
        <w:t>materskej dovolenke</w:t>
      </w:r>
    </w:p>
    <w:p w:rsidR="004E3123" w:rsidRPr="004C5551" w:rsidRDefault="004E3123" w:rsidP="008A391A">
      <w:pPr>
        <w:pStyle w:val="zdroj"/>
        <w:spacing w:before="0" w:after="0"/>
        <w:ind w:left="142" w:firstLine="3"/>
      </w:pPr>
      <w:r w:rsidRPr="004C5551">
        <w:t xml:space="preserve">6) zo štvrťročného štatistického výkazníctva; bez podnikateľských príjmov; údaje upravené o štatistický odhad neevidovaných miezd </w:t>
      </w:r>
    </w:p>
    <w:p w:rsidR="004E3123" w:rsidRPr="004C5551" w:rsidRDefault="004E3123" w:rsidP="008A391A">
      <w:pPr>
        <w:pStyle w:val="zdroj"/>
        <w:spacing w:before="0" w:after="0"/>
        <w:ind w:left="142" w:firstLine="3"/>
      </w:pPr>
      <w:r w:rsidRPr="004C5551">
        <w:t>7) index reálnej mzdy je vypočítaný ako podiel indexu nominálnej mzdy a indexu spotrebiteľských cien</w:t>
      </w:r>
    </w:p>
    <w:p w:rsidR="004E3123" w:rsidRPr="004C5551" w:rsidRDefault="004E3123" w:rsidP="004E3123">
      <w:pPr>
        <w:spacing w:after="200" w:line="276" w:lineRule="auto"/>
        <w:jc w:val="left"/>
        <w:rPr>
          <w:i/>
          <w:sz w:val="20"/>
          <w:szCs w:val="20"/>
        </w:rPr>
      </w:pPr>
      <w:r w:rsidRPr="004C5551">
        <w:br w:type="page"/>
      </w:r>
    </w:p>
    <w:p w:rsidR="004E3123" w:rsidRPr="004C5551" w:rsidRDefault="004E3123" w:rsidP="004E3123">
      <w:pPr>
        <w:pStyle w:val="Nadpis7"/>
      </w:pPr>
      <w:r w:rsidRPr="004C5551">
        <w:t>Tabuľka 2 Indexy spotrebiteľských cien</w:t>
      </w:r>
    </w:p>
    <w:tbl>
      <w:tblPr>
        <w:tblW w:w="9355" w:type="dxa"/>
        <w:jc w:val="center"/>
        <w:tblInd w:w="-690" w:type="dxa"/>
        <w:tblCellMar>
          <w:left w:w="70" w:type="dxa"/>
          <w:right w:w="70" w:type="dxa"/>
        </w:tblCellMar>
        <w:tblLook w:val="04A0" w:firstRow="1" w:lastRow="0" w:firstColumn="1" w:lastColumn="0" w:noHBand="0" w:noVBand="1"/>
      </w:tblPr>
      <w:tblGrid>
        <w:gridCol w:w="3246"/>
        <w:gridCol w:w="1440"/>
        <w:gridCol w:w="992"/>
        <w:gridCol w:w="850"/>
        <w:gridCol w:w="1029"/>
        <w:gridCol w:w="973"/>
        <w:gridCol w:w="825"/>
      </w:tblGrid>
      <w:tr w:rsidR="004E3123" w:rsidRPr="004C5551" w:rsidTr="009A02B2">
        <w:trPr>
          <w:trHeight w:val="255"/>
          <w:jc w:val="center"/>
        </w:trPr>
        <w:tc>
          <w:tcPr>
            <w:tcW w:w="9355" w:type="dxa"/>
            <w:gridSpan w:val="7"/>
            <w:tcBorders>
              <w:top w:val="single" w:sz="4" w:space="0" w:color="auto"/>
              <w:left w:val="single" w:sz="4" w:space="0" w:color="auto"/>
              <w:bottom w:val="single" w:sz="4" w:space="0" w:color="auto"/>
              <w:right w:val="single" w:sz="4" w:space="0" w:color="000000"/>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Rovnaké obdobie predchádzajúceho roka = 100</w:t>
            </w:r>
          </w:p>
        </w:tc>
      </w:tr>
      <w:tr w:rsidR="004E3123" w:rsidRPr="004C5551" w:rsidTr="009A02B2">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sz w:val="20"/>
                <w:szCs w:val="20"/>
              </w:rPr>
            </w:pPr>
            <w:r w:rsidRPr="004C5551">
              <w:rPr>
                <w:sz w:val="20"/>
                <w:szCs w:val="20"/>
              </w:rPr>
              <w:t> </w:t>
            </w:r>
          </w:p>
        </w:tc>
        <w:tc>
          <w:tcPr>
            <w:tcW w:w="1440"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Stále</w:t>
            </w:r>
          </w:p>
        </w:tc>
        <w:tc>
          <w:tcPr>
            <w:tcW w:w="4669" w:type="dxa"/>
            <w:gridSpan w:val="5"/>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201</w:t>
            </w:r>
            <w:r w:rsidR="00401079" w:rsidRPr="004C5551">
              <w:rPr>
                <w:b/>
                <w:sz w:val="20"/>
                <w:szCs w:val="20"/>
              </w:rPr>
              <w:t>4</w:t>
            </w:r>
          </w:p>
        </w:tc>
      </w:tr>
      <w:tr w:rsidR="004E3123" w:rsidRPr="004C5551" w:rsidTr="009A02B2">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Odbory COICOP</w:t>
            </w:r>
          </w:p>
        </w:tc>
        <w:tc>
          <w:tcPr>
            <w:tcW w:w="1440"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váhy</w:t>
            </w:r>
          </w:p>
        </w:tc>
        <w:tc>
          <w:tcPr>
            <w:tcW w:w="4669" w:type="dxa"/>
            <w:gridSpan w:val="5"/>
            <w:vMerge/>
            <w:tcBorders>
              <w:top w:val="nil"/>
              <w:left w:val="nil"/>
              <w:bottom w:val="single" w:sz="4" w:space="0" w:color="auto"/>
              <w:right w:val="single" w:sz="4" w:space="0" w:color="auto"/>
            </w:tcBorders>
            <w:shd w:val="clear" w:color="auto" w:fill="FF9999" w:themeFill="accent3" w:themeFillTint="66"/>
            <w:vAlign w:val="center"/>
            <w:hideMark/>
          </w:tcPr>
          <w:p w:rsidR="004E3123" w:rsidRPr="004C5551" w:rsidRDefault="004E3123" w:rsidP="004E3123">
            <w:pPr>
              <w:rPr>
                <w:b/>
                <w:sz w:val="20"/>
                <w:szCs w:val="20"/>
              </w:rPr>
            </w:pPr>
          </w:p>
        </w:tc>
      </w:tr>
      <w:tr w:rsidR="004E3123" w:rsidRPr="004C5551" w:rsidTr="009A02B2">
        <w:trPr>
          <w:trHeight w:val="255"/>
          <w:jc w:val="center"/>
        </w:trPr>
        <w:tc>
          <w:tcPr>
            <w:tcW w:w="3246" w:type="dxa"/>
            <w:tcBorders>
              <w:top w:val="nil"/>
              <w:left w:val="single" w:sz="4" w:space="0" w:color="auto"/>
              <w:bottom w:val="single" w:sz="4" w:space="0" w:color="auto"/>
              <w:right w:val="single" w:sz="4" w:space="0" w:color="auto"/>
            </w:tcBorders>
            <w:shd w:val="clear" w:color="auto" w:fill="FF9999" w:themeFill="accent3" w:themeFillTint="66"/>
            <w:noWrap/>
            <w:vAlign w:val="bottom"/>
            <w:hideMark/>
          </w:tcPr>
          <w:p w:rsidR="004E3123" w:rsidRPr="004C5551" w:rsidRDefault="004E3123" w:rsidP="004E3123">
            <w:pPr>
              <w:rPr>
                <w:b/>
                <w:sz w:val="20"/>
                <w:szCs w:val="20"/>
              </w:rPr>
            </w:pPr>
            <w:r w:rsidRPr="004C5551">
              <w:rPr>
                <w:b/>
                <w:sz w:val="20"/>
                <w:szCs w:val="20"/>
              </w:rPr>
              <w:t> </w:t>
            </w:r>
          </w:p>
        </w:tc>
        <w:tc>
          <w:tcPr>
            <w:tcW w:w="1440" w:type="dxa"/>
            <w:tcBorders>
              <w:top w:val="nil"/>
              <w:left w:val="nil"/>
              <w:bottom w:val="single" w:sz="4" w:space="0" w:color="auto"/>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v</w:t>
            </w:r>
            <w:r w:rsidRPr="004C5551">
              <w:rPr>
                <w:b/>
                <w:sz w:val="20"/>
                <w:szCs w:val="20"/>
                <w:vertAlign w:val="superscript"/>
              </w:rPr>
              <w:t xml:space="preserve"> o</w:t>
            </w:r>
            <w:r w:rsidRPr="004C5551">
              <w:rPr>
                <w:b/>
                <w:sz w:val="20"/>
                <w:szCs w:val="20"/>
              </w:rPr>
              <w:t>/</w:t>
            </w:r>
            <w:proofErr w:type="spellStart"/>
            <w:r w:rsidRPr="004C5551">
              <w:rPr>
                <w:b/>
                <w:sz w:val="20"/>
                <w:szCs w:val="20"/>
                <w:vertAlign w:val="subscript"/>
              </w:rPr>
              <w:t>oo</w:t>
            </w:r>
            <w:proofErr w:type="spellEnd"/>
            <w:r w:rsidRPr="004C5551">
              <w:rPr>
                <w:b/>
                <w:sz w:val="20"/>
                <w:szCs w:val="20"/>
                <w:vertAlign w:val="subscript"/>
              </w:rPr>
              <w:t xml:space="preserve"> </w:t>
            </w:r>
          </w:p>
        </w:tc>
        <w:tc>
          <w:tcPr>
            <w:tcW w:w="992" w:type="dxa"/>
            <w:tcBorders>
              <w:top w:val="single" w:sz="4" w:space="0" w:color="auto"/>
              <w:left w:val="nil"/>
              <w:bottom w:val="single" w:sz="4" w:space="0" w:color="auto"/>
              <w:right w:val="nil"/>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marec</w:t>
            </w:r>
          </w:p>
        </w:tc>
        <w:tc>
          <w:tcPr>
            <w:tcW w:w="850"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jún</w:t>
            </w:r>
          </w:p>
        </w:tc>
        <w:tc>
          <w:tcPr>
            <w:tcW w:w="1029"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september</w:t>
            </w:r>
          </w:p>
        </w:tc>
        <w:tc>
          <w:tcPr>
            <w:tcW w:w="973"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december</w:t>
            </w:r>
          </w:p>
        </w:tc>
        <w:tc>
          <w:tcPr>
            <w:tcW w:w="82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rok</w:t>
            </w:r>
          </w:p>
        </w:tc>
      </w:tr>
      <w:tr w:rsidR="004E3123" w:rsidRPr="004C5551" w:rsidTr="004E3123">
        <w:trPr>
          <w:trHeight w:val="255"/>
          <w:jc w:val="center"/>
        </w:trPr>
        <w:tc>
          <w:tcPr>
            <w:tcW w:w="3246" w:type="dxa"/>
            <w:tcBorders>
              <w:top w:val="single" w:sz="4" w:space="0" w:color="auto"/>
              <w:left w:val="single" w:sz="4" w:space="0" w:color="auto"/>
              <w:bottom w:val="single" w:sz="4" w:space="0" w:color="auto"/>
              <w:right w:val="single" w:sz="4" w:space="0" w:color="auto"/>
            </w:tcBorders>
            <w:noWrap/>
            <w:vAlign w:val="bottom"/>
            <w:hideMark/>
          </w:tcPr>
          <w:p w:rsidR="004E3123" w:rsidRPr="004C5551" w:rsidRDefault="004E3123" w:rsidP="004E3123">
            <w:pPr>
              <w:rPr>
                <w:b/>
                <w:bCs/>
                <w:sz w:val="20"/>
                <w:szCs w:val="20"/>
              </w:rPr>
            </w:pPr>
            <w:r w:rsidRPr="004C5551">
              <w:rPr>
                <w:b/>
                <w:bCs/>
                <w:sz w:val="20"/>
                <w:szCs w:val="20"/>
              </w:rPr>
              <w:t xml:space="preserve"> Úhrn za SR</w:t>
            </w:r>
          </w:p>
        </w:tc>
        <w:tc>
          <w:tcPr>
            <w:tcW w:w="1440" w:type="dxa"/>
            <w:tcBorders>
              <w:top w:val="nil"/>
              <w:left w:val="nil"/>
              <w:bottom w:val="single" w:sz="4" w:space="0" w:color="auto"/>
              <w:right w:val="single" w:sz="4" w:space="0" w:color="auto"/>
            </w:tcBorders>
            <w:noWrap/>
          </w:tcPr>
          <w:p w:rsidR="004E3123" w:rsidRPr="004C5551" w:rsidRDefault="004E3123" w:rsidP="00603C90">
            <w:pPr>
              <w:ind w:right="221"/>
              <w:jc w:val="right"/>
              <w:rPr>
                <w:sz w:val="20"/>
                <w:szCs w:val="20"/>
              </w:rPr>
            </w:pPr>
            <w:r w:rsidRPr="004C5551">
              <w:rPr>
                <w:sz w:val="20"/>
                <w:szCs w:val="20"/>
              </w:rPr>
              <w:t>1 000,00</w:t>
            </w:r>
          </w:p>
        </w:tc>
        <w:tc>
          <w:tcPr>
            <w:tcW w:w="992" w:type="dxa"/>
            <w:tcBorders>
              <w:top w:val="nil"/>
              <w:left w:val="nil"/>
              <w:bottom w:val="single" w:sz="4" w:space="0" w:color="auto"/>
              <w:right w:val="single" w:sz="4" w:space="0" w:color="auto"/>
            </w:tcBorders>
            <w:noWrap/>
          </w:tcPr>
          <w:p w:rsidR="004E3123" w:rsidRPr="004C5551" w:rsidRDefault="00A34865" w:rsidP="003200FE">
            <w:pPr>
              <w:ind w:right="113"/>
              <w:jc w:val="right"/>
              <w:rPr>
                <w:sz w:val="20"/>
                <w:szCs w:val="20"/>
              </w:rPr>
            </w:pPr>
            <w:r w:rsidRPr="004C5551">
              <w:rPr>
                <w:sz w:val="20"/>
                <w:szCs w:val="20"/>
              </w:rPr>
              <w:t>99,9</w:t>
            </w:r>
          </w:p>
        </w:tc>
        <w:tc>
          <w:tcPr>
            <w:tcW w:w="850" w:type="dxa"/>
            <w:tcBorders>
              <w:top w:val="nil"/>
              <w:left w:val="nil"/>
              <w:bottom w:val="single" w:sz="4" w:space="0" w:color="auto"/>
              <w:right w:val="single" w:sz="4" w:space="0" w:color="auto"/>
            </w:tcBorders>
            <w:noWrap/>
          </w:tcPr>
          <w:p w:rsidR="004E3123" w:rsidRPr="004C5551" w:rsidRDefault="00A34865" w:rsidP="003200FE">
            <w:pPr>
              <w:ind w:right="113"/>
              <w:jc w:val="right"/>
              <w:rPr>
                <w:sz w:val="20"/>
                <w:szCs w:val="20"/>
              </w:rPr>
            </w:pPr>
            <w:r w:rsidRPr="004C5551">
              <w:rPr>
                <w:sz w:val="20"/>
                <w:szCs w:val="20"/>
              </w:rPr>
              <w:t>99,9</w:t>
            </w:r>
          </w:p>
        </w:tc>
        <w:tc>
          <w:tcPr>
            <w:tcW w:w="1029" w:type="dxa"/>
            <w:tcBorders>
              <w:top w:val="nil"/>
              <w:left w:val="nil"/>
              <w:bottom w:val="single" w:sz="4" w:space="0" w:color="auto"/>
              <w:right w:val="single" w:sz="4" w:space="0" w:color="auto"/>
            </w:tcBorders>
            <w:noWrap/>
          </w:tcPr>
          <w:p w:rsidR="004E3123" w:rsidRPr="004C5551" w:rsidRDefault="00A34865" w:rsidP="003200FE">
            <w:pPr>
              <w:ind w:right="113"/>
              <w:jc w:val="right"/>
              <w:rPr>
                <w:sz w:val="20"/>
                <w:szCs w:val="20"/>
              </w:rPr>
            </w:pPr>
            <w:r w:rsidRPr="004C5551">
              <w:rPr>
                <w:sz w:val="20"/>
                <w:szCs w:val="20"/>
              </w:rPr>
              <w:t>99,9</w:t>
            </w:r>
          </w:p>
        </w:tc>
        <w:tc>
          <w:tcPr>
            <w:tcW w:w="973" w:type="dxa"/>
            <w:tcBorders>
              <w:top w:val="nil"/>
              <w:left w:val="nil"/>
              <w:bottom w:val="single" w:sz="4" w:space="0" w:color="auto"/>
              <w:right w:val="single" w:sz="4" w:space="0" w:color="auto"/>
            </w:tcBorders>
            <w:noWrap/>
          </w:tcPr>
          <w:p w:rsidR="004E3123" w:rsidRPr="004C5551" w:rsidRDefault="00A34865" w:rsidP="003200FE">
            <w:pPr>
              <w:ind w:right="113"/>
              <w:jc w:val="right"/>
              <w:rPr>
                <w:sz w:val="20"/>
                <w:szCs w:val="20"/>
              </w:rPr>
            </w:pPr>
            <w:r w:rsidRPr="004C5551">
              <w:rPr>
                <w:sz w:val="20"/>
                <w:szCs w:val="20"/>
              </w:rPr>
              <w:t>99,9</w:t>
            </w:r>
          </w:p>
        </w:tc>
        <w:tc>
          <w:tcPr>
            <w:tcW w:w="825" w:type="dxa"/>
            <w:tcBorders>
              <w:top w:val="single" w:sz="4" w:space="0" w:color="auto"/>
              <w:left w:val="nil"/>
              <w:bottom w:val="single" w:sz="4" w:space="0" w:color="auto"/>
              <w:right w:val="single" w:sz="4" w:space="0" w:color="auto"/>
            </w:tcBorders>
            <w:noWrap/>
          </w:tcPr>
          <w:p w:rsidR="004E3123" w:rsidRPr="004C5551" w:rsidRDefault="00A34865" w:rsidP="003200FE">
            <w:pPr>
              <w:ind w:right="113"/>
              <w:jc w:val="right"/>
              <w:rPr>
                <w:sz w:val="20"/>
                <w:szCs w:val="20"/>
              </w:rPr>
            </w:pPr>
            <w:r w:rsidRPr="004C5551">
              <w:rPr>
                <w:sz w:val="20"/>
                <w:szCs w:val="20"/>
              </w:rPr>
              <w:t>99,9</w:t>
            </w:r>
          </w:p>
        </w:tc>
      </w:tr>
      <w:tr w:rsidR="004E3123" w:rsidRPr="004C5551" w:rsidTr="004E3123">
        <w:trPr>
          <w:trHeight w:val="255"/>
          <w:jc w:val="center"/>
        </w:trPr>
        <w:tc>
          <w:tcPr>
            <w:tcW w:w="3246"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xml:space="preserve"> v tom:</w:t>
            </w:r>
          </w:p>
        </w:tc>
        <w:tc>
          <w:tcPr>
            <w:tcW w:w="1440" w:type="dxa"/>
            <w:tcBorders>
              <w:top w:val="nil"/>
              <w:left w:val="nil"/>
              <w:bottom w:val="single" w:sz="4" w:space="0" w:color="auto"/>
              <w:right w:val="single" w:sz="4" w:space="0" w:color="auto"/>
            </w:tcBorders>
            <w:noWrap/>
          </w:tcPr>
          <w:p w:rsidR="004E3123" w:rsidRPr="004C5551" w:rsidRDefault="004E3123" w:rsidP="00603C90">
            <w:pPr>
              <w:ind w:right="221"/>
              <w:jc w:val="center"/>
              <w:rPr>
                <w:sz w:val="20"/>
                <w:szCs w:val="20"/>
              </w:rPr>
            </w:pPr>
          </w:p>
        </w:tc>
        <w:tc>
          <w:tcPr>
            <w:tcW w:w="992"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850"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029"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973"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825" w:type="dxa"/>
            <w:tcBorders>
              <w:top w:val="single" w:sz="4" w:space="0" w:color="auto"/>
              <w:left w:val="nil"/>
              <w:bottom w:val="single" w:sz="4" w:space="0" w:color="auto"/>
              <w:right w:val="single" w:sz="4" w:space="0" w:color="auto"/>
            </w:tcBorders>
            <w:noWrap/>
          </w:tcPr>
          <w:p w:rsidR="004E3123" w:rsidRPr="004C5551" w:rsidRDefault="004E3123" w:rsidP="003200FE">
            <w:pPr>
              <w:ind w:right="113"/>
              <w:jc w:val="right"/>
              <w:rPr>
                <w:sz w:val="20"/>
                <w:szCs w:val="20"/>
              </w:rPr>
            </w:pP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Potraviny a nealkoholické nápoje</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166,981</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100,5</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98,3</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98,4</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99,5</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99,2</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Alkoholické nápoje a tabak </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49,590</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102,5</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101,6</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100,9</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101,1</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101,8</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Odevy a obuv</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43,078</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100,7</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101,3</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101,5</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101,2</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101,2</w:t>
            </w:r>
          </w:p>
        </w:tc>
      </w:tr>
      <w:tr w:rsidR="00A34865" w:rsidRPr="004C5551" w:rsidTr="00A34865">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jc w:val="left"/>
              <w:rPr>
                <w:sz w:val="20"/>
                <w:szCs w:val="20"/>
              </w:rPr>
            </w:pPr>
            <w:r w:rsidRPr="004C5551">
              <w:rPr>
                <w:sz w:val="20"/>
                <w:szCs w:val="20"/>
              </w:rPr>
              <w:t xml:space="preserve"> Bývanie, voda, elektrina, </w:t>
            </w:r>
            <w:r w:rsidRPr="004C5551">
              <w:rPr>
                <w:sz w:val="20"/>
                <w:szCs w:val="20"/>
              </w:rPr>
              <w:br/>
              <w:t>plyn a iné palivá</w:t>
            </w:r>
          </w:p>
        </w:tc>
        <w:tc>
          <w:tcPr>
            <w:tcW w:w="1440" w:type="dxa"/>
            <w:tcBorders>
              <w:top w:val="nil"/>
              <w:left w:val="nil"/>
              <w:bottom w:val="single" w:sz="4" w:space="0" w:color="auto"/>
              <w:right w:val="single" w:sz="4" w:space="0" w:color="auto"/>
            </w:tcBorders>
            <w:noWrap/>
            <w:vAlign w:val="center"/>
          </w:tcPr>
          <w:p w:rsidR="00A34865" w:rsidRPr="004C5551" w:rsidRDefault="00A34865" w:rsidP="00603C90">
            <w:pPr>
              <w:ind w:right="221"/>
              <w:jc w:val="right"/>
              <w:rPr>
                <w:sz w:val="20"/>
                <w:szCs w:val="20"/>
              </w:rPr>
            </w:pPr>
            <w:r w:rsidRPr="004C5551">
              <w:rPr>
                <w:sz w:val="20"/>
                <w:szCs w:val="20"/>
              </w:rPr>
              <w:t>279,405</w:t>
            </w:r>
          </w:p>
        </w:tc>
        <w:tc>
          <w:tcPr>
            <w:tcW w:w="992"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98,9</w:t>
            </w:r>
          </w:p>
        </w:tc>
        <w:tc>
          <w:tcPr>
            <w:tcW w:w="850"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99,4</w:t>
            </w:r>
          </w:p>
        </w:tc>
        <w:tc>
          <w:tcPr>
            <w:tcW w:w="1029"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99,6</w:t>
            </w:r>
          </w:p>
        </w:tc>
        <w:tc>
          <w:tcPr>
            <w:tcW w:w="973"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99,6</w:t>
            </w:r>
          </w:p>
        </w:tc>
        <w:tc>
          <w:tcPr>
            <w:tcW w:w="825" w:type="dxa"/>
            <w:tcBorders>
              <w:top w:val="single" w:sz="4" w:space="0" w:color="auto"/>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99,4</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Nábytok, vybavenie domácnosti </w:t>
            </w:r>
            <w:r w:rsidRPr="004C5551">
              <w:rPr>
                <w:sz w:val="20"/>
                <w:szCs w:val="20"/>
              </w:rPr>
              <w:br/>
              <w:t>a bežná údržba domu</w:t>
            </w:r>
          </w:p>
        </w:tc>
        <w:tc>
          <w:tcPr>
            <w:tcW w:w="1440" w:type="dxa"/>
            <w:tcBorders>
              <w:top w:val="nil"/>
              <w:left w:val="nil"/>
              <w:bottom w:val="single" w:sz="4" w:space="0" w:color="auto"/>
              <w:right w:val="single" w:sz="4" w:space="0" w:color="auto"/>
            </w:tcBorders>
            <w:noWrap/>
            <w:vAlign w:val="center"/>
          </w:tcPr>
          <w:p w:rsidR="00A34865" w:rsidRPr="004C5551" w:rsidRDefault="00A34865" w:rsidP="00603C90">
            <w:pPr>
              <w:ind w:right="221"/>
              <w:jc w:val="right"/>
              <w:rPr>
                <w:sz w:val="20"/>
                <w:szCs w:val="20"/>
              </w:rPr>
            </w:pPr>
            <w:r w:rsidRPr="004C5551">
              <w:rPr>
                <w:sz w:val="20"/>
                <w:szCs w:val="20"/>
              </w:rPr>
              <w:t>63,966</w:t>
            </w:r>
          </w:p>
        </w:tc>
        <w:tc>
          <w:tcPr>
            <w:tcW w:w="992"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99,3</w:t>
            </w:r>
          </w:p>
        </w:tc>
        <w:tc>
          <w:tcPr>
            <w:tcW w:w="850"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99,2</w:t>
            </w:r>
          </w:p>
        </w:tc>
        <w:tc>
          <w:tcPr>
            <w:tcW w:w="1029"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99,9</w:t>
            </w:r>
          </w:p>
        </w:tc>
        <w:tc>
          <w:tcPr>
            <w:tcW w:w="973" w:type="dxa"/>
            <w:tcBorders>
              <w:top w:val="nil"/>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101,7</w:t>
            </w:r>
          </w:p>
        </w:tc>
        <w:tc>
          <w:tcPr>
            <w:tcW w:w="825" w:type="dxa"/>
            <w:tcBorders>
              <w:top w:val="single" w:sz="4" w:space="0" w:color="auto"/>
              <w:left w:val="nil"/>
              <w:bottom w:val="single" w:sz="4" w:space="0" w:color="auto"/>
              <w:right w:val="single" w:sz="4" w:space="0" w:color="auto"/>
            </w:tcBorders>
            <w:noWrap/>
            <w:vAlign w:val="center"/>
          </w:tcPr>
          <w:p w:rsidR="00A34865" w:rsidRPr="004C5551" w:rsidRDefault="00A34865" w:rsidP="003200FE">
            <w:pPr>
              <w:ind w:right="113"/>
              <w:jc w:val="right"/>
              <w:rPr>
                <w:sz w:val="20"/>
                <w:szCs w:val="20"/>
              </w:rPr>
            </w:pPr>
            <w:r w:rsidRPr="004C5551">
              <w:rPr>
                <w:sz w:val="20"/>
                <w:szCs w:val="20"/>
              </w:rPr>
              <w:t>99,6</w:t>
            </w:r>
          </w:p>
        </w:tc>
      </w:tr>
      <w:tr w:rsidR="00A34865" w:rsidRPr="004C5551" w:rsidTr="00A34865">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Zdravie</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45,087</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101,0</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101,0</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101,0</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100,5</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100,8</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Doprava</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79,360</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98,2</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99,8</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98,4</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95,2</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98,5</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Pošty a telekomunikácie</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35,543</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98,6</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98,5</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99,3</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99,6</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98,9</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Rekreácia a kultúra</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83,172</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100,4</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100,5</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100,7</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100,9</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100,7</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Vzdelávanie</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17,766</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105,0</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103,4</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102,6</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102,8</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103,9</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Hotely, kaviarne a reštaurácie</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60,829</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101,4</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101,2</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101,1</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101,1</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101,2</w:t>
            </w:r>
          </w:p>
        </w:tc>
      </w:tr>
      <w:tr w:rsidR="00A34865" w:rsidRPr="004C5551"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A34865" w:rsidRPr="004C5551" w:rsidRDefault="00A34865" w:rsidP="004E3123">
            <w:pPr>
              <w:rPr>
                <w:sz w:val="20"/>
                <w:szCs w:val="20"/>
              </w:rPr>
            </w:pPr>
            <w:r w:rsidRPr="004C5551">
              <w:rPr>
                <w:sz w:val="20"/>
                <w:szCs w:val="20"/>
              </w:rPr>
              <w:t xml:space="preserve"> Rozličné tovary a služby</w:t>
            </w:r>
          </w:p>
        </w:tc>
        <w:tc>
          <w:tcPr>
            <w:tcW w:w="1440" w:type="dxa"/>
            <w:tcBorders>
              <w:top w:val="nil"/>
              <w:left w:val="nil"/>
              <w:bottom w:val="single" w:sz="4" w:space="0" w:color="auto"/>
              <w:right w:val="single" w:sz="4" w:space="0" w:color="auto"/>
            </w:tcBorders>
            <w:noWrap/>
          </w:tcPr>
          <w:p w:rsidR="00A34865" w:rsidRPr="004C5551" w:rsidRDefault="00A34865" w:rsidP="00603C90">
            <w:pPr>
              <w:ind w:right="221"/>
              <w:jc w:val="right"/>
              <w:rPr>
                <w:sz w:val="20"/>
                <w:szCs w:val="20"/>
              </w:rPr>
            </w:pPr>
            <w:r w:rsidRPr="004C5551">
              <w:rPr>
                <w:sz w:val="20"/>
                <w:szCs w:val="20"/>
              </w:rPr>
              <w:t>75,225</w:t>
            </w:r>
          </w:p>
        </w:tc>
        <w:tc>
          <w:tcPr>
            <w:tcW w:w="992"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99,0</w:t>
            </w:r>
          </w:p>
        </w:tc>
        <w:tc>
          <w:tcPr>
            <w:tcW w:w="850"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102,1</w:t>
            </w:r>
          </w:p>
        </w:tc>
        <w:tc>
          <w:tcPr>
            <w:tcW w:w="1029"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101,9</w:t>
            </w:r>
          </w:p>
        </w:tc>
        <w:tc>
          <w:tcPr>
            <w:tcW w:w="973" w:type="dxa"/>
            <w:tcBorders>
              <w:top w:val="nil"/>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101,4</w:t>
            </w:r>
          </w:p>
        </w:tc>
        <w:tc>
          <w:tcPr>
            <w:tcW w:w="825" w:type="dxa"/>
            <w:tcBorders>
              <w:top w:val="single" w:sz="4" w:space="0" w:color="auto"/>
              <w:left w:val="nil"/>
              <w:bottom w:val="single" w:sz="4" w:space="0" w:color="auto"/>
              <w:right w:val="single" w:sz="4" w:space="0" w:color="auto"/>
            </w:tcBorders>
            <w:noWrap/>
          </w:tcPr>
          <w:p w:rsidR="00A34865" w:rsidRPr="004C5551" w:rsidRDefault="00A34865" w:rsidP="003200FE">
            <w:pPr>
              <w:ind w:right="113"/>
              <w:jc w:val="right"/>
              <w:rPr>
                <w:sz w:val="20"/>
                <w:szCs w:val="20"/>
              </w:rPr>
            </w:pPr>
            <w:r w:rsidRPr="004C5551">
              <w:rPr>
                <w:sz w:val="20"/>
                <w:szCs w:val="20"/>
              </w:rPr>
              <w:t>100,7</w:t>
            </w:r>
          </w:p>
        </w:tc>
      </w:tr>
    </w:tbl>
    <w:p w:rsidR="004E3123" w:rsidRPr="004C5551" w:rsidRDefault="004E3123" w:rsidP="004E3123">
      <w:pPr>
        <w:pStyle w:val="zdroj"/>
        <w:ind w:left="567" w:firstLine="0"/>
      </w:pPr>
      <w:r w:rsidRPr="004C5551">
        <w:t>Zdroj: ŠÚ SR Štatistická správa o základných vývojových tendenciách v hospodárstve SR v 4. štvrťroku 201</w:t>
      </w:r>
      <w:r w:rsidR="00057576" w:rsidRPr="004C5551">
        <w:t>4</w:t>
      </w:r>
    </w:p>
    <w:p w:rsidR="004E3123" w:rsidRPr="004C5551" w:rsidRDefault="004E3123" w:rsidP="004E3123"/>
    <w:p w:rsidR="004E3123" w:rsidRPr="004C5551" w:rsidRDefault="004E3123" w:rsidP="004E3123">
      <w:pPr>
        <w:pStyle w:val="Nadpis7"/>
      </w:pPr>
      <w:r w:rsidRPr="004C5551">
        <w:t>Tabuľka 3 Výstavba a úbytok bytov</w:t>
      </w:r>
    </w:p>
    <w:tbl>
      <w:tblPr>
        <w:tblW w:w="8227" w:type="dxa"/>
        <w:jc w:val="center"/>
        <w:tblInd w:w="-224" w:type="dxa"/>
        <w:tblCellMar>
          <w:left w:w="70" w:type="dxa"/>
          <w:right w:w="70" w:type="dxa"/>
        </w:tblCellMar>
        <w:tblLook w:val="04A0" w:firstRow="1" w:lastRow="0" w:firstColumn="1" w:lastColumn="0" w:noHBand="0" w:noVBand="1"/>
      </w:tblPr>
      <w:tblGrid>
        <w:gridCol w:w="2427"/>
        <w:gridCol w:w="352"/>
        <w:gridCol w:w="885"/>
        <w:gridCol w:w="1040"/>
        <w:gridCol w:w="1263"/>
        <w:gridCol w:w="735"/>
        <w:gridCol w:w="1525"/>
      </w:tblGrid>
      <w:tr w:rsidR="004E3123" w:rsidRPr="004C5551" w:rsidTr="009A02B2">
        <w:trPr>
          <w:trHeight w:val="255"/>
          <w:jc w:val="center"/>
        </w:trPr>
        <w:tc>
          <w:tcPr>
            <w:tcW w:w="2779" w:type="dxa"/>
            <w:gridSpan w:val="2"/>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4E3123" w:rsidRPr="004C5551" w:rsidRDefault="004E3123" w:rsidP="004E3123">
            <w:pPr>
              <w:jc w:val="center"/>
              <w:rPr>
                <w:b/>
                <w:bCs/>
                <w:sz w:val="20"/>
                <w:szCs w:val="20"/>
              </w:rPr>
            </w:pPr>
            <w:r w:rsidRPr="004C5551">
              <w:rPr>
                <w:b/>
                <w:bCs/>
                <w:sz w:val="20"/>
                <w:szCs w:val="20"/>
              </w:rPr>
              <w:t>Ukazovateľ</w:t>
            </w:r>
          </w:p>
        </w:tc>
        <w:tc>
          <w:tcPr>
            <w:tcW w:w="3188" w:type="dxa"/>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Počet bytov</w:t>
            </w:r>
          </w:p>
        </w:tc>
        <w:tc>
          <w:tcPr>
            <w:tcW w:w="2260" w:type="dxa"/>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Úbytok bytov</w:t>
            </w:r>
          </w:p>
        </w:tc>
      </w:tr>
      <w:tr w:rsidR="004E3123" w:rsidRPr="004C5551" w:rsidTr="009A02B2">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4E3123" w:rsidRPr="004C5551" w:rsidRDefault="004E3123" w:rsidP="004E3123">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začatých</w:t>
            </w:r>
          </w:p>
        </w:tc>
        <w:tc>
          <w:tcPr>
            <w:tcW w:w="1040"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proofErr w:type="spellStart"/>
            <w:r w:rsidRPr="004C5551">
              <w:rPr>
                <w:b/>
                <w:sz w:val="20"/>
                <w:szCs w:val="20"/>
              </w:rPr>
              <w:t>rozosta</w:t>
            </w:r>
            <w:proofErr w:type="spellEnd"/>
            <w:r w:rsidRPr="004C5551">
              <w:rPr>
                <w:b/>
                <w:sz w:val="20"/>
                <w:szCs w:val="20"/>
              </w:rPr>
              <w:t>-</w:t>
            </w:r>
          </w:p>
        </w:tc>
        <w:tc>
          <w:tcPr>
            <w:tcW w:w="1263" w:type="dxa"/>
            <w:tcBorders>
              <w:top w:val="nil"/>
              <w:left w:val="nil"/>
              <w:bottom w:val="nil"/>
              <w:right w:val="single" w:sz="4" w:space="0" w:color="auto"/>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dokončených</w:t>
            </w:r>
          </w:p>
        </w:tc>
        <w:tc>
          <w:tcPr>
            <w:tcW w:w="735" w:type="dxa"/>
            <w:tcBorders>
              <w:top w:val="nil"/>
              <w:left w:val="nil"/>
              <w:bottom w:val="nil"/>
              <w:right w:val="single" w:sz="4" w:space="0" w:color="auto"/>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spolu</w:t>
            </w:r>
          </w:p>
        </w:tc>
        <w:tc>
          <w:tcPr>
            <w:tcW w:w="1525" w:type="dxa"/>
            <w:tcBorders>
              <w:top w:val="nil"/>
              <w:left w:val="nil"/>
              <w:bottom w:val="nil"/>
              <w:right w:val="single" w:sz="4" w:space="0" w:color="auto"/>
            </w:tcBorders>
            <w:shd w:val="clear" w:color="auto" w:fill="FF9999" w:themeFill="accent3" w:themeFillTint="66"/>
            <w:noWrap/>
            <w:vAlign w:val="center"/>
            <w:hideMark/>
          </w:tcPr>
          <w:p w:rsidR="004E3123" w:rsidRPr="004C5551" w:rsidRDefault="004E3123" w:rsidP="004E3123">
            <w:pPr>
              <w:jc w:val="center"/>
              <w:rPr>
                <w:b/>
                <w:sz w:val="20"/>
                <w:szCs w:val="20"/>
              </w:rPr>
            </w:pPr>
            <w:r w:rsidRPr="004C5551">
              <w:rPr>
                <w:b/>
                <w:sz w:val="20"/>
                <w:szCs w:val="20"/>
              </w:rPr>
              <w:t xml:space="preserve">z toho </w:t>
            </w:r>
          </w:p>
        </w:tc>
      </w:tr>
      <w:tr w:rsidR="004E3123" w:rsidRPr="004C5551" w:rsidTr="009A02B2">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4E3123" w:rsidRPr="004C5551" w:rsidRDefault="004E3123" w:rsidP="004E3123">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v roku</w:t>
            </w:r>
          </w:p>
        </w:tc>
        <w:tc>
          <w:tcPr>
            <w:tcW w:w="1040" w:type="dxa"/>
            <w:tcBorders>
              <w:top w:val="nil"/>
              <w:left w:val="nil"/>
              <w:bottom w:val="nil"/>
              <w:right w:val="single" w:sz="4" w:space="0" w:color="auto"/>
            </w:tcBorders>
            <w:shd w:val="clear" w:color="auto" w:fill="FF9999" w:themeFill="accent3" w:themeFillTint="66"/>
            <w:noWrap/>
            <w:vAlign w:val="center"/>
            <w:hideMark/>
          </w:tcPr>
          <w:p w:rsidR="004E3123" w:rsidRPr="004C5551" w:rsidRDefault="004E3123" w:rsidP="004E3123">
            <w:pPr>
              <w:jc w:val="center"/>
              <w:rPr>
                <w:b/>
                <w:sz w:val="20"/>
                <w:szCs w:val="20"/>
              </w:rPr>
            </w:pPr>
            <w:proofErr w:type="spellStart"/>
            <w:r w:rsidRPr="004C5551">
              <w:rPr>
                <w:b/>
                <w:sz w:val="20"/>
                <w:szCs w:val="20"/>
              </w:rPr>
              <w:t>vaných</w:t>
            </w:r>
            <w:proofErr w:type="spellEnd"/>
            <w:r w:rsidRPr="004C5551">
              <w:rPr>
                <w:b/>
                <w:sz w:val="20"/>
                <w:szCs w:val="20"/>
              </w:rPr>
              <w:t xml:space="preserve"> k</w:t>
            </w:r>
          </w:p>
        </w:tc>
        <w:tc>
          <w:tcPr>
            <w:tcW w:w="1263"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v roku</w:t>
            </w:r>
          </w:p>
        </w:tc>
        <w:tc>
          <w:tcPr>
            <w:tcW w:w="735"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4E3123">
            <w:pPr>
              <w:jc w:val="center"/>
              <w:rPr>
                <w:b/>
                <w:sz w:val="20"/>
                <w:szCs w:val="20"/>
              </w:rPr>
            </w:pPr>
            <w:r w:rsidRPr="004C5551">
              <w:rPr>
                <w:b/>
                <w:sz w:val="20"/>
                <w:szCs w:val="20"/>
              </w:rPr>
              <w:t>v roku</w:t>
            </w:r>
          </w:p>
        </w:tc>
        <w:tc>
          <w:tcPr>
            <w:tcW w:w="1525" w:type="dxa"/>
            <w:tcBorders>
              <w:top w:val="nil"/>
              <w:left w:val="nil"/>
              <w:bottom w:val="nil"/>
              <w:right w:val="single" w:sz="4" w:space="0" w:color="auto"/>
            </w:tcBorders>
            <w:shd w:val="clear" w:color="auto" w:fill="FF9999" w:themeFill="accent3" w:themeFillTint="66"/>
            <w:noWrap/>
            <w:vAlign w:val="bottom"/>
            <w:hideMark/>
          </w:tcPr>
          <w:p w:rsidR="004E3123" w:rsidRPr="004C5551" w:rsidRDefault="004E3123" w:rsidP="008A391A">
            <w:pPr>
              <w:jc w:val="center"/>
              <w:rPr>
                <w:b/>
                <w:sz w:val="20"/>
                <w:szCs w:val="20"/>
              </w:rPr>
            </w:pPr>
            <w:r w:rsidRPr="004C5551">
              <w:rPr>
                <w:b/>
                <w:sz w:val="20"/>
                <w:szCs w:val="20"/>
              </w:rPr>
              <w:t>asanáciou</w:t>
            </w:r>
          </w:p>
        </w:tc>
      </w:tr>
      <w:tr w:rsidR="004E3123" w:rsidRPr="004C5551" w:rsidTr="009A02B2">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4E3123" w:rsidRPr="004C5551" w:rsidRDefault="004E3123" w:rsidP="004E3123">
            <w:pPr>
              <w:rPr>
                <w:b/>
                <w:bCs/>
                <w:sz w:val="20"/>
                <w:szCs w:val="20"/>
              </w:rPr>
            </w:pPr>
          </w:p>
        </w:tc>
        <w:tc>
          <w:tcPr>
            <w:tcW w:w="885" w:type="dxa"/>
            <w:tcBorders>
              <w:top w:val="nil"/>
              <w:left w:val="nil"/>
              <w:bottom w:val="single" w:sz="4" w:space="0" w:color="auto"/>
              <w:right w:val="single" w:sz="4" w:space="0" w:color="auto"/>
            </w:tcBorders>
            <w:shd w:val="clear" w:color="auto" w:fill="FF9999" w:themeFill="accent3" w:themeFillTint="66"/>
            <w:noWrap/>
            <w:hideMark/>
          </w:tcPr>
          <w:p w:rsidR="004E3123" w:rsidRPr="004C5551" w:rsidRDefault="004E3123" w:rsidP="00057576">
            <w:pPr>
              <w:jc w:val="center"/>
              <w:rPr>
                <w:b/>
                <w:sz w:val="20"/>
                <w:szCs w:val="20"/>
              </w:rPr>
            </w:pPr>
            <w:r w:rsidRPr="004C5551">
              <w:rPr>
                <w:b/>
                <w:sz w:val="20"/>
                <w:szCs w:val="20"/>
              </w:rPr>
              <w:t>201</w:t>
            </w:r>
            <w:r w:rsidR="00057576" w:rsidRPr="004C5551">
              <w:rPr>
                <w:b/>
                <w:sz w:val="20"/>
                <w:szCs w:val="20"/>
              </w:rPr>
              <w:t>4</w:t>
            </w:r>
          </w:p>
        </w:tc>
        <w:tc>
          <w:tcPr>
            <w:tcW w:w="1040" w:type="dxa"/>
            <w:tcBorders>
              <w:top w:val="nil"/>
              <w:left w:val="nil"/>
              <w:bottom w:val="single" w:sz="4" w:space="0" w:color="auto"/>
              <w:right w:val="single" w:sz="4" w:space="0" w:color="auto"/>
            </w:tcBorders>
            <w:shd w:val="clear" w:color="auto" w:fill="FF9999" w:themeFill="accent3" w:themeFillTint="66"/>
            <w:noWrap/>
            <w:hideMark/>
          </w:tcPr>
          <w:p w:rsidR="004E3123" w:rsidRPr="004C5551" w:rsidRDefault="004E3123" w:rsidP="00057576">
            <w:pPr>
              <w:jc w:val="center"/>
              <w:rPr>
                <w:b/>
                <w:sz w:val="20"/>
                <w:szCs w:val="20"/>
              </w:rPr>
            </w:pPr>
            <w:r w:rsidRPr="004C5551">
              <w:rPr>
                <w:b/>
                <w:sz w:val="20"/>
                <w:szCs w:val="20"/>
              </w:rPr>
              <w:t>31.12.201</w:t>
            </w:r>
            <w:r w:rsidR="00057576" w:rsidRPr="004C5551">
              <w:rPr>
                <w:b/>
                <w:sz w:val="20"/>
                <w:szCs w:val="20"/>
              </w:rPr>
              <w:t>4</w:t>
            </w:r>
          </w:p>
        </w:tc>
        <w:tc>
          <w:tcPr>
            <w:tcW w:w="1263" w:type="dxa"/>
            <w:tcBorders>
              <w:top w:val="nil"/>
              <w:left w:val="nil"/>
              <w:bottom w:val="single" w:sz="4" w:space="0" w:color="auto"/>
              <w:right w:val="single" w:sz="4" w:space="0" w:color="auto"/>
            </w:tcBorders>
            <w:shd w:val="clear" w:color="auto" w:fill="FF9999" w:themeFill="accent3" w:themeFillTint="66"/>
            <w:noWrap/>
            <w:hideMark/>
          </w:tcPr>
          <w:p w:rsidR="004E3123" w:rsidRPr="004C5551" w:rsidRDefault="004E3123" w:rsidP="00057576">
            <w:pPr>
              <w:jc w:val="center"/>
              <w:rPr>
                <w:b/>
                <w:sz w:val="20"/>
                <w:szCs w:val="20"/>
              </w:rPr>
            </w:pPr>
            <w:r w:rsidRPr="004C5551">
              <w:rPr>
                <w:b/>
                <w:sz w:val="20"/>
                <w:szCs w:val="20"/>
              </w:rPr>
              <w:t>201</w:t>
            </w:r>
            <w:r w:rsidR="00057576" w:rsidRPr="004C5551">
              <w:rPr>
                <w:b/>
                <w:sz w:val="20"/>
                <w:szCs w:val="20"/>
              </w:rPr>
              <w:t>4</w:t>
            </w:r>
          </w:p>
        </w:tc>
        <w:tc>
          <w:tcPr>
            <w:tcW w:w="735" w:type="dxa"/>
            <w:tcBorders>
              <w:top w:val="nil"/>
              <w:left w:val="nil"/>
              <w:bottom w:val="single" w:sz="4" w:space="0" w:color="auto"/>
              <w:right w:val="single" w:sz="4" w:space="0" w:color="auto"/>
            </w:tcBorders>
            <w:shd w:val="clear" w:color="auto" w:fill="FF9999" w:themeFill="accent3" w:themeFillTint="66"/>
            <w:noWrap/>
            <w:hideMark/>
          </w:tcPr>
          <w:p w:rsidR="004E3123" w:rsidRPr="004C5551" w:rsidRDefault="004E3123" w:rsidP="00057576">
            <w:pPr>
              <w:jc w:val="center"/>
              <w:rPr>
                <w:b/>
                <w:sz w:val="20"/>
                <w:szCs w:val="20"/>
              </w:rPr>
            </w:pPr>
            <w:r w:rsidRPr="004C5551">
              <w:rPr>
                <w:b/>
                <w:sz w:val="20"/>
                <w:szCs w:val="20"/>
              </w:rPr>
              <w:t>201</w:t>
            </w:r>
            <w:r w:rsidR="00057576" w:rsidRPr="004C5551">
              <w:rPr>
                <w:b/>
                <w:sz w:val="20"/>
                <w:szCs w:val="20"/>
              </w:rPr>
              <w:t>4</w:t>
            </w:r>
          </w:p>
        </w:tc>
        <w:tc>
          <w:tcPr>
            <w:tcW w:w="1525" w:type="dxa"/>
            <w:tcBorders>
              <w:top w:val="nil"/>
              <w:left w:val="nil"/>
              <w:bottom w:val="single" w:sz="4" w:space="0" w:color="auto"/>
              <w:right w:val="single" w:sz="4" w:space="0" w:color="auto"/>
            </w:tcBorders>
            <w:shd w:val="clear" w:color="auto" w:fill="FF9999" w:themeFill="accent3" w:themeFillTint="66"/>
            <w:noWrap/>
            <w:hideMark/>
          </w:tcPr>
          <w:p w:rsidR="004E3123" w:rsidRPr="004C5551" w:rsidRDefault="008A391A" w:rsidP="00057576">
            <w:pPr>
              <w:jc w:val="center"/>
              <w:rPr>
                <w:b/>
                <w:sz w:val="20"/>
                <w:szCs w:val="20"/>
              </w:rPr>
            </w:pPr>
            <w:r w:rsidRPr="004C5551">
              <w:rPr>
                <w:b/>
                <w:sz w:val="20"/>
                <w:szCs w:val="20"/>
              </w:rPr>
              <w:t xml:space="preserve">v r. </w:t>
            </w:r>
            <w:r w:rsidR="004E3123" w:rsidRPr="004C5551">
              <w:rPr>
                <w:b/>
                <w:sz w:val="20"/>
                <w:szCs w:val="20"/>
              </w:rPr>
              <w:t>201</w:t>
            </w:r>
            <w:r w:rsidR="00057576" w:rsidRPr="004C5551">
              <w:rPr>
                <w:b/>
                <w:sz w:val="20"/>
                <w:szCs w:val="20"/>
              </w:rPr>
              <w:t>4</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885"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1040"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1263" w:type="dxa"/>
            <w:tcBorders>
              <w:top w:val="nil"/>
              <w:left w:val="nil"/>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c>
          <w:tcPr>
            <w:tcW w:w="735" w:type="dxa"/>
            <w:tcBorders>
              <w:top w:val="nil"/>
              <w:left w:val="nil"/>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c>
          <w:tcPr>
            <w:tcW w:w="1525" w:type="dxa"/>
            <w:tcBorders>
              <w:top w:val="nil"/>
              <w:left w:val="nil"/>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b/>
                <w:bCs/>
                <w:sz w:val="20"/>
                <w:szCs w:val="20"/>
              </w:rPr>
            </w:pPr>
            <w:r w:rsidRPr="004C5551">
              <w:rPr>
                <w:b/>
                <w:bCs/>
                <w:sz w:val="20"/>
                <w:szCs w:val="20"/>
              </w:rPr>
              <w:t>Byty spolu</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a)</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15 836</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62 042</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14 985</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1 208</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1 109</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b)</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107,3</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101,1</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99,2</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97,0</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98,0</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xml:space="preserve"> v tom sektor:</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88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040"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263"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73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52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r>
      <w:tr w:rsidR="004E3123" w:rsidRPr="004C5551"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xml:space="preserve"> verejný</w:t>
            </w:r>
          </w:p>
          <w:p w:rsidR="004E3123" w:rsidRPr="004C5551" w:rsidRDefault="004E3123" w:rsidP="004E3123">
            <w:pPr>
              <w:rPr>
                <w:sz w:val="20"/>
                <w:szCs w:val="20"/>
              </w:rPr>
            </w:pPr>
            <w:r w:rsidRPr="004C5551">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a)</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299</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2 273</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680</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55</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55</w:t>
            </w:r>
          </w:p>
        </w:tc>
      </w:tr>
      <w:tr w:rsidR="004E3123" w:rsidRPr="004C5551"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b)</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52,0</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82,4</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63,8</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x</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x</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88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040"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263"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73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52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r>
      <w:tr w:rsidR="004E3123" w:rsidRPr="004C5551"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xml:space="preserve"> súkromný</w:t>
            </w:r>
          </w:p>
          <w:p w:rsidR="004E3123" w:rsidRPr="004C5551" w:rsidRDefault="004E3123" w:rsidP="004E3123">
            <w:pPr>
              <w:rPr>
                <w:sz w:val="20"/>
                <w:szCs w:val="20"/>
              </w:rPr>
            </w:pPr>
            <w:r w:rsidRPr="004C5551">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a)</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15 537</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59 769</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14 305</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1 153</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1 054</w:t>
            </w:r>
          </w:p>
        </w:tc>
      </w:tr>
      <w:tr w:rsidR="004E3123" w:rsidRPr="004C5551"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b)</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109,5</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101,9</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101,9</w:t>
            </w:r>
          </w:p>
        </w:tc>
        <w:tc>
          <w:tcPr>
            <w:tcW w:w="73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92,5</w:t>
            </w:r>
          </w:p>
        </w:tc>
        <w:tc>
          <w:tcPr>
            <w:tcW w:w="152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93,1</w:t>
            </w:r>
          </w:p>
        </w:tc>
      </w:tr>
      <w:tr w:rsidR="004E3123" w:rsidRPr="004C5551"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4C5551" w:rsidRDefault="004E3123" w:rsidP="004E3123">
            <w:pPr>
              <w:rPr>
                <w:sz w:val="20"/>
                <w:szCs w:val="20"/>
              </w:rPr>
            </w:pPr>
            <w:r w:rsidRPr="004C5551">
              <w:rPr>
                <w:sz w:val="20"/>
                <w:szCs w:val="20"/>
              </w:rPr>
              <w:t xml:space="preserve"> z úhrnu bytov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 </w:t>
            </w:r>
          </w:p>
        </w:tc>
        <w:tc>
          <w:tcPr>
            <w:tcW w:w="88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040"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263"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73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c>
          <w:tcPr>
            <w:tcW w:w="152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p>
        </w:tc>
      </w:tr>
      <w:tr w:rsidR="004E3123" w:rsidRPr="004C5551"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4C5551" w:rsidRDefault="004E3123" w:rsidP="004E3123">
            <w:pPr>
              <w:rPr>
                <w:b/>
                <w:bCs/>
                <w:sz w:val="20"/>
                <w:szCs w:val="20"/>
              </w:rPr>
            </w:pPr>
            <w:r w:rsidRPr="004C5551">
              <w:rPr>
                <w:b/>
                <w:bCs/>
                <w:sz w:val="20"/>
                <w:szCs w:val="20"/>
              </w:rPr>
              <w:t>Byty v rodinných</w:t>
            </w:r>
          </w:p>
          <w:p w:rsidR="004E3123" w:rsidRPr="004C5551" w:rsidRDefault="004E3123" w:rsidP="004E3123">
            <w:pPr>
              <w:rPr>
                <w:b/>
                <w:bCs/>
                <w:sz w:val="20"/>
                <w:szCs w:val="20"/>
              </w:rPr>
            </w:pPr>
            <w:r w:rsidRPr="004C5551">
              <w:rPr>
                <w:b/>
                <w:bCs/>
                <w:sz w:val="20"/>
                <w:szCs w:val="20"/>
              </w:rPr>
              <w:t xml:space="preserve"> domoch </w:t>
            </w:r>
          </w:p>
        </w:tc>
        <w:tc>
          <w:tcPr>
            <w:tcW w:w="352" w:type="dxa"/>
            <w:tcBorders>
              <w:top w:val="nil"/>
              <w:left w:val="nil"/>
              <w:bottom w:val="single" w:sz="4" w:space="0" w:color="auto"/>
              <w:right w:val="single" w:sz="4" w:space="0" w:color="auto"/>
            </w:tcBorders>
            <w:noWrap/>
            <w:vAlign w:val="bottom"/>
            <w:hideMark/>
          </w:tcPr>
          <w:p w:rsidR="004E3123" w:rsidRPr="004C5551" w:rsidRDefault="004E3123" w:rsidP="004E3123">
            <w:pPr>
              <w:jc w:val="right"/>
              <w:rPr>
                <w:sz w:val="20"/>
                <w:szCs w:val="20"/>
              </w:rPr>
            </w:pPr>
            <w:r w:rsidRPr="004C5551">
              <w:rPr>
                <w:sz w:val="20"/>
                <w:szCs w:val="20"/>
              </w:rPr>
              <w:t>a)</w:t>
            </w:r>
          </w:p>
        </w:tc>
        <w:tc>
          <w:tcPr>
            <w:tcW w:w="885"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9 573</w:t>
            </w:r>
          </w:p>
        </w:tc>
        <w:tc>
          <w:tcPr>
            <w:tcW w:w="1040"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40 182</w:t>
            </w:r>
          </w:p>
        </w:tc>
        <w:tc>
          <w:tcPr>
            <w:tcW w:w="1263" w:type="dxa"/>
            <w:tcBorders>
              <w:top w:val="nil"/>
              <w:left w:val="nil"/>
              <w:bottom w:val="single" w:sz="4" w:space="0" w:color="auto"/>
              <w:right w:val="single" w:sz="4" w:space="0" w:color="auto"/>
            </w:tcBorders>
            <w:noWrap/>
          </w:tcPr>
          <w:p w:rsidR="004E3123" w:rsidRPr="004C5551" w:rsidRDefault="00057576" w:rsidP="003200FE">
            <w:pPr>
              <w:ind w:right="113"/>
              <w:jc w:val="right"/>
              <w:rPr>
                <w:sz w:val="20"/>
                <w:szCs w:val="20"/>
              </w:rPr>
            </w:pPr>
            <w:r w:rsidRPr="004C5551">
              <w:rPr>
                <w:sz w:val="20"/>
                <w:szCs w:val="20"/>
              </w:rPr>
              <w:t>10 041</w:t>
            </w:r>
          </w:p>
        </w:tc>
        <w:tc>
          <w:tcPr>
            <w:tcW w:w="73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r w:rsidRPr="004C5551">
              <w:rPr>
                <w:sz w:val="20"/>
                <w:szCs w:val="20"/>
              </w:rPr>
              <w:t>,</w:t>
            </w:r>
          </w:p>
        </w:tc>
        <w:tc>
          <w:tcPr>
            <w:tcW w:w="1525" w:type="dxa"/>
            <w:tcBorders>
              <w:top w:val="nil"/>
              <w:left w:val="nil"/>
              <w:bottom w:val="single" w:sz="4" w:space="0" w:color="auto"/>
              <w:right w:val="single" w:sz="4" w:space="0" w:color="auto"/>
            </w:tcBorders>
            <w:noWrap/>
          </w:tcPr>
          <w:p w:rsidR="004E3123" w:rsidRPr="004C5551" w:rsidRDefault="004E3123" w:rsidP="003200FE">
            <w:pPr>
              <w:ind w:right="113"/>
              <w:jc w:val="right"/>
              <w:rPr>
                <w:sz w:val="20"/>
                <w:szCs w:val="20"/>
              </w:rPr>
            </w:pPr>
            <w:r w:rsidRPr="004C5551">
              <w:rPr>
                <w:sz w:val="20"/>
                <w:szCs w:val="20"/>
              </w:rPr>
              <w:t>,</w:t>
            </w:r>
          </w:p>
        </w:tc>
      </w:tr>
      <w:tr w:rsidR="004E3123" w:rsidRPr="004C5551"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4C5551" w:rsidRDefault="004E3123" w:rsidP="004E3123">
            <w:pPr>
              <w:rPr>
                <w:b/>
                <w:bCs/>
                <w:sz w:val="20"/>
                <w:szCs w:val="20"/>
              </w:rPr>
            </w:pPr>
          </w:p>
        </w:tc>
        <w:tc>
          <w:tcPr>
            <w:tcW w:w="352" w:type="dxa"/>
            <w:tcBorders>
              <w:top w:val="nil"/>
              <w:left w:val="nil"/>
              <w:bottom w:val="single" w:sz="4" w:space="0" w:color="auto"/>
              <w:right w:val="single" w:sz="4" w:space="0" w:color="auto"/>
            </w:tcBorders>
            <w:noWrap/>
            <w:vAlign w:val="center"/>
            <w:hideMark/>
          </w:tcPr>
          <w:p w:rsidR="004E3123" w:rsidRPr="004C5551" w:rsidRDefault="004E3123" w:rsidP="004E3123">
            <w:pPr>
              <w:jc w:val="center"/>
              <w:rPr>
                <w:sz w:val="20"/>
                <w:szCs w:val="20"/>
              </w:rPr>
            </w:pPr>
          </w:p>
          <w:p w:rsidR="004E3123" w:rsidRPr="004C5551" w:rsidRDefault="004E3123" w:rsidP="004E3123">
            <w:pPr>
              <w:jc w:val="center"/>
              <w:rPr>
                <w:sz w:val="20"/>
                <w:szCs w:val="20"/>
              </w:rPr>
            </w:pPr>
            <w:r w:rsidRPr="004C5551">
              <w:rPr>
                <w:sz w:val="20"/>
                <w:szCs w:val="20"/>
              </w:rPr>
              <w:t>b)</w:t>
            </w:r>
          </w:p>
        </w:tc>
        <w:tc>
          <w:tcPr>
            <w:tcW w:w="885" w:type="dxa"/>
            <w:tcBorders>
              <w:top w:val="nil"/>
              <w:left w:val="nil"/>
              <w:bottom w:val="single" w:sz="4" w:space="0" w:color="auto"/>
              <w:right w:val="single" w:sz="4" w:space="0" w:color="auto"/>
            </w:tcBorders>
            <w:noWrap/>
            <w:vAlign w:val="bottom"/>
          </w:tcPr>
          <w:p w:rsidR="004E3123" w:rsidRPr="004C5551" w:rsidRDefault="00057576" w:rsidP="003200FE">
            <w:pPr>
              <w:ind w:right="113"/>
              <w:jc w:val="right"/>
              <w:rPr>
                <w:sz w:val="20"/>
                <w:szCs w:val="20"/>
              </w:rPr>
            </w:pPr>
            <w:r w:rsidRPr="004C5551">
              <w:rPr>
                <w:sz w:val="20"/>
                <w:szCs w:val="20"/>
              </w:rPr>
              <w:t>103,7</w:t>
            </w:r>
          </w:p>
        </w:tc>
        <w:tc>
          <w:tcPr>
            <w:tcW w:w="1040" w:type="dxa"/>
            <w:tcBorders>
              <w:top w:val="nil"/>
              <w:left w:val="nil"/>
              <w:bottom w:val="single" w:sz="4" w:space="0" w:color="auto"/>
              <w:right w:val="single" w:sz="4" w:space="0" w:color="auto"/>
            </w:tcBorders>
            <w:noWrap/>
            <w:vAlign w:val="bottom"/>
          </w:tcPr>
          <w:p w:rsidR="004E3123" w:rsidRPr="004C5551" w:rsidRDefault="00057576" w:rsidP="003200FE">
            <w:pPr>
              <w:ind w:right="113"/>
              <w:jc w:val="right"/>
              <w:rPr>
                <w:sz w:val="20"/>
                <w:szCs w:val="20"/>
              </w:rPr>
            </w:pPr>
            <w:r w:rsidRPr="004C5551">
              <w:rPr>
                <w:sz w:val="20"/>
                <w:szCs w:val="20"/>
              </w:rPr>
              <w:t>99,1</w:t>
            </w:r>
          </w:p>
        </w:tc>
        <w:tc>
          <w:tcPr>
            <w:tcW w:w="1263" w:type="dxa"/>
            <w:tcBorders>
              <w:top w:val="nil"/>
              <w:left w:val="nil"/>
              <w:bottom w:val="single" w:sz="4" w:space="0" w:color="auto"/>
              <w:right w:val="single" w:sz="4" w:space="0" w:color="auto"/>
            </w:tcBorders>
            <w:noWrap/>
            <w:vAlign w:val="bottom"/>
          </w:tcPr>
          <w:p w:rsidR="004E3123" w:rsidRPr="004C5551" w:rsidRDefault="00057576" w:rsidP="003200FE">
            <w:pPr>
              <w:ind w:right="113"/>
              <w:jc w:val="right"/>
              <w:rPr>
                <w:sz w:val="20"/>
                <w:szCs w:val="20"/>
              </w:rPr>
            </w:pPr>
            <w:r w:rsidRPr="004C5551">
              <w:rPr>
                <w:sz w:val="20"/>
                <w:szCs w:val="20"/>
              </w:rPr>
              <w:t>98,4</w:t>
            </w:r>
          </w:p>
        </w:tc>
        <w:tc>
          <w:tcPr>
            <w:tcW w:w="735" w:type="dxa"/>
            <w:tcBorders>
              <w:top w:val="nil"/>
              <w:left w:val="nil"/>
              <w:bottom w:val="single" w:sz="4" w:space="0" w:color="auto"/>
              <w:right w:val="single" w:sz="4" w:space="0" w:color="auto"/>
            </w:tcBorders>
            <w:noWrap/>
            <w:vAlign w:val="bottom"/>
          </w:tcPr>
          <w:p w:rsidR="004E3123" w:rsidRPr="004C5551" w:rsidRDefault="004E3123" w:rsidP="003200FE">
            <w:pPr>
              <w:ind w:right="113"/>
              <w:jc w:val="right"/>
              <w:rPr>
                <w:sz w:val="20"/>
                <w:szCs w:val="20"/>
              </w:rPr>
            </w:pPr>
            <w:r w:rsidRPr="004C5551">
              <w:rPr>
                <w:sz w:val="20"/>
                <w:szCs w:val="20"/>
              </w:rPr>
              <w:t>,</w:t>
            </w:r>
          </w:p>
        </w:tc>
        <w:tc>
          <w:tcPr>
            <w:tcW w:w="1525" w:type="dxa"/>
            <w:tcBorders>
              <w:top w:val="nil"/>
              <w:left w:val="nil"/>
              <w:bottom w:val="single" w:sz="4" w:space="0" w:color="auto"/>
              <w:right w:val="single" w:sz="4" w:space="0" w:color="auto"/>
            </w:tcBorders>
            <w:noWrap/>
            <w:vAlign w:val="bottom"/>
          </w:tcPr>
          <w:p w:rsidR="004E3123" w:rsidRPr="004C5551" w:rsidRDefault="004E3123" w:rsidP="003200FE">
            <w:pPr>
              <w:ind w:right="113"/>
              <w:jc w:val="right"/>
              <w:rPr>
                <w:sz w:val="20"/>
                <w:szCs w:val="20"/>
              </w:rPr>
            </w:pPr>
            <w:r w:rsidRPr="004C5551">
              <w:rPr>
                <w:sz w:val="20"/>
                <w:szCs w:val="20"/>
              </w:rPr>
              <w:t>,</w:t>
            </w:r>
          </w:p>
        </w:tc>
      </w:tr>
    </w:tbl>
    <w:p w:rsidR="004E3123" w:rsidRPr="004C5551" w:rsidRDefault="004E3123" w:rsidP="009C3807">
      <w:pPr>
        <w:pStyle w:val="zdroj"/>
        <w:ind w:left="142" w:firstLine="0"/>
      </w:pPr>
      <w:r w:rsidRPr="004C5551">
        <w:t>Zdroj: ŠÚ SR Štatistická správa o základných vývojových tendenciách v hospodárstve SR v 4. štvrťroku 201</w:t>
      </w:r>
      <w:r w:rsidR="00F63D58" w:rsidRPr="004C5551">
        <w:t>4</w:t>
      </w:r>
    </w:p>
    <w:p w:rsidR="004E3123" w:rsidRPr="004C5551" w:rsidRDefault="004E3123" w:rsidP="009C3807">
      <w:pPr>
        <w:pStyle w:val="zdroj"/>
        <w:spacing w:before="0" w:after="0"/>
        <w:ind w:left="142" w:firstLine="570"/>
      </w:pPr>
      <w:r w:rsidRPr="004C5551">
        <w:t>a) počet</w:t>
      </w:r>
    </w:p>
    <w:p w:rsidR="004E3123" w:rsidRPr="004C5551" w:rsidRDefault="004E3123" w:rsidP="009C3807">
      <w:pPr>
        <w:pStyle w:val="zdroj"/>
        <w:spacing w:before="0" w:after="0"/>
        <w:ind w:left="142" w:firstLine="570"/>
      </w:pPr>
      <w:r w:rsidRPr="004C5551">
        <w:t>b) indexy, rovnaké obdobie predchádzajúceho roka = 100</w:t>
      </w:r>
      <w:bookmarkEnd w:id="823"/>
    </w:p>
    <w:p w:rsidR="000E7856" w:rsidRPr="004C5551" w:rsidRDefault="000E7856" w:rsidP="000E7856">
      <w:pPr>
        <w:pStyle w:val="zdroj"/>
        <w:spacing w:before="0"/>
      </w:pPr>
    </w:p>
    <w:p w:rsidR="0084617B" w:rsidRPr="004C5551" w:rsidRDefault="0084617B" w:rsidP="000E7856">
      <w:pPr>
        <w:pStyle w:val="zdroj"/>
        <w:spacing w:before="0"/>
      </w:pPr>
    </w:p>
    <w:p w:rsidR="006A153B" w:rsidRPr="004C5551" w:rsidRDefault="006A153B" w:rsidP="0084617B">
      <w:pPr>
        <w:sectPr w:rsidR="006A153B" w:rsidRPr="004C5551" w:rsidSect="004F3C97">
          <w:headerReference w:type="even" r:id="rId97"/>
          <w:headerReference w:type="default" r:id="rId98"/>
          <w:footerReference w:type="even" r:id="rId99"/>
          <w:footerReference w:type="default" r:id="rId100"/>
          <w:headerReference w:type="first" r:id="rId101"/>
          <w:pgSz w:w="11906" w:h="16838"/>
          <w:pgMar w:top="1417" w:right="1417" w:bottom="1417" w:left="1417" w:header="708" w:footer="708" w:gutter="0"/>
          <w:cols w:space="708"/>
          <w:titlePg/>
          <w:docGrid w:linePitch="360"/>
        </w:sectPr>
      </w:pPr>
      <w:bookmarkStart w:id="824" w:name="_Toc313879676"/>
    </w:p>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A8320D">
      <w:pPr>
        <w:pStyle w:val="Nadpis1"/>
        <w:numPr>
          <w:ilvl w:val="0"/>
          <w:numId w:val="0"/>
        </w:numPr>
        <w:jc w:val="center"/>
      </w:pPr>
      <w:bookmarkStart w:id="825" w:name="_Toc387413124"/>
      <w:bookmarkStart w:id="826" w:name="_Toc387659190"/>
      <w:bookmarkStart w:id="827" w:name="_Toc388534245"/>
      <w:bookmarkStart w:id="828" w:name="_Toc389646867"/>
      <w:bookmarkStart w:id="829" w:name="_Toc394062245"/>
      <w:bookmarkStart w:id="830" w:name="_Toc418672287"/>
      <w:bookmarkStart w:id="831" w:name="_Toc419355272"/>
      <w:bookmarkStart w:id="832" w:name="_Toc419795395"/>
      <w:bookmarkStart w:id="833" w:name="_Toc422151015"/>
      <w:bookmarkStart w:id="834" w:name="_Toc422233455"/>
      <w:r w:rsidRPr="004C5551">
        <w:t>Príloh</w:t>
      </w:r>
      <w:r w:rsidR="006F6AA3" w:rsidRPr="004C5551">
        <w:t>a</w:t>
      </w:r>
      <w:r w:rsidRPr="004C5551">
        <w:t xml:space="preserve"> ku kapitole 2</w:t>
      </w:r>
      <w:bookmarkEnd w:id="825"/>
      <w:bookmarkEnd w:id="826"/>
      <w:bookmarkEnd w:id="827"/>
      <w:bookmarkEnd w:id="828"/>
      <w:bookmarkEnd w:id="829"/>
      <w:bookmarkEnd w:id="830"/>
      <w:bookmarkEnd w:id="831"/>
      <w:bookmarkEnd w:id="832"/>
      <w:bookmarkEnd w:id="833"/>
      <w:bookmarkEnd w:id="834"/>
    </w:p>
    <w:p w:rsidR="006A153B" w:rsidRPr="004C5551" w:rsidRDefault="006A153B" w:rsidP="0084617B">
      <w:pPr>
        <w:sectPr w:rsidR="006A153B" w:rsidRPr="004C5551" w:rsidSect="004F3C97">
          <w:headerReference w:type="first" r:id="rId102"/>
          <w:type w:val="oddPage"/>
          <w:pgSz w:w="11906" w:h="16838"/>
          <w:pgMar w:top="1417" w:right="1417" w:bottom="1417" w:left="1417" w:header="708" w:footer="708" w:gutter="0"/>
          <w:cols w:space="708"/>
          <w:titlePg/>
          <w:docGrid w:linePitch="360"/>
        </w:sectPr>
      </w:pPr>
    </w:p>
    <w:bookmarkEnd w:id="824"/>
    <w:p w:rsidR="00641072" w:rsidRPr="004C5551" w:rsidRDefault="00641072" w:rsidP="006A153B">
      <w:pPr>
        <w:pStyle w:val="Nadpis7"/>
      </w:pPr>
      <w:r w:rsidRPr="004C5551">
        <w:t>Tabuľka 1 Miera zamestnanosti podľa veku a vzdelania v roku 201</w:t>
      </w:r>
      <w:r w:rsidR="00655346" w:rsidRPr="004C5551">
        <w:t>4</w:t>
      </w:r>
      <w:r w:rsidRPr="004C5551">
        <w:br/>
        <w:t>(priemer za rok v</w:t>
      </w:r>
      <w:r w:rsidR="009425AA" w:rsidRPr="004C5551">
        <w:t> %</w:t>
      </w:r>
      <w:r w:rsidRPr="004C5551">
        <w:t>)</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8"/>
        <w:gridCol w:w="1509"/>
        <w:gridCol w:w="1509"/>
        <w:gridCol w:w="1509"/>
      </w:tblGrid>
      <w:tr w:rsidR="00641072" w:rsidRPr="004C5551" w:rsidTr="00E537F0">
        <w:trPr>
          <w:trHeight w:val="284"/>
          <w:jc w:val="center"/>
        </w:trPr>
        <w:tc>
          <w:tcPr>
            <w:tcW w:w="3768"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Ukazovateľ</w:t>
            </w:r>
          </w:p>
        </w:tc>
        <w:tc>
          <w:tcPr>
            <w:tcW w:w="1509"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Spolu</w:t>
            </w:r>
          </w:p>
        </w:tc>
        <w:tc>
          <w:tcPr>
            <w:tcW w:w="1509"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Muži</w:t>
            </w:r>
          </w:p>
        </w:tc>
        <w:tc>
          <w:tcPr>
            <w:tcW w:w="1509"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Ženy</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firstLine="0"/>
              <w:jc w:val="left"/>
              <w:rPr>
                <w:b/>
                <w:color w:val="333300"/>
                <w:lang w:val="sk-SK"/>
              </w:rPr>
            </w:pPr>
            <w:bookmarkStart w:id="835" w:name="_Toc313879678"/>
            <w:r w:rsidRPr="004C5551">
              <w:rPr>
                <w:b/>
                <w:color w:val="333300"/>
                <w:szCs w:val="22"/>
                <w:lang w:val="sk-SK"/>
              </w:rPr>
              <w:t>15+ roční</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51,5</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59,5</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44,1</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15 – 64 roční</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61,0</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67,7</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54,3</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20 – 64 roční</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65,9</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73,2</w:t>
            </w:r>
          </w:p>
        </w:tc>
        <w:tc>
          <w:tcPr>
            <w:tcW w:w="1509" w:type="dxa"/>
            <w:noWrap/>
            <w:vAlign w:val="bottom"/>
          </w:tcPr>
          <w:p w:rsidR="00655346" w:rsidRPr="004C5551" w:rsidRDefault="00655346" w:rsidP="00655346">
            <w:pPr>
              <w:pStyle w:val="BodyText21"/>
              <w:widowControl/>
              <w:spacing w:before="0"/>
              <w:ind w:right="397" w:firstLine="0"/>
              <w:jc w:val="right"/>
              <w:rPr>
                <w:b/>
                <w:lang w:val="sk-SK"/>
              </w:rPr>
            </w:pPr>
            <w:r w:rsidRPr="004C5551">
              <w:rPr>
                <w:b/>
                <w:lang w:val="sk-SK"/>
              </w:rPr>
              <w:t>58,6</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Podľa vekových skupín</w:t>
            </w:r>
          </w:p>
        </w:tc>
        <w:tc>
          <w:tcPr>
            <w:tcW w:w="1509" w:type="dxa"/>
            <w:noWrap/>
            <w:vAlign w:val="bottom"/>
          </w:tcPr>
          <w:p w:rsidR="00655346" w:rsidRPr="004C5551" w:rsidRDefault="00655346" w:rsidP="00655346">
            <w:pPr>
              <w:jc w:val="center"/>
              <w:rPr>
                <w:b/>
                <w:bCs/>
              </w:rPr>
            </w:pPr>
          </w:p>
        </w:tc>
        <w:tc>
          <w:tcPr>
            <w:tcW w:w="1509" w:type="dxa"/>
            <w:noWrap/>
            <w:vAlign w:val="bottom"/>
          </w:tcPr>
          <w:p w:rsidR="00655346" w:rsidRPr="004C5551" w:rsidRDefault="00655346" w:rsidP="00655346">
            <w:pPr>
              <w:pStyle w:val="BodyText21"/>
              <w:widowControl/>
              <w:spacing w:before="0"/>
              <w:ind w:firstLine="0"/>
              <w:jc w:val="center"/>
              <w:rPr>
                <w:lang w:val="sk-SK"/>
              </w:rPr>
            </w:pPr>
          </w:p>
        </w:tc>
        <w:tc>
          <w:tcPr>
            <w:tcW w:w="1509" w:type="dxa"/>
            <w:noWrap/>
            <w:vAlign w:val="bottom"/>
          </w:tcPr>
          <w:p w:rsidR="00655346" w:rsidRPr="004C5551" w:rsidRDefault="00655346" w:rsidP="00655346">
            <w:pPr>
              <w:pStyle w:val="BodyText21"/>
              <w:widowControl/>
              <w:spacing w:before="0"/>
              <w:ind w:firstLine="0"/>
              <w:jc w:val="center"/>
              <w:rPr>
                <w:lang w:val="sk-SK"/>
              </w:rPr>
            </w:pP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15 </w:t>
            </w:r>
            <w:r w:rsidR="00F80174" w:rsidRPr="004C5551">
              <w:rPr>
                <w:bCs/>
                <w:sz w:val="20"/>
                <w:szCs w:val="16"/>
                <w:lang w:val="sk-SK"/>
              </w:rPr>
              <w:t>–</w:t>
            </w:r>
            <w:r w:rsidRPr="004C5551">
              <w:rPr>
                <w:color w:val="333300"/>
                <w:szCs w:val="22"/>
                <w:lang w:val="sk-SK"/>
              </w:rPr>
              <w:t xml:space="preserve"> 19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2,8</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3,9</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1,6</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20 </w:t>
            </w:r>
            <w:r w:rsidR="00F80174" w:rsidRPr="004C5551">
              <w:rPr>
                <w:bCs/>
                <w:sz w:val="20"/>
                <w:szCs w:val="16"/>
                <w:lang w:val="sk-SK"/>
              </w:rPr>
              <w:t>–</w:t>
            </w:r>
            <w:r w:rsidRPr="004C5551">
              <w:rPr>
                <w:color w:val="333300"/>
                <w:szCs w:val="22"/>
                <w:lang w:val="sk-SK"/>
              </w:rPr>
              <w:t xml:space="preserve"> 24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36,9</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45,2</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28,3</w:t>
            </w:r>
          </w:p>
        </w:tc>
      </w:tr>
      <w:tr w:rsidR="00655346" w:rsidRPr="004C5551" w:rsidTr="00655346">
        <w:trPr>
          <w:trHeight w:val="284"/>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25 </w:t>
            </w:r>
            <w:r w:rsidR="00F80174" w:rsidRPr="004C5551">
              <w:rPr>
                <w:bCs/>
                <w:sz w:val="20"/>
                <w:szCs w:val="16"/>
                <w:lang w:val="sk-SK"/>
              </w:rPr>
              <w:t>–</w:t>
            </w:r>
            <w:r w:rsidRPr="004C5551">
              <w:rPr>
                <w:color w:val="333300"/>
                <w:szCs w:val="22"/>
                <w:lang w:val="sk-SK"/>
              </w:rPr>
              <w:t xml:space="preserve"> 29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68,0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77,4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58,3</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30 </w:t>
            </w:r>
            <w:r w:rsidR="00F80174" w:rsidRPr="004C5551">
              <w:rPr>
                <w:bCs/>
                <w:sz w:val="20"/>
                <w:szCs w:val="16"/>
                <w:lang w:val="sk-SK"/>
              </w:rPr>
              <w:t>–</w:t>
            </w:r>
            <w:r w:rsidRPr="004C5551">
              <w:rPr>
                <w:color w:val="333300"/>
                <w:szCs w:val="22"/>
                <w:lang w:val="sk-SK"/>
              </w:rPr>
              <w:t xml:space="preserve"> 34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70,2</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83,0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56,7</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35 </w:t>
            </w:r>
            <w:r w:rsidR="00F80174" w:rsidRPr="004C5551">
              <w:rPr>
                <w:bCs/>
                <w:sz w:val="20"/>
                <w:szCs w:val="16"/>
                <w:lang w:val="sk-SK"/>
              </w:rPr>
              <w:t>–</w:t>
            </w:r>
            <w:r w:rsidRPr="004C5551">
              <w:rPr>
                <w:color w:val="333300"/>
                <w:szCs w:val="22"/>
                <w:lang w:val="sk-SK"/>
              </w:rPr>
              <w:t xml:space="preserve"> 39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80,5</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88,0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72,7</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40 </w:t>
            </w:r>
            <w:r w:rsidR="00F80174" w:rsidRPr="004C5551">
              <w:rPr>
                <w:bCs/>
                <w:sz w:val="20"/>
                <w:szCs w:val="16"/>
                <w:lang w:val="sk-SK"/>
              </w:rPr>
              <w:t>–</w:t>
            </w:r>
            <w:r w:rsidRPr="004C5551">
              <w:rPr>
                <w:color w:val="333300"/>
                <w:szCs w:val="22"/>
                <w:lang w:val="sk-SK"/>
              </w:rPr>
              <w:t xml:space="preserve"> 44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84,5</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88,3</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80,6</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45 </w:t>
            </w:r>
            <w:r w:rsidR="00F80174" w:rsidRPr="004C5551">
              <w:rPr>
                <w:bCs/>
                <w:sz w:val="20"/>
                <w:szCs w:val="16"/>
                <w:lang w:val="sk-SK"/>
              </w:rPr>
              <w:t>–</w:t>
            </w:r>
            <w:r w:rsidRPr="004C5551">
              <w:rPr>
                <w:color w:val="333300"/>
                <w:szCs w:val="22"/>
                <w:lang w:val="sk-SK"/>
              </w:rPr>
              <w:t xml:space="preserve"> 49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82,4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83,6</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81,1</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50 </w:t>
            </w:r>
            <w:r w:rsidR="00F80174" w:rsidRPr="004C5551">
              <w:rPr>
                <w:bCs/>
                <w:sz w:val="20"/>
                <w:szCs w:val="16"/>
                <w:lang w:val="sk-SK"/>
              </w:rPr>
              <w:t>–</w:t>
            </w:r>
            <w:r w:rsidRPr="004C5551">
              <w:rPr>
                <w:color w:val="333300"/>
                <w:szCs w:val="22"/>
                <w:lang w:val="sk-SK"/>
              </w:rPr>
              <w:t xml:space="preserve"> 54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76,8</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78,4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75,3</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55 </w:t>
            </w:r>
            <w:r w:rsidR="00F80174" w:rsidRPr="004C5551">
              <w:rPr>
                <w:bCs/>
                <w:sz w:val="20"/>
                <w:szCs w:val="16"/>
                <w:lang w:val="sk-SK"/>
              </w:rPr>
              <w:t>–</w:t>
            </w:r>
            <w:r w:rsidRPr="004C5551">
              <w:rPr>
                <w:color w:val="333300"/>
                <w:szCs w:val="22"/>
                <w:lang w:val="sk-SK"/>
              </w:rPr>
              <w:t xml:space="preserve"> 59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66,0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73,0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59,6</w:t>
            </w:r>
          </w:p>
        </w:tc>
      </w:tr>
      <w:tr w:rsidR="00655346" w:rsidRPr="004C5551" w:rsidTr="00655346">
        <w:trPr>
          <w:trHeight w:val="284"/>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60 </w:t>
            </w:r>
            <w:r w:rsidR="00F80174" w:rsidRPr="004C5551">
              <w:rPr>
                <w:bCs/>
                <w:sz w:val="20"/>
                <w:szCs w:val="16"/>
                <w:lang w:val="sk-SK"/>
              </w:rPr>
              <w:t>–</w:t>
            </w:r>
            <w:r w:rsidRPr="004C5551">
              <w:rPr>
                <w:color w:val="333300"/>
                <w:szCs w:val="22"/>
                <w:lang w:val="sk-SK"/>
              </w:rPr>
              <w:t xml:space="preserve"> 64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21,1</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30,2</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13,1</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65 a viac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1,9</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3,0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1,2</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 xml:space="preserve">Podľa vzdelania (15 </w:t>
            </w:r>
            <w:r w:rsidR="00F80174" w:rsidRPr="004C5551">
              <w:rPr>
                <w:bCs/>
                <w:sz w:val="20"/>
                <w:szCs w:val="16"/>
                <w:lang w:val="sk-SK"/>
              </w:rPr>
              <w:t>–</w:t>
            </w:r>
            <w:r w:rsidRPr="004C5551">
              <w:rPr>
                <w:b/>
                <w:color w:val="333300"/>
                <w:szCs w:val="22"/>
                <w:lang w:val="sk-SK"/>
              </w:rPr>
              <w:t xml:space="preserve"> 64 roční)</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p>
        </w:tc>
        <w:tc>
          <w:tcPr>
            <w:tcW w:w="1509" w:type="dxa"/>
            <w:noWrap/>
            <w:vAlign w:val="bottom"/>
          </w:tcPr>
          <w:p w:rsidR="00655346" w:rsidRPr="004C5551" w:rsidRDefault="00655346" w:rsidP="00655346">
            <w:pPr>
              <w:pStyle w:val="BodyText21"/>
              <w:widowControl/>
              <w:spacing w:before="0"/>
              <w:ind w:right="397" w:firstLine="0"/>
              <w:jc w:val="right"/>
              <w:rPr>
                <w:lang w:val="sk-SK"/>
              </w:rPr>
            </w:pPr>
          </w:p>
        </w:tc>
        <w:tc>
          <w:tcPr>
            <w:tcW w:w="1509" w:type="dxa"/>
            <w:noWrap/>
            <w:vAlign w:val="bottom"/>
          </w:tcPr>
          <w:p w:rsidR="00655346" w:rsidRPr="004C5551" w:rsidRDefault="00655346" w:rsidP="00655346">
            <w:pPr>
              <w:pStyle w:val="BodyText21"/>
              <w:widowControl/>
              <w:spacing w:before="0"/>
              <w:ind w:right="397" w:firstLine="0"/>
              <w:jc w:val="right"/>
              <w:rPr>
                <w:lang w:val="sk-SK"/>
              </w:rPr>
            </w:pP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Základné</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15,8</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16,0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15,6</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jc w:val="left"/>
              <w:rPr>
                <w:color w:val="333300"/>
                <w:lang w:val="sk-SK"/>
              </w:rPr>
            </w:pPr>
            <w:r w:rsidRPr="004C5551">
              <w:rPr>
                <w:color w:val="333300"/>
                <w:szCs w:val="22"/>
                <w:lang w:val="sk-SK"/>
              </w:rPr>
              <w:t>Stredné odborné (učňovské) bez maturity</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63,7</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69,4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55,5</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Úplné stredné odborné (učňovské) s maturitou</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76,1</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83,4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65,7</w:t>
            </w:r>
          </w:p>
        </w:tc>
      </w:tr>
      <w:tr w:rsidR="00655346" w:rsidRPr="004C5551" w:rsidTr="00655346">
        <w:trPr>
          <w:trHeight w:val="284"/>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Úplné stredné všeobecné</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40,1</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44,8</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37,0</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Úplné stredné odborné</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73,3</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81,6</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65,5</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Vyššie odborné</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70,0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85,4</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62,9</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Vysokoškolské </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75,8</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83,3</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69,8</w:t>
            </w:r>
          </w:p>
        </w:tc>
      </w:tr>
      <w:tr w:rsidR="00655346" w:rsidRPr="004C5551" w:rsidTr="00655346">
        <w:trPr>
          <w:trHeight w:val="285"/>
          <w:jc w:val="center"/>
        </w:trPr>
        <w:tc>
          <w:tcPr>
            <w:tcW w:w="3768"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Bez školského vzdelania</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1,0</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0,7</w:t>
            </w:r>
          </w:p>
        </w:tc>
        <w:tc>
          <w:tcPr>
            <w:tcW w:w="1509" w:type="dxa"/>
            <w:noWrap/>
            <w:vAlign w:val="bottom"/>
          </w:tcPr>
          <w:p w:rsidR="00655346" w:rsidRPr="004C5551" w:rsidRDefault="00655346" w:rsidP="00655346">
            <w:pPr>
              <w:pStyle w:val="BodyText21"/>
              <w:widowControl/>
              <w:spacing w:before="0"/>
              <w:ind w:right="397" w:firstLine="0"/>
              <w:jc w:val="right"/>
              <w:rPr>
                <w:lang w:val="sk-SK"/>
              </w:rPr>
            </w:pPr>
            <w:r w:rsidRPr="004C5551">
              <w:rPr>
                <w:lang w:val="sk-SK"/>
              </w:rPr>
              <w:t>1,5</w:t>
            </w:r>
          </w:p>
        </w:tc>
      </w:tr>
    </w:tbl>
    <w:p w:rsidR="00655346" w:rsidRPr="004C5551" w:rsidRDefault="00655346" w:rsidP="00655346">
      <w:pPr>
        <w:pStyle w:val="zdroj"/>
        <w:ind w:firstLine="440"/>
      </w:pPr>
      <w:r w:rsidRPr="004C5551">
        <w:t>Zdroj: ŠÚ SR, VZPS</w:t>
      </w:r>
      <w:r w:rsidRPr="004C5551">
        <w:tab/>
      </w:r>
    </w:p>
    <w:p w:rsidR="00641072" w:rsidRPr="004C5551" w:rsidRDefault="00641072" w:rsidP="00641072">
      <w:pPr>
        <w:pStyle w:val="zdroj"/>
        <w:ind w:firstLine="440"/>
      </w:pPr>
    </w:p>
    <w:p w:rsidR="00656C70" w:rsidRPr="004C5551" w:rsidRDefault="00641072" w:rsidP="00656C70">
      <w:pPr>
        <w:pStyle w:val="Nadpis7"/>
      </w:pPr>
      <w:r w:rsidRPr="004C5551">
        <w:br w:type="page"/>
      </w:r>
      <w:r w:rsidR="00656C70" w:rsidRPr="004C5551">
        <w:t>Tabuľka 2 Odvetvová štruktúra zamestnanosti podľa SK NACE Rev. 2</w:t>
      </w:r>
    </w:p>
    <w:tbl>
      <w:tblPr>
        <w:tblStyle w:val="Mriekatabuky"/>
        <w:tblW w:w="0" w:type="auto"/>
        <w:jc w:val="center"/>
        <w:tblInd w:w="-955" w:type="dxa"/>
        <w:tblLayout w:type="fixed"/>
        <w:tblLook w:val="04A0" w:firstRow="1" w:lastRow="0" w:firstColumn="1" w:lastColumn="0" w:noHBand="0" w:noVBand="1"/>
      </w:tblPr>
      <w:tblGrid>
        <w:gridCol w:w="2794"/>
        <w:gridCol w:w="1104"/>
        <w:gridCol w:w="851"/>
        <w:gridCol w:w="850"/>
        <w:gridCol w:w="1134"/>
        <w:gridCol w:w="993"/>
        <w:gridCol w:w="850"/>
      </w:tblGrid>
      <w:tr w:rsidR="00AF07E4" w:rsidRPr="004C5551" w:rsidTr="00AF07E4">
        <w:trPr>
          <w:jc w:val="center"/>
        </w:trPr>
        <w:tc>
          <w:tcPr>
            <w:tcW w:w="2794" w:type="dxa"/>
            <w:shd w:val="clear" w:color="auto" w:fill="FF9999" w:themeFill="accent3" w:themeFillTint="66"/>
            <w:vAlign w:val="center"/>
          </w:tcPr>
          <w:p w:rsidR="00460DEB" w:rsidRPr="004C5551" w:rsidRDefault="00460DEB" w:rsidP="00460DEB">
            <w:pPr>
              <w:ind w:firstLine="0"/>
              <w:jc w:val="right"/>
              <w:rPr>
                <w:b/>
                <w:sz w:val="20"/>
              </w:rPr>
            </w:pPr>
          </w:p>
        </w:tc>
        <w:tc>
          <w:tcPr>
            <w:tcW w:w="2805" w:type="dxa"/>
            <w:gridSpan w:val="3"/>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2013</w:t>
            </w:r>
          </w:p>
        </w:tc>
        <w:tc>
          <w:tcPr>
            <w:tcW w:w="2977" w:type="dxa"/>
            <w:gridSpan w:val="3"/>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2014</w:t>
            </w:r>
          </w:p>
        </w:tc>
      </w:tr>
      <w:tr w:rsidR="00AF07E4" w:rsidRPr="004C5551" w:rsidTr="00AF07E4">
        <w:trPr>
          <w:jc w:val="center"/>
        </w:trPr>
        <w:tc>
          <w:tcPr>
            <w:tcW w:w="2794" w:type="dxa"/>
            <w:shd w:val="clear" w:color="auto" w:fill="FF9999" w:themeFill="accent3" w:themeFillTint="66"/>
            <w:vAlign w:val="center"/>
          </w:tcPr>
          <w:p w:rsidR="00460DEB" w:rsidRPr="004C5551" w:rsidRDefault="00460DEB" w:rsidP="00460DEB">
            <w:pPr>
              <w:ind w:firstLine="0"/>
              <w:jc w:val="left"/>
              <w:rPr>
                <w:b/>
                <w:sz w:val="20"/>
              </w:rPr>
            </w:pPr>
          </w:p>
        </w:tc>
        <w:tc>
          <w:tcPr>
            <w:tcW w:w="1104"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počet zamest</w:t>
            </w:r>
            <w:r w:rsidRPr="004C5551">
              <w:rPr>
                <w:b/>
                <w:sz w:val="20"/>
              </w:rPr>
              <w:softHyphen/>
            </w:r>
            <w:r w:rsidRPr="004C5551">
              <w:rPr>
                <w:b/>
                <w:sz w:val="20"/>
              </w:rPr>
              <w:softHyphen/>
              <w:t>naných</w:t>
            </w:r>
          </w:p>
        </w:tc>
        <w:tc>
          <w:tcPr>
            <w:tcW w:w="851"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index rastu 2013 /2012</w:t>
            </w:r>
          </w:p>
        </w:tc>
        <w:tc>
          <w:tcPr>
            <w:tcW w:w="850"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podiel</w:t>
            </w:r>
          </w:p>
        </w:tc>
        <w:tc>
          <w:tcPr>
            <w:tcW w:w="1134"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počet zamest</w:t>
            </w:r>
            <w:r w:rsidRPr="004C5551">
              <w:rPr>
                <w:b/>
                <w:sz w:val="20"/>
              </w:rPr>
              <w:softHyphen/>
              <w:t>naných</w:t>
            </w:r>
          </w:p>
        </w:tc>
        <w:tc>
          <w:tcPr>
            <w:tcW w:w="993"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index rastu 2014 /2013</w:t>
            </w:r>
          </w:p>
        </w:tc>
        <w:tc>
          <w:tcPr>
            <w:tcW w:w="850" w:type="dxa"/>
            <w:shd w:val="clear" w:color="auto" w:fill="FF9999" w:themeFill="accent3" w:themeFillTint="66"/>
            <w:vAlign w:val="center"/>
          </w:tcPr>
          <w:p w:rsidR="00460DEB" w:rsidRPr="004C5551" w:rsidRDefault="00460DEB" w:rsidP="00460DEB">
            <w:pPr>
              <w:ind w:firstLine="0"/>
              <w:jc w:val="center"/>
              <w:rPr>
                <w:b/>
                <w:sz w:val="20"/>
              </w:rPr>
            </w:pPr>
            <w:r w:rsidRPr="004C5551">
              <w:rPr>
                <w:b/>
                <w:sz w:val="20"/>
              </w:rPr>
              <w:t>podiel</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Hospodárstvo spolu</w:t>
            </w:r>
          </w:p>
        </w:tc>
        <w:tc>
          <w:tcPr>
            <w:tcW w:w="1104" w:type="dxa"/>
            <w:vAlign w:val="center"/>
          </w:tcPr>
          <w:p w:rsidR="00460DEB" w:rsidRPr="004C5551" w:rsidRDefault="00460DEB" w:rsidP="00460DEB">
            <w:pPr>
              <w:ind w:firstLine="0"/>
              <w:jc w:val="right"/>
              <w:rPr>
                <w:sz w:val="20"/>
              </w:rPr>
            </w:pPr>
            <w:r w:rsidRPr="004C5551">
              <w:rPr>
                <w:sz w:val="20"/>
              </w:rPr>
              <w:t>2 176 053</w:t>
            </w:r>
          </w:p>
        </w:tc>
        <w:tc>
          <w:tcPr>
            <w:tcW w:w="851"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100,0%</w:t>
            </w:r>
          </w:p>
        </w:tc>
        <w:tc>
          <w:tcPr>
            <w:tcW w:w="1134" w:type="dxa"/>
            <w:vAlign w:val="center"/>
          </w:tcPr>
          <w:p w:rsidR="00460DEB" w:rsidRPr="004C5551" w:rsidRDefault="00460DEB" w:rsidP="00460DEB">
            <w:pPr>
              <w:ind w:firstLine="0"/>
              <w:jc w:val="right"/>
              <w:rPr>
                <w:sz w:val="20"/>
              </w:rPr>
            </w:pPr>
            <w:r w:rsidRPr="004C5551">
              <w:rPr>
                <w:sz w:val="20"/>
              </w:rPr>
              <w:t>2 204 646</w:t>
            </w:r>
          </w:p>
        </w:tc>
        <w:tc>
          <w:tcPr>
            <w:tcW w:w="993"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100,0%</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A Poľnohospodárstvo, lesníctvo a rybolov</w:t>
            </w:r>
          </w:p>
        </w:tc>
        <w:tc>
          <w:tcPr>
            <w:tcW w:w="1104" w:type="dxa"/>
            <w:vAlign w:val="center"/>
          </w:tcPr>
          <w:p w:rsidR="00460DEB" w:rsidRPr="004C5551" w:rsidRDefault="00460DEB" w:rsidP="00460DEB">
            <w:pPr>
              <w:ind w:firstLine="0"/>
              <w:jc w:val="right"/>
              <w:rPr>
                <w:sz w:val="20"/>
              </w:rPr>
            </w:pPr>
            <w:r w:rsidRPr="004C5551">
              <w:rPr>
                <w:sz w:val="20"/>
              </w:rPr>
              <w:t>92 346</w:t>
            </w:r>
          </w:p>
        </w:tc>
        <w:tc>
          <w:tcPr>
            <w:tcW w:w="851" w:type="dxa"/>
            <w:vAlign w:val="center"/>
          </w:tcPr>
          <w:p w:rsidR="00460DEB" w:rsidRPr="004C5551" w:rsidRDefault="00460DEB" w:rsidP="00460DEB">
            <w:pPr>
              <w:ind w:firstLine="0"/>
              <w:jc w:val="right"/>
              <w:rPr>
                <w:sz w:val="20"/>
              </w:rPr>
            </w:pPr>
            <w:r w:rsidRPr="004C5551">
              <w:rPr>
                <w:sz w:val="20"/>
              </w:rPr>
              <w:t>0,97</w:t>
            </w:r>
          </w:p>
        </w:tc>
        <w:tc>
          <w:tcPr>
            <w:tcW w:w="850" w:type="dxa"/>
            <w:vAlign w:val="center"/>
          </w:tcPr>
          <w:p w:rsidR="00460DEB" w:rsidRPr="004C5551" w:rsidRDefault="00460DEB" w:rsidP="00460DEB">
            <w:pPr>
              <w:ind w:firstLine="0"/>
              <w:jc w:val="right"/>
              <w:rPr>
                <w:sz w:val="20"/>
              </w:rPr>
            </w:pPr>
            <w:r w:rsidRPr="004C5551">
              <w:rPr>
                <w:sz w:val="20"/>
              </w:rPr>
              <w:t>4,2%</w:t>
            </w:r>
          </w:p>
        </w:tc>
        <w:tc>
          <w:tcPr>
            <w:tcW w:w="1134" w:type="dxa"/>
            <w:vAlign w:val="center"/>
          </w:tcPr>
          <w:p w:rsidR="00460DEB" w:rsidRPr="004C5551" w:rsidRDefault="00460DEB" w:rsidP="00460DEB">
            <w:pPr>
              <w:ind w:firstLine="0"/>
              <w:jc w:val="right"/>
              <w:rPr>
                <w:sz w:val="20"/>
              </w:rPr>
            </w:pPr>
            <w:r w:rsidRPr="004C5551">
              <w:rPr>
                <w:sz w:val="20"/>
              </w:rPr>
              <w:t>91 744</w:t>
            </w:r>
          </w:p>
        </w:tc>
        <w:tc>
          <w:tcPr>
            <w:tcW w:w="993"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4,2%</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B,C,D,E Priemysel spolu</w:t>
            </w:r>
          </w:p>
        </w:tc>
        <w:tc>
          <w:tcPr>
            <w:tcW w:w="1104" w:type="dxa"/>
            <w:vAlign w:val="center"/>
          </w:tcPr>
          <w:p w:rsidR="00460DEB" w:rsidRPr="004C5551" w:rsidRDefault="00460DEB" w:rsidP="00460DEB">
            <w:pPr>
              <w:ind w:firstLine="0"/>
              <w:jc w:val="right"/>
              <w:rPr>
                <w:sz w:val="20"/>
              </w:rPr>
            </w:pPr>
            <w:r w:rsidRPr="004C5551">
              <w:rPr>
                <w:sz w:val="20"/>
              </w:rPr>
              <w:t>491 461</w:t>
            </w:r>
          </w:p>
        </w:tc>
        <w:tc>
          <w:tcPr>
            <w:tcW w:w="851"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22,6%</w:t>
            </w:r>
          </w:p>
        </w:tc>
        <w:tc>
          <w:tcPr>
            <w:tcW w:w="1134" w:type="dxa"/>
            <w:vAlign w:val="center"/>
          </w:tcPr>
          <w:p w:rsidR="00460DEB" w:rsidRPr="004C5551" w:rsidRDefault="00460DEB" w:rsidP="00460DEB">
            <w:pPr>
              <w:ind w:firstLine="0"/>
              <w:jc w:val="right"/>
              <w:rPr>
                <w:sz w:val="20"/>
              </w:rPr>
            </w:pPr>
            <w:r w:rsidRPr="004C5551">
              <w:rPr>
                <w:sz w:val="20"/>
              </w:rPr>
              <w:t>499 439</w:t>
            </w:r>
          </w:p>
        </w:tc>
        <w:tc>
          <w:tcPr>
            <w:tcW w:w="993" w:type="dxa"/>
            <w:vAlign w:val="center"/>
          </w:tcPr>
          <w:p w:rsidR="00460DEB" w:rsidRPr="004C5551" w:rsidRDefault="00460DEB" w:rsidP="00460DEB">
            <w:pPr>
              <w:ind w:firstLine="0"/>
              <w:jc w:val="right"/>
              <w:rPr>
                <w:sz w:val="20"/>
              </w:rPr>
            </w:pPr>
            <w:r w:rsidRPr="004C5551">
              <w:rPr>
                <w:sz w:val="20"/>
              </w:rPr>
              <w:t>1,02</w:t>
            </w:r>
          </w:p>
        </w:tc>
        <w:tc>
          <w:tcPr>
            <w:tcW w:w="850" w:type="dxa"/>
            <w:vAlign w:val="center"/>
          </w:tcPr>
          <w:p w:rsidR="00460DEB" w:rsidRPr="004C5551" w:rsidRDefault="00460DEB" w:rsidP="00460DEB">
            <w:pPr>
              <w:ind w:firstLine="0"/>
              <w:jc w:val="right"/>
              <w:rPr>
                <w:sz w:val="20"/>
              </w:rPr>
            </w:pPr>
            <w:r w:rsidRPr="004C5551">
              <w:rPr>
                <w:sz w:val="20"/>
              </w:rPr>
              <w:t>22,7%</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B Ťažba a dobývanie</w:t>
            </w:r>
          </w:p>
        </w:tc>
        <w:tc>
          <w:tcPr>
            <w:tcW w:w="1104" w:type="dxa"/>
            <w:vAlign w:val="center"/>
          </w:tcPr>
          <w:p w:rsidR="00460DEB" w:rsidRPr="004C5551" w:rsidRDefault="00460DEB" w:rsidP="00460DEB">
            <w:pPr>
              <w:ind w:firstLine="0"/>
              <w:jc w:val="right"/>
              <w:rPr>
                <w:sz w:val="20"/>
              </w:rPr>
            </w:pPr>
            <w:r w:rsidRPr="004C5551">
              <w:rPr>
                <w:sz w:val="20"/>
              </w:rPr>
              <w:t>7 105</w:t>
            </w:r>
          </w:p>
        </w:tc>
        <w:tc>
          <w:tcPr>
            <w:tcW w:w="851" w:type="dxa"/>
            <w:vAlign w:val="center"/>
          </w:tcPr>
          <w:p w:rsidR="00460DEB" w:rsidRPr="004C5551" w:rsidRDefault="00460DEB" w:rsidP="00460DEB">
            <w:pPr>
              <w:ind w:firstLine="0"/>
              <w:jc w:val="right"/>
              <w:rPr>
                <w:sz w:val="20"/>
              </w:rPr>
            </w:pPr>
            <w:r w:rsidRPr="004C5551">
              <w:rPr>
                <w:sz w:val="20"/>
              </w:rPr>
              <w:t>0,97</w:t>
            </w:r>
          </w:p>
        </w:tc>
        <w:tc>
          <w:tcPr>
            <w:tcW w:w="850" w:type="dxa"/>
            <w:vAlign w:val="center"/>
          </w:tcPr>
          <w:p w:rsidR="00460DEB" w:rsidRPr="004C5551" w:rsidRDefault="00460DEB" w:rsidP="00460DEB">
            <w:pPr>
              <w:ind w:firstLine="0"/>
              <w:jc w:val="right"/>
              <w:rPr>
                <w:sz w:val="20"/>
              </w:rPr>
            </w:pPr>
            <w:r w:rsidRPr="004C5551">
              <w:rPr>
                <w:sz w:val="20"/>
              </w:rPr>
              <w:t>0,3%</w:t>
            </w:r>
          </w:p>
        </w:tc>
        <w:tc>
          <w:tcPr>
            <w:tcW w:w="1134" w:type="dxa"/>
            <w:vAlign w:val="center"/>
          </w:tcPr>
          <w:p w:rsidR="00460DEB" w:rsidRPr="004C5551" w:rsidRDefault="00460DEB" w:rsidP="00460DEB">
            <w:pPr>
              <w:ind w:firstLine="0"/>
              <w:jc w:val="right"/>
              <w:rPr>
                <w:sz w:val="20"/>
              </w:rPr>
            </w:pPr>
            <w:r w:rsidRPr="004C5551">
              <w:rPr>
                <w:sz w:val="20"/>
              </w:rPr>
              <w:t>6 935</w:t>
            </w:r>
          </w:p>
        </w:tc>
        <w:tc>
          <w:tcPr>
            <w:tcW w:w="993" w:type="dxa"/>
            <w:vAlign w:val="center"/>
          </w:tcPr>
          <w:p w:rsidR="00460DEB" w:rsidRPr="004C5551" w:rsidRDefault="00460DEB" w:rsidP="00460DEB">
            <w:pPr>
              <w:ind w:firstLine="0"/>
              <w:jc w:val="right"/>
              <w:rPr>
                <w:sz w:val="20"/>
              </w:rPr>
            </w:pPr>
            <w:r w:rsidRPr="004C5551">
              <w:rPr>
                <w:sz w:val="20"/>
              </w:rPr>
              <w:t>0,98</w:t>
            </w:r>
          </w:p>
        </w:tc>
        <w:tc>
          <w:tcPr>
            <w:tcW w:w="850" w:type="dxa"/>
            <w:vAlign w:val="center"/>
          </w:tcPr>
          <w:p w:rsidR="00460DEB" w:rsidRPr="004C5551" w:rsidRDefault="00460DEB" w:rsidP="00460DEB">
            <w:pPr>
              <w:ind w:firstLine="0"/>
              <w:jc w:val="right"/>
              <w:rPr>
                <w:sz w:val="20"/>
              </w:rPr>
            </w:pPr>
            <w:r w:rsidRPr="004C5551">
              <w:rPr>
                <w:sz w:val="20"/>
              </w:rPr>
              <w:t>0,3%</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C Priemyselná výroba</w:t>
            </w:r>
          </w:p>
        </w:tc>
        <w:tc>
          <w:tcPr>
            <w:tcW w:w="1104" w:type="dxa"/>
            <w:vAlign w:val="center"/>
          </w:tcPr>
          <w:p w:rsidR="00460DEB" w:rsidRPr="004C5551" w:rsidRDefault="00460DEB" w:rsidP="00460DEB">
            <w:pPr>
              <w:ind w:firstLine="0"/>
              <w:jc w:val="right"/>
              <w:rPr>
                <w:sz w:val="20"/>
              </w:rPr>
            </w:pPr>
            <w:r w:rsidRPr="004C5551">
              <w:rPr>
                <w:sz w:val="20"/>
              </w:rPr>
              <w:t>445 301</w:t>
            </w:r>
          </w:p>
        </w:tc>
        <w:tc>
          <w:tcPr>
            <w:tcW w:w="851"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20,5%</w:t>
            </w:r>
          </w:p>
        </w:tc>
        <w:tc>
          <w:tcPr>
            <w:tcW w:w="1134" w:type="dxa"/>
            <w:vAlign w:val="center"/>
          </w:tcPr>
          <w:p w:rsidR="00460DEB" w:rsidRPr="004C5551" w:rsidRDefault="00460DEB" w:rsidP="00460DEB">
            <w:pPr>
              <w:ind w:firstLine="0"/>
              <w:jc w:val="right"/>
              <w:rPr>
                <w:sz w:val="20"/>
              </w:rPr>
            </w:pPr>
            <w:r w:rsidRPr="004C5551">
              <w:rPr>
                <w:sz w:val="20"/>
              </w:rPr>
              <w:t>453 535</w:t>
            </w:r>
          </w:p>
        </w:tc>
        <w:tc>
          <w:tcPr>
            <w:tcW w:w="993" w:type="dxa"/>
            <w:vAlign w:val="center"/>
          </w:tcPr>
          <w:p w:rsidR="00460DEB" w:rsidRPr="004C5551" w:rsidRDefault="00460DEB" w:rsidP="00460DEB">
            <w:pPr>
              <w:ind w:firstLine="0"/>
              <w:jc w:val="right"/>
              <w:rPr>
                <w:sz w:val="20"/>
              </w:rPr>
            </w:pPr>
            <w:r w:rsidRPr="004C5551">
              <w:rPr>
                <w:sz w:val="20"/>
              </w:rPr>
              <w:t>1,02</w:t>
            </w:r>
          </w:p>
        </w:tc>
        <w:tc>
          <w:tcPr>
            <w:tcW w:w="850" w:type="dxa"/>
            <w:vAlign w:val="center"/>
          </w:tcPr>
          <w:p w:rsidR="00460DEB" w:rsidRPr="004C5551" w:rsidRDefault="00460DEB" w:rsidP="00460DEB">
            <w:pPr>
              <w:ind w:firstLine="0"/>
              <w:jc w:val="right"/>
              <w:rPr>
                <w:sz w:val="20"/>
              </w:rPr>
            </w:pPr>
            <w:r w:rsidRPr="004C5551">
              <w:rPr>
                <w:sz w:val="20"/>
              </w:rPr>
              <w:t>20,6%</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D Dodávka elektriny, plynu, pary a studeného vzduchu</w:t>
            </w:r>
          </w:p>
        </w:tc>
        <w:tc>
          <w:tcPr>
            <w:tcW w:w="1104" w:type="dxa"/>
            <w:vAlign w:val="center"/>
          </w:tcPr>
          <w:p w:rsidR="00460DEB" w:rsidRPr="004C5551" w:rsidRDefault="00460DEB" w:rsidP="00460DEB">
            <w:pPr>
              <w:ind w:firstLine="0"/>
              <w:jc w:val="right"/>
              <w:rPr>
                <w:sz w:val="20"/>
              </w:rPr>
            </w:pPr>
            <w:r w:rsidRPr="004C5551">
              <w:rPr>
                <w:sz w:val="20"/>
              </w:rPr>
              <w:t>17 542</w:t>
            </w:r>
          </w:p>
        </w:tc>
        <w:tc>
          <w:tcPr>
            <w:tcW w:w="851" w:type="dxa"/>
            <w:vAlign w:val="center"/>
          </w:tcPr>
          <w:p w:rsidR="00460DEB" w:rsidRPr="004C5551" w:rsidRDefault="00460DEB" w:rsidP="00460DEB">
            <w:pPr>
              <w:ind w:firstLine="0"/>
              <w:jc w:val="right"/>
              <w:rPr>
                <w:sz w:val="20"/>
              </w:rPr>
            </w:pPr>
            <w:r w:rsidRPr="004C5551">
              <w:rPr>
                <w:sz w:val="20"/>
              </w:rPr>
              <w:t>0,96</w:t>
            </w:r>
          </w:p>
        </w:tc>
        <w:tc>
          <w:tcPr>
            <w:tcW w:w="850" w:type="dxa"/>
            <w:vAlign w:val="center"/>
          </w:tcPr>
          <w:p w:rsidR="00460DEB" w:rsidRPr="004C5551" w:rsidRDefault="00460DEB" w:rsidP="00460DEB">
            <w:pPr>
              <w:ind w:firstLine="0"/>
              <w:jc w:val="right"/>
              <w:rPr>
                <w:sz w:val="20"/>
              </w:rPr>
            </w:pPr>
            <w:r w:rsidRPr="004C5551">
              <w:rPr>
                <w:sz w:val="20"/>
              </w:rPr>
              <w:t>0,8%</w:t>
            </w:r>
          </w:p>
        </w:tc>
        <w:tc>
          <w:tcPr>
            <w:tcW w:w="1134" w:type="dxa"/>
            <w:vAlign w:val="center"/>
          </w:tcPr>
          <w:p w:rsidR="00460DEB" w:rsidRPr="004C5551" w:rsidRDefault="00460DEB" w:rsidP="00460DEB">
            <w:pPr>
              <w:ind w:firstLine="0"/>
              <w:jc w:val="right"/>
              <w:rPr>
                <w:sz w:val="20"/>
              </w:rPr>
            </w:pPr>
            <w:r w:rsidRPr="004C5551">
              <w:rPr>
                <w:sz w:val="20"/>
              </w:rPr>
              <w:t>18 136</w:t>
            </w:r>
          </w:p>
        </w:tc>
        <w:tc>
          <w:tcPr>
            <w:tcW w:w="993" w:type="dxa"/>
            <w:vAlign w:val="center"/>
          </w:tcPr>
          <w:p w:rsidR="00460DEB" w:rsidRPr="004C5551" w:rsidRDefault="00460DEB" w:rsidP="00460DEB">
            <w:pPr>
              <w:ind w:firstLine="0"/>
              <w:jc w:val="right"/>
              <w:rPr>
                <w:sz w:val="20"/>
              </w:rPr>
            </w:pPr>
            <w:r w:rsidRPr="004C5551">
              <w:rPr>
                <w:sz w:val="20"/>
              </w:rPr>
              <w:t>1,03</w:t>
            </w:r>
          </w:p>
        </w:tc>
        <w:tc>
          <w:tcPr>
            <w:tcW w:w="850" w:type="dxa"/>
            <w:vAlign w:val="center"/>
          </w:tcPr>
          <w:p w:rsidR="00460DEB" w:rsidRPr="004C5551" w:rsidRDefault="00460DEB" w:rsidP="00460DEB">
            <w:pPr>
              <w:ind w:firstLine="0"/>
              <w:jc w:val="right"/>
              <w:rPr>
                <w:sz w:val="20"/>
              </w:rPr>
            </w:pPr>
            <w:r w:rsidRPr="004C5551">
              <w:rPr>
                <w:sz w:val="20"/>
              </w:rPr>
              <w:t>0,8%</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E Dodávka vody, čistenie a odvod odpadových vôd, odpady a služby odstraňovania odpadov</w:t>
            </w:r>
          </w:p>
        </w:tc>
        <w:tc>
          <w:tcPr>
            <w:tcW w:w="1104" w:type="dxa"/>
            <w:vAlign w:val="center"/>
          </w:tcPr>
          <w:p w:rsidR="00460DEB" w:rsidRPr="004C5551" w:rsidRDefault="00460DEB" w:rsidP="00460DEB">
            <w:pPr>
              <w:ind w:firstLine="0"/>
              <w:jc w:val="right"/>
              <w:rPr>
                <w:sz w:val="20"/>
              </w:rPr>
            </w:pPr>
            <w:r w:rsidRPr="004C5551">
              <w:rPr>
                <w:sz w:val="20"/>
              </w:rPr>
              <w:t>21 513</w:t>
            </w:r>
          </w:p>
        </w:tc>
        <w:tc>
          <w:tcPr>
            <w:tcW w:w="851" w:type="dxa"/>
            <w:vAlign w:val="center"/>
          </w:tcPr>
          <w:p w:rsidR="00460DEB" w:rsidRPr="004C5551" w:rsidRDefault="00460DEB" w:rsidP="00460DEB">
            <w:pPr>
              <w:ind w:firstLine="0"/>
              <w:jc w:val="right"/>
              <w:rPr>
                <w:sz w:val="20"/>
              </w:rPr>
            </w:pPr>
            <w:r w:rsidRPr="004C5551">
              <w:rPr>
                <w:sz w:val="20"/>
              </w:rPr>
              <w:t>1,05</w:t>
            </w:r>
          </w:p>
        </w:tc>
        <w:tc>
          <w:tcPr>
            <w:tcW w:w="850" w:type="dxa"/>
            <w:vAlign w:val="center"/>
          </w:tcPr>
          <w:p w:rsidR="00460DEB" w:rsidRPr="004C5551" w:rsidRDefault="00460DEB" w:rsidP="00460DEB">
            <w:pPr>
              <w:ind w:firstLine="0"/>
              <w:jc w:val="right"/>
              <w:rPr>
                <w:sz w:val="20"/>
              </w:rPr>
            </w:pPr>
            <w:r w:rsidRPr="004C5551">
              <w:rPr>
                <w:sz w:val="20"/>
              </w:rPr>
              <w:t>1,0%</w:t>
            </w:r>
          </w:p>
        </w:tc>
        <w:tc>
          <w:tcPr>
            <w:tcW w:w="1134" w:type="dxa"/>
            <w:vAlign w:val="center"/>
          </w:tcPr>
          <w:p w:rsidR="00460DEB" w:rsidRPr="004C5551" w:rsidRDefault="00460DEB" w:rsidP="00460DEB">
            <w:pPr>
              <w:ind w:firstLine="0"/>
              <w:jc w:val="right"/>
              <w:rPr>
                <w:sz w:val="20"/>
              </w:rPr>
            </w:pPr>
            <w:r w:rsidRPr="004C5551">
              <w:rPr>
                <w:sz w:val="20"/>
              </w:rPr>
              <w:t>20 833</w:t>
            </w:r>
          </w:p>
        </w:tc>
        <w:tc>
          <w:tcPr>
            <w:tcW w:w="993" w:type="dxa"/>
            <w:vAlign w:val="center"/>
          </w:tcPr>
          <w:p w:rsidR="00460DEB" w:rsidRPr="004C5551" w:rsidRDefault="00460DEB" w:rsidP="00460DEB">
            <w:pPr>
              <w:ind w:firstLine="0"/>
              <w:jc w:val="right"/>
              <w:rPr>
                <w:sz w:val="20"/>
              </w:rPr>
            </w:pPr>
            <w:r w:rsidRPr="004C5551">
              <w:rPr>
                <w:sz w:val="20"/>
              </w:rPr>
              <w:t>0,97</w:t>
            </w:r>
          </w:p>
        </w:tc>
        <w:tc>
          <w:tcPr>
            <w:tcW w:w="850" w:type="dxa"/>
            <w:vAlign w:val="center"/>
          </w:tcPr>
          <w:p w:rsidR="00460DEB" w:rsidRPr="004C5551" w:rsidRDefault="00460DEB" w:rsidP="00460DEB">
            <w:pPr>
              <w:ind w:firstLine="0"/>
              <w:jc w:val="right"/>
              <w:rPr>
                <w:sz w:val="20"/>
              </w:rPr>
            </w:pPr>
            <w:r w:rsidRPr="004C5551">
              <w:rPr>
                <w:sz w:val="20"/>
              </w:rPr>
              <w:t>0,9%</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F Stavebníctvo</w:t>
            </w:r>
          </w:p>
        </w:tc>
        <w:tc>
          <w:tcPr>
            <w:tcW w:w="1104" w:type="dxa"/>
            <w:vAlign w:val="center"/>
          </w:tcPr>
          <w:p w:rsidR="00460DEB" w:rsidRPr="004C5551" w:rsidRDefault="00460DEB" w:rsidP="00460DEB">
            <w:pPr>
              <w:ind w:firstLine="0"/>
              <w:jc w:val="right"/>
              <w:rPr>
                <w:sz w:val="20"/>
              </w:rPr>
            </w:pPr>
            <w:r w:rsidRPr="004C5551">
              <w:rPr>
                <w:sz w:val="20"/>
              </w:rPr>
              <w:t>158 575</w:t>
            </w:r>
          </w:p>
        </w:tc>
        <w:tc>
          <w:tcPr>
            <w:tcW w:w="851" w:type="dxa"/>
            <w:vAlign w:val="center"/>
          </w:tcPr>
          <w:p w:rsidR="00460DEB" w:rsidRPr="004C5551" w:rsidRDefault="00460DEB" w:rsidP="00460DEB">
            <w:pPr>
              <w:ind w:firstLine="0"/>
              <w:jc w:val="right"/>
              <w:rPr>
                <w:sz w:val="20"/>
              </w:rPr>
            </w:pPr>
            <w:r w:rsidRPr="004C5551">
              <w:rPr>
                <w:sz w:val="20"/>
              </w:rPr>
              <w:t>0,96</w:t>
            </w:r>
          </w:p>
        </w:tc>
        <w:tc>
          <w:tcPr>
            <w:tcW w:w="850" w:type="dxa"/>
            <w:vAlign w:val="center"/>
          </w:tcPr>
          <w:p w:rsidR="00460DEB" w:rsidRPr="004C5551" w:rsidRDefault="00460DEB" w:rsidP="00460DEB">
            <w:pPr>
              <w:ind w:firstLine="0"/>
              <w:jc w:val="right"/>
              <w:rPr>
                <w:sz w:val="20"/>
              </w:rPr>
            </w:pPr>
            <w:r w:rsidRPr="004C5551">
              <w:rPr>
                <w:sz w:val="20"/>
              </w:rPr>
              <w:t>7,3%</w:t>
            </w:r>
          </w:p>
        </w:tc>
        <w:tc>
          <w:tcPr>
            <w:tcW w:w="1134" w:type="dxa"/>
            <w:vAlign w:val="center"/>
          </w:tcPr>
          <w:p w:rsidR="00460DEB" w:rsidRPr="004C5551" w:rsidRDefault="00460DEB" w:rsidP="00460DEB">
            <w:pPr>
              <w:ind w:firstLine="0"/>
              <w:jc w:val="right"/>
              <w:rPr>
                <w:sz w:val="20"/>
              </w:rPr>
            </w:pPr>
            <w:r w:rsidRPr="004C5551">
              <w:rPr>
                <w:sz w:val="20"/>
              </w:rPr>
              <w:t>156 785</w:t>
            </w:r>
          </w:p>
        </w:tc>
        <w:tc>
          <w:tcPr>
            <w:tcW w:w="993"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7,1%</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G Veľkoobchod a maloobchod; oprava motorových vozidiel a motocyklov</w:t>
            </w:r>
          </w:p>
        </w:tc>
        <w:tc>
          <w:tcPr>
            <w:tcW w:w="1104" w:type="dxa"/>
            <w:vAlign w:val="center"/>
          </w:tcPr>
          <w:p w:rsidR="00460DEB" w:rsidRPr="004C5551" w:rsidRDefault="00460DEB" w:rsidP="00460DEB">
            <w:pPr>
              <w:ind w:firstLine="0"/>
              <w:jc w:val="right"/>
              <w:rPr>
                <w:sz w:val="20"/>
              </w:rPr>
            </w:pPr>
            <w:r w:rsidRPr="004C5551">
              <w:rPr>
                <w:sz w:val="20"/>
              </w:rPr>
              <w:t>356 479</w:t>
            </w:r>
          </w:p>
        </w:tc>
        <w:tc>
          <w:tcPr>
            <w:tcW w:w="851" w:type="dxa"/>
            <w:vAlign w:val="center"/>
          </w:tcPr>
          <w:p w:rsidR="00460DEB" w:rsidRPr="004C5551" w:rsidRDefault="00460DEB" w:rsidP="00460DEB">
            <w:pPr>
              <w:ind w:firstLine="0"/>
              <w:jc w:val="right"/>
              <w:rPr>
                <w:sz w:val="20"/>
              </w:rPr>
            </w:pPr>
            <w:r w:rsidRPr="004C5551">
              <w:rPr>
                <w:sz w:val="20"/>
              </w:rPr>
              <w:t>0,96</w:t>
            </w:r>
          </w:p>
        </w:tc>
        <w:tc>
          <w:tcPr>
            <w:tcW w:w="850" w:type="dxa"/>
            <w:vAlign w:val="center"/>
          </w:tcPr>
          <w:p w:rsidR="00460DEB" w:rsidRPr="004C5551" w:rsidRDefault="00460DEB" w:rsidP="00460DEB">
            <w:pPr>
              <w:ind w:firstLine="0"/>
              <w:jc w:val="right"/>
              <w:rPr>
                <w:sz w:val="20"/>
              </w:rPr>
            </w:pPr>
            <w:r w:rsidRPr="004C5551">
              <w:rPr>
                <w:sz w:val="20"/>
              </w:rPr>
              <w:t>16,4%</w:t>
            </w:r>
          </w:p>
        </w:tc>
        <w:tc>
          <w:tcPr>
            <w:tcW w:w="1134" w:type="dxa"/>
            <w:vAlign w:val="center"/>
          </w:tcPr>
          <w:p w:rsidR="00460DEB" w:rsidRPr="004C5551" w:rsidRDefault="00460DEB" w:rsidP="00460DEB">
            <w:pPr>
              <w:ind w:firstLine="0"/>
              <w:jc w:val="right"/>
              <w:rPr>
                <w:sz w:val="20"/>
              </w:rPr>
            </w:pPr>
            <w:r w:rsidRPr="004C5551">
              <w:rPr>
                <w:sz w:val="20"/>
              </w:rPr>
              <w:t>361 029</w:t>
            </w:r>
          </w:p>
        </w:tc>
        <w:tc>
          <w:tcPr>
            <w:tcW w:w="993"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16,4%</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H Doprava a skladovanie</w:t>
            </w:r>
          </w:p>
        </w:tc>
        <w:tc>
          <w:tcPr>
            <w:tcW w:w="1104" w:type="dxa"/>
            <w:vAlign w:val="center"/>
          </w:tcPr>
          <w:p w:rsidR="00460DEB" w:rsidRPr="004C5551" w:rsidRDefault="00460DEB" w:rsidP="00460DEB">
            <w:pPr>
              <w:ind w:firstLine="0"/>
              <w:jc w:val="right"/>
              <w:rPr>
                <w:sz w:val="20"/>
              </w:rPr>
            </w:pPr>
            <w:r w:rsidRPr="004C5551">
              <w:rPr>
                <w:sz w:val="20"/>
              </w:rPr>
              <w:t>143 391</w:t>
            </w:r>
          </w:p>
        </w:tc>
        <w:tc>
          <w:tcPr>
            <w:tcW w:w="851" w:type="dxa"/>
            <w:vAlign w:val="center"/>
          </w:tcPr>
          <w:p w:rsidR="00460DEB" w:rsidRPr="004C5551" w:rsidRDefault="00460DEB" w:rsidP="00460DEB">
            <w:pPr>
              <w:ind w:firstLine="0"/>
              <w:jc w:val="right"/>
              <w:rPr>
                <w:sz w:val="20"/>
              </w:rPr>
            </w:pPr>
            <w:r w:rsidRPr="004C5551">
              <w:rPr>
                <w:sz w:val="20"/>
              </w:rPr>
              <w:t>1,02</w:t>
            </w:r>
          </w:p>
        </w:tc>
        <w:tc>
          <w:tcPr>
            <w:tcW w:w="850" w:type="dxa"/>
            <w:vAlign w:val="center"/>
          </w:tcPr>
          <w:p w:rsidR="00460DEB" w:rsidRPr="004C5551" w:rsidRDefault="00460DEB" w:rsidP="00460DEB">
            <w:pPr>
              <w:ind w:firstLine="0"/>
              <w:jc w:val="right"/>
              <w:rPr>
                <w:sz w:val="20"/>
              </w:rPr>
            </w:pPr>
            <w:r w:rsidRPr="004C5551">
              <w:rPr>
                <w:sz w:val="20"/>
              </w:rPr>
              <w:t>6,6%</w:t>
            </w:r>
          </w:p>
        </w:tc>
        <w:tc>
          <w:tcPr>
            <w:tcW w:w="1134" w:type="dxa"/>
            <w:vAlign w:val="center"/>
          </w:tcPr>
          <w:p w:rsidR="00460DEB" w:rsidRPr="004C5551" w:rsidRDefault="00460DEB" w:rsidP="00460DEB">
            <w:pPr>
              <w:ind w:firstLine="0"/>
              <w:jc w:val="right"/>
              <w:rPr>
                <w:sz w:val="20"/>
              </w:rPr>
            </w:pPr>
            <w:r w:rsidRPr="004C5551">
              <w:rPr>
                <w:sz w:val="20"/>
              </w:rPr>
              <w:t>142 615</w:t>
            </w:r>
          </w:p>
        </w:tc>
        <w:tc>
          <w:tcPr>
            <w:tcW w:w="993" w:type="dxa"/>
            <w:vAlign w:val="center"/>
          </w:tcPr>
          <w:p w:rsidR="00460DEB" w:rsidRPr="004C5551" w:rsidRDefault="00460DEB" w:rsidP="00460DEB">
            <w:pPr>
              <w:ind w:firstLine="0"/>
              <w:jc w:val="right"/>
              <w:rPr>
                <w:sz w:val="20"/>
              </w:rPr>
            </w:pPr>
            <w:r w:rsidRPr="004C5551">
              <w:rPr>
                <w:sz w:val="20"/>
              </w:rPr>
              <w:t>0,99</w:t>
            </w:r>
          </w:p>
        </w:tc>
        <w:tc>
          <w:tcPr>
            <w:tcW w:w="850" w:type="dxa"/>
            <w:vAlign w:val="center"/>
          </w:tcPr>
          <w:p w:rsidR="00460DEB" w:rsidRPr="004C5551" w:rsidRDefault="00460DEB" w:rsidP="00460DEB">
            <w:pPr>
              <w:ind w:firstLine="0"/>
              <w:jc w:val="right"/>
              <w:rPr>
                <w:sz w:val="20"/>
              </w:rPr>
            </w:pPr>
            <w:r w:rsidRPr="004C5551">
              <w:rPr>
                <w:sz w:val="20"/>
              </w:rPr>
              <w:t>6,5%</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I Ubytovacie a stravovacie služby</w:t>
            </w:r>
          </w:p>
        </w:tc>
        <w:tc>
          <w:tcPr>
            <w:tcW w:w="1104" w:type="dxa"/>
            <w:vAlign w:val="center"/>
          </w:tcPr>
          <w:p w:rsidR="00460DEB" w:rsidRPr="004C5551" w:rsidRDefault="00460DEB" w:rsidP="00460DEB">
            <w:pPr>
              <w:ind w:firstLine="0"/>
              <w:jc w:val="right"/>
              <w:rPr>
                <w:sz w:val="20"/>
              </w:rPr>
            </w:pPr>
            <w:r w:rsidRPr="004C5551">
              <w:rPr>
                <w:sz w:val="20"/>
              </w:rPr>
              <w:t>52 307</w:t>
            </w:r>
          </w:p>
        </w:tc>
        <w:tc>
          <w:tcPr>
            <w:tcW w:w="851" w:type="dxa"/>
            <w:vAlign w:val="center"/>
          </w:tcPr>
          <w:p w:rsidR="00460DEB" w:rsidRPr="004C5551" w:rsidRDefault="00460DEB" w:rsidP="00460DEB">
            <w:pPr>
              <w:ind w:firstLine="0"/>
              <w:jc w:val="right"/>
              <w:rPr>
                <w:sz w:val="20"/>
              </w:rPr>
            </w:pPr>
            <w:r w:rsidRPr="004C5551">
              <w:rPr>
                <w:sz w:val="20"/>
              </w:rPr>
              <w:t>1,02</w:t>
            </w:r>
          </w:p>
        </w:tc>
        <w:tc>
          <w:tcPr>
            <w:tcW w:w="850" w:type="dxa"/>
            <w:vAlign w:val="center"/>
          </w:tcPr>
          <w:p w:rsidR="00460DEB" w:rsidRPr="004C5551" w:rsidRDefault="00460DEB" w:rsidP="00460DEB">
            <w:pPr>
              <w:ind w:firstLine="0"/>
              <w:jc w:val="right"/>
              <w:rPr>
                <w:sz w:val="20"/>
              </w:rPr>
            </w:pPr>
            <w:r w:rsidRPr="004C5551">
              <w:rPr>
                <w:sz w:val="20"/>
              </w:rPr>
              <w:t>2,4%</w:t>
            </w:r>
          </w:p>
        </w:tc>
        <w:tc>
          <w:tcPr>
            <w:tcW w:w="1134" w:type="dxa"/>
            <w:vAlign w:val="center"/>
          </w:tcPr>
          <w:p w:rsidR="00460DEB" w:rsidRPr="004C5551" w:rsidRDefault="00460DEB" w:rsidP="00460DEB">
            <w:pPr>
              <w:ind w:firstLine="0"/>
              <w:jc w:val="right"/>
              <w:rPr>
                <w:sz w:val="20"/>
              </w:rPr>
            </w:pPr>
            <w:r w:rsidRPr="004C5551">
              <w:rPr>
                <w:sz w:val="20"/>
              </w:rPr>
              <w:t>56 676</w:t>
            </w:r>
          </w:p>
        </w:tc>
        <w:tc>
          <w:tcPr>
            <w:tcW w:w="993" w:type="dxa"/>
            <w:vAlign w:val="center"/>
          </w:tcPr>
          <w:p w:rsidR="00460DEB" w:rsidRPr="004C5551" w:rsidRDefault="00460DEB" w:rsidP="00460DEB">
            <w:pPr>
              <w:ind w:firstLine="0"/>
              <w:jc w:val="right"/>
              <w:rPr>
                <w:sz w:val="20"/>
              </w:rPr>
            </w:pPr>
            <w:r w:rsidRPr="004C5551">
              <w:rPr>
                <w:sz w:val="20"/>
              </w:rPr>
              <w:t>1,08</w:t>
            </w:r>
          </w:p>
        </w:tc>
        <w:tc>
          <w:tcPr>
            <w:tcW w:w="850" w:type="dxa"/>
            <w:vAlign w:val="center"/>
          </w:tcPr>
          <w:p w:rsidR="00460DEB" w:rsidRPr="004C5551" w:rsidRDefault="00460DEB" w:rsidP="00460DEB">
            <w:pPr>
              <w:ind w:firstLine="0"/>
              <w:jc w:val="right"/>
              <w:rPr>
                <w:sz w:val="20"/>
              </w:rPr>
            </w:pPr>
            <w:r w:rsidRPr="004C5551">
              <w:rPr>
                <w:sz w:val="20"/>
              </w:rPr>
              <w:t>2,6%</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J Informácie a komunikácia</w:t>
            </w:r>
          </w:p>
        </w:tc>
        <w:tc>
          <w:tcPr>
            <w:tcW w:w="1104" w:type="dxa"/>
            <w:vAlign w:val="center"/>
          </w:tcPr>
          <w:p w:rsidR="00460DEB" w:rsidRPr="004C5551" w:rsidRDefault="00460DEB" w:rsidP="00460DEB">
            <w:pPr>
              <w:ind w:firstLine="0"/>
              <w:jc w:val="right"/>
              <w:rPr>
                <w:sz w:val="20"/>
              </w:rPr>
            </w:pPr>
            <w:r w:rsidRPr="004C5551">
              <w:rPr>
                <w:sz w:val="20"/>
              </w:rPr>
              <w:t>57 055</w:t>
            </w:r>
          </w:p>
        </w:tc>
        <w:tc>
          <w:tcPr>
            <w:tcW w:w="851" w:type="dxa"/>
            <w:vAlign w:val="center"/>
          </w:tcPr>
          <w:p w:rsidR="00460DEB" w:rsidRPr="004C5551" w:rsidRDefault="00460DEB" w:rsidP="00460DEB">
            <w:pPr>
              <w:ind w:firstLine="0"/>
              <w:jc w:val="right"/>
              <w:rPr>
                <w:sz w:val="20"/>
              </w:rPr>
            </w:pPr>
            <w:r w:rsidRPr="004C5551">
              <w:rPr>
                <w:sz w:val="20"/>
              </w:rPr>
              <w:t>1,00</w:t>
            </w:r>
          </w:p>
        </w:tc>
        <w:tc>
          <w:tcPr>
            <w:tcW w:w="850" w:type="dxa"/>
            <w:vAlign w:val="center"/>
          </w:tcPr>
          <w:p w:rsidR="00460DEB" w:rsidRPr="004C5551" w:rsidRDefault="00460DEB" w:rsidP="00460DEB">
            <w:pPr>
              <w:ind w:firstLine="0"/>
              <w:jc w:val="right"/>
              <w:rPr>
                <w:sz w:val="20"/>
              </w:rPr>
            </w:pPr>
            <w:r w:rsidRPr="004C5551">
              <w:rPr>
                <w:sz w:val="20"/>
              </w:rPr>
              <w:t>2,6%</w:t>
            </w:r>
          </w:p>
        </w:tc>
        <w:tc>
          <w:tcPr>
            <w:tcW w:w="1134" w:type="dxa"/>
            <w:vAlign w:val="center"/>
          </w:tcPr>
          <w:p w:rsidR="00460DEB" w:rsidRPr="004C5551" w:rsidRDefault="00460DEB" w:rsidP="00460DEB">
            <w:pPr>
              <w:ind w:firstLine="0"/>
              <w:jc w:val="right"/>
              <w:rPr>
                <w:sz w:val="20"/>
              </w:rPr>
            </w:pPr>
            <w:r w:rsidRPr="004C5551">
              <w:rPr>
                <w:sz w:val="20"/>
              </w:rPr>
              <w:t>61 713</w:t>
            </w:r>
          </w:p>
        </w:tc>
        <w:tc>
          <w:tcPr>
            <w:tcW w:w="993" w:type="dxa"/>
            <w:vAlign w:val="center"/>
          </w:tcPr>
          <w:p w:rsidR="00460DEB" w:rsidRPr="004C5551" w:rsidRDefault="00460DEB" w:rsidP="00460DEB">
            <w:pPr>
              <w:ind w:firstLine="0"/>
              <w:jc w:val="right"/>
              <w:rPr>
                <w:sz w:val="20"/>
              </w:rPr>
            </w:pPr>
            <w:r w:rsidRPr="004C5551">
              <w:rPr>
                <w:sz w:val="20"/>
              </w:rPr>
              <w:t>1,08</w:t>
            </w:r>
          </w:p>
        </w:tc>
        <w:tc>
          <w:tcPr>
            <w:tcW w:w="850" w:type="dxa"/>
            <w:vAlign w:val="center"/>
          </w:tcPr>
          <w:p w:rsidR="00460DEB" w:rsidRPr="004C5551" w:rsidRDefault="00460DEB" w:rsidP="00460DEB">
            <w:pPr>
              <w:ind w:firstLine="0"/>
              <w:jc w:val="right"/>
              <w:rPr>
                <w:sz w:val="20"/>
              </w:rPr>
            </w:pPr>
            <w:r w:rsidRPr="004C5551">
              <w:rPr>
                <w:sz w:val="20"/>
              </w:rPr>
              <w:t>2,8%</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K Finančné a poisťovacie činnosti</w:t>
            </w:r>
          </w:p>
        </w:tc>
        <w:tc>
          <w:tcPr>
            <w:tcW w:w="1104" w:type="dxa"/>
            <w:vAlign w:val="center"/>
          </w:tcPr>
          <w:p w:rsidR="00460DEB" w:rsidRPr="004C5551" w:rsidRDefault="00460DEB" w:rsidP="00460DEB">
            <w:pPr>
              <w:ind w:firstLine="0"/>
              <w:jc w:val="right"/>
              <w:rPr>
                <w:sz w:val="20"/>
              </w:rPr>
            </w:pPr>
            <w:r w:rsidRPr="004C5551">
              <w:rPr>
                <w:sz w:val="20"/>
              </w:rPr>
              <w:t>41 436</w:t>
            </w:r>
          </w:p>
        </w:tc>
        <w:tc>
          <w:tcPr>
            <w:tcW w:w="851" w:type="dxa"/>
            <w:vAlign w:val="center"/>
          </w:tcPr>
          <w:p w:rsidR="00460DEB" w:rsidRPr="004C5551" w:rsidRDefault="00460DEB" w:rsidP="00460DEB">
            <w:pPr>
              <w:ind w:firstLine="0"/>
              <w:jc w:val="right"/>
              <w:rPr>
                <w:sz w:val="20"/>
              </w:rPr>
            </w:pPr>
            <w:r w:rsidRPr="004C5551">
              <w:rPr>
                <w:sz w:val="20"/>
              </w:rPr>
              <w:t>1,00</w:t>
            </w:r>
          </w:p>
        </w:tc>
        <w:tc>
          <w:tcPr>
            <w:tcW w:w="850" w:type="dxa"/>
            <w:vAlign w:val="center"/>
          </w:tcPr>
          <w:p w:rsidR="00460DEB" w:rsidRPr="004C5551" w:rsidRDefault="00460DEB" w:rsidP="00460DEB">
            <w:pPr>
              <w:ind w:firstLine="0"/>
              <w:jc w:val="right"/>
              <w:rPr>
                <w:sz w:val="20"/>
              </w:rPr>
            </w:pPr>
            <w:r w:rsidRPr="004C5551">
              <w:rPr>
                <w:sz w:val="20"/>
              </w:rPr>
              <w:t>1,9%</w:t>
            </w:r>
          </w:p>
        </w:tc>
        <w:tc>
          <w:tcPr>
            <w:tcW w:w="1134" w:type="dxa"/>
            <w:vAlign w:val="center"/>
          </w:tcPr>
          <w:p w:rsidR="00460DEB" w:rsidRPr="004C5551" w:rsidRDefault="00460DEB" w:rsidP="00460DEB">
            <w:pPr>
              <w:ind w:firstLine="0"/>
              <w:jc w:val="right"/>
              <w:rPr>
                <w:sz w:val="20"/>
              </w:rPr>
            </w:pPr>
            <w:r w:rsidRPr="004C5551">
              <w:rPr>
                <w:sz w:val="20"/>
              </w:rPr>
              <w:t>41 348</w:t>
            </w:r>
          </w:p>
        </w:tc>
        <w:tc>
          <w:tcPr>
            <w:tcW w:w="993" w:type="dxa"/>
            <w:vAlign w:val="center"/>
          </w:tcPr>
          <w:p w:rsidR="00460DEB" w:rsidRPr="004C5551" w:rsidRDefault="00460DEB" w:rsidP="00460DEB">
            <w:pPr>
              <w:ind w:firstLine="0"/>
              <w:jc w:val="right"/>
              <w:rPr>
                <w:sz w:val="20"/>
              </w:rPr>
            </w:pPr>
            <w:r w:rsidRPr="004C5551">
              <w:rPr>
                <w:sz w:val="20"/>
              </w:rPr>
              <w:t>1,00</w:t>
            </w:r>
          </w:p>
        </w:tc>
        <w:tc>
          <w:tcPr>
            <w:tcW w:w="850" w:type="dxa"/>
            <w:vAlign w:val="center"/>
          </w:tcPr>
          <w:p w:rsidR="00460DEB" w:rsidRPr="004C5551" w:rsidRDefault="00460DEB" w:rsidP="00460DEB">
            <w:pPr>
              <w:ind w:firstLine="0"/>
              <w:jc w:val="right"/>
              <w:rPr>
                <w:sz w:val="20"/>
              </w:rPr>
            </w:pPr>
            <w:r w:rsidRPr="004C5551">
              <w:rPr>
                <w:sz w:val="20"/>
              </w:rPr>
              <w:t>1,9%</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L Činnosti v oblasti nehnuteľností</w:t>
            </w:r>
          </w:p>
        </w:tc>
        <w:tc>
          <w:tcPr>
            <w:tcW w:w="1104" w:type="dxa"/>
            <w:vAlign w:val="center"/>
          </w:tcPr>
          <w:p w:rsidR="00460DEB" w:rsidRPr="004C5551" w:rsidRDefault="00460DEB" w:rsidP="00460DEB">
            <w:pPr>
              <w:ind w:firstLine="0"/>
              <w:jc w:val="right"/>
              <w:rPr>
                <w:sz w:val="20"/>
              </w:rPr>
            </w:pPr>
            <w:r w:rsidRPr="004C5551">
              <w:rPr>
                <w:sz w:val="20"/>
              </w:rPr>
              <w:t>22 067</w:t>
            </w:r>
          </w:p>
        </w:tc>
        <w:tc>
          <w:tcPr>
            <w:tcW w:w="851"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1,0%</w:t>
            </w:r>
          </w:p>
        </w:tc>
        <w:tc>
          <w:tcPr>
            <w:tcW w:w="1134" w:type="dxa"/>
            <w:vAlign w:val="center"/>
          </w:tcPr>
          <w:p w:rsidR="00460DEB" w:rsidRPr="004C5551" w:rsidRDefault="00460DEB" w:rsidP="00460DEB">
            <w:pPr>
              <w:ind w:firstLine="0"/>
              <w:jc w:val="right"/>
              <w:rPr>
                <w:sz w:val="20"/>
              </w:rPr>
            </w:pPr>
            <w:r w:rsidRPr="004C5551">
              <w:rPr>
                <w:sz w:val="20"/>
              </w:rPr>
              <w:t>22 364</w:t>
            </w:r>
          </w:p>
        </w:tc>
        <w:tc>
          <w:tcPr>
            <w:tcW w:w="993"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1,0%</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M Odborné, vedecké a technické činnosti</w:t>
            </w:r>
          </w:p>
        </w:tc>
        <w:tc>
          <w:tcPr>
            <w:tcW w:w="1104" w:type="dxa"/>
            <w:vAlign w:val="center"/>
          </w:tcPr>
          <w:p w:rsidR="00460DEB" w:rsidRPr="004C5551" w:rsidRDefault="00460DEB" w:rsidP="00460DEB">
            <w:pPr>
              <w:ind w:firstLine="0"/>
              <w:jc w:val="right"/>
              <w:rPr>
                <w:sz w:val="20"/>
              </w:rPr>
            </w:pPr>
            <w:r w:rsidRPr="004C5551">
              <w:rPr>
                <w:sz w:val="20"/>
              </w:rPr>
              <w:t>96 160</w:t>
            </w:r>
          </w:p>
        </w:tc>
        <w:tc>
          <w:tcPr>
            <w:tcW w:w="851" w:type="dxa"/>
            <w:vAlign w:val="center"/>
          </w:tcPr>
          <w:p w:rsidR="00460DEB" w:rsidRPr="004C5551" w:rsidRDefault="00460DEB" w:rsidP="00460DEB">
            <w:pPr>
              <w:ind w:firstLine="0"/>
              <w:jc w:val="right"/>
              <w:rPr>
                <w:sz w:val="20"/>
              </w:rPr>
            </w:pPr>
            <w:r w:rsidRPr="004C5551">
              <w:rPr>
                <w:sz w:val="20"/>
              </w:rPr>
              <w:t>1,02</w:t>
            </w:r>
          </w:p>
        </w:tc>
        <w:tc>
          <w:tcPr>
            <w:tcW w:w="850" w:type="dxa"/>
            <w:vAlign w:val="center"/>
          </w:tcPr>
          <w:p w:rsidR="00460DEB" w:rsidRPr="004C5551" w:rsidRDefault="00460DEB" w:rsidP="00460DEB">
            <w:pPr>
              <w:ind w:firstLine="0"/>
              <w:jc w:val="right"/>
              <w:rPr>
                <w:sz w:val="20"/>
              </w:rPr>
            </w:pPr>
            <w:r w:rsidRPr="004C5551">
              <w:rPr>
                <w:sz w:val="20"/>
              </w:rPr>
              <w:t>4,4%</w:t>
            </w:r>
          </w:p>
        </w:tc>
        <w:tc>
          <w:tcPr>
            <w:tcW w:w="1134" w:type="dxa"/>
            <w:vAlign w:val="center"/>
          </w:tcPr>
          <w:p w:rsidR="00460DEB" w:rsidRPr="004C5551" w:rsidRDefault="00460DEB" w:rsidP="00460DEB">
            <w:pPr>
              <w:ind w:firstLine="0"/>
              <w:jc w:val="right"/>
              <w:rPr>
                <w:sz w:val="20"/>
              </w:rPr>
            </w:pPr>
            <w:r w:rsidRPr="004C5551">
              <w:rPr>
                <w:sz w:val="20"/>
              </w:rPr>
              <w:t>92 948</w:t>
            </w:r>
          </w:p>
        </w:tc>
        <w:tc>
          <w:tcPr>
            <w:tcW w:w="993" w:type="dxa"/>
            <w:vAlign w:val="center"/>
          </w:tcPr>
          <w:p w:rsidR="00460DEB" w:rsidRPr="004C5551" w:rsidRDefault="00460DEB" w:rsidP="00460DEB">
            <w:pPr>
              <w:ind w:firstLine="0"/>
              <w:jc w:val="right"/>
              <w:rPr>
                <w:sz w:val="20"/>
              </w:rPr>
            </w:pPr>
            <w:r w:rsidRPr="004C5551">
              <w:rPr>
                <w:sz w:val="20"/>
              </w:rPr>
              <w:t>0,97</w:t>
            </w:r>
          </w:p>
        </w:tc>
        <w:tc>
          <w:tcPr>
            <w:tcW w:w="850" w:type="dxa"/>
            <w:vAlign w:val="center"/>
          </w:tcPr>
          <w:p w:rsidR="00460DEB" w:rsidRPr="004C5551" w:rsidRDefault="00460DEB" w:rsidP="00460DEB">
            <w:pPr>
              <w:ind w:firstLine="0"/>
              <w:jc w:val="right"/>
              <w:rPr>
                <w:sz w:val="20"/>
              </w:rPr>
            </w:pPr>
            <w:r w:rsidRPr="004C5551">
              <w:rPr>
                <w:sz w:val="20"/>
              </w:rPr>
              <w:t>4,2%</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N Administratívne a podporné služby</w:t>
            </w:r>
          </w:p>
        </w:tc>
        <w:tc>
          <w:tcPr>
            <w:tcW w:w="1104" w:type="dxa"/>
            <w:vAlign w:val="center"/>
          </w:tcPr>
          <w:p w:rsidR="00460DEB" w:rsidRPr="004C5551" w:rsidRDefault="00460DEB" w:rsidP="00460DEB">
            <w:pPr>
              <w:ind w:firstLine="0"/>
              <w:jc w:val="right"/>
              <w:rPr>
                <w:sz w:val="20"/>
              </w:rPr>
            </w:pPr>
            <w:r w:rsidRPr="004C5551">
              <w:rPr>
                <w:sz w:val="20"/>
              </w:rPr>
              <w:t>118 233</w:t>
            </w:r>
          </w:p>
        </w:tc>
        <w:tc>
          <w:tcPr>
            <w:tcW w:w="851" w:type="dxa"/>
            <w:vAlign w:val="center"/>
          </w:tcPr>
          <w:p w:rsidR="00460DEB" w:rsidRPr="004C5551" w:rsidRDefault="00460DEB" w:rsidP="00460DEB">
            <w:pPr>
              <w:ind w:firstLine="0"/>
              <w:jc w:val="right"/>
              <w:rPr>
                <w:sz w:val="20"/>
              </w:rPr>
            </w:pPr>
            <w:r w:rsidRPr="004C5551">
              <w:rPr>
                <w:sz w:val="20"/>
              </w:rPr>
              <w:t>1,03</w:t>
            </w:r>
          </w:p>
        </w:tc>
        <w:tc>
          <w:tcPr>
            <w:tcW w:w="850" w:type="dxa"/>
            <w:vAlign w:val="center"/>
          </w:tcPr>
          <w:p w:rsidR="00460DEB" w:rsidRPr="004C5551" w:rsidRDefault="00460DEB" w:rsidP="00460DEB">
            <w:pPr>
              <w:ind w:firstLine="0"/>
              <w:jc w:val="right"/>
              <w:rPr>
                <w:sz w:val="20"/>
              </w:rPr>
            </w:pPr>
            <w:r w:rsidRPr="004C5551">
              <w:rPr>
                <w:sz w:val="20"/>
              </w:rPr>
              <w:t>5,4%</w:t>
            </w:r>
          </w:p>
        </w:tc>
        <w:tc>
          <w:tcPr>
            <w:tcW w:w="1134" w:type="dxa"/>
            <w:vAlign w:val="center"/>
          </w:tcPr>
          <w:p w:rsidR="00460DEB" w:rsidRPr="004C5551" w:rsidRDefault="00460DEB" w:rsidP="00460DEB">
            <w:pPr>
              <w:ind w:firstLine="0"/>
              <w:jc w:val="right"/>
              <w:rPr>
                <w:sz w:val="20"/>
              </w:rPr>
            </w:pPr>
            <w:r w:rsidRPr="004C5551">
              <w:rPr>
                <w:sz w:val="20"/>
              </w:rPr>
              <w:t>122 011</w:t>
            </w:r>
          </w:p>
        </w:tc>
        <w:tc>
          <w:tcPr>
            <w:tcW w:w="993" w:type="dxa"/>
            <w:vAlign w:val="center"/>
          </w:tcPr>
          <w:p w:rsidR="00460DEB" w:rsidRPr="004C5551" w:rsidRDefault="00460DEB" w:rsidP="00460DEB">
            <w:pPr>
              <w:ind w:firstLine="0"/>
              <w:jc w:val="right"/>
              <w:rPr>
                <w:sz w:val="20"/>
              </w:rPr>
            </w:pPr>
            <w:r w:rsidRPr="004C5551">
              <w:rPr>
                <w:sz w:val="20"/>
              </w:rPr>
              <w:t>1,03</w:t>
            </w:r>
          </w:p>
        </w:tc>
        <w:tc>
          <w:tcPr>
            <w:tcW w:w="850" w:type="dxa"/>
            <w:vAlign w:val="center"/>
          </w:tcPr>
          <w:p w:rsidR="00460DEB" w:rsidRPr="004C5551" w:rsidRDefault="00460DEB" w:rsidP="00460DEB">
            <w:pPr>
              <w:ind w:firstLine="0"/>
              <w:jc w:val="right"/>
              <w:rPr>
                <w:sz w:val="20"/>
              </w:rPr>
            </w:pPr>
            <w:r w:rsidRPr="004C5551">
              <w:rPr>
                <w:sz w:val="20"/>
              </w:rPr>
              <w:t>5,5%</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O Verejná správa a obrana; povinné sociálne zabezpečenie</w:t>
            </w:r>
          </w:p>
        </w:tc>
        <w:tc>
          <w:tcPr>
            <w:tcW w:w="1104" w:type="dxa"/>
            <w:vAlign w:val="center"/>
          </w:tcPr>
          <w:p w:rsidR="00460DEB" w:rsidRPr="004C5551" w:rsidRDefault="00460DEB" w:rsidP="00460DEB">
            <w:pPr>
              <w:ind w:firstLine="0"/>
              <w:jc w:val="right"/>
              <w:rPr>
                <w:sz w:val="20"/>
              </w:rPr>
            </w:pPr>
            <w:r w:rsidRPr="004C5551">
              <w:rPr>
                <w:sz w:val="20"/>
              </w:rPr>
              <w:t>142 031</w:t>
            </w:r>
          </w:p>
        </w:tc>
        <w:tc>
          <w:tcPr>
            <w:tcW w:w="851"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6,5%</w:t>
            </w:r>
          </w:p>
        </w:tc>
        <w:tc>
          <w:tcPr>
            <w:tcW w:w="1134" w:type="dxa"/>
            <w:vAlign w:val="center"/>
          </w:tcPr>
          <w:p w:rsidR="00460DEB" w:rsidRPr="004C5551" w:rsidRDefault="00460DEB" w:rsidP="00460DEB">
            <w:pPr>
              <w:ind w:firstLine="0"/>
              <w:jc w:val="right"/>
              <w:rPr>
                <w:sz w:val="20"/>
              </w:rPr>
            </w:pPr>
            <w:r w:rsidRPr="004C5551">
              <w:rPr>
                <w:sz w:val="20"/>
              </w:rPr>
              <w:t>144 081</w:t>
            </w:r>
          </w:p>
        </w:tc>
        <w:tc>
          <w:tcPr>
            <w:tcW w:w="993"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6,5%</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P Vzdelávanie</w:t>
            </w:r>
          </w:p>
        </w:tc>
        <w:tc>
          <w:tcPr>
            <w:tcW w:w="1104" w:type="dxa"/>
            <w:vAlign w:val="center"/>
          </w:tcPr>
          <w:p w:rsidR="00460DEB" w:rsidRPr="004C5551" w:rsidRDefault="00460DEB" w:rsidP="00460DEB">
            <w:pPr>
              <w:ind w:firstLine="0"/>
              <w:jc w:val="right"/>
              <w:rPr>
                <w:sz w:val="20"/>
              </w:rPr>
            </w:pPr>
            <w:r w:rsidRPr="004C5551">
              <w:rPr>
                <w:sz w:val="20"/>
              </w:rPr>
              <w:t>163 991</w:t>
            </w:r>
          </w:p>
        </w:tc>
        <w:tc>
          <w:tcPr>
            <w:tcW w:w="851" w:type="dxa"/>
            <w:vAlign w:val="center"/>
          </w:tcPr>
          <w:p w:rsidR="00460DEB" w:rsidRPr="004C5551" w:rsidRDefault="00460DEB" w:rsidP="00460DEB">
            <w:pPr>
              <w:ind w:firstLine="0"/>
              <w:jc w:val="right"/>
              <w:rPr>
                <w:sz w:val="20"/>
              </w:rPr>
            </w:pPr>
            <w:r w:rsidRPr="004C5551">
              <w:rPr>
                <w:sz w:val="20"/>
              </w:rPr>
              <w:t>1,00</w:t>
            </w:r>
          </w:p>
        </w:tc>
        <w:tc>
          <w:tcPr>
            <w:tcW w:w="850" w:type="dxa"/>
            <w:vAlign w:val="center"/>
          </w:tcPr>
          <w:p w:rsidR="00460DEB" w:rsidRPr="004C5551" w:rsidRDefault="00460DEB" w:rsidP="00460DEB">
            <w:pPr>
              <w:ind w:firstLine="0"/>
              <w:jc w:val="right"/>
              <w:rPr>
                <w:sz w:val="20"/>
              </w:rPr>
            </w:pPr>
            <w:r w:rsidRPr="004C5551">
              <w:rPr>
                <w:sz w:val="20"/>
              </w:rPr>
              <w:t>7,5%</w:t>
            </w:r>
          </w:p>
        </w:tc>
        <w:tc>
          <w:tcPr>
            <w:tcW w:w="1134" w:type="dxa"/>
            <w:vAlign w:val="center"/>
          </w:tcPr>
          <w:p w:rsidR="00460DEB" w:rsidRPr="004C5551" w:rsidRDefault="00460DEB" w:rsidP="00460DEB">
            <w:pPr>
              <w:ind w:firstLine="0"/>
              <w:jc w:val="right"/>
              <w:rPr>
                <w:sz w:val="20"/>
              </w:rPr>
            </w:pPr>
            <w:r w:rsidRPr="004C5551">
              <w:rPr>
                <w:sz w:val="20"/>
              </w:rPr>
              <w:t>165 113</w:t>
            </w:r>
          </w:p>
        </w:tc>
        <w:tc>
          <w:tcPr>
            <w:tcW w:w="993"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7,5%</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Q Zdravotníctvo a sociálna pomoc</w:t>
            </w:r>
          </w:p>
        </w:tc>
        <w:tc>
          <w:tcPr>
            <w:tcW w:w="1104" w:type="dxa"/>
            <w:vAlign w:val="center"/>
          </w:tcPr>
          <w:p w:rsidR="00460DEB" w:rsidRPr="004C5551" w:rsidRDefault="00460DEB" w:rsidP="00460DEB">
            <w:pPr>
              <w:ind w:firstLine="0"/>
              <w:jc w:val="right"/>
              <w:rPr>
                <w:sz w:val="20"/>
              </w:rPr>
            </w:pPr>
            <w:r w:rsidRPr="004C5551">
              <w:rPr>
                <w:sz w:val="20"/>
              </w:rPr>
              <w:t>142 024</w:t>
            </w:r>
          </w:p>
        </w:tc>
        <w:tc>
          <w:tcPr>
            <w:tcW w:w="851" w:type="dxa"/>
            <w:vAlign w:val="center"/>
          </w:tcPr>
          <w:p w:rsidR="00460DEB" w:rsidRPr="004C5551" w:rsidRDefault="00460DEB" w:rsidP="00460DEB">
            <w:pPr>
              <w:ind w:firstLine="0"/>
              <w:jc w:val="right"/>
              <w:rPr>
                <w:sz w:val="20"/>
              </w:rPr>
            </w:pPr>
            <w:r w:rsidRPr="004C5551">
              <w:rPr>
                <w:sz w:val="20"/>
              </w:rPr>
              <w:t>1,00</w:t>
            </w:r>
          </w:p>
        </w:tc>
        <w:tc>
          <w:tcPr>
            <w:tcW w:w="850" w:type="dxa"/>
            <w:vAlign w:val="center"/>
          </w:tcPr>
          <w:p w:rsidR="00460DEB" w:rsidRPr="004C5551" w:rsidRDefault="00460DEB" w:rsidP="00460DEB">
            <w:pPr>
              <w:ind w:firstLine="0"/>
              <w:jc w:val="right"/>
              <w:rPr>
                <w:sz w:val="20"/>
              </w:rPr>
            </w:pPr>
            <w:r w:rsidRPr="004C5551">
              <w:rPr>
                <w:sz w:val="20"/>
              </w:rPr>
              <w:t>6,5%</w:t>
            </w:r>
          </w:p>
        </w:tc>
        <w:tc>
          <w:tcPr>
            <w:tcW w:w="1134" w:type="dxa"/>
            <w:vAlign w:val="center"/>
          </w:tcPr>
          <w:p w:rsidR="00460DEB" w:rsidRPr="004C5551" w:rsidRDefault="00460DEB" w:rsidP="00460DEB">
            <w:pPr>
              <w:ind w:firstLine="0"/>
              <w:jc w:val="right"/>
              <w:rPr>
                <w:sz w:val="20"/>
              </w:rPr>
            </w:pPr>
            <w:r w:rsidRPr="004C5551">
              <w:rPr>
                <w:sz w:val="20"/>
              </w:rPr>
              <w:t>147 344</w:t>
            </w:r>
          </w:p>
        </w:tc>
        <w:tc>
          <w:tcPr>
            <w:tcW w:w="993" w:type="dxa"/>
            <w:vAlign w:val="center"/>
          </w:tcPr>
          <w:p w:rsidR="00460DEB" w:rsidRPr="004C5551" w:rsidRDefault="00460DEB" w:rsidP="00460DEB">
            <w:pPr>
              <w:ind w:firstLine="0"/>
              <w:jc w:val="right"/>
              <w:rPr>
                <w:sz w:val="20"/>
              </w:rPr>
            </w:pPr>
            <w:r w:rsidRPr="004C5551">
              <w:rPr>
                <w:sz w:val="20"/>
              </w:rPr>
              <w:t>1,04</w:t>
            </w:r>
          </w:p>
        </w:tc>
        <w:tc>
          <w:tcPr>
            <w:tcW w:w="850" w:type="dxa"/>
            <w:vAlign w:val="center"/>
          </w:tcPr>
          <w:p w:rsidR="00460DEB" w:rsidRPr="004C5551" w:rsidRDefault="00460DEB" w:rsidP="00460DEB">
            <w:pPr>
              <w:ind w:firstLine="0"/>
              <w:jc w:val="right"/>
              <w:rPr>
                <w:sz w:val="20"/>
              </w:rPr>
            </w:pPr>
            <w:r w:rsidRPr="004C5551">
              <w:rPr>
                <w:sz w:val="20"/>
              </w:rPr>
              <w:t>6,7%</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R Umenie, zábava a rekreácia</w:t>
            </w:r>
          </w:p>
        </w:tc>
        <w:tc>
          <w:tcPr>
            <w:tcW w:w="1104" w:type="dxa"/>
            <w:vAlign w:val="center"/>
          </w:tcPr>
          <w:p w:rsidR="00460DEB" w:rsidRPr="004C5551" w:rsidRDefault="00460DEB" w:rsidP="00460DEB">
            <w:pPr>
              <w:ind w:firstLine="0"/>
              <w:jc w:val="right"/>
              <w:rPr>
                <w:sz w:val="20"/>
              </w:rPr>
            </w:pPr>
            <w:r w:rsidRPr="004C5551">
              <w:rPr>
                <w:sz w:val="20"/>
              </w:rPr>
              <w:t>45 849</w:t>
            </w:r>
          </w:p>
        </w:tc>
        <w:tc>
          <w:tcPr>
            <w:tcW w:w="851" w:type="dxa"/>
            <w:vAlign w:val="center"/>
          </w:tcPr>
          <w:p w:rsidR="00460DEB" w:rsidRPr="004C5551" w:rsidRDefault="00460DEB" w:rsidP="00460DEB">
            <w:pPr>
              <w:ind w:firstLine="0"/>
              <w:jc w:val="right"/>
              <w:rPr>
                <w:sz w:val="20"/>
              </w:rPr>
            </w:pPr>
            <w:r w:rsidRPr="004C5551">
              <w:rPr>
                <w:sz w:val="20"/>
              </w:rPr>
              <w:t>1,03</w:t>
            </w:r>
          </w:p>
        </w:tc>
        <w:tc>
          <w:tcPr>
            <w:tcW w:w="850" w:type="dxa"/>
            <w:vAlign w:val="center"/>
          </w:tcPr>
          <w:p w:rsidR="00460DEB" w:rsidRPr="004C5551" w:rsidRDefault="00460DEB" w:rsidP="00460DEB">
            <w:pPr>
              <w:ind w:firstLine="0"/>
              <w:jc w:val="right"/>
              <w:rPr>
                <w:sz w:val="20"/>
              </w:rPr>
            </w:pPr>
            <w:r w:rsidRPr="004C5551">
              <w:rPr>
                <w:sz w:val="20"/>
              </w:rPr>
              <w:t>2,1%</w:t>
            </w:r>
          </w:p>
        </w:tc>
        <w:tc>
          <w:tcPr>
            <w:tcW w:w="1134" w:type="dxa"/>
            <w:vAlign w:val="center"/>
          </w:tcPr>
          <w:p w:rsidR="00460DEB" w:rsidRPr="004C5551" w:rsidRDefault="00460DEB" w:rsidP="00460DEB">
            <w:pPr>
              <w:ind w:firstLine="0"/>
              <w:jc w:val="right"/>
              <w:rPr>
                <w:sz w:val="20"/>
              </w:rPr>
            </w:pPr>
            <w:r w:rsidRPr="004C5551">
              <w:rPr>
                <w:sz w:val="20"/>
              </w:rPr>
              <w:t>48 618</w:t>
            </w:r>
          </w:p>
        </w:tc>
        <w:tc>
          <w:tcPr>
            <w:tcW w:w="993" w:type="dxa"/>
            <w:vAlign w:val="center"/>
          </w:tcPr>
          <w:p w:rsidR="00460DEB" w:rsidRPr="004C5551" w:rsidRDefault="00460DEB" w:rsidP="00460DEB">
            <w:pPr>
              <w:ind w:firstLine="0"/>
              <w:jc w:val="right"/>
              <w:rPr>
                <w:sz w:val="20"/>
              </w:rPr>
            </w:pPr>
            <w:r w:rsidRPr="004C5551">
              <w:rPr>
                <w:sz w:val="20"/>
              </w:rPr>
              <w:t>1,06</w:t>
            </w:r>
          </w:p>
        </w:tc>
        <w:tc>
          <w:tcPr>
            <w:tcW w:w="850" w:type="dxa"/>
            <w:vAlign w:val="center"/>
          </w:tcPr>
          <w:p w:rsidR="00460DEB" w:rsidRPr="004C5551" w:rsidRDefault="00460DEB" w:rsidP="00460DEB">
            <w:pPr>
              <w:ind w:firstLine="0"/>
              <w:jc w:val="right"/>
              <w:rPr>
                <w:sz w:val="20"/>
              </w:rPr>
            </w:pPr>
            <w:r w:rsidRPr="004C5551">
              <w:rPr>
                <w:sz w:val="20"/>
              </w:rPr>
              <w:t>2,2%</w:t>
            </w:r>
          </w:p>
        </w:tc>
      </w:tr>
      <w:tr w:rsidR="00AF07E4" w:rsidRPr="004C5551" w:rsidTr="00AF07E4">
        <w:trPr>
          <w:jc w:val="center"/>
        </w:trPr>
        <w:tc>
          <w:tcPr>
            <w:tcW w:w="2794" w:type="dxa"/>
            <w:vAlign w:val="center"/>
          </w:tcPr>
          <w:p w:rsidR="00460DEB" w:rsidRPr="004C5551" w:rsidRDefault="00460DEB" w:rsidP="00460DEB">
            <w:pPr>
              <w:ind w:firstLine="0"/>
              <w:jc w:val="left"/>
              <w:rPr>
                <w:sz w:val="20"/>
              </w:rPr>
            </w:pPr>
            <w:r w:rsidRPr="004C5551">
              <w:rPr>
                <w:sz w:val="20"/>
              </w:rPr>
              <w:t>S Ostatné činnosti</w:t>
            </w:r>
          </w:p>
        </w:tc>
        <w:tc>
          <w:tcPr>
            <w:tcW w:w="1104" w:type="dxa"/>
            <w:vAlign w:val="center"/>
          </w:tcPr>
          <w:p w:rsidR="00460DEB" w:rsidRPr="004C5551" w:rsidRDefault="00460DEB" w:rsidP="00460DEB">
            <w:pPr>
              <w:ind w:firstLine="0"/>
              <w:jc w:val="right"/>
              <w:rPr>
                <w:sz w:val="20"/>
              </w:rPr>
            </w:pPr>
            <w:r w:rsidRPr="004C5551">
              <w:rPr>
                <w:sz w:val="20"/>
              </w:rPr>
              <w:t>52 649</w:t>
            </w:r>
          </w:p>
        </w:tc>
        <w:tc>
          <w:tcPr>
            <w:tcW w:w="851" w:type="dxa"/>
            <w:vAlign w:val="center"/>
          </w:tcPr>
          <w:p w:rsidR="00460DEB" w:rsidRPr="004C5551" w:rsidRDefault="00460DEB" w:rsidP="00460DEB">
            <w:pPr>
              <w:ind w:firstLine="0"/>
              <w:jc w:val="right"/>
              <w:rPr>
                <w:sz w:val="20"/>
              </w:rPr>
            </w:pPr>
            <w:r w:rsidRPr="004C5551">
              <w:rPr>
                <w:sz w:val="20"/>
              </w:rPr>
              <w:t>1,01</w:t>
            </w:r>
          </w:p>
        </w:tc>
        <w:tc>
          <w:tcPr>
            <w:tcW w:w="850" w:type="dxa"/>
            <w:vAlign w:val="center"/>
          </w:tcPr>
          <w:p w:rsidR="00460DEB" w:rsidRPr="004C5551" w:rsidRDefault="00460DEB" w:rsidP="00460DEB">
            <w:pPr>
              <w:ind w:firstLine="0"/>
              <w:jc w:val="right"/>
              <w:rPr>
                <w:sz w:val="20"/>
              </w:rPr>
            </w:pPr>
            <w:r w:rsidRPr="004C5551">
              <w:rPr>
                <w:sz w:val="20"/>
              </w:rPr>
              <w:t>2,4%</w:t>
            </w:r>
          </w:p>
        </w:tc>
        <w:tc>
          <w:tcPr>
            <w:tcW w:w="1134" w:type="dxa"/>
            <w:vAlign w:val="center"/>
          </w:tcPr>
          <w:p w:rsidR="00460DEB" w:rsidRPr="004C5551" w:rsidRDefault="00460DEB" w:rsidP="00460DEB">
            <w:pPr>
              <w:ind w:firstLine="0"/>
              <w:jc w:val="right"/>
              <w:rPr>
                <w:sz w:val="20"/>
              </w:rPr>
            </w:pPr>
            <w:r w:rsidRPr="004C5551">
              <w:rPr>
                <w:sz w:val="20"/>
              </w:rPr>
              <w:t>50 824</w:t>
            </w:r>
          </w:p>
        </w:tc>
        <w:tc>
          <w:tcPr>
            <w:tcW w:w="993" w:type="dxa"/>
            <w:vAlign w:val="center"/>
          </w:tcPr>
          <w:p w:rsidR="00460DEB" w:rsidRPr="004C5551" w:rsidRDefault="00460DEB" w:rsidP="00460DEB">
            <w:pPr>
              <w:ind w:firstLine="0"/>
              <w:jc w:val="right"/>
              <w:rPr>
                <w:sz w:val="20"/>
              </w:rPr>
            </w:pPr>
            <w:r w:rsidRPr="004C5551">
              <w:rPr>
                <w:sz w:val="20"/>
              </w:rPr>
              <w:t>0,97</w:t>
            </w:r>
          </w:p>
        </w:tc>
        <w:tc>
          <w:tcPr>
            <w:tcW w:w="850" w:type="dxa"/>
            <w:vAlign w:val="center"/>
          </w:tcPr>
          <w:p w:rsidR="00460DEB" w:rsidRPr="004C5551" w:rsidRDefault="00460DEB" w:rsidP="00460DEB">
            <w:pPr>
              <w:ind w:firstLine="0"/>
              <w:jc w:val="right"/>
              <w:rPr>
                <w:sz w:val="20"/>
              </w:rPr>
            </w:pPr>
            <w:r w:rsidRPr="004C5551">
              <w:rPr>
                <w:sz w:val="20"/>
              </w:rPr>
              <w:t>2,3%</w:t>
            </w:r>
          </w:p>
        </w:tc>
      </w:tr>
    </w:tbl>
    <w:p w:rsidR="00AF07E4" w:rsidRPr="004C5551" w:rsidRDefault="00AF07E4" w:rsidP="00AF07E4">
      <w:pPr>
        <w:pStyle w:val="zdroj"/>
        <w:ind w:firstLine="425"/>
      </w:pPr>
      <w:r w:rsidRPr="004C5551">
        <w:t>Zdroj: ŠÚ SR, štvrťročné výkazníctvo</w:t>
      </w:r>
    </w:p>
    <w:p w:rsidR="00460DEB" w:rsidRPr="004C5551" w:rsidRDefault="00460DEB" w:rsidP="00460DEB"/>
    <w:p w:rsidR="00AF07E4" w:rsidRPr="004C5551" w:rsidRDefault="00AF07E4">
      <w:pPr>
        <w:jc w:val="left"/>
        <w:rPr>
          <w:b/>
        </w:rPr>
      </w:pPr>
      <w:r w:rsidRPr="004C5551">
        <w:br w:type="page"/>
      </w:r>
    </w:p>
    <w:p w:rsidR="00641072" w:rsidRPr="004C5551" w:rsidRDefault="00641072" w:rsidP="006A153B">
      <w:pPr>
        <w:pStyle w:val="Nadpis7"/>
      </w:pPr>
      <w:r w:rsidRPr="004C5551">
        <w:t xml:space="preserve">Tabuľka </w:t>
      </w:r>
      <w:r w:rsidR="0004706C" w:rsidRPr="004C5551">
        <w:t>3</w:t>
      </w:r>
      <w:r w:rsidRPr="004C5551">
        <w:t xml:space="preserve"> Miera nezamestnanosti podľa veku a vzdelania v roku 201</w:t>
      </w:r>
      <w:r w:rsidR="00655346" w:rsidRPr="004C5551">
        <w:t>4</w:t>
      </w:r>
      <w:r w:rsidRPr="004C5551">
        <w:t xml:space="preserve"> </w:t>
      </w:r>
      <w:r w:rsidR="006A153B" w:rsidRPr="004C5551">
        <w:br/>
      </w:r>
      <w:r w:rsidRPr="004C5551">
        <w:t>(priemer za rok v</w:t>
      </w:r>
      <w:r w:rsidR="009425AA" w:rsidRPr="004C5551">
        <w:t> %</w:t>
      </w:r>
      <w:r w:rsidRPr="004C5551">
        <w:t>)</w:t>
      </w:r>
      <w:bookmarkEnd w:id="835"/>
      <w:r w:rsidRPr="004C5551">
        <w:t xml:space="preserve"> </w:t>
      </w:r>
    </w:p>
    <w:tbl>
      <w:tblPr>
        <w:tblW w:w="8541"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7"/>
        <w:gridCol w:w="1508"/>
        <w:gridCol w:w="1508"/>
        <w:gridCol w:w="1508"/>
      </w:tblGrid>
      <w:tr w:rsidR="00641072" w:rsidRPr="004C5551" w:rsidTr="005D3DFE">
        <w:trPr>
          <w:trHeight w:val="300"/>
          <w:tblHeader/>
          <w:jc w:val="center"/>
        </w:trPr>
        <w:tc>
          <w:tcPr>
            <w:tcW w:w="4017"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Ukazovateľ</w:t>
            </w:r>
          </w:p>
        </w:tc>
        <w:tc>
          <w:tcPr>
            <w:tcW w:w="1508"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Spolu</w:t>
            </w:r>
          </w:p>
        </w:tc>
        <w:tc>
          <w:tcPr>
            <w:tcW w:w="1508"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Muži</w:t>
            </w:r>
          </w:p>
        </w:tc>
        <w:tc>
          <w:tcPr>
            <w:tcW w:w="1508" w:type="dxa"/>
            <w:shd w:val="clear" w:color="auto" w:fill="FF9999" w:themeFill="accent3" w:themeFillTint="66"/>
            <w:noWrap/>
            <w:vAlign w:val="center"/>
          </w:tcPr>
          <w:p w:rsidR="00641072" w:rsidRPr="004C5551" w:rsidRDefault="00641072" w:rsidP="00641072">
            <w:pPr>
              <w:pStyle w:val="BodyText21"/>
              <w:widowControl/>
              <w:spacing w:before="0"/>
              <w:ind w:firstLine="0"/>
              <w:jc w:val="center"/>
              <w:rPr>
                <w:b/>
                <w:color w:val="333300"/>
                <w:lang w:val="sk-SK"/>
              </w:rPr>
            </w:pPr>
            <w:r w:rsidRPr="004C5551">
              <w:rPr>
                <w:b/>
                <w:color w:val="333300"/>
                <w:szCs w:val="22"/>
                <w:lang w:val="sk-SK"/>
              </w:rPr>
              <w:t>Ženy</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Spolu</w:t>
            </w:r>
          </w:p>
        </w:tc>
        <w:tc>
          <w:tcPr>
            <w:tcW w:w="1508" w:type="dxa"/>
            <w:noWrap/>
            <w:vAlign w:val="bottom"/>
          </w:tcPr>
          <w:p w:rsidR="00655346" w:rsidRPr="004C5551" w:rsidRDefault="00655346" w:rsidP="00655346">
            <w:pPr>
              <w:ind w:right="397"/>
              <w:jc w:val="right"/>
              <w:rPr>
                <w:b/>
                <w:bCs/>
              </w:rPr>
            </w:pPr>
            <w:r w:rsidRPr="004C5551">
              <w:rPr>
                <w:b/>
                <w:bCs/>
              </w:rPr>
              <w:t>13,2</w:t>
            </w:r>
          </w:p>
        </w:tc>
        <w:tc>
          <w:tcPr>
            <w:tcW w:w="1508" w:type="dxa"/>
            <w:noWrap/>
            <w:vAlign w:val="bottom"/>
          </w:tcPr>
          <w:p w:rsidR="00655346" w:rsidRPr="004C5551" w:rsidRDefault="00655346" w:rsidP="00655346">
            <w:pPr>
              <w:ind w:right="397"/>
              <w:jc w:val="right"/>
              <w:rPr>
                <w:b/>
                <w:bCs/>
              </w:rPr>
            </w:pPr>
            <w:r w:rsidRPr="004C5551">
              <w:rPr>
                <w:b/>
                <w:bCs/>
              </w:rPr>
              <w:t>12,9</w:t>
            </w:r>
          </w:p>
        </w:tc>
        <w:tc>
          <w:tcPr>
            <w:tcW w:w="1508" w:type="dxa"/>
            <w:noWrap/>
            <w:vAlign w:val="bottom"/>
          </w:tcPr>
          <w:p w:rsidR="00655346" w:rsidRPr="004C5551" w:rsidRDefault="00655346" w:rsidP="00655346">
            <w:pPr>
              <w:ind w:right="397"/>
              <w:jc w:val="right"/>
              <w:rPr>
                <w:b/>
                <w:bCs/>
              </w:rPr>
            </w:pPr>
            <w:r w:rsidRPr="004C5551">
              <w:rPr>
                <w:b/>
                <w:bCs/>
              </w:rPr>
              <w:t>13,6</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firstLine="0"/>
              <w:jc w:val="left"/>
              <w:rPr>
                <w:b/>
                <w:color w:val="333300"/>
                <w:lang w:val="sk-SK"/>
              </w:rPr>
            </w:pPr>
            <w:r w:rsidRPr="004C5551">
              <w:rPr>
                <w:b/>
                <w:color w:val="333300"/>
                <w:szCs w:val="22"/>
                <w:lang w:val="sk-SK"/>
              </w:rPr>
              <w:t>Podľa vekových skupín</w:t>
            </w:r>
          </w:p>
        </w:tc>
        <w:tc>
          <w:tcPr>
            <w:tcW w:w="1508" w:type="dxa"/>
            <w:noWrap/>
            <w:vAlign w:val="bottom"/>
          </w:tcPr>
          <w:p w:rsidR="00655346" w:rsidRPr="004C5551" w:rsidRDefault="00655346" w:rsidP="00655346">
            <w:pPr>
              <w:ind w:right="397"/>
              <w:jc w:val="right"/>
            </w:pPr>
          </w:p>
        </w:tc>
        <w:tc>
          <w:tcPr>
            <w:tcW w:w="1508" w:type="dxa"/>
            <w:noWrap/>
            <w:vAlign w:val="bottom"/>
          </w:tcPr>
          <w:p w:rsidR="00655346" w:rsidRPr="004C5551" w:rsidRDefault="00655346" w:rsidP="00655346">
            <w:pPr>
              <w:pStyle w:val="BodyText21"/>
              <w:widowControl/>
              <w:spacing w:before="0"/>
              <w:ind w:right="397" w:firstLine="0"/>
              <w:jc w:val="right"/>
              <w:rPr>
                <w:lang w:val="sk-SK"/>
              </w:rPr>
            </w:pPr>
          </w:p>
        </w:tc>
        <w:tc>
          <w:tcPr>
            <w:tcW w:w="1508" w:type="dxa"/>
            <w:noWrap/>
            <w:vAlign w:val="bottom"/>
          </w:tcPr>
          <w:p w:rsidR="00655346" w:rsidRPr="004C5551" w:rsidRDefault="00655346" w:rsidP="00655346">
            <w:pPr>
              <w:pStyle w:val="BodyText21"/>
              <w:widowControl/>
              <w:spacing w:before="0"/>
              <w:ind w:right="397" w:firstLine="0"/>
              <w:jc w:val="right"/>
              <w:rPr>
                <w:lang w:val="sk-SK"/>
              </w:rPr>
            </w:pP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left="113" w:firstLine="0"/>
              <w:jc w:val="left"/>
              <w:rPr>
                <w:color w:val="333300"/>
                <w:lang w:val="sk-SK"/>
              </w:rPr>
            </w:pPr>
            <w:r w:rsidRPr="004C5551">
              <w:rPr>
                <w:color w:val="333300"/>
                <w:szCs w:val="22"/>
                <w:lang w:val="sk-SK"/>
              </w:rPr>
              <w:t>15</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19 roční</w:t>
            </w:r>
          </w:p>
        </w:tc>
        <w:tc>
          <w:tcPr>
            <w:tcW w:w="1508" w:type="dxa"/>
            <w:noWrap/>
            <w:vAlign w:val="center"/>
          </w:tcPr>
          <w:p w:rsidR="00655346" w:rsidRPr="004C5551" w:rsidRDefault="00655346" w:rsidP="00655346">
            <w:pPr>
              <w:ind w:right="352"/>
              <w:jc w:val="right"/>
              <w:rPr>
                <w:sz w:val="24"/>
              </w:rPr>
            </w:pPr>
            <w:r w:rsidRPr="004C5551">
              <w:t>56,0</w:t>
            </w:r>
          </w:p>
        </w:tc>
        <w:tc>
          <w:tcPr>
            <w:tcW w:w="1508" w:type="dxa"/>
            <w:noWrap/>
            <w:vAlign w:val="center"/>
          </w:tcPr>
          <w:p w:rsidR="00655346" w:rsidRPr="004C5551" w:rsidRDefault="00655346" w:rsidP="00655346">
            <w:pPr>
              <w:ind w:right="352"/>
              <w:jc w:val="right"/>
              <w:rPr>
                <w:sz w:val="24"/>
              </w:rPr>
            </w:pPr>
            <w:r w:rsidRPr="004C5551">
              <w:t>50,6</w:t>
            </w:r>
          </w:p>
        </w:tc>
        <w:tc>
          <w:tcPr>
            <w:tcW w:w="1508" w:type="dxa"/>
            <w:noWrap/>
            <w:vAlign w:val="center"/>
          </w:tcPr>
          <w:p w:rsidR="00655346" w:rsidRPr="004C5551" w:rsidRDefault="00655346" w:rsidP="00655346">
            <w:pPr>
              <w:ind w:right="352"/>
              <w:jc w:val="right"/>
              <w:rPr>
                <w:sz w:val="24"/>
              </w:rPr>
            </w:pPr>
            <w:r w:rsidRPr="004C5551">
              <w:t>65,6</w:t>
            </w:r>
          </w:p>
        </w:tc>
      </w:tr>
      <w:tr w:rsidR="00655346" w:rsidRPr="004C5551" w:rsidTr="005D3DFE">
        <w:trPr>
          <w:trHeight w:val="300"/>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20</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24 roční</w:t>
            </w:r>
          </w:p>
        </w:tc>
        <w:tc>
          <w:tcPr>
            <w:tcW w:w="1508" w:type="dxa"/>
            <w:noWrap/>
            <w:vAlign w:val="center"/>
          </w:tcPr>
          <w:p w:rsidR="00655346" w:rsidRPr="004C5551" w:rsidRDefault="00655346" w:rsidP="00655346">
            <w:pPr>
              <w:ind w:right="352"/>
              <w:jc w:val="right"/>
              <w:rPr>
                <w:sz w:val="24"/>
              </w:rPr>
            </w:pPr>
            <w:r w:rsidRPr="004C5551">
              <w:t>27,1</w:t>
            </w:r>
          </w:p>
        </w:tc>
        <w:tc>
          <w:tcPr>
            <w:tcW w:w="1508" w:type="dxa"/>
            <w:noWrap/>
            <w:vAlign w:val="center"/>
          </w:tcPr>
          <w:p w:rsidR="00655346" w:rsidRPr="004C5551" w:rsidRDefault="00655346" w:rsidP="00655346">
            <w:pPr>
              <w:ind w:right="352"/>
              <w:jc w:val="right"/>
              <w:rPr>
                <w:sz w:val="24"/>
              </w:rPr>
            </w:pPr>
            <w:r w:rsidRPr="004C5551">
              <w:t>27,2</w:t>
            </w:r>
          </w:p>
        </w:tc>
        <w:tc>
          <w:tcPr>
            <w:tcW w:w="1508" w:type="dxa"/>
            <w:noWrap/>
            <w:vAlign w:val="center"/>
          </w:tcPr>
          <w:p w:rsidR="00655346" w:rsidRPr="004C5551" w:rsidRDefault="00655346" w:rsidP="00655346">
            <w:pPr>
              <w:ind w:right="352"/>
              <w:jc w:val="right"/>
              <w:rPr>
                <w:sz w:val="24"/>
              </w:rPr>
            </w:pPr>
            <w:r w:rsidRPr="004C5551">
              <w:t>26,8</w:t>
            </w:r>
          </w:p>
        </w:tc>
      </w:tr>
      <w:tr w:rsidR="00655346" w:rsidRPr="004C5551" w:rsidTr="005D3DFE">
        <w:trPr>
          <w:trHeight w:val="301"/>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25</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29 roční</w:t>
            </w:r>
          </w:p>
        </w:tc>
        <w:tc>
          <w:tcPr>
            <w:tcW w:w="1508" w:type="dxa"/>
            <w:noWrap/>
            <w:vAlign w:val="center"/>
          </w:tcPr>
          <w:p w:rsidR="00655346" w:rsidRPr="004C5551" w:rsidRDefault="00655346" w:rsidP="00655346">
            <w:pPr>
              <w:ind w:right="352"/>
              <w:jc w:val="right"/>
              <w:rPr>
                <w:sz w:val="24"/>
              </w:rPr>
            </w:pPr>
            <w:r w:rsidRPr="004C5551">
              <w:t>16,1</w:t>
            </w:r>
          </w:p>
        </w:tc>
        <w:tc>
          <w:tcPr>
            <w:tcW w:w="1508" w:type="dxa"/>
            <w:noWrap/>
            <w:vAlign w:val="center"/>
          </w:tcPr>
          <w:p w:rsidR="00655346" w:rsidRPr="004C5551" w:rsidRDefault="00655346" w:rsidP="00655346">
            <w:pPr>
              <w:ind w:right="352"/>
              <w:jc w:val="right"/>
              <w:rPr>
                <w:sz w:val="24"/>
              </w:rPr>
            </w:pPr>
            <w:r w:rsidRPr="004C5551">
              <w:t>16,9</w:t>
            </w:r>
          </w:p>
        </w:tc>
        <w:tc>
          <w:tcPr>
            <w:tcW w:w="1508" w:type="dxa"/>
            <w:noWrap/>
            <w:vAlign w:val="center"/>
          </w:tcPr>
          <w:p w:rsidR="00655346" w:rsidRPr="004C5551" w:rsidRDefault="00655346" w:rsidP="00655346">
            <w:pPr>
              <w:ind w:right="352"/>
              <w:jc w:val="right"/>
              <w:rPr>
                <w:sz w:val="24"/>
              </w:rPr>
            </w:pPr>
            <w:r w:rsidRPr="004C5551">
              <w:t>14,9</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jc w:val="left"/>
              <w:rPr>
                <w:color w:val="333300"/>
                <w:lang w:val="sk-SK"/>
              </w:rPr>
            </w:pPr>
            <w:r w:rsidRPr="004C5551">
              <w:rPr>
                <w:color w:val="333300"/>
                <w:szCs w:val="22"/>
                <w:lang w:val="sk-SK"/>
              </w:rPr>
              <w:t>30-34 roční</w:t>
            </w:r>
          </w:p>
        </w:tc>
        <w:tc>
          <w:tcPr>
            <w:tcW w:w="1508" w:type="dxa"/>
            <w:noWrap/>
            <w:vAlign w:val="center"/>
          </w:tcPr>
          <w:p w:rsidR="00655346" w:rsidRPr="004C5551" w:rsidRDefault="00655346" w:rsidP="00655346">
            <w:pPr>
              <w:ind w:right="352"/>
              <w:jc w:val="right"/>
              <w:rPr>
                <w:sz w:val="24"/>
              </w:rPr>
            </w:pPr>
            <w:r w:rsidRPr="004C5551">
              <w:t>15,4</w:t>
            </w:r>
          </w:p>
        </w:tc>
        <w:tc>
          <w:tcPr>
            <w:tcW w:w="1508" w:type="dxa"/>
            <w:noWrap/>
            <w:vAlign w:val="center"/>
          </w:tcPr>
          <w:p w:rsidR="00655346" w:rsidRPr="004C5551" w:rsidRDefault="00655346" w:rsidP="00655346">
            <w:pPr>
              <w:ind w:right="352"/>
              <w:jc w:val="right"/>
              <w:rPr>
                <w:sz w:val="24"/>
              </w:rPr>
            </w:pPr>
            <w:r w:rsidRPr="004C5551">
              <w:t>13,9</w:t>
            </w:r>
          </w:p>
        </w:tc>
        <w:tc>
          <w:tcPr>
            <w:tcW w:w="1508" w:type="dxa"/>
            <w:noWrap/>
            <w:vAlign w:val="center"/>
          </w:tcPr>
          <w:p w:rsidR="00655346" w:rsidRPr="004C5551" w:rsidRDefault="00655346" w:rsidP="00655346">
            <w:pPr>
              <w:ind w:right="352"/>
              <w:jc w:val="right"/>
              <w:rPr>
                <w:sz w:val="24"/>
              </w:rPr>
            </w:pPr>
            <w:r w:rsidRPr="004C5551">
              <w:t>17,5</w:t>
            </w:r>
          </w:p>
        </w:tc>
      </w:tr>
      <w:tr w:rsidR="00655346" w:rsidRPr="004C5551" w:rsidTr="005D3DFE">
        <w:trPr>
          <w:trHeight w:val="301"/>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35</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39 roční</w:t>
            </w:r>
          </w:p>
        </w:tc>
        <w:tc>
          <w:tcPr>
            <w:tcW w:w="1508" w:type="dxa"/>
            <w:noWrap/>
            <w:vAlign w:val="center"/>
          </w:tcPr>
          <w:p w:rsidR="00655346" w:rsidRPr="004C5551" w:rsidRDefault="00655346" w:rsidP="00655346">
            <w:pPr>
              <w:ind w:right="352"/>
              <w:jc w:val="right"/>
              <w:rPr>
                <w:sz w:val="24"/>
              </w:rPr>
            </w:pPr>
            <w:r w:rsidRPr="004C5551">
              <w:t>9,7</w:t>
            </w:r>
          </w:p>
        </w:tc>
        <w:tc>
          <w:tcPr>
            <w:tcW w:w="1508" w:type="dxa"/>
            <w:noWrap/>
            <w:vAlign w:val="center"/>
          </w:tcPr>
          <w:p w:rsidR="00655346" w:rsidRPr="004C5551" w:rsidRDefault="00655346" w:rsidP="00655346">
            <w:pPr>
              <w:ind w:right="352"/>
              <w:jc w:val="right"/>
              <w:rPr>
                <w:sz w:val="24"/>
              </w:rPr>
            </w:pPr>
            <w:r w:rsidRPr="004C5551">
              <w:t>8,8</w:t>
            </w:r>
          </w:p>
        </w:tc>
        <w:tc>
          <w:tcPr>
            <w:tcW w:w="1508" w:type="dxa"/>
            <w:noWrap/>
            <w:vAlign w:val="center"/>
          </w:tcPr>
          <w:p w:rsidR="00655346" w:rsidRPr="004C5551" w:rsidRDefault="00655346" w:rsidP="00655346">
            <w:pPr>
              <w:ind w:right="352"/>
              <w:jc w:val="right"/>
              <w:rPr>
                <w:sz w:val="24"/>
              </w:rPr>
            </w:pPr>
            <w:r w:rsidRPr="004C5551">
              <w:t>10,8</w:t>
            </w:r>
          </w:p>
        </w:tc>
      </w:tr>
      <w:tr w:rsidR="00655346" w:rsidRPr="004C5551" w:rsidTr="005D3DFE">
        <w:trPr>
          <w:trHeight w:val="300"/>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40</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44 roční</w:t>
            </w:r>
          </w:p>
        </w:tc>
        <w:tc>
          <w:tcPr>
            <w:tcW w:w="1508" w:type="dxa"/>
            <w:noWrap/>
            <w:vAlign w:val="center"/>
          </w:tcPr>
          <w:p w:rsidR="00655346" w:rsidRPr="004C5551" w:rsidRDefault="00655346" w:rsidP="00655346">
            <w:pPr>
              <w:ind w:right="352"/>
              <w:jc w:val="right"/>
              <w:rPr>
                <w:sz w:val="24"/>
              </w:rPr>
            </w:pPr>
            <w:r w:rsidRPr="004C5551">
              <w:t>9,4</w:t>
            </w:r>
          </w:p>
        </w:tc>
        <w:tc>
          <w:tcPr>
            <w:tcW w:w="1508" w:type="dxa"/>
            <w:noWrap/>
            <w:vAlign w:val="center"/>
          </w:tcPr>
          <w:p w:rsidR="00655346" w:rsidRPr="004C5551" w:rsidRDefault="00655346" w:rsidP="00655346">
            <w:pPr>
              <w:ind w:right="352"/>
              <w:jc w:val="right"/>
              <w:rPr>
                <w:sz w:val="24"/>
              </w:rPr>
            </w:pPr>
            <w:r w:rsidRPr="004C5551">
              <w:t>7,6</w:t>
            </w:r>
          </w:p>
        </w:tc>
        <w:tc>
          <w:tcPr>
            <w:tcW w:w="1508" w:type="dxa"/>
            <w:noWrap/>
            <w:vAlign w:val="center"/>
          </w:tcPr>
          <w:p w:rsidR="00655346" w:rsidRPr="004C5551" w:rsidRDefault="00655346" w:rsidP="00655346">
            <w:pPr>
              <w:ind w:right="352"/>
              <w:jc w:val="right"/>
              <w:rPr>
                <w:sz w:val="24"/>
              </w:rPr>
            </w:pPr>
            <w:r w:rsidRPr="004C5551">
              <w:t>11,3</w:t>
            </w:r>
          </w:p>
        </w:tc>
      </w:tr>
      <w:tr w:rsidR="00655346" w:rsidRPr="004C5551" w:rsidTr="005D3DFE">
        <w:trPr>
          <w:trHeight w:val="301"/>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45</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49 roční</w:t>
            </w:r>
          </w:p>
        </w:tc>
        <w:tc>
          <w:tcPr>
            <w:tcW w:w="1508" w:type="dxa"/>
            <w:noWrap/>
            <w:vAlign w:val="center"/>
          </w:tcPr>
          <w:p w:rsidR="00655346" w:rsidRPr="004C5551" w:rsidRDefault="00655346" w:rsidP="00655346">
            <w:pPr>
              <w:ind w:right="352"/>
              <w:jc w:val="right"/>
              <w:rPr>
                <w:sz w:val="24"/>
              </w:rPr>
            </w:pPr>
            <w:r w:rsidRPr="004C5551">
              <w:t>10,2</w:t>
            </w:r>
          </w:p>
        </w:tc>
        <w:tc>
          <w:tcPr>
            <w:tcW w:w="1508" w:type="dxa"/>
            <w:noWrap/>
            <w:vAlign w:val="center"/>
          </w:tcPr>
          <w:p w:rsidR="00655346" w:rsidRPr="004C5551" w:rsidRDefault="00655346" w:rsidP="00655346">
            <w:pPr>
              <w:ind w:right="352"/>
              <w:jc w:val="right"/>
              <w:rPr>
                <w:sz w:val="24"/>
              </w:rPr>
            </w:pPr>
            <w:r w:rsidRPr="004C5551">
              <w:t>10,1</w:t>
            </w:r>
          </w:p>
        </w:tc>
        <w:tc>
          <w:tcPr>
            <w:tcW w:w="1508" w:type="dxa"/>
            <w:noWrap/>
            <w:vAlign w:val="center"/>
          </w:tcPr>
          <w:p w:rsidR="00655346" w:rsidRPr="004C5551" w:rsidRDefault="00655346" w:rsidP="00655346">
            <w:pPr>
              <w:ind w:right="352"/>
              <w:jc w:val="right"/>
              <w:rPr>
                <w:sz w:val="24"/>
              </w:rPr>
            </w:pPr>
            <w:r w:rsidRPr="004C5551">
              <w:t>10,4</w:t>
            </w:r>
          </w:p>
        </w:tc>
      </w:tr>
      <w:tr w:rsidR="00655346" w:rsidRPr="004C5551" w:rsidTr="005D3DFE">
        <w:trPr>
          <w:trHeight w:val="300"/>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50</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54 roční</w:t>
            </w:r>
          </w:p>
        </w:tc>
        <w:tc>
          <w:tcPr>
            <w:tcW w:w="1508" w:type="dxa"/>
            <w:noWrap/>
            <w:vAlign w:val="center"/>
          </w:tcPr>
          <w:p w:rsidR="00655346" w:rsidRPr="004C5551" w:rsidRDefault="00655346" w:rsidP="00655346">
            <w:pPr>
              <w:ind w:right="352"/>
              <w:jc w:val="right"/>
              <w:rPr>
                <w:sz w:val="24"/>
              </w:rPr>
            </w:pPr>
            <w:r w:rsidRPr="004C5551">
              <w:t>11,8</w:t>
            </w:r>
          </w:p>
        </w:tc>
        <w:tc>
          <w:tcPr>
            <w:tcW w:w="1508" w:type="dxa"/>
            <w:noWrap/>
            <w:vAlign w:val="center"/>
          </w:tcPr>
          <w:p w:rsidR="00655346" w:rsidRPr="004C5551" w:rsidRDefault="00655346" w:rsidP="00655346">
            <w:pPr>
              <w:ind w:right="352"/>
              <w:jc w:val="right"/>
              <w:rPr>
                <w:sz w:val="24"/>
              </w:rPr>
            </w:pPr>
            <w:r w:rsidRPr="004C5551">
              <w:t>11,4</w:t>
            </w:r>
          </w:p>
        </w:tc>
        <w:tc>
          <w:tcPr>
            <w:tcW w:w="1508" w:type="dxa"/>
            <w:noWrap/>
            <w:vAlign w:val="center"/>
          </w:tcPr>
          <w:p w:rsidR="00655346" w:rsidRPr="004C5551" w:rsidRDefault="00655346" w:rsidP="00655346">
            <w:pPr>
              <w:ind w:right="352"/>
              <w:jc w:val="right"/>
              <w:rPr>
                <w:sz w:val="24"/>
              </w:rPr>
            </w:pPr>
            <w:r w:rsidRPr="004C5551">
              <w:t>12,1</w:t>
            </w:r>
          </w:p>
        </w:tc>
      </w:tr>
      <w:tr w:rsidR="00655346" w:rsidRPr="004C5551" w:rsidTr="005D3DFE">
        <w:trPr>
          <w:trHeight w:val="301"/>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55</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59 roční</w:t>
            </w:r>
          </w:p>
        </w:tc>
        <w:tc>
          <w:tcPr>
            <w:tcW w:w="1508" w:type="dxa"/>
            <w:noWrap/>
            <w:vAlign w:val="center"/>
          </w:tcPr>
          <w:p w:rsidR="00655346" w:rsidRPr="004C5551" w:rsidRDefault="00655346" w:rsidP="00655346">
            <w:pPr>
              <w:ind w:right="352"/>
              <w:jc w:val="right"/>
              <w:rPr>
                <w:sz w:val="24"/>
              </w:rPr>
            </w:pPr>
            <w:r w:rsidRPr="004C5551">
              <w:t>11,9</w:t>
            </w:r>
          </w:p>
        </w:tc>
        <w:tc>
          <w:tcPr>
            <w:tcW w:w="1508" w:type="dxa"/>
            <w:noWrap/>
            <w:vAlign w:val="center"/>
          </w:tcPr>
          <w:p w:rsidR="00655346" w:rsidRPr="004C5551" w:rsidRDefault="00655346" w:rsidP="00655346">
            <w:pPr>
              <w:ind w:right="352"/>
              <w:jc w:val="right"/>
              <w:rPr>
                <w:sz w:val="24"/>
              </w:rPr>
            </w:pPr>
            <w:r w:rsidRPr="004C5551">
              <w:t>11,1</w:t>
            </w:r>
          </w:p>
        </w:tc>
        <w:tc>
          <w:tcPr>
            <w:tcW w:w="1508" w:type="dxa"/>
            <w:noWrap/>
            <w:vAlign w:val="center"/>
          </w:tcPr>
          <w:p w:rsidR="00655346" w:rsidRPr="004C5551" w:rsidRDefault="00655346" w:rsidP="00655346">
            <w:pPr>
              <w:ind w:right="352"/>
              <w:jc w:val="right"/>
              <w:rPr>
                <w:sz w:val="24"/>
              </w:rPr>
            </w:pPr>
            <w:r w:rsidRPr="004C5551">
              <w:t>12,7</w:t>
            </w:r>
          </w:p>
        </w:tc>
      </w:tr>
      <w:tr w:rsidR="00655346" w:rsidRPr="004C5551" w:rsidTr="005D3DFE">
        <w:trPr>
          <w:trHeight w:val="301"/>
          <w:jc w:val="center"/>
        </w:trPr>
        <w:tc>
          <w:tcPr>
            <w:tcW w:w="4017" w:type="dxa"/>
            <w:noWrap/>
            <w:vAlign w:val="bottom"/>
          </w:tcPr>
          <w:p w:rsidR="00655346" w:rsidRPr="004C5551" w:rsidRDefault="00655346" w:rsidP="00F80174">
            <w:pPr>
              <w:pStyle w:val="BodyText21"/>
              <w:widowControl/>
              <w:spacing w:before="0"/>
              <w:ind w:left="113" w:firstLine="0"/>
              <w:jc w:val="left"/>
              <w:rPr>
                <w:color w:val="333300"/>
                <w:lang w:val="sk-SK"/>
              </w:rPr>
            </w:pPr>
            <w:r w:rsidRPr="004C5551">
              <w:rPr>
                <w:color w:val="333300"/>
                <w:szCs w:val="22"/>
                <w:lang w:val="sk-SK"/>
              </w:rPr>
              <w:t>60</w:t>
            </w:r>
            <w:r w:rsidR="00F80174" w:rsidRPr="004C5551">
              <w:rPr>
                <w:color w:val="333300"/>
                <w:szCs w:val="22"/>
                <w:lang w:val="sk-SK"/>
              </w:rPr>
              <w:t xml:space="preserve"> </w:t>
            </w:r>
            <w:r w:rsidR="00F80174" w:rsidRPr="004C5551">
              <w:rPr>
                <w:bCs/>
                <w:sz w:val="20"/>
                <w:szCs w:val="16"/>
                <w:lang w:val="sk-SK"/>
              </w:rPr>
              <w:t xml:space="preserve">– </w:t>
            </w:r>
            <w:r w:rsidRPr="004C5551">
              <w:rPr>
                <w:color w:val="333300"/>
                <w:szCs w:val="22"/>
                <w:lang w:val="sk-SK"/>
              </w:rPr>
              <w:t>64 roční</w:t>
            </w:r>
          </w:p>
        </w:tc>
        <w:tc>
          <w:tcPr>
            <w:tcW w:w="1508" w:type="dxa"/>
            <w:noWrap/>
            <w:vAlign w:val="center"/>
          </w:tcPr>
          <w:p w:rsidR="00655346" w:rsidRPr="004C5551" w:rsidRDefault="00655346" w:rsidP="00655346">
            <w:pPr>
              <w:ind w:right="352"/>
              <w:jc w:val="right"/>
              <w:rPr>
                <w:sz w:val="24"/>
              </w:rPr>
            </w:pPr>
            <w:r w:rsidRPr="004C5551">
              <w:t>6,0</w:t>
            </w:r>
          </w:p>
        </w:tc>
        <w:tc>
          <w:tcPr>
            <w:tcW w:w="1508" w:type="dxa"/>
            <w:noWrap/>
            <w:vAlign w:val="center"/>
          </w:tcPr>
          <w:p w:rsidR="00655346" w:rsidRPr="004C5551" w:rsidRDefault="00655346" w:rsidP="00655346">
            <w:pPr>
              <w:ind w:right="352"/>
              <w:jc w:val="right"/>
              <w:rPr>
                <w:sz w:val="24"/>
              </w:rPr>
            </w:pPr>
            <w:r w:rsidRPr="004C5551">
              <w:t>5,6</w:t>
            </w:r>
          </w:p>
        </w:tc>
        <w:tc>
          <w:tcPr>
            <w:tcW w:w="1508" w:type="dxa"/>
            <w:noWrap/>
            <w:vAlign w:val="center"/>
          </w:tcPr>
          <w:p w:rsidR="00655346" w:rsidRPr="004C5551" w:rsidRDefault="00655346" w:rsidP="00655346">
            <w:pPr>
              <w:ind w:right="352"/>
              <w:jc w:val="right"/>
              <w:rPr>
                <w:sz w:val="24"/>
              </w:rPr>
            </w:pPr>
            <w:r w:rsidRPr="004C5551">
              <w:t>6,8</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jc w:val="left"/>
              <w:rPr>
                <w:color w:val="333300"/>
                <w:lang w:val="sk-SK"/>
              </w:rPr>
            </w:pPr>
            <w:r w:rsidRPr="004C5551">
              <w:rPr>
                <w:color w:val="333300"/>
                <w:szCs w:val="22"/>
                <w:lang w:val="sk-SK"/>
              </w:rPr>
              <w:t>65 a viac roční</w:t>
            </w:r>
          </w:p>
        </w:tc>
        <w:tc>
          <w:tcPr>
            <w:tcW w:w="1508" w:type="dxa"/>
            <w:noWrap/>
            <w:vAlign w:val="bottom"/>
          </w:tcPr>
          <w:p w:rsidR="00655346" w:rsidRPr="004C5551" w:rsidRDefault="00655346" w:rsidP="00655346">
            <w:pPr>
              <w:ind w:right="352"/>
              <w:jc w:val="right"/>
              <w:rPr>
                <w:bCs/>
              </w:rPr>
            </w:pPr>
            <w:r w:rsidRPr="004C5551">
              <w:t>6,5</w:t>
            </w:r>
          </w:p>
        </w:tc>
        <w:tc>
          <w:tcPr>
            <w:tcW w:w="1508" w:type="dxa"/>
            <w:noWrap/>
            <w:vAlign w:val="center"/>
          </w:tcPr>
          <w:p w:rsidR="00655346" w:rsidRPr="004C5551" w:rsidRDefault="00655346" w:rsidP="00655346">
            <w:pPr>
              <w:ind w:right="352"/>
              <w:jc w:val="right"/>
              <w:rPr>
                <w:sz w:val="24"/>
              </w:rPr>
            </w:pPr>
            <w:r w:rsidRPr="004C5551">
              <w:t>7,8</w:t>
            </w:r>
          </w:p>
        </w:tc>
        <w:tc>
          <w:tcPr>
            <w:tcW w:w="1508" w:type="dxa"/>
            <w:noWrap/>
            <w:vAlign w:val="center"/>
          </w:tcPr>
          <w:p w:rsidR="00655346" w:rsidRPr="004C5551" w:rsidRDefault="00655346" w:rsidP="00655346">
            <w:pPr>
              <w:ind w:right="352"/>
              <w:jc w:val="right"/>
              <w:rPr>
                <w:sz w:val="24"/>
              </w:rPr>
            </w:pPr>
            <w:r w:rsidRPr="004C5551">
              <w:t>4,1</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right="-225" w:firstLine="0"/>
              <w:jc w:val="left"/>
              <w:rPr>
                <w:b/>
                <w:color w:val="333300"/>
                <w:lang w:val="sk-SK"/>
              </w:rPr>
            </w:pPr>
            <w:r w:rsidRPr="004C5551">
              <w:rPr>
                <w:b/>
                <w:color w:val="333300"/>
                <w:szCs w:val="22"/>
                <w:lang w:val="sk-SK"/>
              </w:rPr>
              <w:t>Podľa vzdelania</w:t>
            </w:r>
          </w:p>
        </w:tc>
        <w:tc>
          <w:tcPr>
            <w:tcW w:w="1508" w:type="dxa"/>
            <w:noWrap/>
            <w:vAlign w:val="bottom"/>
          </w:tcPr>
          <w:p w:rsidR="00655346" w:rsidRPr="004C5551" w:rsidRDefault="00655346" w:rsidP="00655346">
            <w:pPr>
              <w:ind w:right="397"/>
              <w:jc w:val="left"/>
            </w:pPr>
          </w:p>
        </w:tc>
        <w:tc>
          <w:tcPr>
            <w:tcW w:w="1508" w:type="dxa"/>
            <w:noWrap/>
            <w:vAlign w:val="bottom"/>
          </w:tcPr>
          <w:p w:rsidR="00655346" w:rsidRPr="004C5551" w:rsidRDefault="00655346" w:rsidP="00655346">
            <w:pPr>
              <w:ind w:right="397"/>
              <w:jc w:val="left"/>
            </w:pPr>
          </w:p>
        </w:tc>
        <w:tc>
          <w:tcPr>
            <w:tcW w:w="1508" w:type="dxa"/>
            <w:noWrap/>
            <w:vAlign w:val="bottom"/>
          </w:tcPr>
          <w:p w:rsidR="00655346" w:rsidRPr="004C5551" w:rsidRDefault="00655346" w:rsidP="00655346">
            <w:pPr>
              <w:ind w:right="397"/>
              <w:jc w:val="left"/>
            </w:pP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Základné</w:t>
            </w:r>
          </w:p>
        </w:tc>
        <w:tc>
          <w:tcPr>
            <w:tcW w:w="1508" w:type="dxa"/>
            <w:noWrap/>
            <w:vAlign w:val="bottom"/>
          </w:tcPr>
          <w:p w:rsidR="00655346" w:rsidRPr="004C5551" w:rsidRDefault="00655346" w:rsidP="00655346">
            <w:pPr>
              <w:ind w:right="397"/>
              <w:jc w:val="right"/>
              <w:rPr>
                <w:bCs/>
              </w:rPr>
            </w:pPr>
            <w:r w:rsidRPr="004C5551">
              <w:rPr>
                <w:bCs/>
              </w:rPr>
              <w:t>44,4</w:t>
            </w:r>
          </w:p>
        </w:tc>
        <w:tc>
          <w:tcPr>
            <w:tcW w:w="1508" w:type="dxa"/>
            <w:noWrap/>
            <w:vAlign w:val="bottom"/>
          </w:tcPr>
          <w:p w:rsidR="00655346" w:rsidRPr="004C5551" w:rsidRDefault="00655346" w:rsidP="00655346">
            <w:pPr>
              <w:ind w:right="397"/>
              <w:jc w:val="right"/>
              <w:rPr>
                <w:bCs/>
              </w:rPr>
            </w:pPr>
            <w:r w:rsidRPr="004C5551">
              <w:rPr>
                <w:bCs/>
              </w:rPr>
              <w:t>50,0</w:t>
            </w:r>
          </w:p>
        </w:tc>
        <w:tc>
          <w:tcPr>
            <w:tcW w:w="1508" w:type="dxa"/>
            <w:noWrap/>
            <w:vAlign w:val="bottom"/>
          </w:tcPr>
          <w:p w:rsidR="00655346" w:rsidRPr="004C5551" w:rsidRDefault="00655346" w:rsidP="00655346">
            <w:pPr>
              <w:ind w:right="397"/>
              <w:jc w:val="right"/>
              <w:rPr>
                <w:bCs/>
              </w:rPr>
            </w:pPr>
            <w:r w:rsidRPr="004C5551">
              <w:rPr>
                <w:bCs/>
              </w:rPr>
              <w:t>38,5</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left="113" w:firstLine="0"/>
              <w:jc w:val="left"/>
              <w:rPr>
                <w:color w:val="333300"/>
                <w:lang w:val="sk-SK"/>
              </w:rPr>
            </w:pPr>
            <w:r w:rsidRPr="004C5551">
              <w:rPr>
                <w:color w:val="333300"/>
                <w:szCs w:val="22"/>
                <w:lang w:val="sk-SK"/>
              </w:rPr>
              <w:t>Stredné odborné (učňovské) bez maturity</w:t>
            </w:r>
          </w:p>
        </w:tc>
        <w:tc>
          <w:tcPr>
            <w:tcW w:w="1508" w:type="dxa"/>
            <w:noWrap/>
            <w:vAlign w:val="bottom"/>
          </w:tcPr>
          <w:p w:rsidR="00655346" w:rsidRPr="004C5551" w:rsidRDefault="00655346" w:rsidP="00655346">
            <w:pPr>
              <w:ind w:right="397"/>
              <w:jc w:val="right"/>
              <w:rPr>
                <w:bCs/>
              </w:rPr>
            </w:pPr>
            <w:r w:rsidRPr="004C5551">
              <w:rPr>
                <w:bCs/>
              </w:rPr>
              <w:t>16,4</w:t>
            </w:r>
          </w:p>
        </w:tc>
        <w:tc>
          <w:tcPr>
            <w:tcW w:w="1508" w:type="dxa"/>
            <w:noWrap/>
            <w:vAlign w:val="bottom"/>
          </w:tcPr>
          <w:p w:rsidR="00655346" w:rsidRPr="004C5551" w:rsidRDefault="00655346" w:rsidP="00655346">
            <w:pPr>
              <w:ind w:right="397"/>
              <w:jc w:val="right"/>
              <w:rPr>
                <w:bCs/>
              </w:rPr>
            </w:pPr>
            <w:r w:rsidRPr="004C5551">
              <w:rPr>
                <w:bCs/>
              </w:rPr>
              <w:t>16,1</w:t>
            </w:r>
          </w:p>
        </w:tc>
        <w:tc>
          <w:tcPr>
            <w:tcW w:w="1508" w:type="dxa"/>
            <w:noWrap/>
            <w:vAlign w:val="bottom"/>
          </w:tcPr>
          <w:p w:rsidR="00655346" w:rsidRPr="004C5551" w:rsidRDefault="00655346" w:rsidP="00655346">
            <w:pPr>
              <w:ind w:right="397"/>
              <w:jc w:val="right"/>
              <w:rPr>
                <w:bCs/>
              </w:rPr>
            </w:pPr>
            <w:r w:rsidRPr="004C5551">
              <w:rPr>
                <w:bCs/>
              </w:rPr>
              <w:t>17,0</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Úplné stredné odborné (učňovské) </w:t>
            </w:r>
            <w:r w:rsidR="00960E97" w:rsidRPr="004C5551">
              <w:rPr>
                <w:color w:val="333300"/>
                <w:szCs w:val="22"/>
                <w:lang w:val="sk-SK"/>
              </w:rPr>
              <w:br/>
            </w:r>
            <w:r w:rsidRPr="004C5551">
              <w:rPr>
                <w:color w:val="333300"/>
                <w:szCs w:val="22"/>
                <w:lang w:val="sk-SK"/>
              </w:rPr>
              <w:t>s maturitou</w:t>
            </w:r>
          </w:p>
        </w:tc>
        <w:tc>
          <w:tcPr>
            <w:tcW w:w="1508" w:type="dxa"/>
            <w:noWrap/>
            <w:vAlign w:val="bottom"/>
          </w:tcPr>
          <w:p w:rsidR="00655346" w:rsidRPr="004C5551" w:rsidRDefault="00655346" w:rsidP="00655346">
            <w:pPr>
              <w:ind w:right="397"/>
              <w:jc w:val="right"/>
              <w:rPr>
                <w:bCs/>
              </w:rPr>
            </w:pPr>
            <w:r w:rsidRPr="004C5551">
              <w:rPr>
                <w:bCs/>
              </w:rPr>
              <w:t>11,6</w:t>
            </w:r>
          </w:p>
        </w:tc>
        <w:tc>
          <w:tcPr>
            <w:tcW w:w="1508" w:type="dxa"/>
            <w:noWrap/>
            <w:vAlign w:val="bottom"/>
          </w:tcPr>
          <w:p w:rsidR="00655346" w:rsidRPr="004C5551" w:rsidRDefault="00655346" w:rsidP="00655346">
            <w:pPr>
              <w:ind w:right="397"/>
              <w:jc w:val="right"/>
              <w:rPr>
                <w:bCs/>
              </w:rPr>
            </w:pPr>
            <w:r w:rsidRPr="004C5551">
              <w:rPr>
                <w:bCs/>
              </w:rPr>
              <w:t>10,7</w:t>
            </w:r>
          </w:p>
        </w:tc>
        <w:tc>
          <w:tcPr>
            <w:tcW w:w="1508" w:type="dxa"/>
            <w:noWrap/>
            <w:vAlign w:val="bottom"/>
          </w:tcPr>
          <w:p w:rsidR="00655346" w:rsidRPr="004C5551" w:rsidRDefault="00655346" w:rsidP="00655346">
            <w:pPr>
              <w:ind w:right="397"/>
              <w:jc w:val="right"/>
              <w:rPr>
                <w:bCs/>
              </w:rPr>
            </w:pPr>
            <w:r w:rsidRPr="004C5551">
              <w:rPr>
                <w:bCs/>
              </w:rPr>
              <w:t>13,2</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Úplné stredné všeobecné</w:t>
            </w:r>
          </w:p>
        </w:tc>
        <w:tc>
          <w:tcPr>
            <w:tcW w:w="1508" w:type="dxa"/>
            <w:noWrap/>
            <w:vAlign w:val="bottom"/>
          </w:tcPr>
          <w:p w:rsidR="00655346" w:rsidRPr="004C5551" w:rsidRDefault="00655346" w:rsidP="00655346">
            <w:pPr>
              <w:ind w:right="397"/>
              <w:jc w:val="right"/>
              <w:rPr>
                <w:bCs/>
              </w:rPr>
            </w:pPr>
            <w:r w:rsidRPr="004C5551">
              <w:rPr>
                <w:bCs/>
              </w:rPr>
              <w:t>15,2</w:t>
            </w:r>
          </w:p>
        </w:tc>
        <w:tc>
          <w:tcPr>
            <w:tcW w:w="1508" w:type="dxa"/>
            <w:noWrap/>
            <w:vAlign w:val="bottom"/>
          </w:tcPr>
          <w:p w:rsidR="00655346" w:rsidRPr="004C5551" w:rsidRDefault="00655346" w:rsidP="00655346">
            <w:pPr>
              <w:ind w:right="397"/>
              <w:jc w:val="right"/>
              <w:rPr>
                <w:bCs/>
              </w:rPr>
            </w:pPr>
            <w:r w:rsidRPr="004C5551">
              <w:rPr>
                <w:bCs/>
              </w:rPr>
              <w:t>12,1</w:t>
            </w:r>
          </w:p>
        </w:tc>
        <w:tc>
          <w:tcPr>
            <w:tcW w:w="1508" w:type="dxa"/>
            <w:noWrap/>
            <w:vAlign w:val="bottom"/>
          </w:tcPr>
          <w:p w:rsidR="00655346" w:rsidRPr="004C5551" w:rsidRDefault="00655346" w:rsidP="00655346">
            <w:pPr>
              <w:ind w:right="397"/>
              <w:jc w:val="right"/>
              <w:rPr>
                <w:bCs/>
              </w:rPr>
            </w:pPr>
            <w:r w:rsidRPr="004C5551">
              <w:rPr>
                <w:bCs/>
              </w:rPr>
              <w:t>17,3</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Úplné stredné odborné</w:t>
            </w:r>
          </w:p>
        </w:tc>
        <w:tc>
          <w:tcPr>
            <w:tcW w:w="1508" w:type="dxa"/>
            <w:noWrap/>
            <w:vAlign w:val="bottom"/>
          </w:tcPr>
          <w:p w:rsidR="00655346" w:rsidRPr="004C5551" w:rsidRDefault="00655346" w:rsidP="00655346">
            <w:pPr>
              <w:ind w:right="397"/>
              <w:jc w:val="right"/>
              <w:rPr>
                <w:bCs/>
              </w:rPr>
            </w:pPr>
            <w:r w:rsidRPr="004C5551">
              <w:rPr>
                <w:bCs/>
              </w:rPr>
              <w:t>9,3</w:t>
            </w:r>
          </w:p>
        </w:tc>
        <w:tc>
          <w:tcPr>
            <w:tcW w:w="1508" w:type="dxa"/>
            <w:noWrap/>
            <w:vAlign w:val="bottom"/>
          </w:tcPr>
          <w:p w:rsidR="00655346" w:rsidRPr="004C5551" w:rsidRDefault="00655346" w:rsidP="00655346">
            <w:pPr>
              <w:ind w:right="397"/>
              <w:jc w:val="right"/>
              <w:rPr>
                <w:bCs/>
              </w:rPr>
            </w:pPr>
            <w:r w:rsidRPr="004C5551">
              <w:rPr>
                <w:bCs/>
              </w:rPr>
              <w:t>8,2</w:t>
            </w:r>
          </w:p>
        </w:tc>
        <w:tc>
          <w:tcPr>
            <w:tcW w:w="1508" w:type="dxa"/>
            <w:noWrap/>
            <w:vAlign w:val="bottom"/>
          </w:tcPr>
          <w:p w:rsidR="00655346" w:rsidRPr="004C5551" w:rsidRDefault="00655346" w:rsidP="00655346">
            <w:pPr>
              <w:ind w:right="397"/>
              <w:jc w:val="right"/>
              <w:rPr>
                <w:bCs/>
              </w:rPr>
            </w:pPr>
            <w:r w:rsidRPr="004C5551">
              <w:rPr>
                <w:bCs/>
              </w:rPr>
              <w:t>10,7</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Vyššie odborné</w:t>
            </w:r>
          </w:p>
        </w:tc>
        <w:tc>
          <w:tcPr>
            <w:tcW w:w="1508" w:type="dxa"/>
            <w:noWrap/>
            <w:vAlign w:val="bottom"/>
          </w:tcPr>
          <w:p w:rsidR="00655346" w:rsidRPr="004C5551" w:rsidRDefault="00655346" w:rsidP="00655346">
            <w:pPr>
              <w:ind w:right="397"/>
              <w:jc w:val="right"/>
              <w:rPr>
                <w:bCs/>
              </w:rPr>
            </w:pPr>
            <w:r w:rsidRPr="004C5551">
              <w:rPr>
                <w:bCs/>
              </w:rPr>
              <w:t>6,9</w:t>
            </w:r>
          </w:p>
        </w:tc>
        <w:tc>
          <w:tcPr>
            <w:tcW w:w="1508" w:type="dxa"/>
            <w:noWrap/>
            <w:vAlign w:val="bottom"/>
          </w:tcPr>
          <w:p w:rsidR="00655346" w:rsidRPr="004C5551" w:rsidRDefault="00655346" w:rsidP="00655346">
            <w:pPr>
              <w:ind w:right="397"/>
              <w:jc w:val="right"/>
              <w:rPr>
                <w:bCs/>
              </w:rPr>
            </w:pPr>
            <w:r w:rsidRPr="004C5551">
              <w:rPr>
                <w:bCs/>
              </w:rPr>
              <w:t>5,9</w:t>
            </w:r>
          </w:p>
        </w:tc>
        <w:tc>
          <w:tcPr>
            <w:tcW w:w="1508" w:type="dxa"/>
            <w:noWrap/>
            <w:vAlign w:val="bottom"/>
          </w:tcPr>
          <w:p w:rsidR="00655346" w:rsidRPr="004C5551" w:rsidRDefault="00655346" w:rsidP="00655346">
            <w:pPr>
              <w:ind w:right="397"/>
              <w:jc w:val="right"/>
              <w:rPr>
                <w:bCs/>
              </w:rPr>
            </w:pPr>
            <w:r w:rsidRPr="004C5551">
              <w:rPr>
                <w:bCs/>
              </w:rPr>
              <w:t>7,3</w:t>
            </w:r>
          </w:p>
        </w:tc>
      </w:tr>
      <w:tr w:rsidR="00655346" w:rsidRPr="004C5551" w:rsidTr="005D3DFE">
        <w:trPr>
          <w:trHeight w:val="300"/>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 xml:space="preserve">Vysokoškolské </w:t>
            </w:r>
          </w:p>
        </w:tc>
        <w:tc>
          <w:tcPr>
            <w:tcW w:w="1508" w:type="dxa"/>
            <w:noWrap/>
            <w:vAlign w:val="bottom"/>
          </w:tcPr>
          <w:p w:rsidR="00655346" w:rsidRPr="004C5551" w:rsidRDefault="00655346" w:rsidP="00655346">
            <w:pPr>
              <w:ind w:right="397"/>
              <w:jc w:val="right"/>
              <w:rPr>
                <w:bCs/>
              </w:rPr>
            </w:pPr>
            <w:r w:rsidRPr="004C5551">
              <w:rPr>
                <w:bCs/>
              </w:rPr>
              <w:t>6,4</w:t>
            </w:r>
          </w:p>
        </w:tc>
        <w:tc>
          <w:tcPr>
            <w:tcW w:w="1508" w:type="dxa"/>
            <w:noWrap/>
            <w:vAlign w:val="bottom"/>
          </w:tcPr>
          <w:p w:rsidR="00655346" w:rsidRPr="004C5551" w:rsidRDefault="00655346" w:rsidP="00655346">
            <w:pPr>
              <w:ind w:right="397"/>
              <w:jc w:val="right"/>
              <w:rPr>
                <w:bCs/>
              </w:rPr>
            </w:pPr>
            <w:r w:rsidRPr="004C5551">
              <w:rPr>
                <w:bCs/>
              </w:rPr>
              <w:t>5,0</w:t>
            </w:r>
          </w:p>
        </w:tc>
        <w:tc>
          <w:tcPr>
            <w:tcW w:w="1508" w:type="dxa"/>
            <w:noWrap/>
            <w:vAlign w:val="bottom"/>
          </w:tcPr>
          <w:p w:rsidR="00655346" w:rsidRPr="004C5551" w:rsidRDefault="00655346" w:rsidP="00655346">
            <w:pPr>
              <w:ind w:right="397"/>
              <w:jc w:val="right"/>
              <w:rPr>
                <w:bCs/>
              </w:rPr>
            </w:pPr>
            <w:r w:rsidRPr="004C5551">
              <w:rPr>
                <w:bCs/>
              </w:rPr>
              <w:t>7,7</w:t>
            </w:r>
          </w:p>
        </w:tc>
      </w:tr>
      <w:tr w:rsidR="00655346" w:rsidRPr="004C5551" w:rsidTr="005D3DFE">
        <w:trPr>
          <w:trHeight w:val="301"/>
          <w:jc w:val="center"/>
        </w:trPr>
        <w:tc>
          <w:tcPr>
            <w:tcW w:w="4017" w:type="dxa"/>
            <w:noWrap/>
            <w:vAlign w:val="bottom"/>
          </w:tcPr>
          <w:p w:rsidR="00655346" w:rsidRPr="004C5551" w:rsidRDefault="00655346" w:rsidP="00655346">
            <w:pPr>
              <w:pStyle w:val="BodyText21"/>
              <w:widowControl/>
              <w:spacing w:before="0"/>
              <w:ind w:left="113" w:firstLine="0"/>
              <w:rPr>
                <w:color w:val="333300"/>
                <w:lang w:val="sk-SK"/>
              </w:rPr>
            </w:pPr>
            <w:r w:rsidRPr="004C5551">
              <w:rPr>
                <w:color w:val="333300"/>
                <w:szCs w:val="22"/>
                <w:lang w:val="sk-SK"/>
              </w:rPr>
              <w:t>Bez školského vzdelania</w:t>
            </w:r>
          </w:p>
        </w:tc>
        <w:tc>
          <w:tcPr>
            <w:tcW w:w="1508" w:type="dxa"/>
            <w:noWrap/>
            <w:vAlign w:val="bottom"/>
          </w:tcPr>
          <w:p w:rsidR="00655346" w:rsidRPr="004C5551" w:rsidRDefault="00655346" w:rsidP="00655346">
            <w:pPr>
              <w:ind w:right="397"/>
              <w:jc w:val="right"/>
              <w:rPr>
                <w:bCs/>
              </w:rPr>
            </w:pPr>
            <w:r w:rsidRPr="004C5551">
              <w:rPr>
                <w:bCs/>
              </w:rPr>
              <w:t>17,4</w:t>
            </w:r>
          </w:p>
        </w:tc>
        <w:tc>
          <w:tcPr>
            <w:tcW w:w="1508" w:type="dxa"/>
            <w:noWrap/>
            <w:vAlign w:val="bottom"/>
          </w:tcPr>
          <w:p w:rsidR="00655346" w:rsidRPr="004C5551" w:rsidRDefault="00655346" w:rsidP="00655346">
            <w:pPr>
              <w:ind w:right="397"/>
              <w:jc w:val="right"/>
              <w:rPr>
                <w:bCs/>
              </w:rPr>
            </w:pPr>
            <w:r w:rsidRPr="004C5551">
              <w:rPr>
                <w:bCs/>
              </w:rPr>
              <w:t>14,0</w:t>
            </w:r>
          </w:p>
        </w:tc>
        <w:tc>
          <w:tcPr>
            <w:tcW w:w="1508" w:type="dxa"/>
            <w:noWrap/>
            <w:vAlign w:val="bottom"/>
          </w:tcPr>
          <w:p w:rsidR="00655346" w:rsidRPr="004C5551" w:rsidRDefault="00655346" w:rsidP="00655346">
            <w:pPr>
              <w:ind w:right="397"/>
              <w:jc w:val="right"/>
              <w:rPr>
                <w:bCs/>
              </w:rPr>
            </w:pPr>
            <w:r w:rsidRPr="004C5551">
              <w:rPr>
                <w:bCs/>
              </w:rPr>
              <w:t>25,0</w:t>
            </w:r>
          </w:p>
        </w:tc>
      </w:tr>
    </w:tbl>
    <w:p w:rsidR="00655346" w:rsidRPr="004C5551" w:rsidRDefault="00655346" w:rsidP="009E4BCF">
      <w:pPr>
        <w:pStyle w:val="zdroj"/>
        <w:ind w:firstLine="425"/>
      </w:pPr>
      <w:r w:rsidRPr="004C5551">
        <w:t>Zdroj: ŠÚ SR, VZPS</w:t>
      </w:r>
    </w:p>
    <w:p w:rsidR="00641072" w:rsidRPr="004C5551" w:rsidRDefault="00641072" w:rsidP="005D3DFE">
      <w:pPr>
        <w:pStyle w:val="zdroj"/>
        <w:spacing w:before="0" w:after="80"/>
        <w:ind w:firstLine="425"/>
        <w:rPr>
          <w:b/>
        </w:rPr>
      </w:pPr>
    </w:p>
    <w:p w:rsidR="00641072" w:rsidRPr="004C5551" w:rsidRDefault="00751F5A" w:rsidP="00751F5A">
      <w:pPr>
        <w:pStyle w:val="Nadpis7"/>
      </w:pPr>
      <w:r w:rsidRPr="004C5551">
        <w:t xml:space="preserve">Tabuľka </w:t>
      </w:r>
      <w:r w:rsidR="0004706C" w:rsidRPr="004C5551">
        <w:t>4</w:t>
      </w:r>
      <w:r w:rsidRPr="004C5551">
        <w:t xml:space="preserve"> Stav uchádzačov o zamestnanie absolventov škôl ku koncu roka 201</w:t>
      </w:r>
      <w:r w:rsidR="009E4BCF" w:rsidRPr="004C5551">
        <w:t>4</w:t>
      </w:r>
    </w:p>
    <w:tbl>
      <w:tblPr>
        <w:tblStyle w:val="Mriekatabuky"/>
        <w:tblW w:w="0" w:type="auto"/>
        <w:jc w:val="center"/>
        <w:tblInd w:w="-803" w:type="dxa"/>
        <w:tblLook w:val="04A0" w:firstRow="1" w:lastRow="0" w:firstColumn="1" w:lastColumn="0" w:noHBand="0" w:noVBand="1"/>
      </w:tblPr>
      <w:tblGrid>
        <w:gridCol w:w="6765"/>
        <w:gridCol w:w="1559"/>
      </w:tblGrid>
      <w:tr w:rsidR="00751F5A" w:rsidRPr="004C5551" w:rsidTr="00E537F0">
        <w:trPr>
          <w:jc w:val="center"/>
        </w:trPr>
        <w:tc>
          <w:tcPr>
            <w:tcW w:w="6765" w:type="dxa"/>
            <w:shd w:val="clear" w:color="auto" w:fill="FF9999" w:themeFill="accent3" w:themeFillTint="66"/>
            <w:vAlign w:val="center"/>
          </w:tcPr>
          <w:p w:rsidR="00751F5A" w:rsidRPr="004C5551" w:rsidRDefault="00751F5A" w:rsidP="00530875">
            <w:pPr>
              <w:jc w:val="center"/>
              <w:rPr>
                <w:b/>
                <w:color w:val="333300"/>
              </w:rPr>
            </w:pPr>
            <w:r w:rsidRPr="004C5551">
              <w:rPr>
                <w:b/>
                <w:color w:val="333300"/>
              </w:rPr>
              <w:t>Ukazovateľ</w:t>
            </w:r>
          </w:p>
        </w:tc>
        <w:tc>
          <w:tcPr>
            <w:tcW w:w="1559" w:type="dxa"/>
            <w:shd w:val="clear" w:color="auto" w:fill="FF9999" w:themeFill="accent3" w:themeFillTint="66"/>
            <w:vAlign w:val="center"/>
          </w:tcPr>
          <w:p w:rsidR="00751F5A" w:rsidRPr="004C5551" w:rsidRDefault="00751F5A" w:rsidP="00530875">
            <w:pPr>
              <w:jc w:val="center"/>
              <w:rPr>
                <w:b/>
                <w:color w:val="333300"/>
              </w:rPr>
            </w:pPr>
            <w:r w:rsidRPr="004C5551">
              <w:rPr>
                <w:b/>
                <w:color w:val="333300"/>
              </w:rPr>
              <w:t>Počet uchádzačov o zamestnanie</w:t>
            </w:r>
          </w:p>
        </w:tc>
      </w:tr>
      <w:tr w:rsidR="00751F5A" w:rsidRPr="004C5551" w:rsidTr="00530875">
        <w:trPr>
          <w:jc w:val="center"/>
        </w:trPr>
        <w:tc>
          <w:tcPr>
            <w:tcW w:w="6765" w:type="dxa"/>
          </w:tcPr>
          <w:p w:rsidR="00751F5A" w:rsidRPr="004C5551" w:rsidRDefault="00751F5A" w:rsidP="00530875">
            <w:pPr>
              <w:ind w:hanging="6"/>
              <w:jc w:val="left"/>
              <w:rPr>
                <w:b/>
                <w:color w:val="333300"/>
              </w:rPr>
            </w:pPr>
            <w:r w:rsidRPr="004C5551">
              <w:rPr>
                <w:b/>
                <w:color w:val="333300"/>
              </w:rPr>
              <w:t>Absolventi spolu</w:t>
            </w:r>
          </w:p>
        </w:tc>
        <w:tc>
          <w:tcPr>
            <w:tcW w:w="1559" w:type="dxa"/>
            <w:vAlign w:val="center"/>
          </w:tcPr>
          <w:p w:rsidR="00751F5A" w:rsidRPr="004C5551" w:rsidRDefault="00751F5A" w:rsidP="009E4BCF">
            <w:pPr>
              <w:ind w:right="226"/>
              <w:jc w:val="right"/>
              <w:rPr>
                <w:b/>
                <w:color w:val="333300"/>
              </w:rPr>
            </w:pPr>
            <w:r w:rsidRPr="004C5551">
              <w:rPr>
                <w:b/>
                <w:color w:val="333300"/>
              </w:rPr>
              <w:t>2</w:t>
            </w:r>
            <w:r w:rsidR="009E4BCF" w:rsidRPr="004C5551">
              <w:rPr>
                <w:b/>
                <w:color w:val="333300"/>
              </w:rPr>
              <w:t>6</w:t>
            </w:r>
            <w:r w:rsidRPr="004C5551">
              <w:rPr>
                <w:b/>
                <w:color w:val="333300"/>
              </w:rPr>
              <w:t> </w:t>
            </w:r>
            <w:r w:rsidR="009E4BCF" w:rsidRPr="004C5551">
              <w:rPr>
                <w:b/>
                <w:color w:val="333300"/>
              </w:rPr>
              <w:t>417</w:t>
            </w:r>
          </w:p>
        </w:tc>
      </w:tr>
      <w:tr w:rsidR="00751F5A" w:rsidRPr="004C5551" w:rsidTr="00530875">
        <w:trPr>
          <w:jc w:val="center"/>
        </w:trPr>
        <w:tc>
          <w:tcPr>
            <w:tcW w:w="6765" w:type="dxa"/>
          </w:tcPr>
          <w:p w:rsidR="00751F5A" w:rsidRPr="004C5551" w:rsidRDefault="00751F5A" w:rsidP="00530875">
            <w:pPr>
              <w:ind w:hanging="6"/>
              <w:jc w:val="left"/>
              <w:rPr>
                <w:color w:val="333300"/>
              </w:rPr>
            </w:pPr>
            <w:r w:rsidRPr="004C5551">
              <w:rPr>
                <w:color w:val="333300"/>
              </w:rPr>
              <w:t>z toho</w:t>
            </w:r>
          </w:p>
        </w:tc>
        <w:tc>
          <w:tcPr>
            <w:tcW w:w="1559" w:type="dxa"/>
            <w:vAlign w:val="center"/>
          </w:tcPr>
          <w:p w:rsidR="00751F5A" w:rsidRPr="004C5551" w:rsidRDefault="00751F5A" w:rsidP="00530875">
            <w:pPr>
              <w:ind w:right="226"/>
              <w:jc w:val="right"/>
              <w:rPr>
                <w:color w:val="333300"/>
              </w:rPr>
            </w:pPr>
          </w:p>
        </w:tc>
      </w:tr>
      <w:tr w:rsidR="00751F5A" w:rsidRPr="004C5551" w:rsidTr="00530875">
        <w:trPr>
          <w:jc w:val="center"/>
        </w:trPr>
        <w:tc>
          <w:tcPr>
            <w:tcW w:w="6765" w:type="dxa"/>
          </w:tcPr>
          <w:p w:rsidR="00751F5A" w:rsidRPr="004C5551" w:rsidRDefault="00751F5A" w:rsidP="00530875">
            <w:pPr>
              <w:ind w:hanging="6"/>
              <w:jc w:val="left"/>
              <w:rPr>
                <w:color w:val="333300"/>
              </w:rPr>
            </w:pPr>
            <w:r w:rsidRPr="004C5551">
              <w:rPr>
                <w:color w:val="333300"/>
              </w:rPr>
              <w:t>Absolventi SOŠ s ukončeným stredným alebo nižším stredným odborným vzdelaním (stupeň vzdelania12, 13)</w:t>
            </w:r>
          </w:p>
        </w:tc>
        <w:tc>
          <w:tcPr>
            <w:tcW w:w="1559" w:type="dxa"/>
            <w:vAlign w:val="center"/>
          </w:tcPr>
          <w:p w:rsidR="00751F5A" w:rsidRPr="004C5551" w:rsidRDefault="00751F5A" w:rsidP="009E4BCF">
            <w:pPr>
              <w:ind w:right="226"/>
              <w:jc w:val="right"/>
              <w:rPr>
                <w:color w:val="333300"/>
              </w:rPr>
            </w:pPr>
            <w:r w:rsidRPr="004C5551">
              <w:rPr>
                <w:color w:val="333300"/>
              </w:rPr>
              <w:t>4 6</w:t>
            </w:r>
            <w:r w:rsidR="009E4BCF" w:rsidRPr="004C5551">
              <w:rPr>
                <w:color w:val="333300"/>
              </w:rPr>
              <w:t>32</w:t>
            </w:r>
          </w:p>
        </w:tc>
      </w:tr>
      <w:tr w:rsidR="00751F5A" w:rsidRPr="004C5551" w:rsidTr="00530875">
        <w:trPr>
          <w:jc w:val="center"/>
        </w:trPr>
        <w:tc>
          <w:tcPr>
            <w:tcW w:w="6765" w:type="dxa"/>
          </w:tcPr>
          <w:p w:rsidR="00751F5A" w:rsidRPr="004C5551" w:rsidRDefault="00751F5A" w:rsidP="00530875">
            <w:pPr>
              <w:ind w:hanging="6"/>
              <w:jc w:val="left"/>
              <w:rPr>
                <w:color w:val="333300"/>
              </w:rPr>
            </w:pPr>
            <w:r w:rsidRPr="004C5551">
              <w:rPr>
                <w:color w:val="333300"/>
              </w:rPr>
              <w:t>Absolventi SOŠ s ukončeným úplným stredným odborným vzdelaním (stupeň vzdelania 14)</w:t>
            </w:r>
          </w:p>
        </w:tc>
        <w:tc>
          <w:tcPr>
            <w:tcW w:w="1559" w:type="dxa"/>
            <w:vAlign w:val="center"/>
          </w:tcPr>
          <w:p w:rsidR="00751F5A" w:rsidRPr="004C5551" w:rsidRDefault="009E4BCF" w:rsidP="009E4BCF">
            <w:pPr>
              <w:ind w:right="226"/>
              <w:jc w:val="right"/>
              <w:rPr>
                <w:color w:val="333300"/>
              </w:rPr>
            </w:pPr>
            <w:r w:rsidRPr="004C5551">
              <w:rPr>
                <w:color w:val="333300"/>
              </w:rPr>
              <w:t>13</w:t>
            </w:r>
            <w:r w:rsidR="00751F5A" w:rsidRPr="004C5551">
              <w:rPr>
                <w:color w:val="333300"/>
              </w:rPr>
              <w:t> </w:t>
            </w:r>
            <w:r w:rsidRPr="004C5551">
              <w:rPr>
                <w:color w:val="333300"/>
              </w:rPr>
              <w:t>070</w:t>
            </w:r>
          </w:p>
        </w:tc>
      </w:tr>
      <w:tr w:rsidR="00751F5A" w:rsidRPr="004C5551" w:rsidTr="00530875">
        <w:trPr>
          <w:jc w:val="center"/>
        </w:trPr>
        <w:tc>
          <w:tcPr>
            <w:tcW w:w="6765" w:type="dxa"/>
          </w:tcPr>
          <w:p w:rsidR="00751F5A" w:rsidRPr="004C5551" w:rsidRDefault="00751F5A" w:rsidP="00530875">
            <w:pPr>
              <w:ind w:hanging="6"/>
              <w:jc w:val="left"/>
              <w:rPr>
                <w:color w:val="333300"/>
              </w:rPr>
            </w:pPr>
            <w:r w:rsidRPr="004C5551">
              <w:rPr>
                <w:color w:val="333300"/>
              </w:rPr>
              <w:t>Absolventi gymnázií s ukončeným úplným stredným všeobecným vzdelaním ( stupeň vzdelania 15)</w:t>
            </w:r>
          </w:p>
        </w:tc>
        <w:tc>
          <w:tcPr>
            <w:tcW w:w="1559" w:type="dxa"/>
            <w:vAlign w:val="center"/>
          </w:tcPr>
          <w:p w:rsidR="00751F5A" w:rsidRPr="004C5551" w:rsidRDefault="00530875" w:rsidP="00530875">
            <w:pPr>
              <w:ind w:right="226"/>
              <w:jc w:val="right"/>
              <w:rPr>
                <w:color w:val="333300"/>
              </w:rPr>
            </w:pPr>
            <w:r w:rsidRPr="004C5551">
              <w:rPr>
                <w:color w:val="333300"/>
              </w:rPr>
              <w:t>1 </w:t>
            </w:r>
            <w:r w:rsidR="009E4BCF" w:rsidRPr="004C5551">
              <w:rPr>
                <w:color w:val="333300"/>
              </w:rPr>
              <w:t>868</w:t>
            </w:r>
          </w:p>
        </w:tc>
      </w:tr>
      <w:tr w:rsidR="00751F5A" w:rsidRPr="004C5551" w:rsidTr="00530875">
        <w:trPr>
          <w:jc w:val="center"/>
        </w:trPr>
        <w:tc>
          <w:tcPr>
            <w:tcW w:w="6765" w:type="dxa"/>
          </w:tcPr>
          <w:p w:rsidR="00751F5A" w:rsidRPr="004C5551" w:rsidRDefault="00530875" w:rsidP="00530875">
            <w:pPr>
              <w:ind w:hanging="6"/>
              <w:jc w:val="left"/>
              <w:rPr>
                <w:color w:val="333300"/>
              </w:rPr>
            </w:pPr>
            <w:r w:rsidRPr="004C5551">
              <w:rPr>
                <w:color w:val="333300"/>
              </w:rPr>
              <w:t xml:space="preserve">Absolventi SOŠ s ukončeným vyšším odborným vzdelaním </w:t>
            </w:r>
            <w:r w:rsidRPr="004C5551">
              <w:rPr>
                <w:color w:val="333300"/>
              </w:rPr>
              <w:br/>
              <w:t>(stupeň vzdelania 16)</w:t>
            </w:r>
          </w:p>
        </w:tc>
        <w:tc>
          <w:tcPr>
            <w:tcW w:w="1559" w:type="dxa"/>
            <w:vAlign w:val="center"/>
          </w:tcPr>
          <w:p w:rsidR="00751F5A" w:rsidRPr="004C5551" w:rsidRDefault="009E4BCF" w:rsidP="00530875">
            <w:pPr>
              <w:ind w:right="226"/>
              <w:jc w:val="right"/>
              <w:rPr>
                <w:color w:val="333300"/>
              </w:rPr>
            </w:pPr>
            <w:r w:rsidRPr="004C5551">
              <w:rPr>
                <w:color w:val="333300"/>
              </w:rPr>
              <w:t>495</w:t>
            </w:r>
          </w:p>
        </w:tc>
      </w:tr>
      <w:tr w:rsidR="00751F5A" w:rsidRPr="004C5551" w:rsidTr="00530875">
        <w:trPr>
          <w:jc w:val="center"/>
        </w:trPr>
        <w:tc>
          <w:tcPr>
            <w:tcW w:w="6765" w:type="dxa"/>
          </w:tcPr>
          <w:p w:rsidR="00751F5A" w:rsidRPr="004C5551" w:rsidRDefault="00530875" w:rsidP="00530875">
            <w:pPr>
              <w:ind w:hanging="6"/>
              <w:jc w:val="left"/>
              <w:rPr>
                <w:color w:val="333300"/>
              </w:rPr>
            </w:pPr>
            <w:r w:rsidRPr="004C5551">
              <w:rPr>
                <w:color w:val="333300"/>
              </w:rPr>
              <w:t>Absolventi VŠ s ukončeným vysokoškolským vzdelaním prvého stupňa (stupeň vzdelania 17)</w:t>
            </w:r>
          </w:p>
        </w:tc>
        <w:tc>
          <w:tcPr>
            <w:tcW w:w="1559" w:type="dxa"/>
            <w:vAlign w:val="center"/>
          </w:tcPr>
          <w:p w:rsidR="00751F5A" w:rsidRPr="004C5551" w:rsidRDefault="00530875" w:rsidP="00530875">
            <w:pPr>
              <w:ind w:right="226"/>
              <w:jc w:val="right"/>
              <w:rPr>
                <w:color w:val="333300"/>
              </w:rPr>
            </w:pPr>
            <w:r w:rsidRPr="004C5551">
              <w:rPr>
                <w:color w:val="333300"/>
              </w:rPr>
              <w:t>1 </w:t>
            </w:r>
            <w:r w:rsidR="009E4BCF" w:rsidRPr="004C5551">
              <w:rPr>
                <w:color w:val="333300"/>
              </w:rPr>
              <w:t>306</w:t>
            </w:r>
          </w:p>
        </w:tc>
      </w:tr>
      <w:tr w:rsidR="00530875" w:rsidRPr="004C5551" w:rsidTr="00530875">
        <w:trPr>
          <w:jc w:val="center"/>
        </w:trPr>
        <w:tc>
          <w:tcPr>
            <w:tcW w:w="6765" w:type="dxa"/>
          </w:tcPr>
          <w:p w:rsidR="00530875" w:rsidRPr="004C5551" w:rsidRDefault="00530875" w:rsidP="00530875">
            <w:pPr>
              <w:ind w:hanging="6"/>
              <w:jc w:val="left"/>
              <w:rPr>
                <w:color w:val="333300"/>
              </w:rPr>
            </w:pPr>
            <w:r w:rsidRPr="004C5551">
              <w:rPr>
                <w:color w:val="333300"/>
              </w:rPr>
              <w:t>Absolventi VŠ s ukončeným vysokoškolským vzdelaním druhého a tretieho stupňa (stupeň vzdelania 18, 19)</w:t>
            </w:r>
          </w:p>
        </w:tc>
        <w:tc>
          <w:tcPr>
            <w:tcW w:w="1559" w:type="dxa"/>
            <w:vAlign w:val="center"/>
          </w:tcPr>
          <w:p w:rsidR="00530875" w:rsidRPr="004C5551" w:rsidRDefault="009E4BCF" w:rsidP="00530875">
            <w:pPr>
              <w:ind w:right="226"/>
              <w:jc w:val="right"/>
              <w:rPr>
                <w:color w:val="333300"/>
              </w:rPr>
            </w:pPr>
            <w:r w:rsidRPr="004C5551">
              <w:rPr>
                <w:color w:val="333300"/>
              </w:rPr>
              <w:t>5 046</w:t>
            </w:r>
          </w:p>
        </w:tc>
      </w:tr>
    </w:tbl>
    <w:p w:rsidR="005D3DFE" w:rsidRPr="004C5551" w:rsidRDefault="00530875" w:rsidP="005D3DFE">
      <w:pPr>
        <w:pStyle w:val="zdroj"/>
        <w:spacing w:after="0"/>
      </w:pPr>
      <w:r w:rsidRPr="004C5551">
        <w:t>Zdroj: ÚPSVR</w:t>
      </w:r>
    </w:p>
    <w:p w:rsidR="00641072" w:rsidRPr="004C5551" w:rsidRDefault="00641072" w:rsidP="006A153B">
      <w:pPr>
        <w:pStyle w:val="Nadpis7"/>
      </w:pPr>
      <w:r w:rsidRPr="004C5551">
        <w:t xml:space="preserve">Tabuľka </w:t>
      </w:r>
      <w:r w:rsidR="0004706C" w:rsidRPr="004C5551">
        <w:t>5</w:t>
      </w:r>
      <w:r w:rsidR="00754C2A" w:rsidRPr="004C5551">
        <w:t xml:space="preserve"> </w:t>
      </w:r>
      <w:r w:rsidRPr="004C5551">
        <w:t>Nástroje aktívnych opatrení trhu práce</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843"/>
        <w:gridCol w:w="1843"/>
        <w:gridCol w:w="2015"/>
        <w:gridCol w:w="1954"/>
      </w:tblGrid>
      <w:tr w:rsidR="001A0CDB" w:rsidRPr="004C5551" w:rsidTr="00960E97">
        <w:trPr>
          <w:trHeight w:val="269"/>
        </w:trPr>
        <w:tc>
          <w:tcPr>
            <w:tcW w:w="1276" w:type="dxa"/>
            <w:vMerge w:val="restart"/>
            <w:shd w:val="clear" w:color="auto" w:fill="FF9999" w:themeFill="accent3" w:themeFillTint="66"/>
            <w:vAlign w:val="center"/>
          </w:tcPr>
          <w:p w:rsidR="001A0CDB" w:rsidRPr="004C5551" w:rsidRDefault="001A0CDB" w:rsidP="001A0CDB">
            <w:pPr>
              <w:jc w:val="center"/>
              <w:rPr>
                <w:sz w:val="18"/>
                <w:szCs w:val="18"/>
              </w:rPr>
            </w:pPr>
            <w:r w:rsidRPr="004C5551">
              <w:rPr>
                <w:b/>
                <w:bCs/>
                <w:sz w:val="15"/>
                <w:szCs w:val="15"/>
              </w:rPr>
              <w:t>Nástroj APTP</w:t>
            </w:r>
          </w:p>
        </w:tc>
        <w:tc>
          <w:tcPr>
            <w:tcW w:w="3686" w:type="dxa"/>
            <w:gridSpan w:val="2"/>
            <w:shd w:val="clear" w:color="auto" w:fill="FF9999" w:themeFill="accent3" w:themeFillTint="66"/>
            <w:noWrap/>
            <w:vAlign w:val="center"/>
          </w:tcPr>
          <w:p w:rsidR="001A0CDB" w:rsidRPr="004C5551" w:rsidRDefault="001A0CDB" w:rsidP="008E1648">
            <w:pPr>
              <w:ind w:right="319"/>
              <w:jc w:val="center"/>
              <w:rPr>
                <w:sz w:val="18"/>
                <w:szCs w:val="18"/>
              </w:rPr>
            </w:pPr>
            <w:r w:rsidRPr="004C5551">
              <w:rPr>
                <w:b/>
                <w:bCs/>
                <w:sz w:val="16"/>
                <w:szCs w:val="15"/>
              </w:rPr>
              <w:t>Rok 201</w:t>
            </w:r>
            <w:r w:rsidR="008E1648" w:rsidRPr="004C5551">
              <w:rPr>
                <w:b/>
                <w:bCs/>
                <w:sz w:val="16"/>
                <w:szCs w:val="15"/>
              </w:rPr>
              <w:t>3</w:t>
            </w:r>
          </w:p>
        </w:tc>
        <w:tc>
          <w:tcPr>
            <w:tcW w:w="3969" w:type="dxa"/>
            <w:gridSpan w:val="2"/>
            <w:shd w:val="clear" w:color="auto" w:fill="FF9999" w:themeFill="accent3" w:themeFillTint="66"/>
            <w:noWrap/>
            <w:vAlign w:val="center"/>
          </w:tcPr>
          <w:p w:rsidR="001A0CDB" w:rsidRPr="004C5551" w:rsidRDefault="001A0CDB" w:rsidP="008E1648">
            <w:pPr>
              <w:ind w:right="319"/>
              <w:jc w:val="center"/>
              <w:rPr>
                <w:sz w:val="18"/>
                <w:szCs w:val="18"/>
              </w:rPr>
            </w:pPr>
            <w:r w:rsidRPr="004C5551">
              <w:rPr>
                <w:b/>
                <w:bCs/>
                <w:sz w:val="16"/>
                <w:szCs w:val="15"/>
              </w:rPr>
              <w:t>Rok 201</w:t>
            </w:r>
            <w:r w:rsidR="008E1648" w:rsidRPr="004C5551">
              <w:rPr>
                <w:b/>
                <w:bCs/>
                <w:sz w:val="16"/>
                <w:szCs w:val="15"/>
              </w:rPr>
              <w:t>4</w:t>
            </w:r>
          </w:p>
        </w:tc>
      </w:tr>
      <w:tr w:rsidR="001A0CDB" w:rsidRPr="004C5551" w:rsidTr="00960E97">
        <w:trPr>
          <w:trHeight w:val="269"/>
        </w:trPr>
        <w:tc>
          <w:tcPr>
            <w:tcW w:w="1276" w:type="dxa"/>
            <w:vMerge/>
            <w:shd w:val="clear" w:color="auto" w:fill="FF9999" w:themeFill="accent3" w:themeFillTint="66"/>
          </w:tcPr>
          <w:p w:rsidR="001A0CDB" w:rsidRPr="004C5551" w:rsidRDefault="001A0CDB" w:rsidP="00641072">
            <w:pPr>
              <w:rPr>
                <w:sz w:val="18"/>
                <w:szCs w:val="18"/>
              </w:rPr>
            </w:pPr>
          </w:p>
        </w:tc>
        <w:tc>
          <w:tcPr>
            <w:tcW w:w="1843" w:type="dxa"/>
            <w:shd w:val="clear" w:color="auto" w:fill="FF9999" w:themeFill="accent3" w:themeFillTint="66"/>
            <w:noWrap/>
            <w:vAlign w:val="center"/>
          </w:tcPr>
          <w:p w:rsidR="001A0CDB" w:rsidRPr="004C5551" w:rsidRDefault="001A0CDB" w:rsidP="001A0CDB">
            <w:pPr>
              <w:ind w:right="35"/>
              <w:jc w:val="center"/>
              <w:rPr>
                <w:sz w:val="18"/>
                <w:szCs w:val="18"/>
              </w:rPr>
            </w:pPr>
            <w:r w:rsidRPr="004C5551">
              <w:rPr>
                <w:b/>
                <w:bCs/>
                <w:sz w:val="16"/>
                <w:szCs w:val="15"/>
              </w:rPr>
              <w:t xml:space="preserve">Počet </w:t>
            </w:r>
            <w:proofErr w:type="spellStart"/>
            <w:r w:rsidRPr="004C5551">
              <w:rPr>
                <w:b/>
                <w:bCs/>
                <w:sz w:val="16"/>
                <w:szCs w:val="15"/>
              </w:rPr>
              <w:t>vytvorených-obsadených</w:t>
            </w:r>
            <w:proofErr w:type="spellEnd"/>
            <w:r w:rsidRPr="004C5551">
              <w:rPr>
                <w:b/>
                <w:bCs/>
                <w:sz w:val="16"/>
                <w:szCs w:val="15"/>
              </w:rPr>
              <w:t xml:space="preserve"> PM, resp. počet zaradených </w:t>
            </w:r>
            <w:proofErr w:type="spellStart"/>
            <w:r w:rsidRPr="004C5551">
              <w:rPr>
                <w:b/>
                <w:bCs/>
                <w:sz w:val="16"/>
                <w:szCs w:val="15"/>
              </w:rPr>
              <w:t>UoZ</w:t>
            </w:r>
            <w:proofErr w:type="spellEnd"/>
            <w:r w:rsidRPr="004C5551">
              <w:rPr>
                <w:b/>
                <w:bCs/>
                <w:sz w:val="16"/>
                <w:szCs w:val="15"/>
              </w:rPr>
              <w:t>/osôb, resp. počet podporených PM/</w:t>
            </w:r>
            <w:proofErr w:type="spellStart"/>
            <w:r w:rsidRPr="004C5551">
              <w:rPr>
                <w:b/>
                <w:bCs/>
                <w:sz w:val="16"/>
                <w:szCs w:val="15"/>
              </w:rPr>
              <w:t>UoZ</w:t>
            </w:r>
            <w:proofErr w:type="spellEnd"/>
            <w:r w:rsidRPr="004C5551">
              <w:rPr>
                <w:b/>
                <w:bCs/>
                <w:sz w:val="16"/>
                <w:szCs w:val="15"/>
              </w:rPr>
              <w:t>/osôb</w:t>
            </w:r>
          </w:p>
        </w:tc>
        <w:tc>
          <w:tcPr>
            <w:tcW w:w="1843" w:type="dxa"/>
            <w:shd w:val="clear" w:color="auto" w:fill="FF9999" w:themeFill="accent3" w:themeFillTint="66"/>
            <w:noWrap/>
            <w:vAlign w:val="center"/>
          </w:tcPr>
          <w:p w:rsidR="001A0CDB" w:rsidRPr="004C5551" w:rsidRDefault="001A0CDB" w:rsidP="00504780">
            <w:pPr>
              <w:ind w:right="35"/>
              <w:jc w:val="center"/>
              <w:rPr>
                <w:sz w:val="18"/>
                <w:szCs w:val="18"/>
              </w:rPr>
            </w:pPr>
            <w:r w:rsidRPr="004C5551">
              <w:rPr>
                <w:b/>
                <w:bCs/>
                <w:sz w:val="16"/>
                <w:szCs w:val="15"/>
              </w:rPr>
              <w:t>Čerpanie finančných prostriedkov</w:t>
            </w:r>
            <w:r w:rsidR="0016196A" w:rsidRPr="004C5551">
              <w:rPr>
                <w:b/>
                <w:bCs/>
                <w:sz w:val="16"/>
                <w:szCs w:val="15"/>
              </w:rPr>
              <w:t xml:space="preserve"> </w:t>
            </w:r>
            <w:r w:rsidRPr="004C5551">
              <w:rPr>
                <w:b/>
                <w:bCs/>
                <w:sz w:val="16"/>
                <w:szCs w:val="15"/>
              </w:rPr>
              <w:t xml:space="preserve">(v </w:t>
            </w:r>
            <w:r w:rsidR="00AA0137" w:rsidRPr="004C5551">
              <w:rPr>
                <w:b/>
                <w:bCs/>
                <w:sz w:val="16"/>
                <w:szCs w:val="15"/>
              </w:rPr>
              <w:t>€</w:t>
            </w:r>
            <w:r w:rsidRPr="004C5551">
              <w:rPr>
                <w:b/>
                <w:bCs/>
                <w:sz w:val="16"/>
                <w:szCs w:val="15"/>
              </w:rPr>
              <w:t>)</w:t>
            </w:r>
          </w:p>
        </w:tc>
        <w:tc>
          <w:tcPr>
            <w:tcW w:w="2015" w:type="dxa"/>
            <w:shd w:val="clear" w:color="auto" w:fill="FF9999" w:themeFill="accent3" w:themeFillTint="66"/>
            <w:noWrap/>
            <w:vAlign w:val="center"/>
          </w:tcPr>
          <w:p w:rsidR="001A0CDB" w:rsidRPr="004C5551" w:rsidRDefault="001A0CDB" w:rsidP="001A0CDB">
            <w:pPr>
              <w:ind w:right="35"/>
              <w:jc w:val="center"/>
              <w:rPr>
                <w:sz w:val="18"/>
                <w:szCs w:val="18"/>
              </w:rPr>
            </w:pPr>
            <w:r w:rsidRPr="004C5551">
              <w:rPr>
                <w:b/>
                <w:bCs/>
                <w:sz w:val="16"/>
                <w:szCs w:val="15"/>
              </w:rPr>
              <w:t xml:space="preserve">Počet </w:t>
            </w:r>
            <w:proofErr w:type="spellStart"/>
            <w:r w:rsidRPr="004C5551">
              <w:rPr>
                <w:b/>
                <w:bCs/>
                <w:sz w:val="16"/>
                <w:szCs w:val="15"/>
              </w:rPr>
              <w:t>vytvorených-obsadených</w:t>
            </w:r>
            <w:proofErr w:type="spellEnd"/>
            <w:r w:rsidRPr="004C5551">
              <w:rPr>
                <w:b/>
                <w:bCs/>
                <w:sz w:val="16"/>
                <w:szCs w:val="15"/>
              </w:rPr>
              <w:t xml:space="preserve"> PM, resp. počet zaradených </w:t>
            </w:r>
            <w:proofErr w:type="spellStart"/>
            <w:r w:rsidRPr="004C5551">
              <w:rPr>
                <w:b/>
                <w:bCs/>
                <w:sz w:val="16"/>
                <w:szCs w:val="15"/>
              </w:rPr>
              <w:t>UoZ</w:t>
            </w:r>
            <w:proofErr w:type="spellEnd"/>
            <w:r w:rsidRPr="004C5551">
              <w:rPr>
                <w:b/>
                <w:bCs/>
                <w:sz w:val="16"/>
                <w:szCs w:val="15"/>
              </w:rPr>
              <w:t>/osôb, resp. počet podporených PM/</w:t>
            </w:r>
            <w:proofErr w:type="spellStart"/>
            <w:r w:rsidRPr="004C5551">
              <w:rPr>
                <w:b/>
                <w:bCs/>
                <w:sz w:val="16"/>
                <w:szCs w:val="15"/>
              </w:rPr>
              <w:t>UoZ</w:t>
            </w:r>
            <w:proofErr w:type="spellEnd"/>
            <w:r w:rsidRPr="004C5551">
              <w:rPr>
                <w:b/>
                <w:bCs/>
                <w:sz w:val="16"/>
                <w:szCs w:val="15"/>
              </w:rPr>
              <w:t>/osôb</w:t>
            </w:r>
          </w:p>
        </w:tc>
        <w:tc>
          <w:tcPr>
            <w:tcW w:w="1954" w:type="dxa"/>
            <w:shd w:val="clear" w:color="auto" w:fill="FF9999" w:themeFill="accent3" w:themeFillTint="66"/>
            <w:noWrap/>
            <w:vAlign w:val="center"/>
          </w:tcPr>
          <w:p w:rsidR="001A0CDB" w:rsidRPr="004C5551" w:rsidRDefault="001A0CDB" w:rsidP="00504780">
            <w:pPr>
              <w:ind w:right="319"/>
              <w:jc w:val="center"/>
              <w:rPr>
                <w:sz w:val="18"/>
                <w:szCs w:val="18"/>
              </w:rPr>
            </w:pPr>
            <w:r w:rsidRPr="004C5551">
              <w:rPr>
                <w:b/>
                <w:bCs/>
                <w:sz w:val="16"/>
                <w:szCs w:val="15"/>
              </w:rPr>
              <w:t>Čerpanie finančných prostriedkov</w:t>
            </w:r>
            <w:r w:rsidRPr="004C5551">
              <w:rPr>
                <w:b/>
                <w:bCs/>
                <w:sz w:val="16"/>
                <w:szCs w:val="15"/>
              </w:rPr>
              <w:br/>
              <w:t xml:space="preserve"> (v </w:t>
            </w:r>
            <w:r w:rsidR="00AA0137" w:rsidRPr="004C5551">
              <w:rPr>
                <w:b/>
                <w:bCs/>
                <w:sz w:val="16"/>
                <w:szCs w:val="15"/>
              </w:rPr>
              <w:t>€</w:t>
            </w:r>
            <w:r w:rsidRPr="004C5551">
              <w:rPr>
                <w:b/>
                <w:bCs/>
                <w:sz w:val="16"/>
                <w:szCs w:val="15"/>
              </w:rPr>
              <w:t>)</w:t>
            </w:r>
          </w:p>
        </w:tc>
      </w:tr>
      <w:tr w:rsidR="008E1648" w:rsidRPr="004C5551" w:rsidTr="00960E97">
        <w:trPr>
          <w:trHeight w:val="330"/>
        </w:trPr>
        <w:tc>
          <w:tcPr>
            <w:tcW w:w="1276" w:type="dxa"/>
            <w:vAlign w:val="center"/>
            <w:hideMark/>
          </w:tcPr>
          <w:p w:rsidR="008E1648" w:rsidRPr="004C5551" w:rsidRDefault="008E1648" w:rsidP="00502AAC">
            <w:pPr>
              <w:rPr>
                <w:color w:val="000000"/>
              </w:rPr>
            </w:pPr>
            <w:r w:rsidRPr="004C5551">
              <w:rPr>
                <w:color w:val="000000"/>
                <w:szCs w:val="22"/>
              </w:rPr>
              <w:t xml:space="preserve">§ 32 </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5 455</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67 847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5 620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67 682</w:t>
            </w:r>
          </w:p>
        </w:tc>
      </w:tr>
      <w:tr w:rsidR="008E1648" w:rsidRPr="004C5551" w:rsidTr="00960E97">
        <w:trPr>
          <w:trHeight w:val="315"/>
        </w:trPr>
        <w:tc>
          <w:tcPr>
            <w:tcW w:w="1276" w:type="dxa"/>
            <w:noWrap/>
            <w:vAlign w:val="center"/>
          </w:tcPr>
          <w:p w:rsidR="008E1648" w:rsidRPr="004C5551" w:rsidRDefault="008E1648" w:rsidP="00502AAC">
            <w:pPr>
              <w:rPr>
                <w:color w:val="000000"/>
              </w:rPr>
            </w:pPr>
            <w:r w:rsidRPr="004C5551">
              <w:rPr>
                <w:color w:val="000000"/>
                <w:szCs w:val="22"/>
              </w:rPr>
              <w:t>§ 42</w:t>
            </w:r>
          </w:p>
        </w:tc>
        <w:tc>
          <w:tcPr>
            <w:tcW w:w="1843" w:type="dxa"/>
            <w:noWrap/>
            <w:vAlign w:val="center"/>
          </w:tcPr>
          <w:p w:rsidR="008E1648" w:rsidRPr="004C5551" w:rsidRDefault="008E1648" w:rsidP="009A02B2">
            <w:pPr>
              <w:ind w:right="170"/>
              <w:jc w:val="right"/>
              <w:rPr>
                <w:color w:val="000000"/>
              </w:rPr>
            </w:pPr>
            <w:r w:rsidRPr="004C5551">
              <w:rPr>
                <w:color w:val="000000"/>
                <w:szCs w:val="22"/>
              </w:rPr>
              <w:t>143 962</w:t>
            </w:r>
          </w:p>
        </w:tc>
        <w:tc>
          <w:tcPr>
            <w:tcW w:w="1843" w:type="dxa"/>
            <w:noWrap/>
            <w:vAlign w:val="center"/>
          </w:tcPr>
          <w:p w:rsidR="008E1648" w:rsidRPr="004C5551" w:rsidRDefault="008E1648" w:rsidP="009A02B2">
            <w:pPr>
              <w:ind w:right="170"/>
              <w:jc w:val="right"/>
              <w:rPr>
                <w:color w:val="000000"/>
              </w:rPr>
            </w:pPr>
            <w:r w:rsidRPr="004C5551">
              <w:rPr>
                <w:color w:val="000000"/>
                <w:szCs w:val="22"/>
              </w:rPr>
              <w:t>155 660</w:t>
            </w:r>
          </w:p>
        </w:tc>
        <w:tc>
          <w:tcPr>
            <w:tcW w:w="2015" w:type="dxa"/>
            <w:noWrap/>
            <w:vAlign w:val="center"/>
          </w:tcPr>
          <w:p w:rsidR="008E1648" w:rsidRPr="004C5551" w:rsidRDefault="008E1648" w:rsidP="009A02B2">
            <w:pPr>
              <w:ind w:right="170"/>
              <w:jc w:val="right"/>
              <w:rPr>
                <w:color w:val="000000"/>
              </w:rPr>
            </w:pPr>
            <w:r w:rsidRPr="004C5551">
              <w:rPr>
                <w:color w:val="000000"/>
                <w:szCs w:val="22"/>
              </w:rPr>
              <w:t>271 645</w:t>
            </w:r>
          </w:p>
        </w:tc>
        <w:tc>
          <w:tcPr>
            <w:tcW w:w="1954" w:type="dxa"/>
            <w:noWrap/>
            <w:vAlign w:val="center"/>
          </w:tcPr>
          <w:p w:rsidR="008E1648" w:rsidRPr="004C5551" w:rsidRDefault="008E1648" w:rsidP="009A02B2">
            <w:pPr>
              <w:ind w:right="170"/>
              <w:jc w:val="right"/>
              <w:rPr>
                <w:color w:val="000000"/>
              </w:rPr>
            </w:pPr>
            <w:r w:rsidRPr="004C5551">
              <w:rPr>
                <w:color w:val="000000"/>
                <w:szCs w:val="22"/>
              </w:rPr>
              <w:t>283 537</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xml:space="preserve">§ 43 </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179 002</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17 384</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145 236</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11 035</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46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1 438</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280 252</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6 659</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2 497 323</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47</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8</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4 052</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1 609</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563 679</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49</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4 897</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16 269 868</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2 715</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6 908 844</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50</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1 506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1 681 817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3 178</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5 359 649</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50a</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2 027</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11 196 720</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370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5 513 613</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50c</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128</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688 742</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6</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281 527</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50j</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4 902</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9 748 048</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3 999</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12 466 006</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50k</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1 867</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6 147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44 050</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51</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9 858</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8 790 098</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9 482</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4 426 804</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52</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16 991</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2 185 422</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26 200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4 213 568</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52a</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3 488</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3 511 583</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6 460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5 734 928</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53</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12 776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4 076 189</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7 059</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1 590 039</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53a</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66 223</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38</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66 193</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xml:space="preserve">§53d </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529</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1 897 543</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570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2 672 310</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§54</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13 409</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24 391 520</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17 188</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39 863 208</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§56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1 710</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17 623 407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994</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12 640 458</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56a</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232</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775 557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31</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169 643</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§57</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296</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2 543 153</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96</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431 095</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§59</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764</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3 662 677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770</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3 220 722</w:t>
            </w:r>
          </w:p>
        </w:tc>
      </w:tr>
      <w:tr w:rsidR="008E1648" w:rsidRPr="004C5551" w:rsidTr="00960E97">
        <w:trPr>
          <w:trHeight w:val="315"/>
        </w:trPr>
        <w:tc>
          <w:tcPr>
            <w:tcW w:w="1276" w:type="dxa"/>
            <w:noWrap/>
            <w:vAlign w:val="center"/>
            <w:hideMark/>
          </w:tcPr>
          <w:p w:rsidR="008E1648" w:rsidRPr="004C5551" w:rsidRDefault="008E1648" w:rsidP="00502AAC">
            <w:pPr>
              <w:rPr>
                <w:color w:val="000000"/>
              </w:rPr>
            </w:pPr>
            <w:r w:rsidRPr="004C5551">
              <w:rPr>
                <w:color w:val="000000"/>
                <w:szCs w:val="22"/>
              </w:rPr>
              <w:t>§ 60</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6 809</w:t>
            </w:r>
          </w:p>
        </w:tc>
        <w:tc>
          <w:tcPr>
            <w:tcW w:w="1843" w:type="dxa"/>
            <w:noWrap/>
            <w:vAlign w:val="center"/>
            <w:hideMark/>
          </w:tcPr>
          <w:p w:rsidR="008E1648" w:rsidRPr="004C5551" w:rsidRDefault="008E1648" w:rsidP="009A02B2">
            <w:pPr>
              <w:ind w:right="170"/>
              <w:jc w:val="right"/>
              <w:rPr>
                <w:color w:val="000000"/>
              </w:rPr>
            </w:pPr>
            <w:r w:rsidRPr="004C5551">
              <w:rPr>
                <w:color w:val="000000"/>
                <w:szCs w:val="22"/>
              </w:rPr>
              <w:t>17 745 247</w:t>
            </w:r>
          </w:p>
        </w:tc>
        <w:tc>
          <w:tcPr>
            <w:tcW w:w="2015" w:type="dxa"/>
            <w:noWrap/>
            <w:vAlign w:val="center"/>
            <w:hideMark/>
          </w:tcPr>
          <w:p w:rsidR="008E1648" w:rsidRPr="004C5551" w:rsidRDefault="008E1648" w:rsidP="009A02B2">
            <w:pPr>
              <w:ind w:right="170"/>
              <w:jc w:val="right"/>
              <w:rPr>
                <w:color w:val="000000"/>
              </w:rPr>
            </w:pPr>
            <w:r w:rsidRPr="004C5551">
              <w:rPr>
                <w:color w:val="000000"/>
                <w:szCs w:val="22"/>
              </w:rPr>
              <w:t>9 728</w:t>
            </w:r>
          </w:p>
        </w:tc>
        <w:tc>
          <w:tcPr>
            <w:tcW w:w="1954" w:type="dxa"/>
            <w:noWrap/>
            <w:vAlign w:val="center"/>
            <w:hideMark/>
          </w:tcPr>
          <w:p w:rsidR="008E1648" w:rsidRPr="004C5551" w:rsidRDefault="008E1648" w:rsidP="009A02B2">
            <w:pPr>
              <w:ind w:right="170"/>
              <w:jc w:val="right"/>
              <w:rPr>
                <w:color w:val="000000"/>
              </w:rPr>
            </w:pPr>
            <w:r w:rsidRPr="004C5551">
              <w:rPr>
                <w:color w:val="000000"/>
                <w:szCs w:val="22"/>
              </w:rPr>
              <w:t>20 258 100</w:t>
            </w:r>
          </w:p>
        </w:tc>
      </w:tr>
      <w:tr w:rsidR="008E1648" w:rsidRPr="004C5551" w:rsidTr="00960E97">
        <w:trPr>
          <w:trHeight w:val="315"/>
        </w:trPr>
        <w:tc>
          <w:tcPr>
            <w:tcW w:w="1276" w:type="dxa"/>
            <w:vAlign w:val="center"/>
            <w:hideMark/>
          </w:tcPr>
          <w:p w:rsidR="008E1648" w:rsidRPr="004C5551" w:rsidRDefault="008E1648" w:rsidP="00502AAC">
            <w:pPr>
              <w:rPr>
                <w:b/>
                <w:bCs/>
                <w:color w:val="000000"/>
              </w:rPr>
            </w:pPr>
            <w:r w:rsidRPr="004C5551">
              <w:rPr>
                <w:b/>
                <w:bCs/>
                <w:color w:val="000000"/>
                <w:szCs w:val="22"/>
              </w:rPr>
              <w:t>Spolu</w:t>
            </w:r>
          </w:p>
        </w:tc>
        <w:tc>
          <w:tcPr>
            <w:tcW w:w="1843" w:type="dxa"/>
            <w:vAlign w:val="center"/>
            <w:hideMark/>
          </w:tcPr>
          <w:p w:rsidR="008E1648" w:rsidRPr="004C5551" w:rsidRDefault="00460DEB" w:rsidP="009A02B2">
            <w:pPr>
              <w:ind w:right="170"/>
              <w:jc w:val="right"/>
              <w:rPr>
                <w:b/>
                <w:bCs/>
                <w:color w:val="000000"/>
              </w:rPr>
            </w:pPr>
            <w:r w:rsidRPr="004C5551">
              <w:rPr>
                <w:b/>
                <w:bCs/>
                <w:color w:val="000000"/>
                <w:szCs w:val="22"/>
              </w:rPr>
              <w:t>412 120</w:t>
            </w:r>
          </w:p>
        </w:tc>
        <w:tc>
          <w:tcPr>
            <w:tcW w:w="1843" w:type="dxa"/>
            <w:vAlign w:val="center"/>
            <w:hideMark/>
          </w:tcPr>
          <w:p w:rsidR="008E1648" w:rsidRPr="004C5551" w:rsidRDefault="008E1648" w:rsidP="009A02B2">
            <w:pPr>
              <w:ind w:right="170"/>
              <w:jc w:val="right"/>
              <w:rPr>
                <w:b/>
                <w:bCs/>
                <w:color w:val="000000"/>
              </w:rPr>
            </w:pPr>
            <w:r w:rsidRPr="004C5551">
              <w:rPr>
                <w:b/>
                <w:bCs/>
                <w:color w:val="000000"/>
                <w:szCs w:val="22"/>
              </w:rPr>
              <w:t xml:space="preserve">127 385 </w:t>
            </w:r>
            <w:r w:rsidR="006D159A" w:rsidRPr="004C5551">
              <w:rPr>
                <w:b/>
                <w:bCs/>
                <w:color w:val="000000"/>
                <w:szCs w:val="22"/>
              </w:rPr>
              <w:t>156</w:t>
            </w:r>
          </w:p>
        </w:tc>
        <w:tc>
          <w:tcPr>
            <w:tcW w:w="2015" w:type="dxa"/>
            <w:vAlign w:val="center"/>
            <w:hideMark/>
          </w:tcPr>
          <w:p w:rsidR="008E1648" w:rsidRPr="004C5551" w:rsidRDefault="00460DEB" w:rsidP="009A02B2">
            <w:pPr>
              <w:ind w:right="170"/>
              <w:jc w:val="right"/>
              <w:rPr>
                <w:b/>
                <w:bCs/>
                <w:color w:val="000000"/>
              </w:rPr>
            </w:pPr>
            <w:r w:rsidRPr="004C5551">
              <w:rPr>
                <w:b/>
                <w:bCs/>
                <w:color w:val="000000"/>
                <w:szCs w:val="22"/>
              </w:rPr>
              <w:t>519 653</w:t>
            </w:r>
          </w:p>
        </w:tc>
        <w:tc>
          <w:tcPr>
            <w:tcW w:w="1954" w:type="dxa"/>
            <w:vAlign w:val="center"/>
            <w:hideMark/>
          </w:tcPr>
          <w:p w:rsidR="008E1648" w:rsidRPr="004C5551" w:rsidRDefault="008E1648" w:rsidP="009A02B2">
            <w:pPr>
              <w:ind w:right="170"/>
              <w:jc w:val="right"/>
              <w:rPr>
                <w:b/>
                <w:bCs/>
                <w:color w:val="000000"/>
              </w:rPr>
            </w:pPr>
            <w:r w:rsidRPr="004C5551">
              <w:rPr>
                <w:b/>
                <w:bCs/>
                <w:color w:val="000000"/>
                <w:szCs w:val="22"/>
              </w:rPr>
              <w:t xml:space="preserve">129 284 </w:t>
            </w:r>
            <w:r w:rsidR="006D159A" w:rsidRPr="004C5551">
              <w:rPr>
                <w:b/>
                <w:bCs/>
                <w:color w:val="000000"/>
                <w:szCs w:val="22"/>
              </w:rPr>
              <w:t>013</w:t>
            </w:r>
          </w:p>
        </w:tc>
      </w:tr>
    </w:tbl>
    <w:p w:rsidR="008E1648" w:rsidRPr="004C5551" w:rsidRDefault="008E1648" w:rsidP="008E1648">
      <w:pPr>
        <w:pStyle w:val="zdroj"/>
        <w:ind w:firstLine="426"/>
      </w:pPr>
      <w:r w:rsidRPr="004C5551">
        <w:t xml:space="preserve">Zdroj: ÚPSVR </w:t>
      </w:r>
    </w:p>
    <w:p w:rsidR="00641072" w:rsidRPr="004C5551" w:rsidRDefault="00641072" w:rsidP="00641072">
      <w:pPr>
        <w:rPr>
          <w:lang w:eastAsia="cs-CZ"/>
        </w:rPr>
      </w:pPr>
    </w:p>
    <w:p w:rsidR="00641072" w:rsidRPr="004C5551" w:rsidRDefault="00641072" w:rsidP="00641072">
      <w:pPr>
        <w:jc w:val="left"/>
        <w:rPr>
          <w:rStyle w:val="Siln"/>
          <w:b w:val="0"/>
          <w:i/>
          <w:color w:val="000000"/>
          <w:sz w:val="20"/>
          <w:szCs w:val="20"/>
        </w:rPr>
      </w:pPr>
      <w:r w:rsidRPr="004C5551">
        <w:rPr>
          <w:rStyle w:val="Siln"/>
        </w:rPr>
        <w:br w:type="page"/>
      </w:r>
    </w:p>
    <w:p w:rsidR="00641072" w:rsidRPr="004C5551" w:rsidRDefault="00641072" w:rsidP="00641072">
      <w:pPr>
        <w:pStyle w:val="Nadpis7"/>
      </w:pPr>
      <w:r w:rsidRPr="004C5551">
        <w:t>Prehľad realizácie aktívnych opatrení na trhu práce</w:t>
      </w:r>
    </w:p>
    <w:p w:rsidR="00A03BF5" w:rsidRPr="004C5551" w:rsidRDefault="00A03BF5" w:rsidP="00B279ED">
      <w:pPr>
        <w:spacing w:after="60"/>
        <w:rPr>
          <w:b/>
        </w:rPr>
      </w:pPr>
      <w:r w:rsidRPr="004C5551">
        <w:rPr>
          <w:b/>
        </w:rPr>
        <w:t>Sprostredkovanie zamestnania (§ 32)</w:t>
      </w:r>
    </w:p>
    <w:p w:rsidR="00A03BF5" w:rsidRPr="004C5551" w:rsidRDefault="00A03BF5" w:rsidP="002A746E">
      <w:pPr>
        <w:ind w:firstLine="431"/>
      </w:pPr>
      <w:r w:rsidRPr="004C5551">
        <w:t xml:space="preserve">Náhrada časti cestovných výdavkov uchádzačov o zamestnanie, ktoré </w:t>
      </w:r>
      <w:r w:rsidRPr="004C5551">
        <w:rPr>
          <w:rStyle w:val="Siln"/>
        </w:rPr>
        <w:t xml:space="preserve">súvisia </w:t>
      </w:r>
      <w:r w:rsidRPr="004C5551">
        <w:rPr>
          <w:rStyle w:val="Siln"/>
          <w:iCs/>
        </w:rPr>
        <w:t>s </w:t>
      </w:r>
      <w:r w:rsidRPr="004C5551">
        <w:t>absolvovaním</w:t>
      </w:r>
      <w:r w:rsidRPr="004C5551">
        <w:rPr>
          <w:rStyle w:val="Siln"/>
          <w:iCs/>
        </w:rPr>
        <w:t xml:space="preserve"> vstupného pohovoru alebo výberového konania u zamestnávateľa</w:t>
      </w:r>
      <w:r w:rsidRPr="004C5551">
        <w:rPr>
          <w:rStyle w:val="Siln"/>
        </w:rPr>
        <w:t xml:space="preserve"> alebo </w:t>
      </w:r>
      <w:r w:rsidRPr="004C5551">
        <w:rPr>
          <w:rStyle w:val="Siln"/>
          <w:iCs/>
        </w:rPr>
        <w:t xml:space="preserve">s účasťou </w:t>
      </w:r>
      <w:r w:rsidR="006B40DB" w:rsidRPr="004C5551">
        <w:rPr>
          <w:rStyle w:val="Siln"/>
          <w:iCs/>
        </w:rPr>
        <w:t>na </w:t>
      </w:r>
      <w:r w:rsidRPr="004C5551">
        <w:rPr>
          <w:rStyle w:val="Siln"/>
          <w:iCs/>
        </w:rPr>
        <w:t>skupinovom sprostredkovaní</w:t>
      </w:r>
      <w:r w:rsidR="004928A6" w:rsidRPr="004C5551">
        <w:rPr>
          <w:rStyle w:val="Siln"/>
          <w:iCs/>
        </w:rPr>
        <w:t xml:space="preserve"> zamestnania, ktoré organizuje Ú</w:t>
      </w:r>
      <w:r w:rsidRPr="004C5551">
        <w:rPr>
          <w:rStyle w:val="Siln"/>
          <w:iCs/>
        </w:rPr>
        <w:t>stredie alebo úrad</w:t>
      </w:r>
      <w:r w:rsidR="00F41E61" w:rsidRPr="004C5551">
        <w:rPr>
          <w:rStyle w:val="Siln"/>
          <w:iCs/>
        </w:rPr>
        <w:t xml:space="preserve"> PSVR</w:t>
      </w:r>
      <w:r w:rsidRPr="004C5551">
        <w:rPr>
          <w:rStyle w:val="Siln"/>
          <w:iCs/>
        </w:rPr>
        <w:t xml:space="preserve"> </w:t>
      </w:r>
      <w:r w:rsidRPr="004C5551">
        <w:rPr>
          <w:lang w:eastAsia="cs-CZ"/>
        </w:rPr>
        <w:t>na</w:t>
      </w:r>
      <w:r w:rsidR="00F41E61" w:rsidRPr="004C5551">
        <w:rPr>
          <w:lang w:eastAsia="cs-CZ"/>
        </w:rPr>
        <w:t> </w:t>
      </w:r>
      <w:r w:rsidRPr="004C5551">
        <w:rPr>
          <w:lang w:eastAsia="cs-CZ"/>
        </w:rPr>
        <w:t>území Slovenskej republiky pre zamestnávateľa alebo pre zamestnávateľa z členského štátu Európskej únie</w:t>
      </w:r>
    </w:p>
    <w:p w:rsidR="00A03BF5" w:rsidRPr="004C5551" w:rsidRDefault="00A03BF5" w:rsidP="002A746E">
      <w:pPr>
        <w:ind w:firstLine="431"/>
      </w:pPr>
      <w:r w:rsidRPr="004C5551">
        <w:t>Úrad</w:t>
      </w:r>
      <w:r w:rsidR="00F41E61" w:rsidRPr="004C5551">
        <w:t xml:space="preserve"> PSVR</w:t>
      </w:r>
      <w:r w:rsidRPr="004C5551">
        <w:t xml:space="preserve"> na účely sprostredkovania zamestnania poskytuje náhradu časti cestovných výdavkov </w:t>
      </w:r>
      <w:proofErr w:type="spellStart"/>
      <w:r w:rsidRPr="004C5551">
        <w:t>UoZ</w:t>
      </w:r>
      <w:proofErr w:type="spellEnd"/>
      <w:r w:rsidRPr="004C5551">
        <w:t xml:space="preserve">, ktoré súvisia s absolvovaním vstupného pohovoru alebo výberového konania u zamestnávateľa </w:t>
      </w:r>
      <w:r w:rsidRPr="004C5551">
        <w:rPr>
          <w:rStyle w:val="Siln"/>
        </w:rPr>
        <w:t xml:space="preserve">alebo </w:t>
      </w:r>
      <w:r w:rsidRPr="004C5551">
        <w:rPr>
          <w:rStyle w:val="Siln"/>
          <w:iCs/>
        </w:rPr>
        <w:t>s účasťou na skupinovom sprostredkovaní zamestnania</w:t>
      </w:r>
      <w:r w:rsidR="004928A6" w:rsidRPr="004C5551">
        <w:rPr>
          <w:rStyle w:val="Siln"/>
          <w:iCs/>
        </w:rPr>
        <w:t>, ktoré organizuje Ú</w:t>
      </w:r>
      <w:r w:rsidRPr="004C5551">
        <w:rPr>
          <w:rStyle w:val="Siln"/>
          <w:iCs/>
        </w:rPr>
        <w:t xml:space="preserve">stredie alebo úrad </w:t>
      </w:r>
      <w:r w:rsidR="00F41E61" w:rsidRPr="004C5551">
        <w:rPr>
          <w:rStyle w:val="Siln"/>
          <w:iCs/>
        </w:rPr>
        <w:t xml:space="preserve">PSVR </w:t>
      </w:r>
      <w:r w:rsidRPr="004C5551">
        <w:rPr>
          <w:iCs/>
          <w:lang w:eastAsia="cs-CZ"/>
        </w:rPr>
        <w:t>na území Slovenskej republiky pre zamestnávateľa alebo pre</w:t>
      </w:r>
      <w:r w:rsidR="00F41E61" w:rsidRPr="004C5551">
        <w:rPr>
          <w:iCs/>
          <w:lang w:eastAsia="cs-CZ"/>
        </w:rPr>
        <w:t> </w:t>
      </w:r>
      <w:r w:rsidRPr="004C5551">
        <w:rPr>
          <w:iCs/>
          <w:lang w:eastAsia="cs-CZ"/>
        </w:rPr>
        <w:t>zamestnávateľa z členského štátu Európskej únie.</w:t>
      </w:r>
    </w:p>
    <w:p w:rsidR="00A03BF5" w:rsidRPr="004C5551" w:rsidRDefault="00A03BF5" w:rsidP="002A746E">
      <w:pPr>
        <w:pStyle w:val="bullet1"/>
        <w:numPr>
          <w:ilvl w:val="0"/>
          <w:numId w:val="0"/>
        </w:numPr>
        <w:ind w:firstLine="431"/>
      </w:pPr>
      <w:r w:rsidRPr="004C5551">
        <w:t xml:space="preserve">V roku 2014 týmto opatrením bolo podporených celkom 5 620 </w:t>
      </w:r>
      <w:proofErr w:type="spellStart"/>
      <w:r w:rsidRPr="004C5551">
        <w:t>UoZ</w:t>
      </w:r>
      <w:proofErr w:type="spellEnd"/>
      <w:r w:rsidRPr="004C5551">
        <w:t xml:space="preserve">, čo bolo o 165 osôb viac ako v roku 2013. Vyplatených bolo 67 682 </w:t>
      </w:r>
      <w:r w:rsidR="00AA0137" w:rsidRPr="004C5551">
        <w:t>eur</w:t>
      </w:r>
      <w:r w:rsidRPr="004C5551">
        <w:t xml:space="preserve">, čo bolo o 165 </w:t>
      </w:r>
      <w:r w:rsidR="00AA0137" w:rsidRPr="004C5551">
        <w:t>eur</w:t>
      </w:r>
      <w:r w:rsidRPr="004C5551">
        <w:t xml:space="preserve"> menej ako v roku 2013.</w:t>
      </w:r>
    </w:p>
    <w:p w:rsidR="00A03BF5" w:rsidRPr="004C5551" w:rsidRDefault="00A03BF5" w:rsidP="002A746E">
      <w:pPr>
        <w:pStyle w:val="bullet1"/>
        <w:numPr>
          <w:ilvl w:val="0"/>
          <w:numId w:val="0"/>
        </w:numPr>
        <w:ind w:firstLine="431"/>
      </w:pPr>
    </w:p>
    <w:p w:rsidR="00A03BF5" w:rsidRPr="004C5551" w:rsidRDefault="00A03BF5" w:rsidP="00B279ED">
      <w:pPr>
        <w:spacing w:after="60"/>
        <w:rPr>
          <w:b/>
        </w:rPr>
      </w:pPr>
      <w:r w:rsidRPr="004C5551">
        <w:rPr>
          <w:b/>
        </w:rPr>
        <w:t>Informačné a poradenské služby (§ 42)</w:t>
      </w:r>
    </w:p>
    <w:p w:rsidR="00A03BF5" w:rsidRPr="004C5551" w:rsidRDefault="00A03BF5" w:rsidP="002A746E">
      <w:pPr>
        <w:ind w:firstLine="431"/>
        <w:rPr>
          <w:bCs/>
          <w:szCs w:val="22"/>
        </w:rPr>
      </w:pPr>
      <w:r w:rsidRPr="004C5551">
        <w:t xml:space="preserve">Významnou časťou náplne súvisiacej so sprostredkovaním zamestnania </w:t>
      </w:r>
      <w:r w:rsidRPr="004C5551">
        <w:rPr>
          <w:szCs w:val="22"/>
        </w:rPr>
        <w:t xml:space="preserve">v roku 2014 </w:t>
      </w:r>
      <w:r w:rsidRPr="004C5551">
        <w:rPr>
          <w:bCs/>
          <w:szCs w:val="22"/>
        </w:rPr>
        <w:t xml:space="preserve">bolo </w:t>
      </w:r>
      <w:r w:rsidRPr="004C5551">
        <w:rPr>
          <w:szCs w:val="22"/>
        </w:rPr>
        <w:t xml:space="preserve">poskytovanie </w:t>
      </w:r>
      <w:r w:rsidRPr="004C5551">
        <w:rPr>
          <w:bCs/>
          <w:szCs w:val="22"/>
        </w:rPr>
        <w:t xml:space="preserve">informačných a poradenských služieb pri voľbe povolania, výbere zamestnania vrátane jeho zmeny, výbere zamestnanca a adaptácii zamestnanca v novom zamestnaní </w:t>
      </w:r>
      <w:proofErr w:type="spellStart"/>
      <w:r w:rsidRPr="004C5551">
        <w:rPr>
          <w:bCs/>
          <w:szCs w:val="22"/>
        </w:rPr>
        <w:t>UoZ</w:t>
      </w:r>
      <w:proofErr w:type="spellEnd"/>
      <w:r w:rsidRPr="004C5551">
        <w:rPr>
          <w:bCs/>
          <w:szCs w:val="22"/>
        </w:rPr>
        <w:t>, záujemcom o zamestnane (</w:t>
      </w:r>
      <w:proofErr w:type="spellStart"/>
      <w:r w:rsidRPr="004C5551">
        <w:rPr>
          <w:bCs/>
          <w:szCs w:val="22"/>
        </w:rPr>
        <w:t>ZoZ</w:t>
      </w:r>
      <w:proofErr w:type="spellEnd"/>
      <w:r w:rsidRPr="004C5551">
        <w:rPr>
          <w:bCs/>
          <w:szCs w:val="22"/>
        </w:rPr>
        <w:t>), zamestnávateľom a žiakom.</w:t>
      </w:r>
    </w:p>
    <w:p w:rsidR="00A03BF5" w:rsidRPr="004C5551" w:rsidRDefault="00A03BF5" w:rsidP="002A746E">
      <w:pPr>
        <w:ind w:firstLine="431"/>
        <w:rPr>
          <w:bCs/>
        </w:rPr>
      </w:pPr>
      <w:r w:rsidRPr="004C5551">
        <w:t xml:space="preserve">Informačné a poradenské služby </w:t>
      </w:r>
      <w:r w:rsidRPr="004C5551">
        <w:rPr>
          <w:bCs/>
        </w:rPr>
        <w:t xml:space="preserve">o požiadavkách na odborné zručnosti a praktické skúsenosti potrebné na vykonávanie pracovných činností na pracovných miestach na trhu práce podľa národnej sústavy povolaní, </w:t>
      </w:r>
      <w:r w:rsidRPr="004C5551">
        <w:t xml:space="preserve">pre voľbu povolania a </w:t>
      </w:r>
      <w:r w:rsidRPr="004C5551">
        <w:rPr>
          <w:bCs/>
        </w:rPr>
        <w:t xml:space="preserve">pre výber zamestnania sa </w:t>
      </w:r>
      <w:r w:rsidRPr="004C5551">
        <w:t>žiakom môžu poskytovať v školách alebo v školských zariadeniach výchovného poradenstva a prevencie alebo na mieste určenom úradom</w:t>
      </w:r>
      <w:r w:rsidR="00F41E61" w:rsidRPr="004C5551">
        <w:t> PSVR</w:t>
      </w:r>
      <w:r w:rsidRPr="004C5551">
        <w:t>.</w:t>
      </w:r>
    </w:p>
    <w:p w:rsidR="00A03BF5" w:rsidRPr="004C5551" w:rsidRDefault="00A03BF5" w:rsidP="002A746E">
      <w:pPr>
        <w:ind w:firstLine="431"/>
      </w:pPr>
      <w:r w:rsidRPr="004C5551">
        <w:rPr>
          <w:bCs/>
          <w:szCs w:val="22"/>
        </w:rPr>
        <w:t>K</w:t>
      </w:r>
      <w:r w:rsidRPr="004C5551">
        <w:t>lientom úradov</w:t>
      </w:r>
      <w:r w:rsidR="00F41E61" w:rsidRPr="004C5551">
        <w:t xml:space="preserve"> PSVR</w:t>
      </w:r>
      <w:r w:rsidRPr="004C5551">
        <w:t xml:space="preserve"> boli informačné a poradenské služby poskytované individuálnou alebo skupinovou formou v informačných a poradenských strediskách, u zamestnávateľa alebo na školách.</w:t>
      </w:r>
    </w:p>
    <w:p w:rsidR="00A03BF5" w:rsidRPr="004C5551" w:rsidRDefault="00A03BF5" w:rsidP="002A746E">
      <w:pPr>
        <w:ind w:firstLine="431"/>
        <w:rPr>
          <w:rFonts w:ascii="Tahoma" w:hAnsi="Tahoma" w:cs="Tahoma"/>
          <w:bCs/>
          <w:sz w:val="20"/>
          <w:szCs w:val="20"/>
        </w:rPr>
      </w:pPr>
      <w:r w:rsidRPr="004C5551">
        <w:t xml:space="preserve">Informačné a poradenské služby boli </w:t>
      </w:r>
      <w:r w:rsidRPr="004C5551">
        <w:rPr>
          <w:bCs/>
        </w:rPr>
        <w:t>v roku 2014</w:t>
      </w:r>
      <w:r w:rsidRPr="004C5551">
        <w:t xml:space="preserve"> poskytnuté </w:t>
      </w:r>
      <w:r w:rsidRPr="004C5551">
        <w:rPr>
          <w:bCs/>
          <w:szCs w:val="22"/>
        </w:rPr>
        <w:t>271 645</w:t>
      </w:r>
      <w:r w:rsidRPr="004C5551">
        <w:rPr>
          <w:rFonts w:ascii="Tahoma" w:hAnsi="Tahoma" w:cs="Tahoma"/>
          <w:bCs/>
          <w:sz w:val="20"/>
          <w:szCs w:val="20"/>
        </w:rPr>
        <w:t xml:space="preserve"> </w:t>
      </w:r>
      <w:proofErr w:type="spellStart"/>
      <w:r w:rsidRPr="004C5551">
        <w:t>UoZ</w:t>
      </w:r>
      <w:proofErr w:type="spellEnd"/>
      <w:r w:rsidRPr="004C5551">
        <w:t xml:space="preserve">, </w:t>
      </w:r>
      <w:r w:rsidRPr="004C5551">
        <w:rPr>
          <w:bCs/>
        </w:rPr>
        <w:t>z</w:t>
      </w:r>
      <w:r w:rsidRPr="004C5551">
        <w:t xml:space="preserve"> toho bolo </w:t>
      </w:r>
      <w:r w:rsidRPr="004C5551">
        <w:rPr>
          <w:bCs/>
          <w:szCs w:val="22"/>
        </w:rPr>
        <w:t>130</w:t>
      </w:r>
      <w:r w:rsidR="006B40DB" w:rsidRPr="004C5551">
        <w:rPr>
          <w:bCs/>
          <w:szCs w:val="22"/>
        </w:rPr>
        <w:t> 732</w:t>
      </w:r>
      <w:r w:rsidR="006B40DB" w:rsidRPr="004C5551">
        <w:rPr>
          <w:rFonts w:ascii="Tahoma" w:hAnsi="Tahoma" w:cs="Tahoma"/>
          <w:bCs/>
          <w:szCs w:val="22"/>
        </w:rPr>
        <w:t> </w:t>
      </w:r>
      <w:r w:rsidRPr="004C5551">
        <w:rPr>
          <w:szCs w:val="22"/>
        </w:rPr>
        <w:t>žien (48,13</w:t>
      </w:r>
      <w:r w:rsidR="009425AA" w:rsidRPr="004C5551">
        <w:rPr>
          <w:szCs w:val="22"/>
        </w:rPr>
        <w:t> %</w:t>
      </w:r>
      <w:r w:rsidRPr="004C5551">
        <w:rPr>
          <w:szCs w:val="22"/>
        </w:rPr>
        <w:t>)</w:t>
      </w:r>
      <w:r w:rsidRPr="004C5551">
        <w:t xml:space="preserve"> a </w:t>
      </w:r>
      <w:r w:rsidRPr="004C5551">
        <w:rPr>
          <w:bCs/>
          <w:szCs w:val="22"/>
        </w:rPr>
        <w:t>140 913 mužov (51,87</w:t>
      </w:r>
      <w:r w:rsidR="006D0272" w:rsidRPr="004C5551">
        <w:rPr>
          <w:bCs/>
          <w:szCs w:val="22"/>
        </w:rPr>
        <w:t> </w:t>
      </w:r>
      <w:r w:rsidRPr="004C5551">
        <w:rPr>
          <w:bCs/>
          <w:szCs w:val="22"/>
        </w:rPr>
        <w:t xml:space="preserve">%). </w:t>
      </w:r>
      <w:r w:rsidRPr="004C5551">
        <w:t xml:space="preserve">Z celkového počtu </w:t>
      </w:r>
      <w:proofErr w:type="spellStart"/>
      <w:r w:rsidRPr="004C5551">
        <w:t>UoZ</w:t>
      </w:r>
      <w:proofErr w:type="spellEnd"/>
      <w:r w:rsidRPr="004C5551">
        <w:t xml:space="preserve"> bolo </w:t>
      </w:r>
      <w:r w:rsidRPr="004C5551">
        <w:rPr>
          <w:bCs/>
          <w:szCs w:val="22"/>
        </w:rPr>
        <w:t xml:space="preserve">12 303 občanov </w:t>
      </w:r>
      <w:r w:rsidR="006B40DB" w:rsidRPr="004C5551">
        <w:rPr>
          <w:bCs/>
          <w:szCs w:val="22"/>
        </w:rPr>
        <w:t>so </w:t>
      </w:r>
      <w:r w:rsidRPr="004C5551">
        <w:rPr>
          <w:bCs/>
          <w:szCs w:val="22"/>
        </w:rPr>
        <w:t>zdravotným postihnutím</w:t>
      </w:r>
      <w:r w:rsidRPr="004C5551">
        <w:rPr>
          <w:rFonts w:ascii="Tahoma" w:hAnsi="Tahoma" w:cs="Tahoma"/>
          <w:bCs/>
          <w:sz w:val="20"/>
          <w:szCs w:val="20"/>
        </w:rPr>
        <w:t xml:space="preserve"> </w:t>
      </w:r>
      <w:r w:rsidRPr="004C5551">
        <w:rPr>
          <w:bCs/>
        </w:rPr>
        <w:t>(4,53</w:t>
      </w:r>
      <w:r w:rsidR="009425AA" w:rsidRPr="004C5551">
        <w:rPr>
          <w:bCs/>
        </w:rPr>
        <w:t> %</w:t>
      </w:r>
      <w:r w:rsidRPr="004C5551">
        <w:rPr>
          <w:bCs/>
        </w:rPr>
        <w:t xml:space="preserve">). </w:t>
      </w:r>
      <w:r w:rsidRPr="004C5551">
        <w:t>Z hľadiska veku najvyšší podiel (</w:t>
      </w:r>
      <w:r w:rsidRPr="004C5551">
        <w:rPr>
          <w:bCs/>
        </w:rPr>
        <w:t>19,34</w:t>
      </w:r>
      <w:r w:rsidR="009425AA" w:rsidRPr="004C5551">
        <w:rPr>
          <w:bCs/>
        </w:rPr>
        <w:t> %</w:t>
      </w:r>
      <w:r w:rsidRPr="004C5551">
        <w:rPr>
          <w:bCs/>
        </w:rPr>
        <w:t>)</w:t>
      </w:r>
      <w:r w:rsidRPr="004C5551">
        <w:t xml:space="preserve"> tvorili </w:t>
      </w:r>
      <w:proofErr w:type="spellStart"/>
      <w:r w:rsidRPr="004C5551">
        <w:rPr>
          <w:bCs/>
        </w:rPr>
        <w:t>UoZ</w:t>
      </w:r>
      <w:proofErr w:type="spellEnd"/>
      <w:r w:rsidRPr="004C5551">
        <w:t xml:space="preserve"> </w:t>
      </w:r>
      <w:r w:rsidRPr="004C5551">
        <w:rPr>
          <w:bCs/>
        </w:rPr>
        <w:t>vo veku 20 – 24 rokov</w:t>
      </w:r>
      <w:r w:rsidRPr="004C5551">
        <w:t xml:space="preserve"> v počte</w:t>
      </w:r>
      <w:r w:rsidRPr="004C5551">
        <w:rPr>
          <w:szCs w:val="22"/>
        </w:rPr>
        <w:t xml:space="preserve"> </w:t>
      </w:r>
      <w:r w:rsidRPr="004C5551">
        <w:rPr>
          <w:bCs/>
          <w:szCs w:val="22"/>
        </w:rPr>
        <w:t>52 530</w:t>
      </w:r>
      <w:r w:rsidRPr="004C5551">
        <w:rPr>
          <w:rFonts w:ascii="Tahoma" w:hAnsi="Tahoma" w:cs="Tahoma"/>
          <w:sz w:val="20"/>
          <w:szCs w:val="20"/>
        </w:rPr>
        <w:t xml:space="preserve"> </w:t>
      </w:r>
      <w:proofErr w:type="spellStart"/>
      <w:r w:rsidRPr="004C5551">
        <w:rPr>
          <w:szCs w:val="22"/>
        </w:rPr>
        <w:t>UoZ</w:t>
      </w:r>
      <w:proofErr w:type="spellEnd"/>
      <w:r w:rsidRPr="004C5551">
        <w:rPr>
          <w:szCs w:val="22"/>
        </w:rPr>
        <w:t xml:space="preserve">, </w:t>
      </w:r>
      <w:r w:rsidRPr="004C5551">
        <w:t xml:space="preserve">z hľadiska dĺžky evidencie </w:t>
      </w:r>
      <w:proofErr w:type="spellStart"/>
      <w:r w:rsidRPr="004C5551">
        <w:t>UoZ</w:t>
      </w:r>
      <w:proofErr w:type="spellEnd"/>
      <w:r w:rsidRPr="004C5551">
        <w:t xml:space="preserve"> najvyšší podiel (79,96</w:t>
      </w:r>
      <w:r w:rsidR="00875D86" w:rsidRPr="004C5551">
        <w:t> </w:t>
      </w:r>
      <w:r w:rsidRPr="004C5551">
        <w:t xml:space="preserve">%) tvorili </w:t>
      </w:r>
      <w:proofErr w:type="spellStart"/>
      <w:r w:rsidRPr="004C5551">
        <w:t>UoZ</w:t>
      </w:r>
      <w:proofErr w:type="spellEnd"/>
      <w:r w:rsidRPr="004C5551">
        <w:t xml:space="preserve"> s dĺžkou evidencie 0</w:t>
      </w:r>
      <w:r w:rsidR="00F80174" w:rsidRPr="004C5551">
        <w:t xml:space="preserve"> </w:t>
      </w:r>
      <w:r w:rsidR="00F80174" w:rsidRPr="004C5551">
        <w:rPr>
          <w:bCs/>
          <w:sz w:val="20"/>
          <w:szCs w:val="16"/>
        </w:rPr>
        <w:t xml:space="preserve">– </w:t>
      </w:r>
      <w:r w:rsidRPr="004C5551">
        <w:t xml:space="preserve">3 mesiacov v počte </w:t>
      </w:r>
      <w:r w:rsidRPr="004C5551">
        <w:rPr>
          <w:szCs w:val="22"/>
        </w:rPr>
        <w:t>154 025.</w:t>
      </w:r>
      <w:r w:rsidRPr="004C5551">
        <w:rPr>
          <w:rFonts w:ascii="Tahoma" w:hAnsi="Tahoma" w:cs="Tahoma"/>
          <w:sz w:val="20"/>
          <w:szCs w:val="20"/>
        </w:rPr>
        <w:t xml:space="preserve"> </w:t>
      </w:r>
      <w:r w:rsidRPr="004C5551">
        <w:t xml:space="preserve">Z hľadiska vzdelania </w:t>
      </w:r>
      <w:proofErr w:type="spellStart"/>
      <w:r w:rsidRPr="004C5551">
        <w:t>UoZ</w:t>
      </w:r>
      <w:proofErr w:type="spellEnd"/>
      <w:r w:rsidRPr="004C5551">
        <w:t xml:space="preserve"> najvyšší podiel (</w:t>
      </w:r>
      <w:r w:rsidRPr="004C5551">
        <w:rPr>
          <w:bCs/>
        </w:rPr>
        <w:t>31,57 %)</w:t>
      </w:r>
      <w:r w:rsidRPr="004C5551">
        <w:t xml:space="preserve"> tvorili </w:t>
      </w:r>
      <w:proofErr w:type="spellStart"/>
      <w:r w:rsidRPr="004C5551">
        <w:rPr>
          <w:bCs/>
        </w:rPr>
        <w:t>UoZ</w:t>
      </w:r>
      <w:proofErr w:type="spellEnd"/>
      <w:r w:rsidRPr="004C5551">
        <w:rPr>
          <w:bCs/>
        </w:rPr>
        <w:t xml:space="preserve"> s úplným stredným odborným vzdelaním</w:t>
      </w:r>
      <w:r w:rsidRPr="004C5551">
        <w:t xml:space="preserve"> v počte </w:t>
      </w:r>
      <w:r w:rsidRPr="004C5551">
        <w:rPr>
          <w:bCs/>
          <w:szCs w:val="22"/>
        </w:rPr>
        <w:t xml:space="preserve">85 748 </w:t>
      </w:r>
      <w:proofErr w:type="spellStart"/>
      <w:r w:rsidRPr="004C5551">
        <w:t>UoZ</w:t>
      </w:r>
      <w:proofErr w:type="spellEnd"/>
      <w:r w:rsidRPr="004C5551">
        <w:t>.</w:t>
      </w:r>
    </w:p>
    <w:p w:rsidR="00A03BF5" w:rsidRPr="004C5551" w:rsidRDefault="00A03BF5" w:rsidP="002A746E">
      <w:pPr>
        <w:ind w:firstLine="431"/>
        <w:rPr>
          <w:szCs w:val="22"/>
        </w:rPr>
      </w:pPr>
      <w:r w:rsidRPr="004C5551">
        <w:t xml:space="preserve">V roku 2014 bolo poskytnutých celkovo </w:t>
      </w:r>
      <w:r w:rsidRPr="004C5551">
        <w:rPr>
          <w:bCs/>
          <w:szCs w:val="22"/>
        </w:rPr>
        <w:t>961 103</w:t>
      </w:r>
      <w:r w:rsidRPr="004C5551">
        <w:rPr>
          <w:rFonts w:ascii="Tahoma" w:hAnsi="Tahoma" w:cs="Tahoma"/>
          <w:bCs/>
          <w:sz w:val="20"/>
          <w:szCs w:val="20"/>
        </w:rPr>
        <w:t xml:space="preserve"> </w:t>
      </w:r>
      <w:r w:rsidRPr="004C5551">
        <w:t xml:space="preserve">informačných a poradenských služieb, z toho individuálnou formou </w:t>
      </w:r>
      <w:r w:rsidRPr="004C5551">
        <w:rPr>
          <w:szCs w:val="22"/>
        </w:rPr>
        <w:t>527 841 (54,92</w:t>
      </w:r>
      <w:r w:rsidR="00875D86" w:rsidRPr="004C5551">
        <w:rPr>
          <w:szCs w:val="22"/>
        </w:rPr>
        <w:t> </w:t>
      </w:r>
      <w:r w:rsidRPr="004C5551">
        <w:rPr>
          <w:szCs w:val="22"/>
        </w:rPr>
        <w:t>%)</w:t>
      </w:r>
      <w:r w:rsidRPr="004C5551">
        <w:rPr>
          <w:rFonts w:ascii="Tahoma" w:hAnsi="Tahoma" w:cs="Tahoma"/>
          <w:sz w:val="20"/>
          <w:szCs w:val="20"/>
        </w:rPr>
        <w:t xml:space="preserve"> </w:t>
      </w:r>
      <w:r w:rsidRPr="004C5551">
        <w:t xml:space="preserve">a skupinovou formou </w:t>
      </w:r>
      <w:r w:rsidRPr="004C5551">
        <w:rPr>
          <w:szCs w:val="22"/>
        </w:rPr>
        <w:t>433 262 (45,08</w:t>
      </w:r>
      <w:r w:rsidR="00875D86" w:rsidRPr="004C5551">
        <w:rPr>
          <w:szCs w:val="22"/>
        </w:rPr>
        <w:t> </w:t>
      </w:r>
      <w:r w:rsidRPr="004C5551">
        <w:rPr>
          <w:szCs w:val="22"/>
        </w:rPr>
        <w:t>%).</w:t>
      </w:r>
    </w:p>
    <w:p w:rsidR="00A03BF5" w:rsidRPr="004C5551" w:rsidRDefault="00A03BF5" w:rsidP="00A03BF5">
      <w:pPr>
        <w:tabs>
          <w:tab w:val="num" w:pos="540"/>
        </w:tabs>
        <w:spacing w:before="120" w:after="120"/>
        <w:rPr>
          <w:bCs/>
          <w:i/>
          <w:szCs w:val="22"/>
        </w:rPr>
      </w:pPr>
      <w:r w:rsidRPr="004C5551">
        <w:rPr>
          <w:i/>
          <w:szCs w:val="22"/>
        </w:rPr>
        <w:t>Preventívno</w:t>
      </w:r>
      <w:r w:rsidRPr="004C5551">
        <w:rPr>
          <w:bCs/>
          <w:i/>
          <w:szCs w:val="22"/>
        </w:rPr>
        <w:t>-poradenská činnosť pre základné a stredné školy – voľba povolania</w:t>
      </w:r>
    </w:p>
    <w:p w:rsidR="00A03BF5" w:rsidRPr="004C5551" w:rsidRDefault="00A03BF5" w:rsidP="002A746E">
      <w:pPr>
        <w:pStyle w:val="Zkladntext"/>
        <w:spacing w:after="0"/>
        <w:ind w:left="34" w:firstLine="431"/>
      </w:pPr>
      <w:r w:rsidRPr="004C5551">
        <w:t xml:space="preserve">Informačné a poradenské služby pri voľbe povolania poskytované úradmi </w:t>
      </w:r>
      <w:r w:rsidR="00F41E61" w:rsidRPr="004C5551">
        <w:t xml:space="preserve">PSVR </w:t>
      </w:r>
      <w:r w:rsidRPr="004C5551">
        <w:t>boli aj počas roka 2014 obsahovo zamerané na výber vhodného povolania u žiakov základných škôl a informovanie žiakov stredných škôl o situácii na trhu práce a jeho potrebách, možnostiach ďalšieho štúdia v SR a v zahraničí. Hlavným zámerom skupinových a individuálnych stretnutí realizovaných v rámci informačných a poradenských služieb pri voľbe povolania na základných a stredných školách, v priestoroch informačno-poradenských stredísk úradov</w:t>
      </w:r>
      <w:r w:rsidR="00F41E61" w:rsidRPr="004C5551">
        <w:t xml:space="preserve"> PSVR</w:t>
      </w:r>
      <w:r w:rsidRPr="004C5551">
        <w:t xml:space="preserve"> a burzách informácií bolo pomôcť žiakom </w:t>
      </w:r>
      <w:r w:rsidR="006B40DB" w:rsidRPr="004C5551">
        <w:t>pri </w:t>
      </w:r>
      <w:r w:rsidRPr="004C5551">
        <w:t xml:space="preserve">výbere vhodného štúdia alebo zamestnania, aby sa v budúcnosti predišlo ich prípadnému zaradeniu do evidencie </w:t>
      </w:r>
      <w:proofErr w:type="spellStart"/>
      <w:r w:rsidRPr="004C5551">
        <w:t>UoZ</w:t>
      </w:r>
      <w:proofErr w:type="spellEnd"/>
      <w:r w:rsidRPr="004C5551">
        <w:t xml:space="preserve">. Všetkým účastníkom individuálnych a skupinových stretnutí boli </w:t>
      </w:r>
      <w:r w:rsidRPr="004C5551">
        <w:rPr>
          <w:szCs w:val="22"/>
        </w:rPr>
        <w:t>za účelom získania komplexných informácií o situácii na trhu práce a službách zamestnanosti</w:t>
      </w:r>
      <w:r w:rsidRPr="004C5551">
        <w:t xml:space="preserve"> poskytnuté informačné letáky a vzory písomností potrebných pri uchádzaní sa o pracovné miesto (žiadosť, motivačný list, životopis), zoznam webových stránok týkajúcich sa voľby povolania. </w:t>
      </w:r>
    </w:p>
    <w:p w:rsidR="00A03BF5" w:rsidRPr="004C5551" w:rsidRDefault="00A03BF5" w:rsidP="002A746E">
      <w:pPr>
        <w:pStyle w:val="Zkladntext"/>
        <w:spacing w:after="0"/>
        <w:ind w:firstLine="431"/>
        <w:rPr>
          <w:szCs w:val="22"/>
        </w:rPr>
      </w:pPr>
      <w:r w:rsidRPr="004C5551">
        <w:rPr>
          <w:i/>
        </w:rPr>
        <w:t>Informačné a poradenské služby pri voľbe povolania</w:t>
      </w:r>
      <w:r w:rsidRPr="004C5551">
        <w:rPr>
          <w:b/>
          <w:bCs/>
          <w:i/>
          <w:szCs w:val="22"/>
        </w:rPr>
        <w:t xml:space="preserve"> </w:t>
      </w:r>
      <w:r w:rsidRPr="004C5551">
        <w:rPr>
          <w:bCs/>
          <w:i/>
          <w:szCs w:val="22"/>
        </w:rPr>
        <w:t>pre žiakov</w:t>
      </w:r>
      <w:r w:rsidRPr="004C5551">
        <w:rPr>
          <w:b/>
          <w:bCs/>
          <w:i/>
          <w:szCs w:val="22"/>
        </w:rPr>
        <w:t xml:space="preserve"> </w:t>
      </w:r>
      <w:r w:rsidRPr="004C5551">
        <w:rPr>
          <w:i/>
        </w:rPr>
        <w:t>základných</w:t>
      </w:r>
      <w:r w:rsidRPr="004C5551">
        <w:rPr>
          <w:bCs/>
          <w:i/>
          <w:szCs w:val="22"/>
        </w:rPr>
        <w:t xml:space="preserve"> škôl</w:t>
      </w:r>
      <w:r w:rsidRPr="004C5551">
        <w:rPr>
          <w:bCs/>
          <w:szCs w:val="22"/>
        </w:rPr>
        <w:t xml:space="preserve"> boli obsahovo zamerané na oboznámenie s komplexnou charakteristikou povolaní, s predpokladmi a </w:t>
      </w:r>
      <w:r w:rsidRPr="004C5551">
        <w:t xml:space="preserve">kvalifikačnými </w:t>
      </w:r>
      <w:r w:rsidRPr="004C5551">
        <w:rPr>
          <w:bCs/>
          <w:szCs w:val="22"/>
        </w:rPr>
        <w:t xml:space="preserve">požiadavkami na výkon </w:t>
      </w:r>
      <w:r w:rsidRPr="004C5551">
        <w:t>jednotlivých povolaní prostredníctvom programovej aplikácie „I</w:t>
      </w:r>
      <w:r w:rsidRPr="004C5551">
        <w:rPr>
          <w:bCs/>
        </w:rPr>
        <w:t>nformačný systém typových pozícií</w:t>
      </w:r>
      <w:r w:rsidRPr="004C5551">
        <w:t xml:space="preserve">“ a boli poskytované informácie o možnostiach ďalšieho štúdia na stredných školách. </w:t>
      </w:r>
      <w:r w:rsidRPr="004C5551">
        <w:rPr>
          <w:szCs w:val="22"/>
        </w:rPr>
        <w:t xml:space="preserve">Žiakom základných škôl </w:t>
      </w:r>
      <w:r w:rsidRPr="004C5551">
        <w:rPr>
          <w:bCs/>
          <w:szCs w:val="22"/>
        </w:rPr>
        <w:t xml:space="preserve">v rámci individuálnych a skupinových aktivít v roku 2014 bolo poskytnutých 1 775 </w:t>
      </w:r>
      <w:r w:rsidRPr="004C5551">
        <w:t>informačných a poradenských služieb</w:t>
      </w:r>
      <w:r w:rsidRPr="004C5551">
        <w:rPr>
          <w:szCs w:val="22"/>
        </w:rPr>
        <w:t xml:space="preserve"> pri voľbe povolania (o 1 136 menej ako v roku 2013), na</w:t>
      </w:r>
      <w:r w:rsidR="004A5701" w:rsidRPr="004C5551">
        <w:rPr>
          <w:szCs w:val="22"/>
        </w:rPr>
        <w:t xml:space="preserve"> </w:t>
      </w:r>
      <w:r w:rsidRPr="004C5551">
        <w:rPr>
          <w:szCs w:val="22"/>
        </w:rPr>
        <w:t xml:space="preserve">ktorých sa zúčastnilo 20 400 žiakov (o 1 270 menej ako v roku 2013), z ktorých bolo </w:t>
      </w:r>
      <w:r w:rsidRPr="004C5551">
        <w:rPr>
          <w:bCs/>
          <w:szCs w:val="22"/>
        </w:rPr>
        <w:t>303</w:t>
      </w:r>
      <w:r w:rsidRPr="004C5551">
        <w:rPr>
          <w:szCs w:val="22"/>
        </w:rPr>
        <w:t xml:space="preserve"> žiakov so zdravotným postihnutím (o 75 menej ako v roku 2013). </w:t>
      </w:r>
    </w:p>
    <w:p w:rsidR="00A03BF5" w:rsidRPr="004C5551" w:rsidRDefault="00A03BF5" w:rsidP="002A746E">
      <w:pPr>
        <w:pStyle w:val="Zkladntext"/>
        <w:spacing w:after="0"/>
        <w:ind w:firstLine="431"/>
        <w:rPr>
          <w:szCs w:val="22"/>
        </w:rPr>
      </w:pPr>
      <w:r w:rsidRPr="004C5551">
        <w:rPr>
          <w:szCs w:val="22"/>
        </w:rPr>
        <w:t xml:space="preserve">Významnou súčasťou poskytovania kvalitných </w:t>
      </w:r>
      <w:r w:rsidRPr="004C5551">
        <w:t>informačných a poradenských služieb</w:t>
      </w:r>
      <w:r w:rsidRPr="004C5551">
        <w:rPr>
          <w:szCs w:val="22"/>
        </w:rPr>
        <w:t xml:space="preserve"> pri voľbe povolania pre žiakov </w:t>
      </w:r>
      <w:r w:rsidRPr="004C5551">
        <w:t xml:space="preserve">končiacich ročníkov </w:t>
      </w:r>
      <w:r w:rsidRPr="004C5551">
        <w:rPr>
          <w:szCs w:val="22"/>
        </w:rPr>
        <w:t xml:space="preserve">základných škôl boli aj v roku 2014 </w:t>
      </w:r>
      <w:r w:rsidRPr="004C5551">
        <w:rPr>
          <w:i/>
          <w:szCs w:val="22"/>
        </w:rPr>
        <w:t>burzy informácií</w:t>
      </w:r>
      <w:r w:rsidRPr="004C5551">
        <w:rPr>
          <w:szCs w:val="22"/>
        </w:rPr>
        <w:t xml:space="preserve">, </w:t>
      </w:r>
      <w:r w:rsidR="006B40DB" w:rsidRPr="004C5551">
        <w:rPr>
          <w:szCs w:val="22"/>
        </w:rPr>
        <w:t>na </w:t>
      </w:r>
      <w:r w:rsidRPr="004C5551">
        <w:rPr>
          <w:szCs w:val="22"/>
        </w:rPr>
        <w:t xml:space="preserve">ktorých boli žiakom a ich rodičom poskytnuté informácie o jednotlivých stredných školách, študijných a učebných odboroch, najžiadanejších profesiách, </w:t>
      </w:r>
      <w:r w:rsidRPr="004C5551">
        <w:t>vývoji na trhu práce,</w:t>
      </w:r>
      <w:r w:rsidRPr="004C5551">
        <w:rPr>
          <w:szCs w:val="22"/>
        </w:rPr>
        <w:t xml:space="preserve"> ale aj informácie </w:t>
      </w:r>
      <w:r w:rsidR="006B40DB" w:rsidRPr="004C5551">
        <w:rPr>
          <w:szCs w:val="22"/>
        </w:rPr>
        <w:t>od </w:t>
      </w:r>
      <w:r w:rsidRPr="004C5551">
        <w:rPr>
          <w:szCs w:val="22"/>
        </w:rPr>
        <w:t xml:space="preserve">zamestnávateľov o požiadavkách na absolventov škôl. </w:t>
      </w:r>
    </w:p>
    <w:p w:rsidR="00A03BF5" w:rsidRPr="004C5551" w:rsidRDefault="00A03BF5" w:rsidP="002A746E">
      <w:pPr>
        <w:ind w:firstLine="431"/>
      </w:pPr>
      <w:r w:rsidRPr="004C5551">
        <w:t>V roku 2014 bolo zorganizovaných celkovo 29 búrz informácií pre žiakov základných škôl (o </w:t>
      </w:r>
      <w:r w:rsidR="006B40DB" w:rsidRPr="004C5551">
        <w:t>3 </w:t>
      </w:r>
      <w:r w:rsidRPr="004C5551">
        <w:t xml:space="preserve">viac ako v roku 2013), ktoré </w:t>
      </w:r>
      <w:r w:rsidRPr="004C5551">
        <w:rPr>
          <w:szCs w:val="22"/>
        </w:rPr>
        <w:t>zrealizovalo</w:t>
      </w:r>
      <w:r w:rsidRPr="004C5551">
        <w:t xml:space="preserve"> 27 úradov</w:t>
      </w:r>
      <w:r w:rsidR="00F41E61" w:rsidRPr="004C5551">
        <w:t xml:space="preserve"> PSVR</w:t>
      </w:r>
      <w:r w:rsidRPr="004C5551">
        <w:t xml:space="preserve">. </w:t>
      </w:r>
      <w:r w:rsidRPr="004C5551">
        <w:rPr>
          <w:szCs w:val="22"/>
        </w:rPr>
        <w:t xml:space="preserve">Zúčastnilo sa na nich </w:t>
      </w:r>
      <w:r w:rsidRPr="004C5551">
        <w:t xml:space="preserve">425 </w:t>
      </w:r>
      <w:r w:rsidRPr="004C5551">
        <w:rPr>
          <w:szCs w:val="22"/>
        </w:rPr>
        <w:t>stredných škôl</w:t>
      </w:r>
      <w:r w:rsidRPr="004C5551">
        <w:t xml:space="preserve"> (o </w:t>
      </w:r>
      <w:r w:rsidR="006B40DB" w:rsidRPr="004C5551">
        <w:t>2 </w:t>
      </w:r>
      <w:r w:rsidRPr="004C5551">
        <w:rPr>
          <w:szCs w:val="22"/>
        </w:rPr>
        <w:t>stredné školy</w:t>
      </w:r>
      <w:r w:rsidRPr="004C5551">
        <w:t xml:space="preserve"> viac ako v</w:t>
      </w:r>
      <w:r w:rsidR="004A5701" w:rsidRPr="004C5551">
        <w:t> </w:t>
      </w:r>
      <w:r w:rsidRPr="004C5551">
        <w:t>roku</w:t>
      </w:r>
      <w:r w:rsidR="004A5701" w:rsidRPr="004C5551">
        <w:t xml:space="preserve"> </w:t>
      </w:r>
      <w:r w:rsidRPr="004C5551">
        <w:t xml:space="preserve">2013), 382 </w:t>
      </w:r>
      <w:r w:rsidRPr="004C5551">
        <w:rPr>
          <w:szCs w:val="22"/>
        </w:rPr>
        <w:t>základných škôl</w:t>
      </w:r>
      <w:r w:rsidR="004A5701" w:rsidRPr="004C5551">
        <w:t xml:space="preserve"> </w:t>
      </w:r>
      <w:r w:rsidRPr="004C5551">
        <w:t>(v porovnaní s rokom 2013 menej o</w:t>
      </w:r>
      <w:r w:rsidR="006B40DB" w:rsidRPr="004C5551">
        <w:t> 53 </w:t>
      </w:r>
      <w:r w:rsidRPr="004C5551">
        <w:rPr>
          <w:szCs w:val="22"/>
        </w:rPr>
        <w:t>základných škôl</w:t>
      </w:r>
      <w:r w:rsidRPr="004C5551">
        <w:t xml:space="preserve">), 17 195 žiakov </w:t>
      </w:r>
      <w:r w:rsidRPr="004C5551">
        <w:rPr>
          <w:szCs w:val="22"/>
        </w:rPr>
        <w:t>základných škôl</w:t>
      </w:r>
      <w:r w:rsidRPr="004C5551">
        <w:t xml:space="preserve"> (v porovnaní s rokom 2013 viac o 972 žiakov </w:t>
      </w:r>
      <w:r w:rsidRPr="004C5551">
        <w:rPr>
          <w:szCs w:val="22"/>
        </w:rPr>
        <w:t>základných škôl</w:t>
      </w:r>
      <w:r w:rsidRPr="004C5551">
        <w:t>) a 228 zamestnávateľov (v porovnaní s rokom 2013 viac o 7 zamestnávateľov).</w:t>
      </w:r>
    </w:p>
    <w:p w:rsidR="00A03BF5" w:rsidRPr="004C5551" w:rsidRDefault="00A03BF5" w:rsidP="002A746E">
      <w:pPr>
        <w:pStyle w:val="Zkladntext"/>
        <w:spacing w:after="0"/>
        <w:ind w:firstLine="431"/>
        <w:rPr>
          <w:szCs w:val="22"/>
        </w:rPr>
      </w:pPr>
      <w:r w:rsidRPr="004C5551">
        <w:rPr>
          <w:i/>
        </w:rPr>
        <w:t>Informačné a poradenské služby pri voľbe povolania</w:t>
      </w:r>
      <w:r w:rsidRPr="004C5551">
        <w:rPr>
          <w:b/>
          <w:bCs/>
          <w:i/>
          <w:szCs w:val="22"/>
        </w:rPr>
        <w:t xml:space="preserve"> </w:t>
      </w:r>
      <w:r w:rsidRPr="004C5551">
        <w:rPr>
          <w:bCs/>
          <w:i/>
          <w:szCs w:val="22"/>
        </w:rPr>
        <w:t>pre žiakov</w:t>
      </w:r>
      <w:r w:rsidRPr="004C5551">
        <w:rPr>
          <w:b/>
          <w:bCs/>
          <w:i/>
          <w:szCs w:val="22"/>
        </w:rPr>
        <w:t xml:space="preserve"> </w:t>
      </w:r>
      <w:r w:rsidRPr="004C5551">
        <w:rPr>
          <w:i/>
        </w:rPr>
        <w:t>stredných</w:t>
      </w:r>
      <w:r w:rsidRPr="004C5551">
        <w:rPr>
          <w:bCs/>
          <w:i/>
          <w:szCs w:val="22"/>
        </w:rPr>
        <w:t xml:space="preserve"> škôl</w:t>
      </w:r>
      <w:r w:rsidRPr="004C5551">
        <w:rPr>
          <w:bCs/>
          <w:szCs w:val="22"/>
        </w:rPr>
        <w:t xml:space="preserve"> </w:t>
      </w:r>
      <w:r w:rsidRPr="004C5551">
        <w:rPr>
          <w:szCs w:val="22"/>
        </w:rPr>
        <w:t>boli zamerané</w:t>
      </w:r>
      <w:r w:rsidR="004A5701" w:rsidRPr="004C5551">
        <w:rPr>
          <w:szCs w:val="22"/>
        </w:rPr>
        <w:t xml:space="preserve"> </w:t>
      </w:r>
      <w:r w:rsidR="006B40DB" w:rsidRPr="004C5551">
        <w:rPr>
          <w:szCs w:val="22"/>
        </w:rPr>
        <w:t>na </w:t>
      </w:r>
      <w:r w:rsidRPr="004C5551">
        <w:rPr>
          <w:szCs w:val="22"/>
        </w:rPr>
        <w:t xml:space="preserve">informácie o možnostiach ďalšieho štúdia na vysokej škole, profesiách preferovaných v podmienkach regionálneho trhu práce s možnosťou využitia </w:t>
      </w:r>
      <w:r w:rsidRPr="004C5551">
        <w:t>I</w:t>
      </w:r>
      <w:r w:rsidRPr="004C5551">
        <w:rPr>
          <w:bCs/>
        </w:rPr>
        <w:t>nformačného systému typových pozícií</w:t>
      </w:r>
      <w:r w:rsidRPr="004C5551">
        <w:rPr>
          <w:szCs w:val="22"/>
        </w:rPr>
        <w:t>, o podmienkach správnej komunikácie s budúcim zamestnávateľom a službách poskytovaných úradmi</w:t>
      </w:r>
      <w:r w:rsidR="00F41E61" w:rsidRPr="004C5551">
        <w:rPr>
          <w:szCs w:val="22"/>
        </w:rPr>
        <w:t xml:space="preserve"> PSVR</w:t>
      </w:r>
      <w:r w:rsidRPr="004C5551">
        <w:rPr>
          <w:szCs w:val="22"/>
        </w:rPr>
        <w:t xml:space="preserve">. Žiakom stredných škôl </w:t>
      </w:r>
      <w:r w:rsidRPr="004C5551">
        <w:rPr>
          <w:bCs/>
          <w:szCs w:val="22"/>
        </w:rPr>
        <w:t>bolo v roku 2014 poskytnutých v rámci individuálnych a</w:t>
      </w:r>
      <w:r w:rsidR="009A02B2" w:rsidRPr="004C5551">
        <w:rPr>
          <w:bCs/>
          <w:szCs w:val="22"/>
        </w:rPr>
        <w:t> </w:t>
      </w:r>
      <w:r w:rsidRPr="004C5551">
        <w:rPr>
          <w:bCs/>
          <w:szCs w:val="22"/>
        </w:rPr>
        <w:t>skupinových aktivít spolu</w:t>
      </w:r>
      <w:r w:rsidR="004A5701" w:rsidRPr="004C5551">
        <w:rPr>
          <w:bCs/>
          <w:szCs w:val="22"/>
        </w:rPr>
        <w:t xml:space="preserve"> </w:t>
      </w:r>
      <w:r w:rsidRPr="004C5551">
        <w:rPr>
          <w:bCs/>
          <w:szCs w:val="22"/>
        </w:rPr>
        <w:t xml:space="preserve">1 775 </w:t>
      </w:r>
      <w:r w:rsidRPr="004C5551">
        <w:t>informačných a poradenských služieb</w:t>
      </w:r>
      <w:r w:rsidRPr="004C5551">
        <w:rPr>
          <w:szCs w:val="22"/>
        </w:rPr>
        <w:t xml:space="preserve"> pri voľbe povolania (o 25</w:t>
      </w:r>
      <w:r w:rsidR="009A02B2" w:rsidRPr="004C5551">
        <w:rPr>
          <w:szCs w:val="22"/>
        </w:rPr>
        <w:t> </w:t>
      </w:r>
      <w:r w:rsidRPr="004C5551">
        <w:rPr>
          <w:szCs w:val="22"/>
        </w:rPr>
        <w:t>menej ako v roku 2013) a</w:t>
      </w:r>
      <w:r w:rsidR="004A5701" w:rsidRPr="004C5551">
        <w:rPr>
          <w:szCs w:val="22"/>
        </w:rPr>
        <w:t> </w:t>
      </w:r>
      <w:r w:rsidRPr="004C5551">
        <w:rPr>
          <w:szCs w:val="22"/>
        </w:rPr>
        <w:t>zúčastnilo</w:t>
      </w:r>
      <w:r w:rsidR="004A5701" w:rsidRPr="004C5551">
        <w:rPr>
          <w:szCs w:val="22"/>
        </w:rPr>
        <w:t xml:space="preserve"> </w:t>
      </w:r>
      <w:r w:rsidRPr="004C5551">
        <w:rPr>
          <w:szCs w:val="22"/>
        </w:rPr>
        <w:t>sa ich 24</w:t>
      </w:r>
      <w:r w:rsidR="004A5701" w:rsidRPr="004C5551">
        <w:rPr>
          <w:szCs w:val="22"/>
        </w:rPr>
        <w:t> </w:t>
      </w:r>
      <w:r w:rsidRPr="004C5551">
        <w:rPr>
          <w:szCs w:val="22"/>
        </w:rPr>
        <w:t>276</w:t>
      </w:r>
      <w:r w:rsidR="004A5701" w:rsidRPr="004C5551">
        <w:rPr>
          <w:b/>
          <w:szCs w:val="22"/>
        </w:rPr>
        <w:t xml:space="preserve"> </w:t>
      </w:r>
      <w:r w:rsidRPr="004C5551">
        <w:rPr>
          <w:szCs w:val="22"/>
        </w:rPr>
        <w:t>žiakov (o 10 760 menej ako v roku 2013), z</w:t>
      </w:r>
      <w:r w:rsidR="004A5701" w:rsidRPr="004C5551">
        <w:rPr>
          <w:szCs w:val="22"/>
        </w:rPr>
        <w:t> </w:t>
      </w:r>
      <w:r w:rsidRPr="004C5551">
        <w:rPr>
          <w:szCs w:val="22"/>
        </w:rPr>
        <w:t>toho</w:t>
      </w:r>
      <w:r w:rsidR="004A5701" w:rsidRPr="004C5551">
        <w:rPr>
          <w:szCs w:val="22"/>
        </w:rPr>
        <w:t xml:space="preserve"> </w:t>
      </w:r>
      <w:r w:rsidRPr="004C5551">
        <w:rPr>
          <w:bCs/>
          <w:szCs w:val="22"/>
        </w:rPr>
        <w:t>272</w:t>
      </w:r>
      <w:r w:rsidRPr="004C5551">
        <w:rPr>
          <w:szCs w:val="22"/>
        </w:rPr>
        <w:t xml:space="preserve"> žiakov </w:t>
      </w:r>
      <w:r w:rsidR="006B40DB" w:rsidRPr="004C5551">
        <w:rPr>
          <w:szCs w:val="22"/>
        </w:rPr>
        <w:t>so </w:t>
      </w:r>
      <w:r w:rsidRPr="004C5551">
        <w:rPr>
          <w:szCs w:val="22"/>
        </w:rPr>
        <w:t>zdravotným postihnutím (o 167 viac ako v roku 2013).</w:t>
      </w:r>
    </w:p>
    <w:p w:rsidR="00A03BF5" w:rsidRPr="004C5551" w:rsidRDefault="00A03BF5" w:rsidP="002A746E">
      <w:pPr>
        <w:ind w:firstLine="431"/>
        <w:rPr>
          <w:lang w:eastAsia="cs-CZ"/>
        </w:rPr>
      </w:pPr>
      <w:r w:rsidRPr="004C5551">
        <w:rPr>
          <w:lang w:eastAsia="cs-CZ"/>
        </w:rPr>
        <w:t xml:space="preserve">Informačné a poradenské služby boli poskytované aj na veľtrhu práce JOB EXPO 2014 organizovaného Ústredím práce, sociálnych vecí a rodiny, na zabezpečenie ktorého boli čerpané finančné prostriedky vo výške 283 537 </w:t>
      </w:r>
      <w:r w:rsidR="00AA0137" w:rsidRPr="004C5551">
        <w:rPr>
          <w:lang w:eastAsia="cs-CZ"/>
        </w:rPr>
        <w:t>eur</w:t>
      </w:r>
      <w:r w:rsidRPr="004C5551">
        <w:rPr>
          <w:lang w:eastAsia="cs-CZ"/>
        </w:rPr>
        <w:t>.</w:t>
      </w:r>
    </w:p>
    <w:p w:rsidR="00A03BF5" w:rsidRPr="004C5551" w:rsidRDefault="00A03BF5" w:rsidP="00A03BF5">
      <w:pPr>
        <w:ind w:firstLine="567"/>
        <w:rPr>
          <w:lang w:eastAsia="cs-CZ"/>
        </w:rPr>
      </w:pPr>
    </w:p>
    <w:p w:rsidR="00A03BF5" w:rsidRPr="004C5551" w:rsidRDefault="00A03BF5" w:rsidP="00B279ED">
      <w:pPr>
        <w:spacing w:after="60"/>
        <w:rPr>
          <w:b/>
        </w:rPr>
      </w:pPr>
      <w:r w:rsidRPr="004C5551">
        <w:rPr>
          <w:b/>
        </w:rPr>
        <w:t>Odborné poradenské služby (§ 43)</w:t>
      </w:r>
    </w:p>
    <w:p w:rsidR="00A03BF5" w:rsidRPr="004C5551" w:rsidRDefault="00A03BF5" w:rsidP="002A746E">
      <w:pPr>
        <w:spacing w:after="120"/>
        <w:ind w:firstLine="431"/>
      </w:pPr>
      <w:r w:rsidRPr="004C5551">
        <w:t>Odborné poradenské služby môže úrad</w:t>
      </w:r>
      <w:r w:rsidR="00F41E61" w:rsidRPr="004C5551">
        <w:t xml:space="preserve"> PSVR</w:t>
      </w:r>
      <w:r w:rsidRPr="004C5551">
        <w:t xml:space="preserve"> zabezpečiť </w:t>
      </w:r>
      <w:proofErr w:type="spellStart"/>
      <w:r w:rsidRPr="004C5551">
        <w:t>UoZ</w:t>
      </w:r>
      <w:proofErr w:type="spellEnd"/>
      <w:r w:rsidRPr="004C5551">
        <w:t xml:space="preserve"> a </w:t>
      </w:r>
      <w:proofErr w:type="spellStart"/>
      <w:r w:rsidRPr="004C5551">
        <w:t>ZoZ</w:t>
      </w:r>
      <w:proofErr w:type="spellEnd"/>
      <w:r w:rsidRPr="004C5551">
        <w:t xml:space="preserve">. Odborné poradenské služby zamerané na ovplyvňovanie rozhodovania a správania sa </w:t>
      </w:r>
      <w:proofErr w:type="spellStart"/>
      <w:r w:rsidRPr="004C5551">
        <w:t>UoZ</w:t>
      </w:r>
      <w:proofErr w:type="spellEnd"/>
      <w:r w:rsidRPr="004C5551">
        <w:t xml:space="preserve">, vytváranie súladu medzi osobnostnými predpokladmi </w:t>
      </w:r>
      <w:proofErr w:type="spellStart"/>
      <w:r w:rsidRPr="004C5551">
        <w:t>UoZ</w:t>
      </w:r>
      <w:proofErr w:type="spellEnd"/>
      <w:r w:rsidRPr="004C5551">
        <w:t xml:space="preserve"> a požiadavkami na vykonávanie určitého zamestnania, sociálnu a pracovnú adaptáciu </w:t>
      </w:r>
      <w:proofErr w:type="spellStart"/>
      <w:r w:rsidRPr="004C5551">
        <w:t>UoZ</w:t>
      </w:r>
      <w:proofErr w:type="spellEnd"/>
    </w:p>
    <w:p w:rsidR="00A03BF5" w:rsidRPr="004C5551" w:rsidRDefault="00A03BF5" w:rsidP="002A746E">
      <w:pPr>
        <w:numPr>
          <w:ilvl w:val="0"/>
          <w:numId w:val="16"/>
        </w:numPr>
        <w:tabs>
          <w:tab w:val="clear" w:pos="897"/>
          <w:tab w:val="left" w:pos="426"/>
        </w:tabs>
        <w:ind w:left="426" w:hanging="426"/>
        <w:rPr>
          <w:rStyle w:val="Siln"/>
          <w:b w:val="0"/>
          <w:bCs w:val="0"/>
        </w:rPr>
      </w:pPr>
      <w:r w:rsidRPr="004C5551">
        <w:rPr>
          <w:rStyle w:val="Siln"/>
        </w:rPr>
        <w:t xml:space="preserve">zisťovaním osobnostných predpokladov, schopností </w:t>
      </w:r>
      <w:proofErr w:type="spellStart"/>
      <w:r w:rsidRPr="004C5551">
        <w:t>UoZ</w:t>
      </w:r>
      <w:proofErr w:type="spellEnd"/>
      <w:r w:rsidRPr="004C5551">
        <w:rPr>
          <w:rStyle w:val="Siln"/>
        </w:rPr>
        <w:t xml:space="preserve"> a zhodnotením jeho kompetencií,</w:t>
      </w:r>
    </w:p>
    <w:p w:rsidR="00A03BF5" w:rsidRPr="004C5551" w:rsidRDefault="00A03BF5" w:rsidP="002A746E">
      <w:pPr>
        <w:numPr>
          <w:ilvl w:val="0"/>
          <w:numId w:val="16"/>
        </w:numPr>
        <w:tabs>
          <w:tab w:val="clear" w:pos="897"/>
          <w:tab w:val="left" w:pos="426"/>
        </w:tabs>
        <w:ind w:left="426" w:hanging="426"/>
      </w:pPr>
      <w:r w:rsidRPr="004C5551">
        <w:t xml:space="preserve">vypracovaním individuálneho akčného plánu na podporu pracovného uplatnenia znevýhodneného </w:t>
      </w:r>
      <w:proofErr w:type="spellStart"/>
      <w:r w:rsidRPr="004C5551">
        <w:t>UoZ</w:t>
      </w:r>
      <w:proofErr w:type="spellEnd"/>
      <w:r w:rsidRPr="004C5551">
        <w:t>,</w:t>
      </w:r>
    </w:p>
    <w:p w:rsidR="00A03BF5" w:rsidRPr="004C5551" w:rsidRDefault="00A03BF5" w:rsidP="002A746E">
      <w:pPr>
        <w:numPr>
          <w:ilvl w:val="0"/>
          <w:numId w:val="16"/>
        </w:numPr>
        <w:tabs>
          <w:tab w:val="clear" w:pos="897"/>
          <w:tab w:val="left" w:pos="426"/>
        </w:tabs>
        <w:ind w:left="426" w:hanging="426"/>
        <w:rPr>
          <w:rStyle w:val="Siln"/>
        </w:rPr>
      </w:pPr>
      <w:r w:rsidRPr="004C5551">
        <w:rPr>
          <w:rStyle w:val="Siln"/>
        </w:rPr>
        <w:t>diagnostikovaním a rozpoznaním prekážok vstupu na trh práce,</w:t>
      </w:r>
    </w:p>
    <w:p w:rsidR="00A03BF5" w:rsidRPr="004C5551" w:rsidRDefault="00A03BF5" w:rsidP="002A746E">
      <w:pPr>
        <w:numPr>
          <w:ilvl w:val="0"/>
          <w:numId w:val="16"/>
        </w:numPr>
        <w:tabs>
          <w:tab w:val="clear" w:pos="897"/>
          <w:tab w:val="left" w:pos="426"/>
        </w:tabs>
        <w:ind w:left="426" w:hanging="426"/>
      </w:pPr>
      <w:r w:rsidRPr="004C5551">
        <w:t xml:space="preserve">vytvorením osobnostného profilu </w:t>
      </w:r>
      <w:proofErr w:type="spellStart"/>
      <w:r w:rsidRPr="004C5551">
        <w:t>UoZ</w:t>
      </w:r>
      <w:proofErr w:type="spellEnd"/>
      <w:r w:rsidRPr="004C5551">
        <w:t xml:space="preserve"> na určenie aktivít, opatrení a služieb potrebných na jeho začlenenie na trh práce.</w:t>
      </w:r>
    </w:p>
    <w:p w:rsidR="00A03BF5" w:rsidRPr="004C5551" w:rsidRDefault="00A03BF5" w:rsidP="002A746E">
      <w:pPr>
        <w:ind w:firstLine="431"/>
      </w:pPr>
      <w:r w:rsidRPr="004C5551">
        <w:t xml:space="preserve">Odborné poradenské služby </w:t>
      </w:r>
      <w:r w:rsidRPr="004C5551">
        <w:rPr>
          <w:bCs/>
        </w:rPr>
        <w:t>v roku 2014</w:t>
      </w:r>
      <w:r w:rsidRPr="004C5551">
        <w:t xml:space="preserve"> boli poskytnuté pre 145 236 klientov (145 213 </w:t>
      </w:r>
      <w:proofErr w:type="spellStart"/>
      <w:r w:rsidRPr="004C5551">
        <w:rPr>
          <w:bCs/>
        </w:rPr>
        <w:t>UoZ</w:t>
      </w:r>
      <w:proofErr w:type="spellEnd"/>
      <w:r w:rsidRPr="004C5551">
        <w:rPr>
          <w:bCs/>
        </w:rPr>
        <w:t xml:space="preserve"> a</w:t>
      </w:r>
      <w:r w:rsidR="009A02B2" w:rsidRPr="004C5551">
        <w:rPr>
          <w:bCs/>
        </w:rPr>
        <w:t> </w:t>
      </w:r>
      <w:r w:rsidRPr="004C5551">
        <w:rPr>
          <w:bCs/>
        </w:rPr>
        <w:t>23</w:t>
      </w:r>
      <w:r w:rsidR="009A02B2" w:rsidRPr="004C5551">
        <w:rPr>
          <w:bCs/>
        </w:rPr>
        <w:t> </w:t>
      </w:r>
      <w:proofErr w:type="spellStart"/>
      <w:r w:rsidRPr="004C5551">
        <w:t>ZoZ</w:t>
      </w:r>
      <w:proofErr w:type="spellEnd"/>
      <w:r w:rsidRPr="004C5551">
        <w:t>)</w:t>
      </w:r>
      <w:r w:rsidRPr="004C5551">
        <w:rPr>
          <w:bCs/>
        </w:rPr>
        <w:t xml:space="preserve">. Z celkového počtu </w:t>
      </w:r>
      <w:proofErr w:type="spellStart"/>
      <w:r w:rsidRPr="004C5551">
        <w:rPr>
          <w:bCs/>
        </w:rPr>
        <w:t>UoZ</w:t>
      </w:r>
      <w:proofErr w:type="spellEnd"/>
      <w:r w:rsidRPr="004C5551">
        <w:rPr>
          <w:bCs/>
        </w:rPr>
        <w:t xml:space="preserve"> </w:t>
      </w:r>
      <w:r w:rsidRPr="004C5551">
        <w:t>bolo 73 185 žien (50,40</w:t>
      </w:r>
      <w:r w:rsidR="009425AA" w:rsidRPr="004C5551">
        <w:t> %</w:t>
      </w:r>
      <w:r w:rsidRPr="004C5551">
        <w:t>) a</w:t>
      </w:r>
      <w:r w:rsidR="004A5701" w:rsidRPr="004C5551">
        <w:t xml:space="preserve"> </w:t>
      </w:r>
      <w:r w:rsidRPr="004C5551">
        <w:t>72 028 mužov (49,59</w:t>
      </w:r>
      <w:r w:rsidR="009425AA" w:rsidRPr="004C5551">
        <w:t> %</w:t>
      </w:r>
      <w:r w:rsidRPr="004C5551">
        <w:t>).</w:t>
      </w:r>
      <w:r w:rsidR="004A5701" w:rsidRPr="004C5551">
        <w:t xml:space="preserve"> </w:t>
      </w:r>
      <w:r w:rsidR="006B40DB" w:rsidRPr="004C5551">
        <w:t>Z </w:t>
      </w:r>
      <w:r w:rsidRPr="004C5551">
        <w:t xml:space="preserve">celkového počtu </w:t>
      </w:r>
      <w:proofErr w:type="spellStart"/>
      <w:r w:rsidRPr="004C5551">
        <w:t>UoZ</w:t>
      </w:r>
      <w:proofErr w:type="spellEnd"/>
      <w:r w:rsidRPr="004C5551">
        <w:t xml:space="preserve"> bolo </w:t>
      </w:r>
      <w:r w:rsidRPr="004C5551">
        <w:rPr>
          <w:bCs/>
        </w:rPr>
        <w:t xml:space="preserve">131 307 znevýhodnených </w:t>
      </w:r>
      <w:proofErr w:type="spellStart"/>
      <w:r w:rsidRPr="004C5551">
        <w:rPr>
          <w:bCs/>
        </w:rPr>
        <w:t>UoZ</w:t>
      </w:r>
      <w:proofErr w:type="spellEnd"/>
      <w:r w:rsidRPr="004C5551">
        <w:t xml:space="preserve"> (</w:t>
      </w:r>
      <w:r w:rsidRPr="004C5551">
        <w:rPr>
          <w:bCs/>
        </w:rPr>
        <w:t>90,42</w:t>
      </w:r>
      <w:r w:rsidR="009425AA" w:rsidRPr="004C5551">
        <w:rPr>
          <w:bCs/>
        </w:rPr>
        <w:t> %</w:t>
      </w:r>
      <w:r w:rsidRPr="004C5551">
        <w:rPr>
          <w:bCs/>
        </w:rPr>
        <w:t xml:space="preserve">), </w:t>
      </w:r>
      <w:r w:rsidRPr="004C5551">
        <w:t xml:space="preserve">z toho 98 242 </w:t>
      </w:r>
      <w:proofErr w:type="spellStart"/>
      <w:r w:rsidRPr="004C5551">
        <w:t>UoZ</w:t>
      </w:r>
      <w:proofErr w:type="spellEnd"/>
      <w:r w:rsidRPr="004C5551">
        <w:t xml:space="preserve"> nemalo najmenej 12 po sebe nasledujúcich kalendárnych mesiacov pred zaradením do evidencie </w:t>
      </w:r>
      <w:proofErr w:type="spellStart"/>
      <w:r w:rsidRPr="004C5551">
        <w:t>UoZ</w:t>
      </w:r>
      <w:proofErr w:type="spellEnd"/>
      <w:r w:rsidRPr="004C5551">
        <w:t xml:space="preserve"> pravidelne platené zamestnanie (74,82</w:t>
      </w:r>
      <w:r w:rsidR="009425AA" w:rsidRPr="004C5551">
        <w:t> %</w:t>
      </w:r>
      <w:r w:rsidRPr="004C5551">
        <w:t xml:space="preserve">) a 71 933 </w:t>
      </w:r>
      <w:proofErr w:type="spellStart"/>
      <w:r w:rsidRPr="004C5551">
        <w:t>UoZ</w:t>
      </w:r>
      <w:proofErr w:type="spellEnd"/>
      <w:r w:rsidRPr="004C5551">
        <w:t xml:space="preserve"> patrilo do kategórie </w:t>
      </w:r>
      <w:r w:rsidRPr="004C5551">
        <w:rPr>
          <w:bCs/>
        </w:rPr>
        <w:t>dlhodobo nezamestnaných občanov (54,78</w:t>
      </w:r>
      <w:r w:rsidR="009425AA" w:rsidRPr="004C5551">
        <w:rPr>
          <w:bCs/>
        </w:rPr>
        <w:t> %</w:t>
      </w:r>
      <w:r w:rsidRPr="004C5551">
        <w:rPr>
          <w:bCs/>
        </w:rPr>
        <w:t>)</w:t>
      </w:r>
      <w:r w:rsidRPr="004C5551">
        <w:t xml:space="preserve">. Z hľadiska veku najvyšší podiel, tvorili </w:t>
      </w:r>
      <w:proofErr w:type="spellStart"/>
      <w:r w:rsidRPr="004C5551">
        <w:rPr>
          <w:bCs/>
        </w:rPr>
        <w:t>UoZ</w:t>
      </w:r>
      <w:proofErr w:type="spellEnd"/>
      <w:r w:rsidRPr="004C5551">
        <w:t xml:space="preserve"> </w:t>
      </w:r>
      <w:r w:rsidRPr="004C5551">
        <w:rPr>
          <w:bCs/>
        </w:rPr>
        <w:t xml:space="preserve">vo veku </w:t>
      </w:r>
      <w:r w:rsidR="006B40DB" w:rsidRPr="004C5551">
        <w:rPr>
          <w:bCs/>
        </w:rPr>
        <w:br/>
      </w:r>
      <w:r w:rsidRPr="004C5551">
        <w:rPr>
          <w:bCs/>
        </w:rPr>
        <w:t xml:space="preserve">25 – </w:t>
      </w:r>
      <w:r w:rsidR="006B40DB" w:rsidRPr="004C5551">
        <w:rPr>
          <w:bCs/>
        </w:rPr>
        <w:t>54 </w:t>
      </w:r>
      <w:r w:rsidRPr="004C5551">
        <w:rPr>
          <w:bCs/>
        </w:rPr>
        <w:t>rokov</w:t>
      </w:r>
      <w:r w:rsidRPr="004C5551">
        <w:t xml:space="preserve"> (</w:t>
      </w:r>
      <w:r w:rsidRPr="004C5551">
        <w:rPr>
          <w:bCs/>
        </w:rPr>
        <w:t>58,35</w:t>
      </w:r>
      <w:r w:rsidR="009425AA" w:rsidRPr="004C5551">
        <w:rPr>
          <w:bCs/>
        </w:rPr>
        <w:t> %</w:t>
      </w:r>
      <w:r w:rsidRPr="004C5551">
        <w:rPr>
          <w:bCs/>
        </w:rPr>
        <w:t>)</w:t>
      </w:r>
      <w:r w:rsidRPr="004C5551">
        <w:t xml:space="preserve"> v počte 84 730 </w:t>
      </w:r>
      <w:proofErr w:type="spellStart"/>
      <w:r w:rsidRPr="004C5551">
        <w:t>UoZ</w:t>
      </w:r>
      <w:proofErr w:type="spellEnd"/>
      <w:r w:rsidRPr="004C5551">
        <w:t xml:space="preserve">. Z hľadiska vzdelania </w:t>
      </w:r>
      <w:proofErr w:type="spellStart"/>
      <w:r w:rsidRPr="004C5551">
        <w:t>UoZ</w:t>
      </w:r>
      <w:proofErr w:type="spellEnd"/>
      <w:r w:rsidRPr="004C5551">
        <w:t xml:space="preserve"> najvyšší podiel (</w:t>
      </w:r>
      <w:r w:rsidRPr="004C5551">
        <w:rPr>
          <w:bCs/>
        </w:rPr>
        <w:t>32,89</w:t>
      </w:r>
      <w:r w:rsidR="009425AA" w:rsidRPr="004C5551">
        <w:rPr>
          <w:bCs/>
        </w:rPr>
        <w:t> %</w:t>
      </w:r>
      <w:r w:rsidRPr="004C5551">
        <w:rPr>
          <w:bCs/>
        </w:rPr>
        <w:t>)</w:t>
      </w:r>
      <w:r w:rsidRPr="004C5551">
        <w:t xml:space="preserve"> tvorili </w:t>
      </w:r>
      <w:proofErr w:type="spellStart"/>
      <w:r w:rsidRPr="004C5551">
        <w:rPr>
          <w:bCs/>
        </w:rPr>
        <w:t>UoZ</w:t>
      </w:r>
      <w:proofErr w:type="spellEnd"/>
      <w:r w:rsidRPr="004C5551">
        <w:rPr>
          <w:bCs/>
        </w:rPr>
        <w:t xml:space="preserve"> s úplným stredným odborným vzdelaním</w:t>
      </w:r>
      <w:r w:rsidRPr="004C5551">
        <w:t>, v počte 47 758 </w:t>
      </w:r>
      <w:proofErr w:type="spellStart"/>
      <w:r w:rsidRPr="004C5551">
        <w:t>UoZ</w:t>
      </w:r>
      <w:proofErr w:type="spellEnd"/>
      <w:r w:rsidRPr="004C5551">
        <w:t xml:space="preserve">. </w:t>
      </w:r>
    </w:p>
    <w:p w:rsidR="00A03BF5" w:rsidRPr="004C5551" w:rsidRDefault="00A03BF5" w:rsidP="002A746E">
      <w:pPr>
        <w:ind w:firstLine="431"/>
      </w:pPr>
      <w:r w:rsidRPr="004C5551">
        <w:t>V roku 2014 bolo klientom poskytnutých celkovo 201 438</w:t>
      </w:r>
      <w:r w:rsidRPr="004C5551">
        <w:rPr>
          <w:b/>
        </w:rPr>
        <w:t> </w:t>
      </w:r>
      <w:r w:rsidRPr="004C5551">
        <w:t xml:space="preserve">odborných poradenských služieb </w:t>
      </w:r>
      <w:r w:rsidRPr="004C5551">
        <w:br/>
        <w:t>a boli vynaložené finančné prostriedky v celkovej výške 11 035 </w:t>
      </w:r>
      <w:r w:rsidR="00AA0137" w:rsidRPr="004C5551">
        <w:t>eur</w:t>
      </w:r>
      <w:r w:rsidRPr="004C5551">
        <w:t>.</w:t>
      </w:r>
    </w:p>
    <w:p w:rsidR="00A03BF5" w:rsidRPr="004C5551" w:rsidRDefault="00A03BF5" w:rsidP="00B279ED">
      <w:pPr>
        <w:spacing w:after="60"/>
        <w:rPr>
          <w:b/>
        </w:rPr>
      </w:pPr>
    </w:p>
    <w:p w:rsidR="00A03BF5" w:rsidRPr="004C5551" w:rsidRDefault="00A03BF5" w:rsidP="00B279ED">
      <w:pPr>
        <w:spacing w:after="60"/>
        <w:rPr>
          <w:b/>
        </w:rPr>
      </w:pPr>
      <w:r w:rsidRPr="004C5551">
        <w:rPr>
          <w:b/>
        </w:rPr>
        <w:t>Vzdelávanie a príprava pre trh práce uchádzača o zamestnanie (§ 46)</w:t>
      </w:r>
    </w:p>
    <w:p w:rsidR="00A03BF5" w:rsidRPr="004C5551" w:rsidRDefault="00A03BF5" w:rsidP="002A746E">
      <w:pPr>
        <w:ind w:firstLine="431"/>
      </w:pPr>
      <w:r w:rsidRPr="004C5551">
        <w:t xml:space="preserve">Úrad </w:t>
      </w:r>
      <w:r w:rsidR="00F41E61" w:rsidRPr="004C5551">
        <w:t xml:space="preserve">PSVR </w:t>
      </w:r>
      <w:r w:rsidRPr="004C5551">
        <w:t xml:space="preserve">môže zabezpečiť </w:t>
      </w:r>
      <w:proofErr w:type="spellStart"/>
      <w:r w:rsidRPr="004C5551">
        <w:t>UoZ</w:t>
      </w:r>
      <w:proofErr w:type="spellEnd"/>
      <w:r w:rsidRPr="004C5551">
        <w:t xml:space="preserve"> vzdelávanie a prípravu pre trh práce, ak to vyžaduje jeho uplatnenie na trhu práce na základe zhodnotenia jeho schopností, pracovných skúseností, odborných zručností, dosiahnutého stupňa vzdelania a zdravotnej spôsobilosti na prácu, najmä v prípade</w:t>
      </w:r>
    </w:p>
    <w:p w:rsidR="00A03BF5" w:rsidRPr="004C5551" w:rsidRDefault="00A03BF5" w:rsidP="00436117">
      <w:pPr>
        <w:numPr>
          <w:ilvl w:val="0"/>
          <w:numId w:val="17"/>
        </w:numPr>
      </w:pPr>
      <w:r w:rsidRPr="004C5551">
        <w:t>nedostatku odborných vedomostí a odborných zručností,</w:t>
      </w:r>
    </w:p>
    <w:p w:rsidR="00A03BF5" w:rsidRPr="004C5551" w:rsidRDefault="00A03BF5" w:rsidP="00436117">
      <w:pPr>
        <w:numPr>
          <w:ilvl w:val="0"/>
          <w:numId w:val="17"/>
        </w:numPr>
      </w:pPr>
      <w:r w:rsidRPr="004C5551">
        <w:t>potreby zmeny vedomostí a odborných zručností vzhľadom na dopyt na trhu práce a straty schopnosti vykonávať pracovnú činnosť v doterajšom zamestnaní.</w:t>
      </w:r>
    </w:p>
    <w:p w:rsidR="00A03BF5" w:rsidRPr="004C5551" w:rsidRDefault="00A03BF5" w:rsidP="002A746E">
      <w:pPr>
        <w:pStyle w:val="Normlnywebov"/>
        <w:spacing w:before="0" w:after="0"/>
        <w:ind w:firstLine="431"/>
      </w:pPr>
      <w:r w:rsidRPr="004C5551">
        <w:t>V priebehu roka 2014 sa vzdelávania a prípravy pre trh práce celkovo</w:t>
      </w:r>
      <w:r w:rsidR="004A5701" w:rsidRPr="004C5551">
        <w:t xml:space="preserve"> </w:t>
      </w:r>
      <w:r w:rsidRPr="004C5551">
        <w:t>zúčastnilo</w:t>
      </w:r>
      <w:r w:rsidRPr="004C5551">
        <w:rPr>
          <w:b/>
        </w:rPr>
        <w:t xml:space="preserve"> </w:t>
      </w:r>
      <w:r w:rsidRPr="004C5551">
        <w:t xml:space="preserve">6 659 </w:t>
      </w:r>
      <w:proofErr w:type="spellStart"/>
      <w:r w:rsidRPr="004C5551">
        <w:t>UoZ</w:t>
      </w:r>
      <w:proofErr w:type="spellEnd"/>
      <w:r w:rsidRPr="004C5551">
        <w:t>, čo je v porovnaní s rokom 2013 viac o 5 221 osôb.</w:t>
      </w:r>
      <w:r w:rsidRPr="004C5551">
        <w:rPr>
          <w:b/>
        </w:rPr>
        <w:t xml:space="preserve"> </w:t>
      </w:r>
      <w:r w:rsidRPr="004C5551">
        <w:t xml:space="preserve">Vynaložená suma na vzdelávanie a prípravu pre trh práce predstavovala 2 497 323 </w:t>
      </w:r>
      <w:r w:rsidR="00AA0137" w:rsidRPr="004C5551">
        <w:t>eur</w:t>
      </w:r>
      <w:r w:rsidRPr="004C5551">
        <w:t xml:space="preserve">, čo je o 2 217 071 </w:t>
      </w:r>
      <w:r w:rsidR="00AA0137" w:rsidRPr="004C5551">
        <w:t>eur</w:t>
      </w:r>
      <w:r w:rsidRPr="004C5551">
        <w:t xml:space="preserve"> viac ako v roku 2013.</w:t>
      </w:r>
    </w:p>
    <w:p w:rsidR="00A03BF5" w:rsidRPr="004C5551" w:rsidRDefault="00A03BF5" w:rsidP="002A746E">
      <w:pPr>
        <w:pStyle w:val="Normlnywebov"/>
        <w:spacing w:before="0" w:after="0"/>
        <w:ind w:firstLine="431"/>
      </w:pPr>
      <w:r w:rsidRPr="004C5551">
        <w:t>V roku 2014 bolo na vzdelávanie a prípravu pre trh práce, ktoré zabezpečil úrad</w:t>
      </w:r>
      <w:r w:rsidR="00F41E61" w:rsidRPr="004C5551">
        <w:t xml:space="preserve"> PSVR</w:t>
      </w:r>
      <w:r w:rsidRPr="004C5551">
        <w:t xml:space="preserve"> zaradených</w:t>
      </w:r>
      <w:r w:rsidRPr="004C5551">
        <w:rPr>
          <w:b/>
        </w:rPr>
        <w:t xml:space="preserve"> </w:t>
      </w:r>
      <w:r w:rsidRPr="004C5551">
        <w:t xml:space="preserve">5 733 </w:t>
      </w:r>
      <w:proofErr w:type="spellStart"/>
      <w:r w:rsidRPr="004C5551">
        <w:t>UoZ</w:t>
      </w:r>
      <w:proofErr w:type="spellEnd"/>
      <w:r w:rsidRPr="004C5551">
        <w:t xml:space="preserve">. Z celkového počtu zaradených </w:t>
      </w:r>
      <w:proofErr w:type="spellStart"/>
      <w:r w:rsidRPr="004C5551">
        <w:t>UoZ</w:t>
      </w:r>
      <w:proofErr w:type="spellEnd"/>
      <w:r w:rsidRPr="004C5551">
        <w:t xml:space="preserve"> bolo 2 427 žien a 3 973 znevýhodnených </w:t>
      </w:r>
      <w:proofErr w:type="spellStart"/>
      <w:r w:rsidRPr="004C5551">
        <w:t>UoZ</w:t>
      </w:r>
      <w:proofErr w:type="spellEnd"/>
      <w:r w:rsidRPr="004C5551">
        <w:t xml:space="preserve"> a boli vynaložené finančné prostriedky v celkovej sume 2 385 103 </w:t>
      </w:r>
      <w:r w:rsidR="00AA0137" w:rsidRPr="004C5551">
        <w:t>eur</w:t>
      </w:r>
      <w:r w:rsidRPr="004C5551">
        <w:t xml:space="preserve">. </w:t>
      </w:r>
    </w:p>
    <w:p w:rsidR="00A03BF5" w:rsidRPr="004C5551" w:rsidRDefault="00A03BF5" w:rsidP="002A746E">
      <w:pPr>
        <w:ind w:firstLine="431"/>
        <w:rPr>
          <w:szCs w:val="22"/>
        </w:rPr>
      </w:pPr>
      <w:r w:rsidRPr="004C5551">
        <w:rPr>
          <w:szCs w:val="22"/>
        </w:rPr>
        <w:t xml:space="preserve">Ak vzdelávanie a prípravu pre trh práce nemôže pre </w:t>
      </w:r>
      <w:proofErr w:type="spellStart"/>
      <w:r w:rsidRPr="004C5551">
        <w:rPr>
          <w:szCs w:val="22"/>
        </w:rPr>
        <w:t>UoZ</w:t>
      </w:r>
      <w:proofErr w:type="spellEnd"/>
      <w:r w:rsidRPr="004C5551">
        <w:rPr>
          <w:szCs w:val="22"/>
        </w:rPr>
        <w:t xml:space="preserve"> zabezpečiť úrad</w:t>
      </w:r>
      <w:r w:rsidR="00F41E61" w:rsidRPr="004C5551">
        <w:rPr>
          <w:szCs w:val="22"/>
        </w:rPr>
        <w:t xml:space="preserve"> PSVR</w:t>
      </w:r>
      <w:r w:rsidRPr="004C5551">
        <w:rPr>
          <w:szCs w:val="22"/>
        </w:rPr>
        <w:t xml:space="preserve">, môže si </w:t>
      </w:r>
      <w:proofErr w:type="spellStart"/>
      <w:r w:rsidRPr="004C5551">
        <w:rPr>
          <w:szCs w:val="22"/>
        </w:rPr>
        <w:t>UoZ</w:t>
      </w:r>
      <w:proofErr w:type="spellEnd"/>
      <w:r w:rsidRPr="004C5551">
        <w:rPr>
          <w:szCs w:val="22"/>
        </w:rPr>
        <w:t xml:space="preserve"> požadované vzdelávanie a prípravu pre trh práce zabezpečiť z vlastnej iniciatívy, kedy úrad </w:t>
      </w:r>
      <w:r w:rsidR="00F41E61" w:rsidRPr="004C5551">
        <w:rPr>
          <w:szCs w:val="22"/>
        </w:rPr>
        <w:t xml:space="preserve">PSVR </w:t>
      </w:r>
      <w:proofErr w:type="spellStart"/>
      <w:r w:rsidRPr="004C5551">
        <w:rPr>
          <w:szCs w:val="22"/>
        </w:rPr>
        <w:t>UoZ</w:t>
      </w:r>
      <w:proofErr w:type="spellEnd"/>
      <w:r w:rsidRPr="004C5551">
        <w:rPr>
          <w:szCs w:val="22"/>
        </w:rPr>
        <w:t xml:space="preserve"> uhradí 100</w:t>
      </w:r>
      <w:r w:rsidR="009425AA" w:rsidRPr="004C5551">
        <w:rPr>
          <w:szCs w:val="22"/>
        </w:rPr>
        <w:t> %</w:t>
      </w:r>
      <w:r w:rsidRPr="004C5551">
        <w:rPr>
          <w:szCs w:val="22"/>
        </w:rPr>
        <w:t xml:space="preserve"> nákladov, maximálne však len do výšky 600 </w:t>
      </w:r>
      <w:r w:rsidR="00AA0137" w:rsidRPr="004C5551">
        <w:rPr>
          <w:szCs w:val="22"/>
        </w:rPr>
        <w:t>eur</w:t>
      </w:r>
      <w:r w:rsidRPr="004C5551">
        <w:rPr>
          <w:szCs w:val="22"/>
        </w:rPr>
        <w:t xml:space="preserve"> až po nástupe do zamestnania alebo začatia prevádzkovania alebo vykonávania samostatnej zárobkovej činnosti, na základe písomnej žiadosti o úhradu finančných prostriedkov. Na vzdelávanie a prípravu pre trh práce zabezpečené z vlastnej iniciatívy </w:t>
      </w:r>
      <w:proofErr w:type="spellStart"/>
      <w:r w:rsidRPr="004C5551">
        <w:rPr>
          <w:szCs w:val="22"/>
        </w:rPr>
        <w:t>UoZ</w:t>
      </w:r>
      <w:proofErr w:type="spellEnd"/>
      <w:r w:rsidRPr="004C5551">
        <w:rPr>
          <w:szCs w:val="22"/>
        </w:rPr>
        <w:t xml:space="preserve"> boli v roku 2014 uzatvorené dohody pre 926 </w:t>
      </w:r>
      <w:proofErr w:type="spellStart"/>
      <w:r w:rsidRPr="004C5551">
        <w:rPr>
          <w:szCs w:val="22"/>
        </w:rPr>
        <w:t>UoZ</w:t>
      </w:r>
      <w:proofErr w:type="spellEnd"/>
      <w:r w:rsidRPr="004C5551">
        <w:rPr>
          <w:szCs w:val="22"/>
        </w:rPr>
        <w:t>, z toho 473</w:t>
      </w:r>
      <w:r w:rsidR="009A02B2" w:rsidRPr="004C5551">
        <w:rPr>
          <w:szCs w:val="22"/>
        </w:rPr>
        <w:t> </w:t>
      </w:r>
      <w:r w:rsidRPr="004C5551">
        <w:rPr>
          <w:szCs w:val="22"/>
        </w:rPr>
        <w:t>žien a</w:t>
      </w:r>
      <w:r w:rsidR="006B40DB" w:rsidRPr="004C5551">
        <w:rPr>
          <w:szCs w:val="22"/>
        </w:rPr>
        <w:t> 688 </w:t>
      </w:r>
      <w:r w:rsidRPr="004C5551">
        <w:rPr>
          <w:szCs w:val="22"/>
        </w:rPr>
        <w:t xml:space="preserve">znevýhodnených </w:t>
      </w:r>
      <w:proofErr w:type="spellStart"/>
      <w:r w:rsidRPr="004C5551">
        <w:rPr>
          <w:szCs w:val="22"/>
        </w:rPr>
        <w:t>UoZ</w:t>
      </w:r>
      <w:proofErr w:type="spellEnd"/>
      <w:r w:rsidRPr="004C5551">
        <w:rPr>
          <w:szCs w:val="22"/>
        </w:rPr>
        <w:t>, z ktorých boli uhradené finančné prostriedky v</w:t>
      </w:r>
      <w:r w:rsidR="009A02B2" w:rsidRPr="004C5551">
        <w:rPr>
          <w:szCs w:val="22"/>
        </w:rPr>
        <w:t> </w:t>
      </w:r>
      <w:r w:rsidRPr="004C5551">
        <w:rPr>
          <w:szCs w:val="22"/>
        </w:rPr>
        <w:t>sume</w:t>
      </w:r>
      <w:r w:rsidR="009A02B2" w:rsidRPr="004C5551">
        <w:rPr>
          <w:szCs w:val="22"/>
        </w:rPr>
        <w:t> </w:t>
      </w:r>
      <w:r w:rsidRPr="004C5551">
        <w:rPr>
          <w:szCs w:val="22"/>
        </w:rPr>
        <w:t>112</w:t>
      </w:r>
      <w:r w:rsidR="009A02B2" w:rsidRPr="004C5551">
        <w:rPr>
          <w:szCs w:val="22"/>
        </w:rPr>
        <w:t> </w:t>
      </w:r>
      <w:r w:rsidRPr="004C5551">
        <w:rPr>
          <w:szCs w:val="22"/>
        </w:rPr>
        <w:t>220 </w:t>
      </w:r>
      <w:r w:rsidR="00AA0137" w:rsidRPr="004C5551">
        <w:rPr>
          <w:szCs w:val="22"/>
        </w:rPr>
        <w:t>eur</w:t>
      </w:r>
      <w:r w:rsidRPr="004C5551">
        <w:rPr>
          <w:szCs w:val="22"/>
        </w:rPr>
        <w:t xml:space="preserve">. </w:t>
      </w:r>
    </w:p>
    <w:p w:rsidR="00A03BF5" w:rsidRPr="004C5551" w:rsidRDefault="00A03BF5" w:rsidP="00A03BF5">
      <w:pPr>
        <w:ind w:firstLine="567"/>
        <w:rPr>
          <w:szCs w:val="22"/>
        </w:rPr>
      </w:pPr>
    </w:p>
    <w:p w:rsidR="00A03BF5" w:rsidRPr="004C5551" w:rsidRDefault="00A03BF5" w:rsidP="00B279ED">
      <w:pPr>
        <w:spacing w:after="60"/>
        <w:rPr>
          <w:b/>
        </w:rPr>
      </w:pPr>
      <w:r w:rsidRPr="004C5551">
        <w:rPr>
          <w:b/>
        </w:rPr>
        <w:t>Vzdelávanie a príprava pre trh práce zamestnanca (§ 47)</w:t>
      </w:r>
    </w:p>
    <w:p w:rsidR="00A03BF5" w:rsidRPr="004C5551" w:rsidRDefault="00A03BF5" w:rsidP="002A746E">
      <w:pPr>
        <w:pStyle w:val="Odsekzoznamu"/>
        <w:numPr>
          <w:ilvl w:val="0"/>
          <w:numId w:val="0"/>
        </w:numPr>
        <w:ind w:firstLine="431"/>
        <w:rPr>
          <w:b/>
        </w:rPr>
      </w:pPr>
      <w:r w:rsidRPr="004C5551">
        <w:t xml:space="preserve">Vzdelávanie a prípravu pre trh práce zamestnanca vykonáva zamestnávateľ v záujme ďalšieho pracovného uplatnenia svojich zamestnancov. Cieľom opatrenia je podpora vzdelávania zamestnancov zamestnávateľa, súvisiaca so vznikom nových pracovných miest a udržaním už existujúcich pracovných miest. Úrad </w:t>
      </w:r>
      <w:r w:rsidR="00F41E61" w:rsidRPr="004C5551">
        <w:t xml:space="preserve">PSVR </w:t>
      </w:r>
      <w:r w:rsidRPr="004C5551">
        <w:t>môže poskytnúť príspevok na vzdelávanie a na prípravu pre trh práce zamestnanca najviac do výšky 80</w:t>
      </w:r>
      <w:r w:rsidR="009425AA" w:rsidRPr="004C5551">
        <w:t> %</w:t>
      </w:r>
      <w:r w:rsidRPr="004C5551">
        <w:t xml:space="preserve"> oprávnených nákladov na vzdelávanie a na prípravu pre trh práce zamestnancov.</w:t>
      </w:r>
    </w:p>
    <w:p w:rsidR="00A03BF5" w:rsidRPr="004C5551" w:rsidRDefault="00A03BF5" w:rsidP="002A746E">
      <w:pPr>
        <w:ind w:firstLine="431"/>
        <w:contextualSpacing/>
        <w:rPr>
          <w:bCs/>
        </w:rPr>
      </w:pPr>
      <w:r w:rsidRPr="004C5551">
        <w:rPr>
          <w:bCs/>
        </w:rPr>
        <w:t xml:space="preserve">V roku 2014 bol príspevok na vzdelávanie a prípravu pre trh práce zamestnanca poskytnutý 3 zamestnávateľom, ktorí vzdelávali 1 609 zamestnancov. Ku koncu roka 2014 bolo na tento účel vyčerpaných 563 679 </w:t>
      </w:r>
      <w:r w:rsidR="00AA0137" w:rsidRPr="004C5551">
        <w:rPr>
          <w:bCs/>
        </w:rPr>
        <w:t>eur</w:t>
      </w:r>
      <w:r w:rsidRPr="004C5551">
        <w:rPr>
          <w:bCs/>
        </w:rPr>
        <w:t xml:space="preserve">. </w:t>
      </w:r>
    </w:p>
    <w:p w:rsidR="00A03BF5" w:rsidRPr="004C5551" w:rsidRDefault="00A03BF5" w:rsidP="00A03BF5">
      <w:pPr>
        <w:ind w:firstLine="357"/>
        <w:contextualSpacing/>
      </w:pPr>
    </w:p>
    <w:p w:rsidR="00A03BF5" w:rsidRPr="004C5551" w:rsidRDefault="00A03BF5" w:rsidP="00B279ED">
      <w:pPr>
        <w:spacing w:after="60"/>
        <w:rPr>
          <w:b/>
        </w:rPr>
      </w:pPr>
      <w:r w:rsidRPr="004C5551">
        <w:rPr>
          <w:b/>
        </w:rPr>
        <w:t>Príspevok na samostatnú zárobkovú činnosť (§ 49)</w:t>
      </w:r>
    </w:p>
    <w:p w:rsidR="00A03BF5" w:rsidRPr="004C5551" w:rsidRDefault="00A03BF5" w:rsidP="002A746E">
      <w:pPr>
        <w:pStyle w:val="Normlnysozarkami"/>
        <w:ind w:firstLine="431"/>
      </w:pPr>
      <w:r w:rsidRPr="004C5551">
        <w:t>Úrad</w:t>
      </w:r>
      <w:r w:rsidR="00F41E61" w:rsidRPr="004C5551">
        <w:t xml:space="preserve"> PSVR</w:t>
      </w:r>
      <w:r w:rsidRPr="004C5551">
        <w:t xml:space="preserve"> môže poskytnúť príspevok na čiastočnú úhradu nákladov, súvisiacich s</w:t>
      </w:r>
      <w:r w:rsidR="009A02B2" w:rsidRPr="004C5551">
        <w:t> </w:t>
      </w:r>
      <w:r w:rsidRPr="004C5551">
        <w:t xml:space="preserve">prevádzkovaním samostatnej zárobkovej činnosti. Z hľadiska podpory vytvárania pracovných miest napomáha vstup </w:t>
      </w:r>
      <w:proofErr w:type="spellStart"/>
      <w:r w:rsidRPr="004C5551">
        <w:t>UoZ</w:t>
      </w:r>
      <w:proofErr w:type="spellEnd"/>
      <w:r w:rsidRPr="004C5551">
        <w:t xml:space="preserve"> na trh práce ako podnikateľom, </w:t>
      </w:r>
      <w:r w:rsidRPr="004C5551">
        <w:rPr>
          <w:szCs w:val="22"/>
        </w:rPr>
        <w:t>ktorí budú prevádzkovať živnosť podľa živnostenského zákona a vykonávať poľnohospodársku výrobu vrátane hospodárenia v lesoch a</w:t>
      </w:r>
      <w:r w:rsidR="009A02B2" w:rsidRPr="004C5551">
        <w:rPr>
          <w:szCs w:val="22"/>
        </w:rPr>
        <w:t> </w:t>
      </w:r>
      <w:r w:rsidRPr="004C5551">
        <w:rPr>
          <w:szCs w:val="22"/>
        </w:rPr>
        <w:t>na</w:t>
      </w:r>
      <w:r w:rsidR="009A02B2" w:rsidRPr="004C5551">
        <w:rPr>
          <w:szCs w:val="22"/>
        </w:rPr>
        <w:t> </w:t>
      </w:r>
      <w:r w:rsidRPr="004C5551">
        <w:rPr>
          <w:szCs w:val="22"/>
        </w:rPr>
        <w:t>vodných plochách podľa zákona o súkromnom podnikaní občanov.</w:t>
      </w:r>
    </w:p>
    <w:p w:rsidR="00A03BF5" w:rsidRPr="004C5551" w:rsidRDefault="00A03BF5" w:rsidP="002A746E">
      <w:pPr>
        <w:pStyle w:val="Normlnysozarkami"/>
        <w:ind w:firstLine="431"/>
      </w:pPr>
      <w:r w:rsidRPr="004C5551">
        <w:t xml:space="preserve">V roku 2014 bolo prostredníctvom tohto príspevku podporených 2 715 </w:t>
      </w:r>
      <w:proofErr w:type="spellStart"/>
      <w:r w:rsidRPr="004C5551">
        <w:t>UoZ</w:t>
      </w:r>
      <w:proofErr w:type="spellEnd"/>
      <w:r w:rsidRPr="004C5551">
        <w:t xml:space="preserve">, (o 2 182 menej ako v roku 2013), čo súvisí so zníženým záujmom </w:t>
      </w:r>
      <w:proofErr w:type="spellStart"/>
      <w:r w:rsidRPr="004C5551">
        <w:t>UoZ</w:t>
      </w:r>
      <w:proofErr w:type="spellEnd"/>
      <w:r w:rsidRPr="004C5551">
        <w:t xml:space="preserve"> o tento príspevok v nadväznosti na úpravy podmienok poskytovania príspevku od 1. 5. 2013, podporujúcej efektívnosť využitia príspevku. Celková čerpaná suma bola 6 908 844 </w:t>
      </w:r>
      <w:r w:rsidR="00AA0137" w:rsidRPr="004C5551">
        <w:t>eur</w:t>
      </w:r>
      <w:r w:rsidRPr="004C5551">
        <w:t xml:space="preserve">, čo bolo o 9 361 024 </w:t>
      </w:r>
      <w:r w:rsidR="00AA0137" w:rsidRPr="004C5551">
        <w:t>eur</w:t>
      </w:r>
      <w:r w:rsidRPr="004C5551">
        <w:t xml:space="preserve"> menej ako v roku 2013. V roku 2014 sa podiel dlhodobo nezamestnaných občanov, ktorí využili príspevok na samostatnú zárobkovú činnosť, znížil zo 42,1</w:t>
      </w:r>
      <w:r w:rsidR="009425AA" w:rsidRPr="004C5551">
        <w:t> %</w:t>
      </w:r>
      <w:r w:rsidRPr="004C5551">
        <w:t xml:space="preserve"> v roku 2013 na 39,4</w:t>
      </w:r>
      <w:r w:rsidR="009425AA" w:rsidRPr="004C5551">
        <w:t> %</w:t>
      </w:r>
      <w:r w:rsidRPr="004C5551">
        <w:t>.</w:t>
      </w:r>
    </w:p>
    <w:p w:rsidR="00A03BF5" w:rsidRPr="004C5551" w:rsidRDefault="00A03BF5" w:rsidP="00A03BF5">
      <w:pPr>
        <w:pStyle w:val="Normlnysozarkami"/>
        <w:ind w:firstLine="567"/>
      </w:pPr>
    </w:p>
    <w:p w:rsidR="00A03BF5" w:rsidRPr="004C5551" w:rsidRDefault="00A03BF5" w:rsidP="00B279ED">
      <w:pPr>
        <w:spacing w:after="60"/>
        <w:rPr>
          <w:b/>
        </w:rPr>
      </w:pPr>
      <w:r w:rsidRPr="004C5551">
        <w:rPr>
          <w:b/>
        </w:rPr>
        <w:t>Príspevok na podporu zamestnávania znevýhodneného uchádzača o zamestnanie (§ 50)</w:t>
      </w:r>
    </w:p>
    <w:p w:rsidR="00A03BF5" w:rsidRPr="004C5551" w:rsidRDefault="00A03BF5" w:rsidP="002A746E">
      <w:pPr>
        <w:pStyle w:val="Normlnysozarkami"/>
        <w:ind w:firstLine="431"/>
        <w:rPr>
          <w:szCs w:val="22"/>
        </w:rPr>
      </w:pPr>
      <w:r w:rsidRPr="004C5551">
        <w:t xml:space="preserve">Úrad </w:t>
      </w:r>
      <w:r w:rsidR="00F41E61" w:rsidRPr="004C5551">
        <w:t xml:space="preserve">PSVR </w:t>
      </w:r>
      <w:r w:rsidRPr="004C5551">
        <w:t xml:space="preserve">môže poskytnúť príspevok na podporu zamestnávania znevýhodneného </w:t>
      </w:r>
      <w:proofErr w:type="spellStart"/>
      <w:r w:rsidRPr="004C5551">
        <w:t>UoZ</w:t>
      </w:r>
      <w:proofErr w:type="spellEnd"/>
      <w:r w:rsidRPr="004C5551">
        <w:t xml:space="preserve"> zamestnávateľovi, ktorý na vytvorené pracovné miesto prijme do pracovného pomeru znevýhodneného </w:t>
      </w:r>
      <w:proofErr w:type="spellStart"/>
      <w:r w:rsidRPr="004C5551">
        <w:t>UoZ</w:t>
      </w:r>
      <w:proofErr w:type="spellEnd"/>
      <w:r w:rsidRPr="004C5551">
        <w:t xml:space="preserve"> </w:t>
      </w:r>
      <w:r w:rsidRPr="004C5551">
        <w:rPr>
          <w:szCs w:val="22"/>
        </w:rPr>
        <w:t xml:space="preserve">vedeného v evidencii </w:t>
      </w:r>
      <w:proofErr w:type="spellStart"/>
      <w:r w:rsidRPr="004C5551">
        <w:rPr>
          <w:szCs w:val="22"/>
        </w:rPr>
        <w:t>UoZ</w:t>
      </w:r>
      <w:proofErr w:type="spellEnd"/>
      <w:r w:rsidRPr="004C5551">
        <w:rPr>
          <w:szCs w:val="22"/>
        </w:rPr>
        <w:t xml:space="preserve"> najmenej 3 mesiace a poskytuje sa na úhradu časti celkovej ceny práce. Výška príspevku je závislá od priemernej miery evidovanej nezamestnanosti v príslušnom okrese. Príspevok sa poskytuje najdlhšie počas 12 kalendárnych mesiacov a</w:t>
      </w:r>
      <w:r w:rsidR="006B40DB" w:rsidRPr="004C5551">
        <w:rPr>
          <w:szCs w:val="22"/>
        </w:rPr>
        <w:t> na </w:t>
      </w:r>
      <w:r w:rsidRPr="004C5551">
        <w:rPr>
          <w:szCs w:val="22"/>
        </w:rPr>
        <w:t xml:space="preserve">znevýhodneného </w:t>
      </w:r>
      <w:proofErr w:type="spellStart"/>
      <w:r w:rsidRPr="004C5551">
        <w:rPr>
          <w:szCs w:val="22"/>
        </w:rPr>
        <w:t>UoZ</w:t>
      </w:r>
      <w:proofErr w:type="spellEnd"/>
      <w:r w:rsidRPr="004C5551">
        <w:rPr>
          <w:szCs w:val="22"/>
        </w:rPr>
        <w:t xml:space="preserve"> vedeného v evidencii </w:t>
      </w:r>
      <w:proofErr w:type="spellStart"/>
      <w:r w:rsidRPr="004C5551">
        <w:rPr>
          <w:szCs w:val="22"/>
        </w:rPr>
        <w:t>UoZ</w:t>
      </w:r>
      <w:proofErr w:type="spellEnd"/>
      <w:r w:rsidRPr="004C5551">
        <w:rPr>
          <w:szCs w:val="22"/>
        </w:rPr>
        <w:t xml:space="preserve"> viac ako 24 mesiacov najdlhšie počas </w:t>
      </w:r>
      <w:r w:rsidR="006B40DB" w:rsidRPr="004C5551">
        <w:rPr>
          <w:szCs w:val="22"/>
        </w:rPr>
        <w:t>24 </w:t>
      </w:r>
      <w:r w:rsidRPr="004C5551">
        <w:rPr>
          <w:szCs w:val="22"/>
        </w:rPr>
        <w:t xml:space="preserve">kalendárnych mesiacov, pričom pri výške príspevku sa neprihliada na právnu formu, predmet činnosti zamestnávateľa a typ znevýhodneného </w:t>
      </w:r>
      <w:proofErr w:type="spellStart"/>
      <w:r w:rsidRPr="004C5551">
        <w:rPr>
          <w:szCs w:val="22"/>
        </w:rPr>
        <w:t>UoZ</w:t>
      </w:r>
      <w:proofErr w:type="spellEnd"/>
      <w:r w:rsidRPr="004C5551">
        <w:rPr>
          <w:szCs w:val="22"/>
        </w:rPr>
        <w:t xml:space="preserve">. Zamestnávateľ je povinný zachovať vytvorené pracovné miesto, </w:t>
      </w:r>
      <w:r w:rsidRPr="004C5551">
        <w:t>na ktoré mu bol poskytnutý príspevok, najmenej v rozsahu zodpovedajúcom polovici</w:t>
      </w:r>
      <w:r w:rsidR="004A5701" w:rsidRPr="004C5551">
        <w:t xml:space="preserve"> </w:t>
      </w:r>
      <w:r w:rsidRPr="004C5551">
        <w:t xml:space="preserve">dohodnutého obdobia poskytovania príspevku. Ak zamestnávateľ nesplní túto povinnosť, je povinný vrátiť úradu </w:t>
      </w:r>
      <w:r w:rsidR="00F41E61" w:rsidRPr="004C5551">
        <w:t xml:space="preserve">PSVR </w:t>
      </w:r>
      <w:r w:rsidRPr="004C5551">
        <w:t>pomernú časť poskytnutého príspevku zodpovedajúcu obdobiu, počas ktorého nezachoval vytvorené pracovné miesto.</w:t>
      </w:r>
    </w:p>
    <w:p w:rsidR="00A03BF5" w:rsidRPr="004C5551" w:rsidRDefault="00A03BF5" w:rsidP="002A746E">
      <w:pPr>
        <w:tabs>
          <w:tab w:val="left" w:pos="9356"/>
        </w:tabs>
        <w:ind w:right="-22" w:firstLine="431"/>
      </w:pPr>
      <w:r w:rsidRPr="004C5551">
        <w:t xml:space="preserve">V roku 2014 bolo prostredníctvom tohto príspevku podporených 3 178 znevýhodnených </w:t>
      </w:r>
      <w:proofErr w:type="spellStart"/>
      <w:r w:rsidRPr="004C5551">
        <w:t>UoZ</w:t>
      </w:r>
      <w:proofErr w:type="spellEnd"/>
      <w:r w:rsidRPr="004C5551">
        <w:t xml:space="preserve"> (1</w:t>
      </w:r>
      <w:r w:rsidR="004A5701" w:rsidRPr="004C5551">
        <w:t> </w:t>
      </w:r>
      <w:r w:rsidRPr="004C5551">
        <w:t>318</w:t>
      </w:r>
      <w:r w:rsidR="004A5701" w:rsidRPr="004C5551">
        <w:t xml:space="preserve"> </w:t>
      </w:r>
      <w:r w:rsidRPr="004C5551">
        <w:t xml:space="preserve">žien, 1 860 mužov) v celkovej výške finančných prostriedkov 5 359 649 </w:t>
      </w:r>
      <w:r w:rsidR="00AA0137" w:rsidRPr="004C5551">
        <w:t>eur</w:t>
      </w:r>
      <w:r w:rsidRPr="004C5551">
        <w:t xml:space="preserve">. </w:t>
      </w:r>
    </w:p>
    <w:p w:rsidR="00277C0E" w:rsidRPr="004C5551" w:rsidRDefault="00277C0E" w:rsidP="00A03BF5">
      <w:pPr>
        <w:tabs>
          <w:tab w:val="left" w:pos="9356"/>
        </w:tabs>
        <w:ind w:right="-22" w:firstLine="567"/>
      </w:pPr>
    </w:p>
    <w:p w:rsidR="00A03BF5" w:rsidRPr="004C5551" w:rsidRDefault="00A03BF5" w:rsidP="00B279ED">
      <w:pPr>
        <w:spacing w:after="60"/>
        <w:rPr>
          <w:b/>
        </w:rPr>
      </w:pPr>
      <w:r w:rsidRPr="004C5551">
        <w:rPr>
          <w:b/>
        </w:rPr>
        <w:t>Príspevok na podporu udržania v zamestnaní zamestnancov s nízkymi mzdami (§ 50a)</w:t>
      </w:r>
    </w:p>
    <w:p w:rsidR="00A03BF5" w:rsidRPr="004C5551" w:rsidRDefault="00A03BF5" w:rsidP="002A746E">
      <w:pPr>
        <w:pStyle w:val="Normlnysozarkami"/>
        <w:ind w:firstLine="431"/>
      </w:pPr>
      <w:r w:rsidRPr="004C5551">
        <w:t>Príspevok na podporu udržania v zamestnaní zamestnancov s nízkymi mzdami prijatých do</w:t>
      </w:r>
      <w:r w:rsidR="009A02B2" w:rsidRPr="004C5551">
        <w:t> </w:t>
      </w:r>
      <w:r w:rsidRPr="004C5551">
        <w:t xml:space="preserve">pracovného pomeru z evidencie </w:t>
      </w:r>
      <w:proofErr w:type="spellStart"/>
      <w:r w:rsidRPr="004C5551">
        <w:t>UoZ</w:t>
      </w:r>
      <w:proofErr w:type="spellEnd"/>
      <w:r w:rsidRPr="004C5551">
        <w:t xml:space="preserve"> sa poskytuje zamestnávateľovi na úhradu odvodov do</w:t>
      </w:r>
      <w:r w:rsidR="009A02B2" w:rsidRPr="004C5551">
        <w:t> </w:t>
      </w:r>
      <w:r w:rsidRPr="004C5551">
        <w:t>poistných fondov na zdravotné poistenie a sociálne poistenie platených zamestnávateľom a</w:t>
      </w:r>
      <w:r w:rsidR="009A02B2" w:rsidRPr="004C5551">
        <w:t> </w:t>
      </w:r>
      <w:r w:rsidRPr="004C5551">
        <w:t xml:space="preserve">zamestnancom. Poskytovanie príspevku je viazané na pracovné miesto, na ktoré zamestnávateľ prijme do pracovného pomeru </w:t>
      </w:r>
      <w:proofErr w:type="spellStart"/>
      <w:r w:rsidRPr="004C5551">
        <w:t>UoZ</w:t>
      </w:r>
      <w:proofErr w:type="spellEnd"/>
      <w:r w:rsidRPr="004C5551">
        <w:t xml:space="preserve"> vedeného v evidencii </w:t>
      </w:r>
      <w:proofErr w:type="spellStart"/>
      <w:r w:rsidRPr="004C5551">
        <w:t>UoZ</w:t>
      </w:r>
      <w:proofErr w:type="spellEnd"/>
      <w:r w:rsidRPr="004C5551">
        <w:t xml:space="preserve"> najmenej tri mesiace. Zamestnávateľovi sa príspevok poskytuje najviac počas 24 kalendárnych mesiacov. Na</w:t>
      </w:r>
      <w:r w:rsidR="009A02B2" w:rsidRPr="004C5551">
        <w:t> </w:t>
      </w:r>
      <w:r w:rsidRPr="004C5551">
        <w:t>základe monitorovacích údajov z</w:t>
      </w:r>
      <w:r w:rsidR="00F41E61" w:rsidRPr="004C5551">
        <w:t> </w:t>
      </w:r>
      <w:r w:rsidRPr="004C5551">
        <w:t>úradov</w:t>
      </w:r>
      <w:r w:rsidR="00F41E61" w:rsidRPr="004C5551">
        <w:t xml:space="preserve"> PSVR </w:t>
      </w:r>
      <w:r w:rsidRPr="004C5551">
        <w:t xml:space="preserve">je o tento príspevok zo strany zamestnávateľov záujem z dôvodu dĺžky poskytovania príspevku </w:t>
      </w:r>
      <w:r w:rsidR="006B40DB" w:rsidRPr="004C5551">
        <w:t>24 </w:t>
      </w:r>
      <w:r w:rsidRPr="004C5551">
        <w:t xml:space="preserve">mesiacov, výšky príspevku oproti príspevku v zmysle § 50 a možnosti využiť tento nástroj nielen na zamestnávanie znevýhodnených </w:t>
      </w:r>
      <w:proofErr w:type="spellStart"/>
      <w:r w:rsidRPr="004C5551">
        <w:t>UoZ</w:t>
      </w:r>
      <w:proofErr w:type="spellEnd"/>
      <w:r w:rsidRPr="004C5551">
        <w:t>. Od</w:t>
      </w:r>
      <w:r w:rsidR="009A02B2" w:rsidRPr="004C5551">
        <w:t> </w:t>
      </w:r>
      <w:r w:rsidRPr="004C5551">
        <w:t>1.</w:t>
      </w:r>
      <w:r w:rsidR="009A02B2" w:rsidRPr="004C5551">
        <w:t> </w:t>
      </w:r>
      <w:r w:rsidRPr="004C5551">
        <w:t>mája 2013 bolo poskytovanie príspevku na podporu udržania v zamestnaní zamestnancov s nízkymi mzdami zrušené.</w:t>
      </w:r>
    </w:p>
    <w:p w:rsidR="00A03BF5" w:rsidRPr="004C5551" w:rsidRDefault="00A03BF5" w:rsidP="002A746E">
      <w:pPr>
        <w:ind w:firstLine="431"/>
        <w:rPr>
          <w:bCs/>
          <w:szCs w:val="22"/>
        </w:rPr>
      </w:pPr>
      <w:r w:rsidRPr="004C5551">
        <w:t xml:space="preserve">V roku 2014 boli pracovné miesta </w:t>
      </w:r>
      <w:proofErr w:type="spellStart"/>
      <w:r w:rsidRPr="004C5551">
        <w:t>preobsadené</w:t>
      </w:r>
      <w:proofErr w:type="spellEnd"/>
      <w:r w:rsidRPr="004C5551">
        <w:t xml:space="preserve"> v celkovom počte </w:t>
      </w:r>
      <w:r w:rsidRPr="004C5551">
        <w:rPr>
          <w:rStyle w:val="NormlnysozarkamiChar"/>
        </w:rPr>
        <w:t xml:space="preserve">370 </w:t>
      </w:r>
      <w:proofErr w:type="spellStart"/>
      <w:r w:rsidRPr="004C5551">
        <w:t>UoZ</w:t>
      </w:r>
      <w:proofErr w:type="spellEnd"/>
      <w:r w:rsidRPr="004C5551">
        <w:t xml:space="preserve"> z dohôd z predchádzajúcich rokov. Celková čerpaná suma finančných prostriedkov bola </w:t>
      </w:r>
      <w:r w:rsidR="006B40DB" w:rsidRPr="004C5551">
        <w:t>vo </w:t>
      </w:r>
      <w:r w:rsidRPr="004C5551">
        <w:t xml:space="preserve">výške </w:t>
      </w:r>
      <w:r w:rsidRPr="004C5551">
        <w:rPr>
          <w:bCs/>
          <w:szCs w:val="22"/>
        </w:rPr>
        <w:t>5 513</w:t>
      </w:r>
      <w:r w:rsidR="006B40DB" w:rsidRPr="004C5551">
        <w:rPr>
          <w:bCs/>
          <w:szCs w:val="22"/>
        </w:rPr>
        <w:t> 613 </w:t>
      </w:r>
      <w:r w:rsidR="00AA0137" w:rsidRPr="004C5551">
        <w:rPr>
          <w:bCs/>
          <w:szCs w:val="22"/>
        </w:rPr>
        <w:t>eur</w:t>
      </w:r>
      <w:r w:rsidRPr="004C5551">
        <w:rPr>
          <w:bCs/>
          <w:szCs w:val="22"/>
        </w:rPr>
        <w:t>.</w:t>
      </w:r>
    </w:p>
    <w:p w:rsidR="00A03BF5" w:rsidRPr="004C5551" w:rsidRDefault="00A03BF5" w:rsidP="00A03BF5">
      <w:pPr>
        <w:ind w:firstLine="567"/>
        <w:rPr>
          <w:bCs/>
          <w:szCs w:val="22"/>
        </w:rPr>
      </w:pPr>
    </w:p>
    <w:p w:rsidR="00A03BF5" w:rsidRPr="004C5551" w:rsidRDefault="00A03BF5" w:rsidP="00B279ED">
      <w:pPr>
        <w:spacing w:after="60"/>
        <w:rPr>
          <w:b/>
        </w:rPr>
      </w:pPr>
      <w:r w:rsidRPr="004C5551">
        <w:rPr>
          <w:b/>
        </w:rPr>
        <w:t>Príspevok na podporu vytvárania a udržania pracovných miest v sociálnom podniku (§ 50c)</w:t>
      </w:r>
    </w:p>
    <w:p w:rsidR="00A03BF5" w:rsidRPr="004C5551" w:rsidRDefault="00A03BF5" w:rsidP="002A746E">
      <w:pPr>
        <w:pStyle w:val="Normlnysozarkami"/>
        <w:ind w:firstLine="431"/>
      </w:pPr>
      <w:r w:rsidRPr="004C5551">
        <w:t xml:space="preserve">Príspevok sa poskytuje zamestnávateľovi, ktorý má priznané postavenie sociálneho podniku. Podmienkou poskytnutia príspevku je uzatvorenie pracovného pomeru na dobu určitú rozsahu najmenej polovice ustanoveného týždenného pracovného času so znevýhodneným </w:t>
      </w:r>
      <w:proofErr w:type="spellStart"/>
      <w:r w:rsidRPr="004C5551">
        <w:t>UoZ</w:t>
      </w:r>
      <w:proofErr w:type="spellEnd"/>
      <w:r w:rsidRPr="004C5551">
        <w:t xml:space="preserve">. </w:t>
      </w:r>
      <w:r w:rsidR="009A02B2" w:rsidRPr="004C5551">
        <w:br/>
      </w:r>
      <w:r w:rsidRPr="004C5551">
        <w:t>Od 1. mája</w:t>
      </w:r>
      <w:r w:rsidR="009A02B2" w:rsidRPr="004C5551">
        <w:t> </w:t>
      </w:r>
      <w:r w:rsidRPr="004C5551">
        <w:t>2013 poskytovanie príspevku na podporu vytvárania a udržania pracovných miest v sociálnom podniku bolo zrušené.</w:t>
      </w:r>
    </w:p>
    <w:p w:rsidR="00A03BF5" w:rsidRPr="004C5551" w:rsidRDefault="00A03BF5" w:rsidP="002A746E">
      <w:pPr>
        <w:ind w:firstLine="431"/>
      </w:pPr>
      <w:r w:rsidRPr="004C5551">
        <w:t xml:space="preserve">V roku 2014 bolo </w:t>
      </w:r>
      <w:proofErr w:type="spellStart"/>
      <w:r w:rsidRPr="004C5551">
        <w:t>preobsadených</w:t>
      </w:r>
      <w:proofErr w:type="spellEnd"/>
      <w:r w:rsidRPr="004C5551">
        <w:t xml:space="preserve"> 6 pracovných miest </w:t>
      </w:r>
      <w:proofErr w:type="spellStart"/>
      <w:r w:rsidRPr="004C5551">
        <w:t>UoZ</w:t>
      </w:r>
      <w:proofErr w:type="spellEnd"/>
      <w:r w:rsidRPr="004C5551">
        <w:t xml:space="preserve"> v sociálnych podnikoch z dohôd z predchádzajúcich rokov. Celková suma finančných prostriedkov bola čerpaná </w:t>
      </w:r>
      <w:r w:rsidR="006B40DB" w:rsidRPr="004C5551">
        <w:t>vo </w:t>
      </w:r>
      <w:r w:rsidRPr="004C5551">
        <w:t>výške 281</w:t>
      </w:r>
      <w:r w:rsidR="006B40DB" w:rsidRPr="004C5551">
        <w:t> 527 </w:t>
      </w:r>
      <w:r w:rsidR="00AA0137" w:rsidRPr="004C5551">
        <w:t>eur</w:t>
      </w:r>
      <w:r w:rsidRPr="004C5551">
        <w:t>.</w:t>
      </w:r>
    </w:p>
    <w:p w:rsidR="00A03BF5" w:rsidRPr="004C5551" w:rsidRDefault="00A03BF5" w:rsidP="00A03BF5">
      <w:pPr>
        <w:ind w:firstLine="567"/>
      </w:pPr>
    </w:p>
    <w:p w:rsidR="00A03BF5" w:rsidRPr="004C5551" w:rsidRDefault="00A03BF5" w:rsidP="00A03BF5">
      <w:pPr>
        <w:rPr>
          <w:b/>
        </w:rPr>
      </w:pPr>
      <w:r w:rsidRPr="004C5551">
        <w:rPr>
          <w:b/>
        </w:rPr>
        <w:t>Príspevok na podporu rozvoja miestnej a regionálnej zamestnanosti (§ 50j)</w:t>
      </w:r>
    </w:p>
    <w:p w:rsidR="00A03BF5" w:rsidRPr="004C5551" w:rsidRDefault="00A03BF5" w:rsidP="002A746E">
      <w:pPr>
        <w:pStyle w:val="Normlnysozarkami"/>
        <w:ind w:firstLine="431"/>
      </w:pPr>
      <w:r w:rsidRPr="004C5551">
        <w:rPr>
          <w:bCs/>
        </w:rPr>
        <w:t xml:space="preserve">Príspevok môže úrad </w:t>
      </w:r>
      <w:r w:rsidR="00F41E61" w:rsidRPr="004C5551">
        <w:rPr>
          <w:bCs/>
        </w:rPr>
        <w:t xml:space="preserve">PSVR </w:t>
      </w:r>
      <w:r w:rsidRPr="004C5551">
        <w:t xml:space="preserve">poskytnúť zamestnávateľovi, ktorým je obec alebo samosprávny kraj, právnická osoba, ktorej zakladateľom alebo zriaďovateľom je obec alebo samosprávny kraj a ktorý </w:t>
      </w:r>
      <w:r w:rsidR="006B40DB" w:rsidRPr="004C5551">
        <w:t>na </w:t>
      </w:r>
      <w:r w:rsidRPr="004C5551">
        <w:t xml:space="preserve">vytvorené pracovné miesto prijme do pracovného pomeru na určitú dobu znevýhodneného </w:t>
      </w:r>
      <w:proofErr w:type="spellStart"/>
      <w:r w:rsidRPr="004C5551">
        <w:t>UoZ</w:t>
      </w:r>
      <w:proofErr w:type="spellEnd"/>
      <w:r w:rsidRPr="004C5551">
        <w:t xml:space="preserve"> vedeného v evidencii </w:t>
      </w:r>
      <w:proofErr w:type="spellStart"/>
      <w:r w:rsidRPr="004C5551">
        <w:t>UoZ</w:t>
      </w:r>
      <w:proofErr w:type="spellEnd"/>
      <w:r w:rsidRPr="004C5551">
        <w:t xml:space="preserve"> najmenej tri mesiace, ak pracovný pomer je dohodnutý najmenej v rozsahu polovice ustanoveného týždenného pracovného času. Mesačná výška príspevku je 80</w:t>
      </w:r>
      <w:r w:rsidR="009425AA" w:rsidRPr="004C5551">
        <w:t> %</w:t>
      </w:r>
      <w:r w:rsidRPr="004C5551">
        <w:t xml:space="preserve"> z celkovej ceny práce zamestnanca, najviac 60</w:t>
      </w:r>
      <w:r w:rsidR="009425AA" w:rsidRPr="004C5551">
        <w:t> %</w:t>
      </w:r>
      <w:r w:rsidRPr="004C5551">
        <w:t xml:space="preserve">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w:t>
      </w:r>
      <w:r w:rsidR="006B40DB" w:rsidRPr="004C5551">
        <w:t>na </w:t>
      </w:r>
      <w:r w:rsidRPr="004C5551">
        <w:t xml:space="preserve">zamestnávanie toho istého zamestnanca počas obdobia dvoch rokov bezprostredne nasledujúcich </w:t>
      </w:r>
      <w:r w:rsidR="006B40DB" w:rsidRPr="004C5551">
        <w:t>po </w:t>
      </w:r>
      <w:r w:rsidRPr="004C5551">
        <w:t>skončení pracovného pomeru.</w:t>
      </w:r>
    </w:p>
    <w:p w:rsidR="00A03BF5" w:rsidRPr="004C5551" w:rsidRDefault="00A03BF5" w:rsidP="002A746E">
      <w:pPr>
        <w:pStyle w:val="Normlnysozarkami"/>
        <w:ind w:firstLine="431"/>
      </w:pPr>
      <w:r w:rsidRPr="004C5551">
        <w:t xml:space="preserve">V roku 2014 bolo podporených 3 999 znevýhodnených </w:t>
      </w:r>
      <w:proofErr w:type="spellStart"/>
      <w:r w:rsidRPr="004C5551">
        <w:t>UoZ</w:t>
      </w:r>
      <w:proofErr w:type="spellEnd"/>
      <w:r w:rsidRPr="004C5551">
        <w:t>, z toho 1 783 občanov starších ako 50 rokov a 3 046 dlhodobo nezamestnaných občanov. Na príspevok na podporu miestnej a</w:t>
      </w:r>
      <w:r w:rsidR="006B40DB" w:rsidRPr="004C5551">
        <w:t> </w:t>
      </w:r>
      <w:r w:rsidRPr="004C5551">
        <w:t xml:space="preserve">regionálnej zamestnanosti bolo v roku 2014 vyčerpaných 12 466 006 </w:t>
      </w:r>
      <w:r w:rsidR="00AA0137" w:rsidRPr="004C5551">
        <w:t>eur</w:t>
      </w:r>
      <w:r w:rsidRPr="004C5551">
        <w:t>.</w:t>
      </w:r>
    </w:p>
    <w:p w:rsidR="00A03BF5" w:rsidRPr="004C5551" w:rsidRDefault="00A03BF5" w:rsidP="00A03BF5">
      <w:pPr>
        <w:pStyle w:val="Normlnysozarkami"/>
        <w:ind w:firstLine="0"/>
      </w:pPr>
    </w:p>
    <w:p w:rsidR="00A03BF5" w:rsidRPr="004C5551" w:rsidRDefault="00A03BF5" w:rsidP="00A03BF5">
      <w:pPr>
        <w:pStyle w:val="Normlnysozarkami"/>
        <w:ind w:firstLine="0"/>
        <w:rPr>
          <w:b/>
        </w:rPr>
      </w:pPr>
      <w:r w:rsidRPr="004C5551">
        <w:rPr>
          <w:b/>
        </w:rPr>
        <w:t>Príspevok na podporu udržania pracovných miest (§ 50k)</w:t>
      </w:r>
    </w:p>
    <w:p w:rsidR="00A03BF5" w:rsidRPr="004C5551" w:rsidRDefault="00A03BF5" w:rsidP="002A746E">
      <w:pPr>
        <w:pStyle w:val="Normlnysozarkami"/>
        <w:ind w:firstLine="431"/>
      </w:pPr>
      <w:r w:rsidRPr="004C5551">
        <w:t>Cieľom tohto opatrenia je podpora zmiernenia dopadov smerujúcich k prepúšťaniu zamestnancov u zamestnávateľov, ktorí v súlade so Zákonníkom práce vymedzili v písomnej dohode so zástupcami zamestnancov vážne prevádzkové dôvody, pre ktoré nemôže zamestnancom prideľovať prácu, čo vytvára prekážku v práci na strane zamestnávateľa, pri ktorej patrí zamestnancovi náhrada mzdy v</w:t>
      </w:r>
      <w:r w:rsidR="009A02B2" w:rsidRPr="004C5551">
        <w:t> </w:t>
      </w:r>
      <w:r w:rsidRPr="004C5551">
        <w:t>sume určenej dohodou najmenej 60</w:t>
      </w:r>
      <w:r w:rsidR="009425AA" w:rsidRPr="004C5551">
        <w:t> %</w:t>
      </w:r>
      <w:r w:rsidRPr="004C5551">
        <w:t xml:space="preserve"> jeho priemerného zárobku, pričom takúto dohodu nemožno nahradiť rozhodnutím zamestnávateľa. </w:t>
      </w:r>
    </w:p>
    <w:p w:rsidR="00A03BF5" w:rsidRPr="004C5551" w:rsidRDefault="00A03BF5" w:rsidP="002A746E">
      <w:pPr>
        <w:ind w:firstLine="431"/>
      </w:pPr>
      <w:r w:rsidRPr="004C5551">
        <w:t>Príspevok môže úrad</w:t>
      </w:r>
      <w:r w:rsidR="00F41E61" w:rsidRPr="004C5551">
        <w:t xml:space="preserve"> PSVR</w:t>
      </w:r>
      <w:r w:rsidRPr="004C5551">
        <w:t xml:space="preserve"> poskytnúť zamestnávateľovi, ktorý najmenej tri mesiace pred podaním žiadosti o poskytnutie príspevku udržal pracovné miesta aj v prípade pretrvávajúcich vážnych prevádzkových dôvodov vymedzených v písomnej dohode so zástupcami zamestnancov, na</w:t>
      </w:r>
      <w:r w:rsidR="009A02B2" w:rsidRPr="004C5551">
        <w:t> </w:t>
      </w:r>
      <w:r w:rsidRPr="004C5551">
        <w:t>základe ktorých po dohode s</w:t>
      </w:r>
      <w:r w:rsidR="00F41E61" w:rsidRPr="004C5551">
        <w:t> </w:t>
      </w:r>
      <w:r w:rsidRPr="004C5551">
        <w:t>úradom</w:t>
      </w:r>
      <w:r w:rsidR="00F41E61" w:rsidRPr="004C5551">
        <w:t xml:space="preserve"> PSVR</w:t>
      </w:r>
      <w:r w:rsidRPr="004C5551">
        <w:t xml:space="preserve"> na prechodné obdobie obmedzí svoju prevádzkovú činnosť tak, že nebude zamestnancom prideľovať prácu v rozsahu najmenej 6</w:t>
      </w:r>
      <w:r w:rsidR="009425AA" w:rsidRPr="004C5551">
        <w:t> %</w:t>
      </w:r>
      <w:r w:rsidRPr="004C5551">
        <w:t xml:space="preserve"> a najviac 20</w:t>
      </w:r>
      <w:r w:rsidR="009425AA" w:rsidRPr="004C5551">
        <w:t> %</w:t>
      </w:r>
      <w:r w:rsidRPr="004C5551">
        <w:t xml:space="preserve"> ustanoveného týždenného pracovného času. Mesačná výška príspevku je 50</w:t>
      </w:r>
      <w:r w:rsidR="009425AA" w:rsidRPr="004C5551">
        <w:t> %</w:t>
      </w:r>
      <w:r w:rsidRPr="004C5551">
        <w:t xml:space="preserve"> z náhrady mzdy poskytnutej zamestnancovi, najviac 50</w:t>
      </w:r>
      <w:r w:rsidR="009425AA" w:rsidRPr="004C5551">
        <w:t> %</w:t>
      </w:r>
      <w:r w:rsidRPr="004C5551">
        <w:t xml:space="preserve"> z priemernej mzdy zamestnanca v hospodárstve Slovenskej republiky za prvý až tretí štvrťrok kalendárneho roka, ktorý predchádza kalendárnemu roku, v ktorom sa príspevok poskytuje. Príspevok sa poskytuje najviac počas 12 mesiacov.</w:t>
      </w:r>
    </w:p>
    <w:p w:rsidR="00A03BF5" w:rsidRPr="004C5551" w:rsidRDefault="00A03BF5" w:rsidP="002A746E">
      <w:pPr>
        <w:pStyle w:val="Normlnysozarkami"/>
        <w:ind w:firstLine="431"/>
      </w:pPr>
      <w:r w:rsidRPr="004C5551">
        <w:t xml:space="preserve">V roku 2014 úrady </w:t>
      </w:r>
      <w:r w:rsidR="00F41E61" w:rsidRPr="004C5551">
        <w:t xml:space="preserve">PSVR </w:t>
      </w:r>
      <w:r w:rsidRPr="004C5551">
        <w:t>neuzatvorili žiadne dohody so zamestnávateľmi na čerpanie príspevku na podporu udržania pracovných miest. Celkové čerpanie finančných prostriedkov v roku 2014 z dohôd z</w:t>
      </w:r>
      <w:r w:rsidR="006B40DB" w:rsidRPr="004C5551">
        <w:t> </w:t>
      </w:r>
      <w:r w:rsidRPr="004C5551">
        <w:t xml:space="preserve">roku 2013 bolo vo výške 44 050 </w:t>
      </w:r>
      <w:r w:rsidR="00AA0137" w:rsidRPr="004C5551">
        <w:t>eur</w:t>
      </w:r>
      <w:r w:rsidRPr="004C5551">
        <w:t xml:space="preserve">. </w:t>
      </w:r>
    </w:p>
    <w:p w:rsidR="00A03BF5" w:rsidRPr="004C5551" w:rsidRDefault="00A03BF5" w:rsidP="00A03BF5">
      <w:pPr>
        <w:pStyle w:val="Normlnysozarkami"/>
        <w:ind w:firstLine="567"/>
      </w:pPr>
    </w:p>
    <w:p w:rsidR="00A03BF5" w:rsidRPr="004C5551" w:rsidRDefault="00A03BF5" w:rsidP="00B279ED">
      <w:pPr>
        <w:spacing w:after="60"/>
        <w:rPr>
          <w:b/>
        </w:rPr>
      </w:pPr>
      <w:r w:rsidRPr="004C5551">
        <w:rPr>
          <w:b/>
        </w:rPr>
        <w:t>Príspevok na vykonávanie absolventskej praxe (§ 51)</w:t>
      </w:r>
    </w:p>
    <w:p w:rsidR="00A03BF5" w:rsidRPr="004C5551" w:rsidRDefault="00A03BF5" w:rsidP="002A746E">
      <w:pPr>
        <w:pStyle w:val="Normlnysozarkami"/>
        <w:ind w:firstLine="431"/>
      </w:pPr>
      <w:r w:rsidRPr="004C5551">
        <w:t xml:space="preserve">Cieľom absolventskej praxe je získavanie odborných zručností a praktických skúseností u zamestnávateľa, ktoré zodpovedajú dosiahnutému stupňu vzdelania absolventa školy, ako i získavanie a prehlbovanie odborných zručností alebo praktických skúseností, ktoré rozšíria možnosti absolventov škôl pri uplatnení na trhu práce, čím sa priamo pôsobí na zvyšovanie </w:t>
      </w:r>
      <w:proofErr w:type="spellStart"/>
      <w:r w:rsidRPr="004C5551">
        <w:t>zamestnateľnosti</w:t>
      </w:r>
      <w:proofErr w:type="spellEnd"/>
      <w:r w:rsidRPr="004C5551">
        <w:t xml:space="preserve"> </w:t>
      </w:r>
      <w:proofErr w:type="spellStart"/>
      <w:r w:rsidRPr="004C5551">
        <w:t>UoZ</w:t>
      </w:r>
      <w:proofErr w:type="spellEnd"/>
      <w:r w:rsidRPr="004C5551">
        <w:t xml:space="preserve">. Absolventská prax prispieva absolventom k hľadaniu si práce vo svojej profesii. Umožňuje im získať prvý kontakt s praxou pri získavaní potrebných zručností. Úrad </w:t>
      </w:r>
      <w:r w:rsidR="00F41E61" w:rsidRPr="004C5551">
        <w:t xml:space="preserve">PSVR </w:t>
      </w:r>
      <w:r w:rsidRPr="004C5551">
        <w:t xml:space="preserve">môže absolventovi školy poskytnúť paušálny príspevok </w:t>
      </w:r>
      <w:r w:rsidRPr="004C5551">
        <w:rPr>
          <w:szCs w:val="22"/>
        </w:rPr>
        <w:t>na vykonávanie absolventskej praxe</w:t>
      </w:r>
      <w:r w:rsidRPr="004C5551">
        <w:t xml:space="preserve"> vo </w:t>
      </w:r>
      <w:r w:rsidRPr="004C5551">
        <w:rPr>
          <w:bCs/>
          <w:szCs w:val="22"/>
        </w:rPr>
        <w:t>výške 65</w:t>
      </w:r>
      <w:r w:rsidR="009425AA" w:rsidRPr="004C5551">
        <w:rPr>
          <w:bCs/>
          <w:szCs w:val="22"/>
        </w:rPr>
        <w:t> %</w:t>
      </w:r>
      <w:r w:rsidRPr="004C5551">
        <w:rPr>
          <w:bCs/>
          <w:szCs w:val="22"/>
        </w:rPr>
        <w:t xml:space="preserve"> sumy životného minima pre jednu plnoletú fyzickú osobu</w:t>
      </w:r>
      <w:r w:rsidRPr="004C5551">
        <w:rPr>
          <w:szCs w:val="22"/>
        </w:rPr>
        <w:t xml:space="preserve">. </w:t>
      </w:r>
    </w:p>
    <w:p w:rsidR="00A03BF5" w:rsidRPr="004C5551" w:rsidRDefault="00A03BF5" w:rsidP="002A746E">
      <w:pPr>
        <w:ind w:firstLine="431"/>
        <w:rPr>
          <w:szCs w:val="22"/>
        </w:rPr>
      </w:pPr>
      <w:r w:rsidRPr="004C5551">
        <w:rPr>
          <w:szCs w:val="22"/>
        </w:rPr>
        <w:t xml:space="preserve">V roku 2014 bolo na absolventskú prax zaradených 9 482 </w:t>
      </w:r>
      <w:proofErr w:type="spellStart"/>
      <w:r w:rsidRPr="004C5551">
        <w:rPr>
          <w:szCs w:val="22"/>
        </w:rPr>
        <w:t>UoZ</w:t>
      </w:r>
      <w:proofErr w:type="spellEnd"/>
      <w:r w:rsidRPr="004C5551">
        <w:rPr>
          <w:szCs w:val="22"/>
        </w:rPr>
        <w:t xml:space="preserve">, čo bolo o 376 </w:t>
      </w:r>
      <w:proofErr w:type="spellStart"/>
      <w:r w:rsidRPr="004C5551">
        <w:rPr>
          <w:szCs w:val="22"/>
        </w:rPr>
        <w:t>UoZ</w:t>
      </w:r>
      <w:proofErr w:type="spellEnd"/>
      <w:r w:rsidRPr="004C5551">
        <w:rPr>
          <w:szCs w:val="22"/>
        </w:rPr>
        <w:t xml:space="preserve"> menej ako v roku 2013. V roku 2014 bol celkový príspevok vo výške 4 426 804 </w:t>
      </w:r>
      <w:r w:rsidR="00AA0137" w:rsidRPr="004C5551">
        <w:rPr>
          <w:szCs w:val="22"/>
        </w:rPr>
        <w:t>eur</w:t>
      </w:r>
      <w:r w:rsidRPr="004C5551">
        <w:rPr>
          <w:szCs w:val="22"/>
        </w:rPr>
        <w:t xml:space="preserve">, čo je o 4 363 294 </w:t>
      </w:r>
      <w:r w:rsidR="00AA0137" w:rsidRPr="004C5551">
        <w:rPr>
          <w:szCs w:val="22"/>
        </w:rPr>
        <w:t>eur</w:t>
      </w:r>
      <w:r w:rsidRPr="004C5551">
        <w:rPr>
          <w:szCs w:val="22"/>
        </w:rPr>
        <w:t xml:space="preserve"> menej ako v roku 2013.</w:t>
      </w:r>
    </w:p>
    <w:p w:rsidR="00A03BF5" w:rsidRPr="004C5551" w:rsidRDefault="00A03BF5" w:rsidP="00A03BF5">
      <w:pPr>
        <w:ind w:firstLine="567"/>
        <w:rPr>
          <w:szCs w:val="22"/>
        </w:rPr>
      </w:pPr>
    </w:p>
    <w:p w:rsidR="00A03BF5" w:rsidRPr="004C5551" w:rsidRDefault="00A03BF5" w:rsidP="00277C0E">
      <w:pPr>
        <w:spacing w:after="60"/>
        <w:rPr>
          <w:b/>
        </w:rPr>
      </w:pPr>
      <w:r w:rsidRPr="004C5551">
        <w:rPr>
          <w:b/>
        </w:rPr>
        <w:t xml:space="preserve">Príspevok na aktivačnú činnosť formou menších obecných služieb pre obec alebo formou menších služieb pre samosprávny kraj (§ 52) </w:t>
      </w:r>
    </w:p>
    <w:p w:rsidR="00A03BF5" w:rsidRPr="004C5551" w:rsidRDefault="00A03BF5" w:rsidP="002A746E">
      <w:pPr>
        <w:pStyle w:val="Normlnysozarkami"/>
        <w:ind w:firstLine="431"/>
      </w:pPr>
      <w:r w:rsidRPr="004C5551">
        <w:t xml:space="preserve">Aktivačná činnosť formou menších obecných služieb pre obec </w:t>
      </w:r>
      <w:r w:rsidRPr="004C5551">
        <w:rPr>
          <w:iCs/>
        </w:rPr>
        <w:t xml:space="preserve">alebo formou menších služieb pre samosprávny kraj </w:t>
      </w:r>
      <w:r w:rsidRPr="004C5551">
        <w:t xml:space="preserve">je podpora udržiavania pracovných návykov dlhodobo nezamestnaného občana, ktorý je poberateľom dávky v hmotnej núdzi a príspevkov k dávke v hmotnej núdzi. Menšie služby pre obec alebo </w:t>
      </w:r>
      <w:r w:rsidRPr="004C5551">
        <w:rPr>
          <w:iCs/>
        </w:rPr>
        <w:t xml:space="preserve">samosprávny kraj </w:t>
      </w:r>
      <w:r w:rsidRPr="004C5551">
        <w:t xml:space="preserve">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w:t>
      </w:r>
      <w:r w:rsidR="00F41E61" w:rsidRPr="004C5551">
        <w:t xml:space="preserve">PSVR </w:t>
      </w:r>
      <w:r w:rsidRPr="004C5551">
        <w:t xml:space="preserve">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 na úhradu časti celkovej ceny práce zamestnanca, ktorý organizuje aktivačnú činnosť. </w:t>
      </w:r>
    </w:p>
    <w:p w:rsidR="00A03BF5" w:rsidRPr="004C5551" w:rsidRDefault="00A03BF5" w:rsidP="002A746E">
      <w:pPr>
        <w:pStyle w:val="Normlnysozarkami"/>
        <w:ind w:firstLine="431"/>
      </w:pPr>
      <w:r w:rsidRPr="004C5551">
        <w:t xml:space="preserve">V roku 2014 bolo na aktivačnú činnosť formou menších obecných služieb pre obec alebo formou menších služieb pre samosprávny kraj umiestnených 26 200 </w:t>
      </w:r>
      <w:proofErr w:type="spellStart"/>
      <w:r w:rsidRPr="004C5551">
        <w:t>UoZ</w:t>
      </w:r>
      <w:proofErr w:type="spellEnd"/>
      <w:r w:rsidRPr="004C5551">
        <w:t xml:space="preserve">, čo bolo o 9 209 </w:t>
      </w:r>
      <w:proofErr w:type="spellStart"/>
      <w:r w:rsidRPr="004C5551">
        <w:t>UoZ</w:t>
      </w:r>
      <w:proofErr w:type="spellEnd"/>
      <w:r w:rsidRPr="004C5551">
        <w:t xml:space="preserve"> viac ako v roku 2013. Výška čerpaných finančných prostriedkov bola </w:t>
      </w:r>
      <w:r w:rsidR="006B40DB" w:rsidRPr="004C5551">
        <w:t>4 </w:t>
      </w:r>
      <w:r w:rsidRPr="004C5551">
        <w:t>213 568</w:t>
      </w:r>
      <w:r w:rsidRPr="004C5551">
        <w:rPr>
          <w:color w:val="000000"/>
          <w:sz w:val="18"/>
          <w:szCs w:val="18"/>
        </w:rPr>
        <w:t xml:space="preserve"> </w:t>
      </w:r>
      <w:r w:rsidR="00AA0137" w:rsidRPr="004C5551">
        <w:t>eur</w:t>
      </w:r>
      <w:r w:rsidRPr="004C5551">
        <w:t>, čo bolo o 2 028</w:t>
      </w:r>
      <w:r w:rsidR="006B40DB" w:rsidRPr="004C5551">
        <w:t> 146 </w:t>
      </w:r>
      <w:r w:rsidR="00AA0137" w:rsidRPr="004C5551">
        <w:t>eur</w:t>
      </w:r>
      <w:r w:rsidRPr="004C5551">
        <w:t xml:space="preserve"> viac ako v roku 2013.</w:t>
      </w:r>
    </w:p>
    <w:p w:rsidR="00A03BF5" w:rsidRPr="004C5551" w:rsidRDefault="00A03BF5" w:rsidP="00A03BF5">
      <w:pPr>
        <w:pStyle w:val="Normlnysozarkami"/>
        <w:ind w:firstLine="567"/>
      </w:pPr>
    </w:p>
    <w:p w:rsidR="00A03BF5" w:rsidRPr="004C5551" w:rsidRDefault="00A03BF5" w:rsidP="00277C0E">
      <w:pPr>
        <w:spacing w:after="60"/>
        <w:rPr>
          <w:b/>
        </w:rPr>
      </w:pPr>
      <w:r w:rsidRPr="004C5551">
        <w:rPr>
          <w:b/>
        </w:rPr>
        <w:t>Príspevok na aktivačnú činnosť formou dobrovoľníckej služby (§ 52a)</w:t>
      </w:r>
    </w:p>
    <w:p w:rsidR="00A03BF5" w:rsidRPr="004C5551" w:rsidRDefault="00A03BF5" w:rsidP="002A746E">
      <w:pPr>
        <w:pStyle w:val="Normlnysozarkami"/>
        <w:ind w:firstLine="431"/>
      </w:pPr>
      <w:r w:rsidRPr="004C5551">
        <w:t xml:space="preserve">Dobrovoľnícka služba je forma aktivácie </w:t>
      </w:r>
      <w:proofErr w:type="spellStart"/>
      <w:r w:rsidRPr="004C5551">
        <w:t>UoZ</w:t>
      </w:r>
      <w:proofErr w:type="spellEnd"/>
      <w:r w:rsidRPr="004C5551">
        <w:t xml:space="preserve"> vykonávaním dobrovoľníckej činnosti, ktorej cieľom je získanie praktických skúseností pre potreby trhu práce. Počas vykonávania dobrovoľníckej služby úrad </w:t>
      </w:r>
      <w:r w:rsidR="00F41E61" w:rsidRPr="004C5551">
        <w:t xml:space="preserve">PSVR </w:t>
      </w:r>
      <w:r w:rsidRPr="004C5551">
        <w:t xml:space="preserve">poskytuje </w:t>
      </w:r>
      <w:proofErr w:type="spellStart"/>
      <w:r w:rsidRPr="004C5551">
        <w:t>UoZ</w:t>
      </w:r>
      <w:proofErr w:type="spellEnd"/>
      <w:r w:rsidRPr="004C5551">
        <w:t xml:space="preserve">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 </w:t>
      </w:r>
    </w:p>
    <w:p w:rsidR="00A03BF5" w:rsidRPr="004C5551" w:rsidRDefault="00A03BF5" w:rsidP="002A746E">
      <w:pPr>
        <w:pStyle w:val="Normlnysozarkami"/>
        <w:ind w:firstLine="431"/>
      </w:pPr>
      <w:r w:rsidRPr="004C5551">
        <w:t xml:space="preserve">V roku 2014 bolo na aktivačnú činnosť formou dobrovoľníckej služby zaradených 6 460 </w:t>
      </w:r>
      <w:proofErr w:type="spellStart"/>
      <w:r w:rsidRPr="004C5551">
        <w:t>UoZ</w:t>
      </w:r>
      <w:proofErr w:type="spellEnd"/>
      <w:r w:rsidRPr="004C5551">
        <w:t xml:space="preserve">, čo je v porovnaní s rokom 2013 viac o 2 972 </w:t>
      </w:r>
      <w:proofErr w:type="spellStart"/>
      <w:r w:rsidRPr="004C5551">
        <w:t>UoZ</w:t>
      </w:r>
      <w:proofErr w:type="spellEnd"/>
      <w:r w:rsidRPr="004C5551">
        <w:t xml:space="preserve">. Celkový príspevok bol čerpaný vo výške </w:t>
      </w:r>
      <w:r w:rsidR="006B40DB" w:rsidRPr="004C5551">
        <w:t>5 </w:t>
      </w:r>
      <w:r w:rsidRPr="004C5551">
        <w:t>734</w:t>
      </w:r>
      <w:r w:rsidR="006B40DB" w:rsidRPr="004C5551">
        <w:t> 928 </w:t>
      </w:r>
      <w:r w:rsidR="00AA0137" w:rsidRPr="004C5551">
        <w:t>eur</w:t>
      </w:r>
      <w:r w:rsidRPr="004C5551">
        <w:t xml:space="preserve">, čo bolo o 2 223 345 </w:t>
      </w:r>
      <w:r w:rsidR="00AA0137" w:rsidRPr="004C5551">
        <w:t>eur</w:t>
      </w:r>
      <w:r w:rsidRPr="004C5551">
        <w:t xml:space="preserve"> viac ako v roku 2013.</w:t>
      </w:r>
    </w:p>
    <w:p w:rsidR="00A03BF5" w:rsidRPr="004C5551" w:rsidRDefault="00A03BF5" w:rsidP="00A03BF5">
      <w:pPr>
        <w:pStyle w:val="Normlnysozarkami"/>
        <w:ind w:firstLine="567"/>
      </w:pPr>
    </w:p>
    <w:p w:rsidR="00A03BF5" w:rsidRPr="004C5551" w:rsidRDefault="00A03BF5" w:rsidP="00277C0E">
      <w:pPr>
        <w:spacing w:after="60"/>
        <w:rPr>
          <w:b/>
        </w:rPr>
      </w:pPr>
      <w:r w:rsidRPr="004C5551">
        <w:rPr>
          <w:b/>
        </w:rPr>
        <w:t xml:space="preserve">Príspevok na dochádzku za prácou (§ 53) </w:t>
      </w:r>
    </w:p>
    <w:p w:rsidR="00A03BF5" w:rsidRPr="004C5551" w:rsidRDefault="00A03BF5" w:rsidP="002A746E">
      <w:pPr>
        <w:pStyle w:val="Normlnysozarkami"/>
        <w:ind w:firstLine="431"/>
      </w:pPr>
      <w:r w:rsidRPr="004C5551">
        <w:t xml:space="preserve">Príspevok sa poskytuje mesačne na úhradu časti cestovných výdavkov na dochádzku z miesta trvalého pobytu alebo z miesta prechodného pobytu zamestnanca do miesta výkonu zamestnania uvedeného v pracovnej zmluve a späť </w:t>
      </w:r>
      <w:proofErr w:type="spellStart"/>
      <w:r w:rsidRPr="004C5551">
        <w:t>UoZ</w:t>
      </w:r>
      <w:proofErr w:type="spellEnd"/>
      <w:r w:rsidRPr="004C5551">
        <w:t xml:space="preserve"> vedenému v evidencii </w:t>
      </w:r>
      <w:proofErr w:type="spellStart"/>
      <w:r w:rsidRPr="004C5551">
        <w:t>UoZ</w:t>
      </w:r>
      <w:proofErr w:type="spellEnd"/>
      <w:r w:rsidRPr="004C5551">
        <w:t xml:space="preserve"> viac ako tri mesiace, ktorý bol z tejto evidencie vyradený z dôvodu nástupu do zamestnania. Príspevok sa poskytuje najviac </w:t>
      </w:r>
      <w:r w:rsidR="006B40DB" w:rsidRPr="004C5551">
        <w:t>6 </w:t>
      </w:r>
      <w:r w:rsidRPr="004C5551">
        <w:t>mesiacov od nástupu do zamestnania a možno ho</w:t>
      </w:r>
      <w:r w:rsidR="004A5701" w:rsidRPr="004C5551">
        <w:t xml:space="preserve"> </w:t>
      </w:r>
      <w:r w:rsidRPr="004C5551">
        <w:t>opätovne poskytnúť po uplynutí dvoch rokov od ukončenia obdobia jeho poskytovania. V prípade zhody miesta pobytu občana s miestom výkonu zamestnania uvedeného v pracovnej zmluve sa príspevok neposkytuje.</w:t>
      </w:r>
    </w:p>
    <w:p w:rsidR="00A03BF5" w:rsidRPr="004C5551" w:rsidRDefault="00A03BF5" w:rsidP="002A746E">
      <w:pPr>
        <w:pStyle w:val="Normlnysozarkami"/>
        <w:ind w:firstLine="431"/>
      </w:pPr>
      <w:r w:rsidRPr="004C5551">
        <w:t xml:space="preserve">V roku 2014 poberalo príspevok 7 059 osôb, čo je o 5 717 menej ako v predchádzajúcom roku. Celková suma poskytnutých príspevkov bola vo výške 1 590 039 </w:t>
      </w:r>
      <w:r w:rsidR="00AA0137" w:rsidRPr="004C5551">
        <w:t>eur</w:t>
      </w:r>
      <w:r w:rsidRPr="004C5551">
        <w:t xml:space="preserve">, čo je o 2 486 150 </w:t>
      </w:r>
      <w:r w:rsidR="00AA0137" w:rsidRPr="004C5551">
        <w:t>eur</w:t>
      </w:r>
      <w:r w:rsidRPr="004C5551">
        <w:t xml:space="preserve"> menej ako v roku 2013.</w:t>
      </w:r>
    </w:p>
    <w:p w:rsidR="00A03BF5" w:rsidRPr="004C5551" w:rsidRDefault="00A03BF5" w:rsidP="00A03BF5">
      <w:pPr>
        <w:pStyle w:val="Normlnysozarkami"/>
        <w:ind w:firstLine="567"/>
      </w:pPr>
    </w:p>
    <w:p w:rsidR="00A03BF5" w:rsidRPr="004C5551" w:rsidRDefault="00A03BF5" w:rsidP="00B279ED">
      <w:pPr>
        <w:spacing w:after="60"/>
        <w:rPr>
          <w:b/>
        </w:rPr>
      </w:pPr>
      <w:r w:rsidRPr="004C5551">
        <w:rPr>
          <w:b/>
        </w:rPr>
        <w:t>Príspevok na presťahovanie za prácou (§ 53a)</w:t>
      </w:r>
    </w:p>
    <w:p w:rsidR="00A03BF5" w:rsidRPr="004C5551" w:rsidRDefault="00A03BF5" w:rsidP="002A746E">
      <w:pPr>
        <w:pStyle w:val="Normlnysozarkami"/>
        <w:ind w:firstLine="431"/>
      </w:pPr>
      <w:r w:rsidRPr="004C5551">
        <w:t xml:space="preserve">Príspevok na presťahovanie za prácou sa poskytuje </w:t>
      </w:r>
      <w:proofErr w:type="spellStart"/>
      <w:r w:rsidRPr="004C5551">
        <w:t>UoZ</w:t>
      </w:r>
      <w:proofErr w:type="spellEnd"/>
      <w:r w:rsidRPr="004C5551">
        <w:t xml:space="preserve"> ako náhrada časti preukázaných výdavkov súvisiacich s jeho presťahovaním z miesta jeho trvalého pobytu do nového trvalého pobytu na území Slovenskej republiky v súvislosti so získaním zamestnania. Nárok na príspevok má občan, ktorý bol vedený v evidencii </w:t>
      </w:r>
      <w:proofErr w:type="spellStart"/>
      <w:r w:rsidRPr="004C5551">
        <w:t>UoZ</w:t>
      </w:r>
      <w:proofErr w:type="spellEnd"/>
      <w:r w:rsidRPr="004C5551">
        <w:t xml:space="preserve"> najmenej tri mesiace a pokiaľ miesto jeho nového trvalého pobytu na území Slovenskej republiky je vzdialené od miesta pôvodného trvalého pobytu najmenej 50 km. </w:t>
      </w:r>
    </w:p>
    <w:p w:rsidR="00A03BF5" w:rsidRPr="004C5551" w:rsidRDefault="00A03BF5" w:rsidP="002A746E">
      <w:pPr>
        <w:pStyle w:val="Normlnysozarkami"/>
        <w:ind w:firstLine="431"/>
      </w:pPr>
      <w:r w:rsidRPr="004C5551">
        <w:t xml:space="preserve">V roku 2014 bol príspevok poskytnutý 38 osobám čo je o 28 osôb menej ako v predchádzajúcom roku. Celková suma poskytnutých príspevkov bola 66 193 </w:t>
      </w:r>
      <w:r w:rsidR="00AA0137" w:rsidRPr="004C5551">
        <w:t>eur</w:t>
      </w:r>
      <w:r w:rsidRPr="004C5551">
        <w:t xml:space="preserve">, čo je o 30 </w:t>
      </w:r>
      <w:r w:rsidR="00AA0137" w:rsidRPr="004C5551">
        <w:t>eur</w:t>
      </w:r>
      <w:r w:rsidRPr="004C5551">
        <w:t xml:space="preserve"> menej ako v roku 2013.</w:t>
      </w:r>
    </w:p>
    <w:p w:rsidR="00A03BF5" w:rsidRPr="004C5551" w:rsidRDefault="00A03BF5" w:rsidP="00B279ED">
      <w:pPr>
        <w:spacing w:after="60"/>
        <w:rPr>
          <w:b/>
        </w:rPr>
      </w:pPr>
    </w:p>
    <w:p w:rsidR="00A03BF5" w:rsidRPr="004C5551" w:rsidRDefault="00A03BF5" w:rsidP="00B279ED">
      <w:pPr>
        <w:spacing w:after="60"/>
        <w:rPr>
          <w:b/>
        </w:rPr>
      </w:pPr>
      <w:r w:rsidRPr="004C5551">
        <w:rPr>
          <w:b/>
        </w:rPr>
        <w:t>Príspevok na dopravu do zamestnania (§ 53b)</w:t>
      </w:r>
    </w:p>
    <w:p w:rsidR="00A03BF5" w:rsidRPr="004C5551" w:rsidRDefault="00A03BF5" w:rsidP="002A746E">
      <w:pPr>
        <w:pStyle w:val="Normlnysozarkami"/>
        <w:ind w:firstLine="431"/>
      </w:pPr>
      <w:r w:rsidRPr="004C5551">
        <w:t xml:space="preserve">Príspevok na dopravu do zamestnania, môže úrad </w:t>
      </w:r>
      <w:r w:rsidR="00F41E61" w:rsidRPr="004C5551">
        <w:t xml:space="preserve">PSVR </w:t>
      </w:r>
      <w:r w:rsidRPr="004C5551">
        <w:t xml:space="preserve">poskytnúť zamestnávateľovi na základe uzatvorenej písomnej dohody, ak zamestnávateľ zabezpečuje každodenne dopravu zamestnancov do zamestnania a späť z dôvodu, že hromadnými dopravnými prostriedkami nie je doprava preukázateľne vykonávaná vôbec alebo v rozsahu zodpovedajúcom potrebám zamestnávateľa. </w:t>
      </w:r>
    </w:p>
    <w:p w:rsidR="00A03BF5" w:rsidRPr="004C5551" w:rsidRDefault="00A03BF5" w:rsidP="002A746E">
      <w:pPr>
        <w:pStyle w:val="Normlnysozarkami"/>
        <w:ind w:firstLine="431"/>
      </w:pPr>
      <w:r w:rsidRPr="004C5551">
        <w:t>V roku 2014 príspevok na dopravu do zamestnania nebol využívaný.</w:t>
      </w:r>
    </w:p>
    <w:p w:rsidR="00A03BF5" w:rsidRPr="004C5551" w:rsidRDefault="00A03BF5" w:rsidP="002A746E">
      <w:pPr>
        <w:pStyle w:val="Normlnysozarkami"/>
        <w:ind w:firstLine="431"/>
        <w:rPr>
          <w:color w:val="FF0000"/>
        </w:rPr>
      </w:pPr>
    </w:p>
    <w:p w:rsidR="00A03BF5" w:rsidRPr="004C5551" w:rsidRDefault="00A03BF5" w:rsidP="00B279ED">
      <w:pPr>
        <w:spacing w:after="60"/>
        <w:rPr>
          <w:b/>
        </w:rPr>
      </w:pPr>
      <w:r w:rsidRPr="004C5551">
        <w:rPr>
          <w:b/>
        </w:rPr>
        <w:t xml:space="preserve">Príspevok na vytvorenie nového pracovného miesta (§ 53d) </w:t>
      </w:r>
    </w:p>
    <w:p w:rsidR="00A03BF5" w:rsidRPr="004C5551" w:rsidRDefault="00A03BF5" w:rsidP="002A746E">
      <w:pPr>
        <w:ind w:firstLine="431"/>
      </w:pPr>
      <w:r w:rsidRPr="004C5551">
        <w:t>Investičná pomoc formou príspevku na vytvorenie nového pracovného miesta je poskytovaná zo</w:t>
      </w:r>
      <w:r w:rsidR="009A02B2" w:rsidRPr="004C5551">
        <w:t> </w:t>
      </w:r>
      <w:r w:rsidRPr="004C5551">
        <w:t>štátneho rozpočtu na základe schválenia vládou Slovenskej republiky, vydania rozhodnutia Ministerstva hospodárstva Slovenskej republiky o schválení investičnej pomoci a uzatvorenia zmluvy prijímateľa investičnej pomoci s </w:t>
      </w:r>
      <w:r w:rsidR="004928A6" w:rsidRPr="004C5551">
        <w:t>Ú</w:t>
      </w:r>
      <w:r w:rsidRPr="004C5551">
        <w:t>stredím. Prijímatelia investičnej pomoci sú povinní zachovať počet vytvorených nových pracovných miest a obsadenie týchto miest zamestnancami najmenej päť rokov odo dňa prvého obsadenia pracovného miesta.</w:t>
      </w:r>
    </w:p>
    <w:p w:rsidR="00A03BF5" w:rsidRPr="004C5551" w:rsidRDefault="00A03BF5" w:rsidP="002A746E">
      <w:pPr>
        <w:ind w:firstLine="431"/>
      </w:pPr>
      <w:r w:rsidRPr="004C5551">
        <w:t>V roku 2014 bol poskytnutý príspevok na vytvorené nové pracovné miesto 5 prijímateľom investičnej pomoci v celkovom sume 2 672</w:t>
      </w:r>
      <w:r w:rsidR="00423669" w:rsidRPr="004C5551">
        <w:t> </w:t>
      </w:r>
      <w:r w:rsidRPr="004C5551">
        <w:t>310</w:t>
      </w:r>
      <w:r w:rsidR="00423669" w:rsidRPr="004C5551">
        <w:t xml:space="preserve"> </w:t>
      </w:r>
      <w:r w:rsidR="00AA0137" w:rsidRPr="004C5551">
        <w:t>eur</w:t>
      </w:r>
      <w:r w:rsidRPr="004C5551">
        <w:t xml:space="preserve"> na 570 pracovných miest. Investičné zámery boli realizované v Košickom samosprávnom kraji.</w:t>
      </w:r>
    </w:p>
    <w:p w:rsidR="00A03BF5" w:rsidRPr="004C5551" w:rsidRDefault="00A03BF5" w:rsidP="002A746E">
      <w:pPr>
        <w:ind w:firstLine="431"/>
      </w:pPr>
      <w:r w:rsidRPr="004C5551">
        <w:t xml:space="preserve">V roku 2014 vláda SR schválila 3 investičné zámery, v rámci ktorých sa bude poskytovať investičná pomoc formou príspevku na vytvorenie nového pracovného miesta na 577 nových pracovných miest v celkovej výške 4,24 mil. </w:t>
      </w:r>
      <w:r w:rsidR="00AA0137" w:rsidRPr="004C5551">
        <w:t>eur</w:t>
      </w:r>
      <w:r w:rsidRPr="004C5551">
        <w:t xml:space="preserve">. </w:t>
      </w:r>
    </w:p>
    <w:p w:rsidR="00A03BF5" w:rsidRPr="004C5551" w:rsidRDefault="00A03BF5" w:rsidP="00A03BF5">
      <w:pPr>
        <w:ind w:firstLine="567"/>
      </w:pPr>
    </w:p>
    <w:p w:rsidR="00A03BF5" w:rsidRPr="004C5551" w:rsidRDefault="00A03BF5" w:rsidP="00277C0E">
      <w:pPr>
        <w:spacing w:after="60"/>
        <w:rPr>
          <w:b/>
        </w:rPr>
      </w:pPr>
      <w:r w:rsidRPr="004C5551">
        <w:rPr>
          <w:b/>
        </w:rPr>
        <w:t xml:space="preserve">Realizácia projektov a programov (§ 54) </w:t>
      </w:r>
    </w:p>
    <w:p w:rsidR="00A03BF5" w:rsidRPr="004C5551" w:rsidRDefault="00A03BF5" w:rsidP="00277C0E">
      <w:pPr>
        <w:pStyle w:val="Normlnysozarkami"/>
        <w:ind w:firstLine="0"/>
      </w:pPr>
      <w:r w:rsidRPr="004C5551">
        <w:t xml:space="preserve">Za AOTP sú považované </w:t>
      </w:r>
    </w:p>
    <w:p w:rsidR="00A03BF5" w:rsidRPr="004C5551" w:rsidRDefault="00A03BF5" w:rsidP="009C55E3">
      <w:pPr>
        <w:pStyle w:val="bullet1"/>
        <w:numPr>
          <w:ilvl w:val="0"/>
          <w:numId w:val="36"/>
        </w:numPr>
        <w:rPr>
          <w:snapToGrid w:val="0"/>
        </w:rPr>
      </w:pPr>
      <w:r w:rsidRPr="004C5551">
        <w:t xml:space="preserve">národné projekty, ktoré schvaľuje MPSVR SR a realizuje </w:t>
      </w:r>
      <w:r w:rsidR="004928A6" w:rsidRPr="004C5551">
        <w:rPr>
          <w:szCs w:val="22"/>
        </w:rPr>
        <w:t>Ú</w:t>
      </w:r>
      <w:r w:rsidRPr="004C5551">
        <w:rPr>
          <w:szCs w:val="22"/>
        </w:rPr>
        <w:t xml:space="preserve">stredie </w:t>
      </w:r>
      <w:r w:rsidRPr="004C5551">
        <w:t>alebo úrad</w:t>
      </w:r>
      <w:r w:rsidR="00F41E61" w:rsidRPr="004C5551">
        <w:t xml:space="preserve"> PSVR</w:t>
      </w:r>
      <w:r w:rsidRPr="004C5551">
        <w:t>,</w:t>
      </w:r>
    </w:p>
    <w:p w:rsidR="00A03BF5" w:rsidRPr="004C5551" w:rsidRDefault="00A03BF5" w:rsidP="009C55E3">
      <w:pPr>
        <w:pStyle w:val="bullet1"/>
        <w:numPr>
          <w:ilvl w:val="0"/>
          <w:numId w:val="36"/>
        </w:numPr>
        <w:rPr>
          <w:snapToGrid w:val="0"/>
        </w:rPr>
      </w:pPr>
      <w:r w:rsidRPr="004C5551">
        <w:rPr>
          <w:snapToGrid w:val="0"/>
        </w:rPr>
        <w:t xml:space="preserve">projekty na zlepšenie postavenia </w:t>
      </w:r>
      <w:proofErr w:type="spellStart"/>
      <w:r w:rsidRPr="004C5551">
        <w:rPr>
          <w:snapToGrid w:val="0"/>
        </w:rPr>
        <w:t>UoZ</w:t>
      </w:r>
      <w:proofErr w:type="spellEnd"/>
      <w:r w:rsidRPr="004C5551">
        <w:rPr>
          <w:snapToGrid w:val="0"/>
        </w:rPr>
        <w:t xml:space="preserve"> na trhu práce, ktoré schvaľuje MPSVR SR a realizuje </w:t>
      </w:r>
      <w:r w:rsidR="004928A6" w:rsidRPr="004C5551">
        <w:rPr>
          <w:szCs w:val="22"/>
        </w:rPr>
        <w:t>Ú</w:t>
      </w:r>
      <w:r w:rsidRPr="004C5551">
        <w:rPr>
          <w:szCs w:val="22"/>
        </w:rPr>
        <w:t>stredie</w:t>
      </w:r>
      <w:r w:rsidRPr="004C5551">
        <w:rPr>
          <w:snapToGrid w:val="0"/>
        </w:rPr>
        <w:t xml:space="preserve">, </w:t>
      </w:r>
    </w:p>
    <w:p w:rsidR="00A03BF5" w:rsidRPr="004C5551" w:rsidRDefault="00A03BF5" w:rsidP="009C55E3">
      <w:pPr>
        <w:pStyle w:val="bullet1"/>
        <w:numPr>
          <w:ilvl w:val="0"/>
          <w:numId w:val="36"/>
        </w:numPr>
        <w:rPr>
          <w:snapToGrid w:val="0"/>
        </w:rPr>
      </w:pPr>
      <w:r w:rsidRPr="004C5551">
        <w:rPr>
          <w:snapToGrid w:val="0"/>
        </w:rPr>
        <w:t xml:space="preserve">projekty na zlepšenie postavenia </w:t>
      </w:r>
      <w:proofErr w:type="spellStart"/>
      <w:r w:rsidRPr="004C5551">
        <w:rPr>
          <w:snapToGrid w:val="0"/>
        </w:rPr>
        <w:t>UoZ</w:t>
      </w:r>
      <w:proofErr w:type="spellEnd"/>
      <w:r w:rsidRPr="004C5551">
        <w:rPr>
          <w:snapToGrid w:val="0"/>
        </w:rPr>
        <w:t xml:space="preserve"> na trhu práce, ktoré schvaľuje </w:t>
      </w:r>
      <w:r w:rsidR="004928A6" w:rsidRPr="004C5551">
        <w:rPr>
          <w:szCs w:val="22"/>
        </w:rPr>
        <w:t>Ú</w:t>
      </w:r>
      <w:r w:rsidRPr="004C5551">
        <w:rPr>
          <w:szCs w:val="22"/>
        </w:rPr>
        <w:t>stredie</w:t>
      </w:r>
      <w:r w:rsidRPr="004C5551">
        <w:rPr>
          <w:snapToGrid w:val="0"/>
        </w:rPr>
        <w:t xml:space="preserve"> a realizuje úrad</w:t>
      </w:r>
      <w:r w:rsidR="00F41E61" w:rsidRPr="004C5551">
        <w:rPr>
          <w:snapToGrid w:val="0"/>
        </w:rPr>
        <w:t> PSVR</w:t>
      </w:r>
      <w:r w:rsidRPr="004C5551">
        <w:rPr>
          <w:snapToGrid w:val="0"/>
        </w:rPr>
        <w:t>,</w:t>
      </w:r>
    </w:p>
    <w:p w:rsidR="00A03BF5" w:rsidRPr="004C5551" w:rsidRDefault="00A03BF5" w:rsidP="009C55E3">
      <w:pPr>
        <w:pStyle w:val="bullet1"/>
        <w:numPr>
          <w:ilvl w:val="0"/>
          <w:numId w:val="36"/>
        </w:numPr>
        <w:rPr>
          <w:snapToGrid w:val="0"/>
        </w:rPr>
      </w:pPr>
      <w:r w:rsidRPr="004C5551">
        <w:rPr>
          <w:snapToGrid w:val="0"/>
        </w:rPr>
        <w:t xml:space="preserve"> projekty na zlepšenie postavenia </w:t>
      </w:r>
      <w:proofErr w:type="spellStart"/>
      <w:r w:rsidRPr="004C5551">
        <w:rPr>
          <w:snapToGrid w:val="0"/>
        </w:rPr>
        <w:t>UoZ</w:t>
      </w:r>
      <w:proofErr w:type="spellEnd"/>
      <w:r w:rsidRPr="004C5551">
        <w:rPr>
          <w:snapToGrid w:val="0"/>
        </w:rPr>
        <w:t xml:space="preserve"> na trhu práce, ktoré schvaľuje MPSVR SR alebo </w:t>
      </w:r>
      <w:r w:rsidR="004928A6" w:rsidRPr="004C5551">
        <w:rPr>
          <w:szCs w:val="22"/>
        </w:rPr>
        <w:t>Ú</w:t>
      </w:r>
      <w:r w:rsidRPr="004C5551">
        <w:rPr>
          <w:szCs w:val="22"/>
        </w:rPr>
        <w:t>stredie</w:t>
      </w:r>
      <w:r w:rsidRPr="004C5551">
        <w:rPr>
          <w:snapToGrid w:val="0"/>
        </w:rPr>
        <w:t xml:space="preserve"> a realizuje úrad </w:t>
      </w:r>
      <w:r w:rsidR="00F41E61" w:rsidRPr="004C5551">
        <w:rPr>
          <w:snapToGrid w:val="0"/>
        </w:rPr>
        <w:t xml:space="preserve">PSVR </w:t>
      </w:r>
      <w:r w:rsidRPr="004C5551">
        <w:rPr>
          <w:snapToGrid w:val="0"/>
        </w:rPr>
        <w:t xml:space="preserve">alebo právnická osoba alebo fyzická osoba, </w:t>
      </w:r>
    </w:p>
    <w:p w:rsidR="00A03BF5" w:rsidRPr="004C5551" w:rsidRDefault="00A03BF5" w:rsidP="009C55E3">
      <w:pPr>
        <w:pStyle w:val="bullet1"/>
        <w:numPr>
          <w:ilvl w:val="0"/>
          <w:numId w:val="36"/>
        </w:numPr>
        <w:rPr>
          <w:snapToGrid w:val="0"/>
        </w:rPr>
      </w:pPr>
      <w:r w:rsidRPr="004C5551">
        <w:rPr>
          <w:snapToGrid w:val="0"/>
        </w:rPr>
        <w:t xml:space="preserve">pilotné projekty na overenie nových AOTP, ktoré schvaľuje MPSVR SR a realizuje </w:t>
      </w:r>
      <w:r w:rsidR="004928A6" w:rsidRPr="004C5551">
        <w:rPr>
          <w:szCs w:val="22"/>
        </w:rPr>
        <w:t>Ú</w:t>
      </w:r>
      <w:r w:rsidRPr="004C5551">
        <w:rPr>
          <w:szCs w:val="22"/>
        </w:rPr>
        <w:t>stredie,</w:t>
      </w:r>
      <w:r w:rsidRPr="004C5551">
        <w:rPr>
          <w:snapToGrid w:val="0"/>
        </w:rPr>
        <w:t xml:space="preserve"> </w:t>
      </w:r>
    </w:p>
    <w:p w:rsidR="00A03BF5" w:rsidRPr="004C5551" w:rsidRDefault="00A03BF5" w:rsidP="009C55E3">
      <w:pPr>
        <w:pStyle w:val="bullet1"/>
        <w:numPr>
          <w:ilvl w:val="0"/>
          <w:numId w:val="36"/>
        </w:numPr>
        <w:rPr>
          <w:snapToGrid w:val="0"/>
        </w:rPr>
      </w:pPr>
      <w:r w:rsidRPr="004C5551">
        <w:rPr>
          <w:snapToGrid w:val="0"/>
        </w:rPr>
        <w:t xml:space="preserve">pilotné projekty alebo pilotné programy na podporu rozvoja regionálnej alebo miestnej zamestnanosti, ktoré schvaľuje </w:t>
      </w:r>
      <w:r w:rsidR="004928A6" w:rsidRPr="004C5551">
        <w:rPr>
          <w:snapToGrid w:val="0"/>
        </w:rPr>
        <w:t>Ú</w:t>
      </w:r>
      <w:r w:rsidRPr="004C5551">
        <w:rPr>
          <w:szCs w:val="22"/>
        </w:rPr>
        <w:t>stredie</w:t>
      </w:r>
      <w:r w:rsidRPr="004C5551">
        <w:rPr>
          <w:snapToGrid w:val="0"/>
        </w:rPr>
        <w:t xml:space="preserve"> a realizuje úrad</w:t>
      </w:r>
      <w:r w:rsidR="00F41E61" w:rsidRPr="004C5551">
        <w:rPr>
          <w:snapToGrid w:val="0"/>
        </w:rPr>
        <w:t xml:space="preserve"> PSVR</w:t>
      </w:r>
      <w:r w:rsidRPr="004C5551">
        <w:rPr>
          <w:snapToGrid w:val="0"/>
        </w:rPr>
        <w:t>.</w:t>
      </w:r>
    </w:p>
    <w:p w:rsidR="00A03BF5" w:rsidRPr="004C5551" w:rsidRDefault="00A03BF5" w:rsidP="002A746E">
      <w:pPr>
        <w:pStyle w:val="Normlnysozarkami"/>
        <w:ind w:firstLine="431"/>
      </w:pPr>
      <w:r w:rsidRPr="004C5551">
        <w:t xml:space="preserve">Projekty a programy sú financované zo zdrojov Európskeho sociálneho fondu </w:t>
      </w:r>
      <w:r w:rsidRPr="004C5551">
        <w:br/>
        <w:t>a spolufinancované zo štátneho rozpočtu alebo sú financované zo štátneho rozpočtu alebo iných zdrojov.</w:t>
      </w:r>
    </w:p>
    <w:p w:rsidR="00A03BF5" w:rsidRPr="004C5551" w:rsidRDefault="00A03BF5" w:rsidP="002A746E">
      <w:pPr>
        <w:pStyle w:val="Normlnysozarkami"/>
        <w:ind w:firstLine="431"/>
      </w:pPr>
      <w:r w:rsidRPr="004C5551">
        <w:t xml:space="preserve">V rámci tohto opatrenia bolo v roku 2014 prostredníctvom projektov podporených 17 188 osôb v celkovej </w:t>
      </w:r>
      <w:r w:rsidRPr="004C5551">
        <w:rPr>
          <w:szCs w:val="22"/>
        </w:rPr>
        <w:t>výške</w:t>
      </w:r>
      <w:r w:rsidRPr="004C5551">
        <w:t xml:space="preserve"> 39 863 208 </w:t>
      </w:r>
      <w:r w:rsidR="00AA0137" w:rsidRPr="004C5551">
        <w:t>eur</w:t>
      </w:r>
      <w:r w:rsidRPr="004C5551">
        <w:t xml:space="preserve">, čo predstavuje nárast o 3 779 osôb a 15 471 688 </w:t>
      </w:r>
      <w:r w:rsidR="00AA0137" w:rsidRPr="004C5551">
        <w:t>eur</w:t>
      </w:r>
      <w:r w:rsidRPr="004C5551">
        <w:t xml:space="preserve"> v porovnaní s rokom 2013.</w:t>
      </w:r>
    </w:p>
    <w:p w:rsidR="00A03BF5" w:rsidRPr="004C5551" w:rsidRDefault="00A03BF5" w:rsidP="002A746E">
      <w:pPr>
        <w:pStyle w:val="Normlnysozarkami"/>
        <w:ind w:firstLine="431"/>
        <w:rPr>
          <w:color w:val="000000"/>
        </w:rPr>
      </w:pPr>
      <w:r w:rsidRPr="004C5551">
        <w:rPr>
          <w:color w:val="000000"/>
        </w:rPr>
        <w:t>Prostredníctvom tohto AOTP boli realizované národné projekty, cieľom ktorých bola podpora vytvárania pracovných miest pre mladých nezamestnaných do 29 rokov vrátane:</w:t>
      </w:r>
    </w:p>
    <w:p w:rsidR="00A03BF5" w:rsidRPr="004C5551" w:rsidRDefault="00A03BF5" w:rsidP="009C55E3">
      <w:pPr>
        <w:pStyle w:val="Normlnysozarkami"/>
        <w:numPr>
          <w:ilvl w:val="0"/>
          <w:numId w:val="37"/>
        </w:numPr>
        <w:ind w:left="567"/>
        <w:rPr>
          <w:color w:val="000000"/>
        </w:rPr>
      </w:pPr>
      <w:r w:rsidRPr="004C5551">
        <w:rPr>
          <w:color w:val="000000"/>
        </w:rPr>
        <w:t xml:space="preserve">NP XX „Podpora zamestnávania nezamestnaných v samospráve“ v rámci ktorého v období </w:t>
      </w:r>
      <w:r w:rsidR="006B40DB" w:rsidRPr="004C5551">
        <w:rPr>
          <w:color w:val="000000"/>
        </w:rPr>
        <w:t>od </w:t>
      </w:r>
      <w:r w:rsidRPr="004C5551">
        <w:rPr>
          <w:color w:val="000000"/>
        </w:rPr>
        <w:t xml:space="preserve">schválenia projektu do 31.12.2014 bolo dohodnutých 756 pracovných miest. </w:t>
      </w:r>
    </w:p>
    <w:p w:rsidR="00A03BF5" w:rsidRPr="004C5551" w:rsidRDefault="00A03BF5" w:rsidP="009C55E3">
      <w:pPr>
        <w:pStyle w:val="Normlnysozarkami"/>
        <w:numPr>
          <w:ilvl w:val="0"/>
          <w:numId w:val="37"/>
        </w:numPr>
        <w:ind w:left="567"/>
        <w:rPr>
          <w:color w:val="000000"/>
        </w:rPr>
      </w:pPr>
      <w:r w:rsidRPr="004C5551">
        <w:rPr>
          <w:color w:val="000000"/>
        </w:rPr>
        <w:t xml:space="preserve">NP XXI „Podpora vytvárania pracovných miest“ v rámci ktorého bolo v roku 2014 zaradených na trh práce 2 904 </w:t>
      </w:r>
      <w:proofErr w:type="spellStart"/>
      <w:r w:rsidRPr="004C5551">
        <w:rPr>
          <w:color w:val="000000"/>
        </w:rPr>
        <w:t>UoZ</w:t>
      </w:r>
      <w:proofErr w:type="spellEnd"/>
      <w:r w:rsidRPr="004C5551">
        <w:rPr>
          <w:color w:val="000000"/>
        </w:rPr>
        <w:t>.</w:t>
      </w:r>
    </w:p>
    <w:p w:rsidR="00A03BF5" w:rsidRPr="004C5551" w:rsidRDefault="00A03BF5" w:rsidP="009C55E3">
      <w:pPr>
        <w:pStyle w:val="Normlnysozarkami"/>
        <w:numPr>
          <w:ilvl w:val="0"/>
          <w:numId w:val="37"/>
        </w:numPr>
        <w:ind w:left="567"/>
        <w:rPr>
          <w:color w:val="000000"/>
        </w:rPr>
      </w:pPr>
      <w:r w:rsidRPr="004C5551">
        <w:rPr>
          <w:color w:val="000000"/>
        </w:rPr>
        <w:t xml:space="preserve">NP XXI/A „Podpora vytvárania pracovných miest – 2“ s počtom zaradených 1 023 </w:t>
      </w:r>
      <w:proofErr w:type="spellStart"/>
      <w:r w:rsidRPr="004C5551">
        <w:rPr>
          <w:color w:val="000000"/>
        </w:rPr>
        <w:t>UoZ</w:t>
      </w:r>
      <w:proofErr w:type="spellEnd"/>
      <w:r w:rsidRPr="004C5551">
        <w:rPr>
          <w:color w:val="000000"/>
        </w:rPr>
        <w:t>.</w:t>
      </w:r>
    </w:p>
    <w:p w:rsidR="00A03BF5" w:rsidRPr="004C5551" w:rsidRDefault="00A03BF5" w:rsidP="009C55E3">
      <w:pPr>
        <w:pStyle w:val="Normlnysozarkami"/>
        <w:numPr>
          <w:ilvl w:val="0"/>
          <w:numId w:val="37"/>
        </w:numPr>
        <w:ind w:left="567"/>
        <w:rPr>
          <w:color w:val="000000"/>
        </w:rPr>
      </w:pPr>
      <w:r w:rsidRPr="004C5551">
        <w:rPr>
          <w:color w:val="000000"/>
        </w:rPr>
        <w:t>NP XXI/B „Podpora vytvárania pracovných miest – 3“ s počtom umiestnených na trh práce 947</w:t>
      </w:r>
      <w:r w:rsidR="009A02B2" w:rsidRPr="004C5551">
        <w:rPr>
          <w:color w:val="000000"/>
        </w:rPr>
        <w:t> </w:t>
      </w:r>
      <w:proofErr w:type="spellStart"/>
      <w:r w:rsidRPr="004C5551">
        <w:rPr>
          <w:color w:val="000000"/>
        </w:rPr>
        <w:t>UoZ</w:t>
      </w:r>
      <w:proofErr w:type="spellEnd"/>
      <w:r w:rsidRPr="004C5551">
        <w:rPr>
          <w:color w:val="000000"/>
        </w:rPr>
        <w:t>.</w:t>
      </w:r>
    </w:p>
    <w:p w:rsidR="00A03BF5" w:rsidRPr="004C5551" w:rsidRDefault="00A03BF5" w:rsidP="009C55E3">
      <w:pPr>
        <w:pStyle w:val="Normlnysozarkami"/>
        <w:numPr>
          <w:ilvl w:val="0"/>
          <w:numId w:val="37"/>
        </w:numPr>
        <w:ind w:left="567"/>
        <w:rPr>
          <w:color w:val="000000"/>
        </w:rPr>
      </w:pPr>
      <w:r w:rsidRPr="004C5551">
        <w:rPr>
          <w:color w:val="000000"/>
        </w:rPr>
        <w:t xml:space="preserve">NP XXXVII „Podpora vytvárania pracovných miest pre </w:t>
      </w:r>
      <w:proofErr w:type="spellStart"/>
      <w:r w:rsidRPr="004C5551">
        <w:rPr>
          <w:color w:val="000000"/>
        </w:rPr>
        <w:t>UoZ</w:t>
      </w:r>
      <w:proofErr w:type="spellEnd"/>
      <w:r w:rsidRPr="004C5551">
        <w:rPr>
          <w:color w:val="000000"/>
        </w:rPr>
        <w:t xml:space="preserve"> do 29 rokov v BSK“ cieľom ktorého bola taktiež podpora vytvárania pracovných miest pre mladých nezamestnaných avšak </w:t>
      </w:r>
      <w:r w:rsidR="006B40DB" w:rsidRPr="004C5551">
        <w:rPr>
          <w:color w:val="000000"/>
        </w:rPr>
        <w:t>v </w:t>
      </w:r>
      <w:r w:rsidRPr="004C5551">
        <w:rPr>
          <w:color w:val="000000"/>
        </w:rPr>
        <w:t xml:space="preserve">rámci BSK a na ktorý bolo zaradených 131 </w:t>
      </w:r>
      <w:proofErr w:type="spellStart"/>
      <w:r w:rsidRPr="004C5551">
        <w:rPr>
          <w:color w:val="000000"/>
        </w:rPr>
        <w:t>UoZ</w:t>
      </w:r>
      <w:proofErr w:type="spellEnd"/>
      <w:r w:rsidRPr="004C5551">
        <w:rPr>
          <w:color w:val="000000"/>
        </w:rPr>
        <w:t>.</w:t>
      </w:r>
    </w:p>
    <w:p w:rsidR="007B3499" w:rsidRPr="004C5551" w:rsidRDefault="007B3499" w:rsidP="007B3499">
      <w:pPr>
        <w:pStyle w:val="Normlnysozarkami"/>
        <w:ind w:left="567" w:firstLine="0"/>
        <w:rPr>
          <w:color w:val="000000"/>
        </w:rPr>
      </w:pPr>
    </w:p>
    <w:p w:rsidR="00A03BF5" w:rsidRPr="004C5551" w:rsidRDefault="00A03BF5" w:rsidP="002A746E">
      <w:pPr>
        <w:pStyle w:val="Normlnysozarkami"/>
        <w:ind w:firstLine="431"/>
      </w:pPr>
      <w:r w:rsidRPr="004C5551">
        <w:t xml:space="preserve">Národný projekt NP XXXIV-2 „Podpora rozvoja regionálnej zamestnanosti bez BSK“ bol zameraný na znižovanie dlhodobej nezamestnanosti v jednotlivých krajoch Slovenska. Oprávnenou cieľovou skupinou boli </w:t>
      </w:r>
      <w:proofErr w:type="spellStart"/>
      <w:r w:rsidRPr="004C5551">
        <w:t>UoZ</w:t>
      </w:r>
      <w:proofErr w:type="spellEnd"/>
      <w:r w:rsidRPr="004C5551">
        <w:t xml:space="preserve"> a znevýhodnení </w:t>
      </w:r>
      <w:proofErr w:type="spellStart"/>
      <w:r w:rsidRPr="004C5551">
        <w:t>UoZ</w:t>
      </w:r>
      <w:proofErr w:type="spellEnd"/>
      <w:r w:rsidRPr="004C5551">
        <w:t xml:space="preserve">, vedení v evidencii </w:t>
      </w:r>
      <w:proofErr w:type="spellStart"/>
      <w:r w:rsidRPr="004C5551">
        <w:t>UoZ</w:t>
      </w:r>
      <w:proofErr w:type="spellEnd"/>
      <w:r w:rsidRPr="004C5551">
        <w:t xml:space="preserve"> najmenej 3 mesiace a</w:t>
      </w:r>
      <w:r w:rsidR="006B40DB" w:rsidRPr="004C5551">
        <w:t> v </w:t>
      </w:r>
      <w:r w:rsidRPr="004C5551">
        <w:t xml:space="preserve">roku 2014 bolo prostredníctvom tohto projektu podporených 1 272 </w:t>
      </w:r>
      <w:proofErr w:type="spellStart"/>
      <w:r w:rsidRPr="004C5551">
        <w:t>UoZ</w:t>
      </w:r>
      <w:proofErr w:type="spellEnd"/>
      <w:r w:rsidRPr="004C5551">
        <w:t>.</w:t>
      </w:r>
    </w:p>
    <w:p w:rsidR="00A03BF5" w:rsidRPr="004C5551" w:rsidRDefault="00A03BF5" w:rsidP="002A746E">
      <w:pPr>
        <w:pStyle w:val="Odsekzoznamu"/>
        <w:numPr>
          <w:ilvl w:val="0"/>
          <w:numId w:val="0"/>
        </w:numPr>
        <w:ind w:firstLine="431"/>
        <w:rPr>
          <w:bCs/>
          <w:color w:val="000000" w:themeColor="text1"/>
          <w:szCs w:val="22"/>
        </w:rPr>
      </w:pPr>
      <w:r w:rsidRPr="004C5551">
        <w:rPr>
          <w:color w:val="231F20"/>
          <w:szCs w:val="22"/>
        </w:rPr>
        <w:t>Národný projekt „</w:t>
      </w:r>
      <w:r w:rsidRPr="004C5551">
        <w:rPr>
          <w:szCs w:val="22"/>
        </w:rPr>
        <w:t>Zapojenie nezamestnaných do obnovy kultúrneho dedičstva - 2“</w:t>
      </w:r>
      <w:r w:rsidRPr="004C5551">
        <w:rPr>
          <w:color w:val="231F20"/>
          <w:szCs w:val="22"/>
        </w:rPr>
        <w:t xml:space="preserve"> podporoval vytváranie krátkodobých pracovných miest pre</w:t>
      </w:r>
      <w:r w:rsidRPr="004C5551">
        <w:rPr>
          <w:bCs/>
          <w:color w:val="000000" w:themeColor="text1"/>
          <w:szCs w:val="22"/>
        </w:rPr>
        <w:t xml:space="preserve"> uchádzačov o zamestnanie a znevýhodnených uchádzačov o zamestnanie. </w:t>
      </w:r>
      <w:r w:rsidRPr="004C5551">
        <w:rPr>
          <w:szCs w:val="22"/>
          <w:lang w:eastAsia="cs-CZ"/>
        </w:rPr>
        <w:t xml:space="preserve">Do projektu obnovy kultúrneho dedičstva sa v roku 2014 zapojilo </w:t>
      </w:r>
      <w:r w:rsidR="006B40DB" w:rsidRPr="004C5551">
        <w:rPr>
          <w:szCs w:val="22"/>
          <w:lang w:eastAsia="cs-CZ"/>
        </w:rPr>
        <w:t>39 </w:t>
      </w:r>
      <w:r w:rsidRPr="004C5551">
        <w:rPr>
          <w:szCs w:val="22"/>
          <w:lang w:eastAsia="cs-CZ"/>
        </w:rPr>
        <w:t>subjektov (obcí, občianskych združení, nadácií a právnických osôb) v rámci pôsobnosti 24</w:t>
      </w:r>
      <w:r w:rsidR="00F41E61" w:rsidRPr="004C5551">
        <w:rPr>
          <w:szCs w:val="22"/>
          <w:lang w:eastAsia="cs-CZ"/>
        </w:rPr>
        <w:t> </w:t>
      </w:r>
      <w:r w:rsidRPr="004C5551">
        <w:rPr>
          <w:szCs w:val="22"/>
          <w:lang w:eastAsia="cs-CZ"/>
        </w:rPr>
        <w:t>úradov</w:t>
      </w:r>
      <w:r w:rsidR="00F41E61" w:rsidRPr="004C5551">
        <w:rPr>
          <w:szCs w:val="22"/>
          <w:lang w:eastAsia="cs-CZ"/>
        </w:rPr>
        <w:t> PSVR</w:t>
      </w:r>
      <w:r w:rsidRPr="004C5551">
        <w:rPr>
          <w:szCs w:val="22"/>
          <w:lang w:eastAsia="cs-CZ"/>
        </w:rPr>
        <w:t xml:space="preserve">. </w:t>
      </w:r>
      <w:r w:rsidRPr="004C5551">
        <w:rPr>
          <w:color w:val="000000"/>
          <w:szCs w:val="22"/>
          <w:lang w:eastAsia="cs-CZ"/>
        </w:rPr>
        <w:t>Do projektu sa mohli zapojiť len subjekty, ktorým bola schválená dotácia z Ministerstva kultúry Slovenskej republiky v rámci výzvy</w:t>
      </w:r>
      <w:r w:rsidR="004A5701" w:rsidRPr="004C5551">
        <w:rPr>
          <w:color w:val="000000"/>
          <w:szCs w:val="22"/>
          <w:lang w:eastAsia="cs-CZ"/>
        </w:rPr>
        <w:t xml:space="preserve"> </w:t>
      </w:r>
      <w:r w:rsidRPr="004C5551">
        <w:rPr>
          <w:szCs w:val="22"/>
          <w:lang w:eastAsia="cs-CZ"/>
        </w:rPr>
        <w:t xml:space="preserve">programu Obnovme si svoj dom, podprogram 1.4 „Obnova a konzervácia </w:t>
      </w:r>
      <w:proofErr w:type="spellStart"/>
      <w:r w:rsidRPr="004C5551">
        <w:rPr>
          <w:szCs w:val="22"/>
          <w:lang w:eastAsia="cs-CZ"/>
        </w:rPr>
        <w:t>torzálnej</w:t>
      </w:r>
      <w:proofErr w:type="spellEnd"/>
      <w:r w:rsidRPr="004C5551">
        <w:rPr>
          <w:szCs w:val="22"/>
          <w:lang w:eastAsia="cs-CZ"/>
        </w:rPr>
        <w:t xml:space="preserve"> architektúry</w:t>
      </w:r>
      <w:r w:rsidRPr="004C5551">
        <w:rPr>
          <w:color w:val="000000"/>
          <w:szCs w:val="22"/>
          <w:lang w:eastAsia="cs-CZ"/>
        </w:rPr>
        <w:t xml:space="preserve">“. </w:t>
      </w:r>
      <w:r w:rsidRPr="004C5551">
        <w:rPr>
          <w:szCs w:val="22"/>
        </w:rPr>
        <w:t>V rámci realizácie projektu bolo</w:t>
      </w:r>
      <w:r w:rsidRPr="004C5551">
        <w:rPr>
          <w:b/>
          <w:szCs w:val="22"/>
        </w:rPr>
        <w:t xml:space="preserve"> </w:t>
      </w:r>
      <w:r w:rsidRPr="004C5551">
        <w:rPr>
          <w:szCs w:val="22"/>
        </w:rPr>
        <w:t xml:space="preserve">vytvorených 453 pracovných miest a celkovo bolo do projektu v roku 2014 zapojených 504 </w:t>
      </w:r>
      <w:proofErr w:type="spellStart"/>
      <w:r w:rsidRPr="004C5551">
        <w:rPr>
          <w:szCs w:val="22"/>
        </w:rPr>
        <w:t>UoZ</w:t>
      </w:r>
      <w:proofErr w:type="spellEnd"/>
      <w:r w:rsidRPr="004C5551">
        <w:rPr>
          <w:szCs w:val="22"/>
        </w:rPr>
        <w:t xml:space="preserve"> a znevýhodnených </w:t>
      </w:r>
      <w:proofErr w:type="spellStart"/>
      <w:r w:rsidRPr="004C5551">
        <w:rPr>
          <w:szCs w:val="22"/>
        </w:rPr>
        <w:t>UoZ</w:t>
      </w:r>
      <w:proofErr w:type="spellEnd"/>
      <w:r w:rsidRPr="004C5551">
        <w:rPr>
          <w:bCs/>
          <w:color w:val="000000" w:themeColor="text1"/>
          <w:szCs w:val="22"/>
        </w:rPr>
        <w:t>, ktorí získali pracovné návyky a skúsenosti z oblasti historického murárstva, kováčstva, tesárstva a archeológie.</w:t>
      </w:r>
    </w:p>
    <w:p w:rsidR="00A03BF5" w:rsidRPr="004C5551" w:rsidRDefault="00A03BF5" w:rsidP="002A746E">
      <w:pPr>
        <w:pStyle w:val="Normlnysozarkami"/>
        <w:ind w:firstLine="431"/>
      </w:pPr>
      <w:r w:rsidRPr="004C5551">
        <w:t xml:space="preserve">V rámci § 54 bolo v roku 2014 prostredníctvom projektov schválených hodnotiacou komisiou na posudzovanie, hodnotenie a odporúčanie schvaľovania predložených projektov a programov v rámci aktívnych opatrení na trhu práce podľa § 54 ods. 1, písm. c, d, f, podporených celkom </w:t>
      </w:r>
      <w:r w:rsidR="006B40DB" w:rsidRPr="004C5551">
        <w:t>20 </w:t>
      </w:r>
      <w:r w:rsidRPr="004C5551">
        <w:t>projektov pre predpokladaný počet 3 351 zaradených osôb. V</w:t>
      </w:r>
      <w:r w:rsidRPr="004C5551">
        <w:rPr>
          <w:szCs w:val="22"/>
        </w:rPr>
        <w:t>ýška</w:t>
      </w:r>
      <w:r w:rsidRPr="004C5551">
        <w:t xml:space="preserve"> schválených finančných prostriedkov bola 1 762 518 </w:t>
      </w:r>
      <w:r w:rsidR="00AA0137" w:rsidRPr="004C5551">
        <w:t>eur</w:t>
      </w:r>
      <w:r w:rsidRPr="004C5551">
        <w:t xml:space="preserve">. </w:t>
      </w:r>
    </w:p>
    <w:p w:rsidR="00277C0E" w:rsidRPr="004C5551" w:rsidRDefault="00277C0E" w:rsidP="002A746E">
      <w:pPr>
        <w:pStyle w:val="Normlnysozarkami"/>
        <w:ind w:firstLine="431"/>
      </w:pPr>
    </w:p>
    <w:p w:rsidR="00A03BF5" w:rsidRPr="004C5551" w:rsidRDefault="00A03BF5" w:rsidP="00A03BF5">
      <w:pPr>
        <w:pStyle w:val="Normlnywebov"/>
        <w:spacing w:before="0" w:after="0"/>
        <w:rPr>
          <w:i/>
        </w:rPr>
      </w:pPr>
      <w:r w:rsidRPr="004C5551">
        <w:rPr>
          <w:i/>
        </w:rPr>
        <w:t>Poradenská činnosť/ vzdelávanie a príprava pre trh práce</w:t>
      </w:r>
    </w:p>
    <w:p w:rsidR="00A03BF5" w:rsidRPr="004C5551" w:rsidRDefault="00A03BF5" w:rsidP="002A746E">
      <w:pPr>
        <w:pStyle w:val="Normlnywebov"/>
        <w:spacing w:before="0" w:after="0"/>
        <w:ind w:firstLine="431"/>
        <w:rPr>
          <w:noProof/>
        </w:rPr>
      </w:pPr>
      <w:r w:rsidRPr="004C5551">
        <w:t xml:space="preserve">Poradenská činnosť/vzdelávanie a príprava pre trh práce pri zvyšovaní </w:t>
      </w:r>
      <w:proofErr w:type="spellStart"/>
      <w:r w:rsidRPr="004C5551">
        <w:t>zamestnateľnosti</w:t>
      </w:r>
      <w:proofErr w:type="spellEnd"/>
      <w:r w:rsidRPr="004C5551">
        <w:t xml:space="preserve"> a podpory sociálnej inklúzie realizovaná pre </w:t>
      </w:r>
      <w:proofErr w:type="spellStart"/>
      <w:r w:rsidRPr="004C5551">
        <w:t>UoZ</w:t>
      </w:r>
      <w:proofErr w:type="spellEnd"/>
      <w:r w:rsidRPr="004C5551">
        <w:t xml:space="preserve"> zaradených na výkon aktivačnej činnosti bola zameraná najmä</w:t>
      </w:r>
      <w:r w:rsidRPr="004C5551">
        <w:rPr>
          <w:b/>
        </w:rPr>
        <w:t xml:space="preserve"> </w:t>
      </w:r>
      <w:r w:rsidRPr="004C5551">
        <w:t xml:space="preserve">na aktivizáciu </w:t>
      </w:r>
      <w:proofErr w:type="spellStart"/>
      <w:r w:rsidRPr="004C5551">
        <w:t>UoZ</w:t>
      </w:r>
      <w:proofErr w:type="spellEnd"/>
      <w:r w:rsidRPr="004C5551">
        <w:t xml:space="preserve">, získavanie a rozvoj základných sociálnych zručností, </w:t>
      </w:r>
      <w:r w:rsidRPr="004C5551">
        <w:rPr>
          <w:noProof/>
        </w:rPr>
        <w:t>motivovanie k proaktívnemu prístupu a získavanie kľúčových zručností. Týmto opatrením bolo zaradených celkom</w:t>
      </w:r>
      <w:r w:rsidR="004A5701" w:rsidRPr="004C5551">
        <w:rPr>
          <w:noProof/>
        </w:rPr>
        <w:t xml:space="preserve"> </w:t>
      </w:r>
      <w:r w:rsidRPr="004C5551">
        <w:rPr>
          <w:noProof/>
        </w:rPr>
        <w:t>6 767 UoZ pri čerpaní finančných prostriedkov v roku 2014 vo výške 374</w:t>
      </w:r>
      <w:r w:rsidR="006B40DB" w:rsidRPr="004C5551">
        <w:rPr>
          <w:noProof/>
        </w:rPr>
        <w:t> 194 </w:t>
      </w:r>
      <w:r w:rsidR="00AA0137" w:rsidRPr="004C5551">
        <w:rPr>
          <w:noProof/>
        </w:rPr>
        <w:t>eur</w:t>
      </w:r>
      <w:r w:rsidRPr="004C5551">
        <w:rPr>
          <w:noProof/>
        </w:rPr>
        <w:t>.</w:t>
      </w:r>
    </w:p>
    <w:p w:rsidR="00277C0E" w:rsidRPr="004C5551" w:rsidRDefault="00277C0E" w:rsidP="00A03BF5">
      <w:pPr>
        <w:pStyle w:val="Normlnywebov"/>
        <w:spacing w:before="0" w:after="0"/>
        <w:ind w:firstLine="567"/>
        <w:rPr>
          <w:noProof/>
        </w:rPr>
      </w:pPr>
    </w:p>
    <w:p w:rsidR="00A03BF5" w:rsidRPr="004C5551" w:rsidRDefault="00A03BF5" w:rsidP="007B3499">
      <w:pPr>
        <w:pStyle w:val="Normlnywebov"/>
        <w:spacing w:before="0" w:after="0"/>
        <w:rPr>
          <w:i/>
        </w:rPr>
      </w:pPr>
      <w:r w:rsidRPr="004C5551">
        <w:rPr>
          <w:i/>
        </w:rPr>
        <w:t>Príspevok na rekvalifikáciu (§ 54 ods. 1 písm. d)</w:t>
      </w:r>
    </w:p>
    <w:p w:rsidR="00A03BF5" w:rsidRPr="004C5551" w:rsidRDefault="00A03BF5" w:rsidP="002A746E">
      <w:pPr>
        <w:ind w:firstLine="431"/>
        <w:rPr>
          <w:szCs w:val="22"/>
        </w:rPr>
      </w:pPr>
      <w:r w:rsidRPr="004C5551">
        <w:rPr>
          <w:bCs/>
          <w:szCs w:val="22"/>
        </w:rPr>
        <w:t xml:space="preserve">Od októbra 2014 sa začal realizovať pilotný projekt </w:t>
      </w:r>
      <w:r w:rsidRPr="004C5551">
        <w:rPr>
          <w:szCs w:val="22"/>
        </w:rPr>
        <w:t xml:space="preserve">RE-PAS určený pre všetkých </w:t>
      </w:r>
      <w:proofErr w:type="spellStart"/>
      <w:r w:rsidRPr="004C5551">
        <w:rPr>
          <w:szCs w:val="22"/>
        </w:rPr>
        <w:t>UoZ</w:t>
      </w:r>
      <w:proofErr w:type="spellEnd"/>
      <w:r w:rsidRPr="004C5551">
        <w:rPr>
          <w:szCs w:val="22"/>
        </w:rPr>
        <w:t>, vrátane znevýhodnených na trhu práce, ktorí majú problém pracovne sa uplatniť a potrebujú flexibilne reagovať na požiadavky trhu práce.</w:t>
      </w:r>
      <w:r w:rsidRPr="004C5551">
        <w:rPr>
          <w:bCs/>
          <w:szCs w:val="22"/>
        </w:rPr>
        <w:t xml:space="preserve"> </w:t>
      </w:r>
      <w:proofErr w:type="spellStart"/>
      <w:r w:rsidRPr="004C5551">
        <w:rPr>
          <w:bCs/>
          <w:szCs w:val="22"/>
        </w:rPr>
        <w:t>UoZ</w:t>
      </w:r>
      <w:proofErr w:type="spellEnd"/>
      <w:r w:rsidRPr="004C5551">
        <w:rPr>
          <w:bCs/>
          <w:szCs w:val="22"/>
        </w:rPr>
        <w:t xml:space="preserve"> si môže zvoliť druh pracovnej činnosti, na ktorú sa chce rekvalifikovať a poskytovateľa rekvalifikácie, ktorý má požadovanú rekvalifikáciu zrealizovať. </w:t>
      </w:r>
      <w:r w:rsidRPr="004C5551">
        <w:rPr>
          <w:szCs w:val="22"/>
        </w:rPr>
        <w:t>Úrad</w:t>
      </w:r>
      <w:r w:rsidR="00F41E61" w:rsidRPr="004C5551">
        <w:rPr>
          <w:szCs w:val="22"/>
        </w:rPr>
        <w:t xml:space="preserve"> PSVR </w:t>
      </w:r>
      <w:r w:rsidRPr="004C5551">
        <w:rPr>
          <w:bCs/>
          <w:szCs w:val="22"/>
        </w:rPr>
        <w:t xml:space="preserve">uhrádza </w:t>
      </w:r>
      <w:proofErr w:type="spellStart"/>
      <w:r w:rsidRPr="004C5551">
        <w:rPr>
          <w:bCs/>
          <w:szCs w:val="22"/>
        </w:rPr>
        <w:t>UoZ</w:t>
      </w:r>
      <w:proofErr w:type="spellEnd"/>
      <w:r w:rsidRPr="004C5551">
        <w:rPr>
          <w:bCs/>
          <w:szCs w:val="22"/>
        </w:rPr>
        <w:t xml:space="preserve"> 100</w:t>
      </w:r>
      <w:r w:rsidR="009425AA" w:rsidRPr="004C5551">
        <w:rPr>
          <w:bCs/>
          <w:szCs w:val="22"/>
        </w:rPr>
        <w:t> %</w:t>
      </w:r>
      <w:r w:rsidRPr="004C5551">
        <w:rPr>
          <w:bCs/>
          <w:szCs w:val="22"/>
        </w:rPr>
        <w:t xml:space="preserve"> nákladov na rekvalifikáciu.</w:t>
      </w:r>
    </w:p>
    <w:p w:rsidR="00A03BF5" w:rsidRPr="004C5551" w:rsidRDefault="00A03BF5" w:rsidP="002A746E">
      <w:pPr>
        <w:ind w:firstLine="431"/>
        <w:rPr>
          <w:szCs w:val="22"/>
        </w:rPr>
      </w:pPr>
      <w:r w:rsidRPr="004C5551">
        <w:rPr>
          <w:szCs w:val="22"/>
        </w:rPr>
        <w:t xml:space="preserve">Od začiatku realizácie projektu do konca roka 2014 bolo uzatvorených 93 dohôd o úhrade príspevku na rekvalifikáciu, za ktorých boli uhradené finančné prostriedky v sume 5 831 </w:t>
      </w:r>
      <w:r w:rsidR="00AA0137" w:rsidRPr="004C5551">
        <w:rPr>
          <w:szCs w:val="22"/>
        </w:rPr>
        <w:t>eur</w:t>
      </w:r>
      <w:r w:rsidRPr="004C5551">
        <w:rPr>
          <w:szCs w:val="22"/>
        </w:rPr>
        <w:t>.</w:t>
      </w:r>
    </w:p>
    <w:p w:rsidR="00277C0E" w:rsidRPr="004C5551" w:rsidRDefault="00277C0E" w:rsidP="002A746E">
      <w:pPr>
        <w:ind w:firstLine="431"/>
        <w:jc w:val="left"/>
        <w:rPr>
          <w:bCs/>
          <w:color w:val="000000" w:themeColor="text1"/>
          <w:szCs w:val="22"/>
        </w:rPr>
      </w:pPr>
      <w:r w:rsidRPr="004C5551">
        <w:rPr>
          <w:bCs/>
          <w:color w:val="000000" w:themeColor="text1"/>
          <w:szCs w:val="22"/>
        </w:rPr>
        <w:br w:type="page"/>
      </w:r>
    </w:p>
    <w:p w:rsidR="00A03BF5" w:rsidRPr="004C5551" w:rsidRDefault="00A03BF5" w:rsidP="00277C0E">
      <w:pPr>
        <w:spacing w:after="60"/>
        <w:rPr>
          <w:b/>
        </w:rPr>
      </w:pPr>
      <w:r w:rsidRPr="004C5551">
        <w:rPr>
          <w:b/>
        </w:rPr>
        <w:t>Príspevok na zriadenie chránenej dielne alebo chráneného pracoviska (§ 56)</w:t>
      </w:r>
    </w:p>
    <w:p w:rsidR="00A03BF5" w:rsidRPr="004C5551" w:rsidRDefault="00A03BF5" w:rsidP="002A746E">
      <w:pPr>
        <w:pStyle w:val="Normlnysozarkami"/>
        <w:ind w:firstLine="431"/>
      </w:pPr>
      <w:r w:rsidRPr="004C5551">
        <w:t xml:space="preserve">Úrad </w:t>
      </w:r>
      <w:r w:rsidR="00F41E61" w:rsidRPr="004C5551">
        <w:t xml:space="preserve">PSVR </w:t>
      </w:r>
      <w:r w:rsidRPr="004C5551">
        <w:t xml:space="preserve">môže poskytnúť príspevok zamestnávateľovi, ktorý na zriadené pracovné miesto </w:t>
      </w:r>
      <w:r w:rsidR="006B40DB" w:rsidRPr="004C5551">
        <w:t>v </w:t>
      </w:r>
      <w:r w:rsidRPr="004C5551">
        <w:t xml:space="preserve">chránenej dielni </w:t>
      </w:r>
      <w:r w:rsidRPr="004C5551">
        <w:rPr>
          <w:bCs/>
        </w:rPr>
        <w:t xml:space="preserve">(CHD) </w:t>
      </w:r>
      <w:r w:rsidRPr="004C5551">
        <w:t xml:space="preserve">alebo na chránenom pracovisku </w:t>
      </w:r>
      <w:r w:rsidRPr="004C5551">
        <w:rPr>
          <w:bCs/>
        </w:rPr>
        <w:t xml:space="preserve">(CHP) </w:t>
      </w:r>
      <w:r w:rsidRPr="004C5551">
        <w:t xml:space="preserve">prijme do pracovného pomeru </w:t>
      </w:r>
      <w:proofErr w:type="spellStart"/>
      <w:r w:rsidRPr="004C5551">
        <w:t>UoZ</w:t>
      </w:r>
      <w:proofErr w:type="spellEnd"/>
      <w:r w:rsidRPr="004C5551">
        <w:t xml:space="preserve">, ktorý je občanom so zdravotným postihnutím </w:t>
      </w:r>
      <w:r w:rsidRPr="004C5551">
        <w:rPr>
          <w:bCs/>
        </w:rPr>
        <w:t>(OZP)</w:t>
      </w:r>
      <w:r w:rsidRPr="004C5551">
        <w:t xml:space="preserve">, vedeného v evidencii </w:t>
      </w:r>
      <w:proofErr w:type="spellStart"/>
      <w:r w:rsidRPr="004C5551">
        <w:t>UoZ</w:t>
      </w:r>
      <w:proofErr w:type="spellEnd"/>
      <w:r w:rsidRPr="004C5551">
        <w:t xml:space="preserve"> najmenej 1 mesiac. Príspevok sa poskytuje na</w:t>
      </w:r>
      <w:r w:rsidRPr="004C5551">
        <w:rPr>
          <w:szCs w:val="22"/>
        </w:rPr>
        <w:t xml:space="preserve"> úhradu časti nákladov na </w:t>
      </w:r>
      <w:r w:rsidRPr="004C5551">
        <w:t xml:space="preserve">zriadenie pracovného miesta pre OZP v CHD alebo na CHP. </w:t>
      </w:r>
      <w:r w:rsidRPr="004C5551">
        <w:rPr>
          <w:bCs/>
        </w:rPr>
        <w:t xml:space="preserve">Výška príspevku je závislá od priemernej miery evidovanej nezamestnanosti v príslušnom okrese, pričom je stanovená maximálna výška príspevku. Príspevok sa poskytuje </w:t>
      </w:r>
      <w:r w:rsidR="006B40DB" w:rsidRPr="004C5551">
        <w:rPr>
          <w:bCs/>
        </w:rPr>
        <w:t>do 30 </w:t>
      </w:r>
      <w:r w:rsidRPr="004C5551">
        <w:rPr>
          <w:bCs/>
        </w:rPr>
        <w:t>kalendárnych dní od doručenia dokladov o vynaložených nákladoch, ktoré je CHD alebo CHP povinná predkladať do 6 mesiacov od uzatvorenia dohody o poskytnutí príspevku s</w:t>
      </w:r>
      <w:r w:rsidR="00F41E61" w:rsidRPr="004C5551">
        <w:rPr>
          <w:bCs/>
        </w:rPr>
        <w:t> </w:t>
      </w:r>
      <w:r w:rsidRPr="004C5551">
        <w:rPr>
          <w:bCs/>
        </w:rPr>
        <w:t>úradom</w:t>
      </w:r>
      <w:r w:rsidR="00F41E61" w:rsidRPr="004C5551">
        <w:rPr>
          <w:bCs/>
        </w:rPr>
        <w:t xml:space="preserve"> PSVR</w:t>
      </w:r>
      <w:r w:rsidRPr="004C5551">
        <w:rPr>
          <w:bCs/>
        </w:rPr>
        <w:t>, pričom dĺžka zachovania zriadeného pracovného miesta je najmenej dva roky</w:t>
      </w:r>
      <w:r w:rsidRPr="004C5551">
        <w:t>.</w:t>
      </w:r>
    </w:p>
    <w:p w:rsidR="00A03BF5" w:rsidRPr="004C5551" w:rsidRDefault="00A03BF5" w:rsidP="002A746E">
      <w:pPr>
        <w:tabs>
          <w:tab w:val="left" w:pos="9356"/>
        </w:tabs>
        <w:ind w:right="-22" w:firstLine="431"/>
        <w:rPr>
          <w:bCs/>
        </w:rPr>
      </w:pPr>
      <w:r w:rsidRPr="004C5551">
        <w:rPr>
          <w:bCs/>
        </w:rPr>
        <w:t xml:space="preserve"> V roku</w:t>
      </w:r>
      <w:r w:rsidRPr="004C5551">
        <w:rPr>
          <w:b/>
          <w:bCs/>
        </w:rPr>
        <w:t> </w:t>
      </w:r>
      <w:r w:rsidRPr="004C5551">
        <w:rPr>
          <w:bCs/>
        </w:rPr>
        <w:t xml:space="preserve">2014 bolo týmto opatrením podporených 994 pracovných miest a vynaložených </w:t>
      </w:r>
      <w:r w:rsidRPr="004C5551">
        <w:rPr>
          <w:bCs/>
        </w:rPr>
        <w:br/>
        <w:t>12</w:t>
      </w:r>
      <w:r w:rsidR="009A02B2" w:rsidRPr="004C5551">
        <w:rPr>
          <w:bCs/>
        </w:rPr>
        <w:t> </w:t>
      </w:r>
      <w:r w:rsidRPr="004C5551">
        <w:rPr>
          <w:bCs/>
        </w:rPr>
        <w:t xml:space="preserve">640 458 </w:t>
      </w:r>
      <w:r w:rsidR="00AA0137" w:rsidRPr="004C5551">
        <w:rPr>
          <w:bCs/>
        </w:rPr>
        <w:t>eur</w:t>
      </w:r>
      <w:r w:rsidRPr="004C5551">
        <w:rPr>
          <w:bCs/>
        </w:rPr>
        <w:t xml:space="preserve">, čo je v porovnaní s rokom 2013 pokles o 716 pracovných miest a pokles </w:t>
      </w:r>
      <w:r w:rsidRPr="004C5551">
        <w:rPr>
          <w:bCs/>
        </w:rPr>
        <w:br/>
        <w:t>o 4 982 949 mil. </w:t>
      </w:r>
      <w:r w:rsidR="00AA0137" w:rsidRPr="004C5551">
        <w:rPr>
          <w:bCs/>
        </w:rPr>
        <w:t>eur</w:t>
      </w:r>
      <w:r w:rsidRPr="004C5551">
        <w:rPr>
          <w:bCs/>
        </w:rPr>
        <w:t>.</w:t>
      </w:r>
    </w:p>
    <w:p w:rsidR="00A03BF5" w:rsidRPr="004C5551" w:rsidRDefault="00A03BF5" w:rsidP="00A03BF5">
      <w:pPr>
        <w:tabs>
          <w:tab w:val="left" w:pos="9356"/>
        </w:tabs>
        <w:ind w:right="-22" w:firstLine="567"/>
        <w:rPr>
          <w:bCs/>
        </w:rPr>
      </w:pPr>
    </w:p>
    <w:p w:rsidR="00A03BF5" w:rsidRPr="004C5551" w:rsidRDefault="00A03BF5" w:rsidP="00277C0E">
      <w:pPr>
        <w:spacing w:after="60"/>
        <w:rPr>
          <w:b/>
        </w:rPr>
      </w:pPr>
      <w:r w:rsidRPr="004C5551">
        <w:rPr>
          <w:b/>
        </w:rPr>
        <w:t>Príspevok na udržanie občana so zdravotným postihnutím v zamestnaní (§ 56a)</w:t>
      </w:r>
    </w:p>
    <w:p w:rsidR="00A03BF5" w:rsidRPr="004C5551" w:rsidRDefault="00A03BF5" w:rsidP="002A746E">
      <w:pPr>
        <w:ind w:firstLine="431"/>
      </w:pPr>
      <w:r w:rsidRPr="004C5551">
        <w:t>Úrad</w:t>
      </w:r>
      <w:r w:rsidR="00F41E61" w:rsidRPr="004C5551">
        <w:t xml:space="preserve"> PSVR</w:t>
      </w:r>
      <w:r w:rsidRPr="004C5551">
        <w:t xml:space="preserve"> môže poskytnúť príspevok na udržanie OZP v zamestnaní zamestnávateľovi, ktorý zamestnáva viac ako 25</w:t>
      </w:r>
      <w:r w:rsidR="009425AA" w:rsidRPr="004C5551">
        <w:t> %</w:t>
      </w:r>
      <w:r w:rsidRPr="004C5551">
        <w:t xml:space="preserve"> občanov so zdravotným postihnutím z priemerného evidenčného počtu zamestnancov a ktorý nemá priznané postavenie CHD alebo CHP. Príspevok sa poskytuje na OZP, ak pracovný pomer je dohodnutý</w:t>
      </w:r>
      <w:r w:rsidRPr="004C5551" w:rsidDel="00A10112">
        <w:t xml:space="preserve"> </w:t>
      </w:r>
      <w:r w:rsidRPr="004C5551">
        <w:t>najmenej v rozsahu polovice ustanoveného týždenného pracovného času a poskytuje sa zamestnávateľovi na úhradu preddavku na poistné na povinné verejné zdravotné poistenie, poistného na sociálne poistenie a povinných príspevkov na starobné dôchodkové sporenie platených zamestnávateľom mesačne zo mzdy zamestnanca najviac vo výške preddavkov platených zamestnávateľom vypočítaných zo 60</w:t>
      </w:r>
      <w:r w:rsidR="009425AA" w:rsidRPr="004C5551">
        <w:t> %</w:t>
      </w:r>
      <w:r w:rsidRPr="004C5551">
        <w:t xml:space="preserve"> priemernej mzdy zamestnanca v hospodárstve Slovenskej republiky za prvý až tretí štvrťrok kalendárneho roka, ktorý predchádza kalendárnemu roku, v ktorom sa príspevok poskytuje. Príspevok sa poskytuje štvrťročne na základe dokladov preukazujúcich úhradu preddavku na poistné, poistného a povinných príspevkov ktoré je zamestnávateľ povinný predložiť úradu</w:t>
      </w:r>
      <w:r w:rsidR="004928A6" w:rsidRPr="004C5551">
        <w:t xml:space="preserve"> PSVR</w:t>
      </w:r>
      <w:r w:rsidRPr="004C5551">
        <w:t>,</w:t>
      </w:r>
      <w:r w:rsidR="004A5701" w:rsidRPr="004C5551">
        <w:t xml:space="preserve"> </w:t>
      </w:r>
      <w:r w:rsidRPr="004C5551">
        <w:t>najneskôr do 30 kalendárnych dní po uplynutí príslušného štvrťroka.</w:t>
      </w:r>
    </w:p>
    <w:p w:rsidR="00A03BF5" w:rsidRPr="004C5551" w:rsidRDefault="00A03BF5" w:rsidP="002A746E">
      <w:pPr>
        <w:pStyle w:val="Normlnysozarkami"/>
        <w:ind w:firstLine="431"/>
      </w:pPr>
      <w:r w:rsidRPr="004C5551">
        <w:t xml:space="preserve">V roku 2014 bolo prostredníctvom tohto opatrenia podporených 31 OZP, čo je o 201 osôb menej ako v roku 2013. Celková výška poskytnutého príspevku bola 169 643 </w:t>
      </w:r>
      <w:r w:rsidR="00AA0137" w:rsidRPr="004C5551">
        <w:t>eur</w:t>
      </w:r>
      <w:r w:rsidRPr="004C5551">
        <w:t>, čo je o 605 914 </w:t>
      </w:r>
      <w:r w:rsidR="00AA0137" w:rsidRPr="004C5551">
        <w:t>eur</w:t>
      </w:r>
      <w:r w:rsidRPr="004C5551">
        <w:t xml:space="preserve"> menej ako v roku 2013.</w:t>
      </w:r>
    </w:p>
    <w:p w:rsidR="00A03BF5" w:rsidRPr="004C5551" w:rsidRDefault="00A03BF5" w:rsidP="00A03BF5">
      <w:pPr>
        <w:pStyle w:val="Normlnysozarkami"/>
      </w:pPr>
    </w:p>
    <w:p w:rsidR="00A03BF5" w:rsidRPr="004C5551" w:rsidRDefault="00A03BF5" w:rsidP="00277C0E">
      <w:pPr>
        <w:spacing w:after="60"/>
        <w:rPr>
          <w:b/>
        </w:rPr>
      </w:pPr>
      <w:r w:rsidRPr="004C5551">
        <w:rPr>
          <w:b/>
        </w:rPr>
        <w:t>Príspevok občanovi so zdravotným postihnutím na samostatnú zárobkovú činnosť (§ 57)</w:t>
      </w:r>
    </w:p>
    <w:p w:rsidR="00A03BF5" w:rsidRPr="004C5551" w:rsidRDefault="00A03BF5" w:rsidP="002A746E">
      <w:pPr>
        <w:ind w:firstLine="431"/>
      </w:pPr>
      <w:r w:rsidRPr="004C5551">
        <w:t xml:space="preserve">Úrad </w:t>
      </w:r>
      <w:r w:rsidR="004928A6" w:rsidRPr="004C5551">
        <w:t xml:space="preserve">PSVR </w:t>
      </w:r>
      <w:r w:rsidRPr="004C5551">
        <w:t xml:space="preserve">môže poskytnúť príspevok OZP na samostatnú zárobkovú činnosť na čiastočnú úhradu nákladov súvisiacich s prevádzkovaním samostatnej zárobkovej činnosti </w:t>
      </w:r>
      <w:proofErr w:type="spellStart"/>
      <w:r w:rsidRPr="004C5551">
        <w:t>UoZ</w:t>
      </w:r>
      <w:proofErr w:type="spellEnd"/>
      <w:r w:rsidRPr="004C5551">
        <w:t xml:space="preserve">, ktorý je OZP vedeným v evidencii </w:t>
      </w:r>
      <w:proofErr w:type="spellStart"/>
      <w:r w:rsidRPr="004C5551">
        <w:t>UoZ</w:t>
      </w:r>
      <w:proofErr w:type="spellEnd"/>
      <w:r w:rsidRPr="004C5551">
        <w:t xml:space="preserve"> najmenej tri mesiace a ktorý bude samostatne zárobkovo činnou osobou samostatnú zárobkovú činnosť na CHP. </w:t>
      </w:r>
      <w:proofErr w:type="spellStart"/>
      <w:r w:rsidRPr="004C5551">
        <w:t>UoZ</w:t>
      </w:r>
      <w:proofErr w:type="spellEnd"/>
      <w:r w:rsidRPr="004C5551">
        <w:t>, ktorému bol poskytnutý príspevok, je povinný samostatnú zárobkovú činnosť prevádzkovať na CHP nepretržite najmenej dva roky.</w:t>
      </w:r>
      <w:r w:rsidRPr="004C5551">
        <w:rPr>
          <w:bCs/>
        </w:rPr>
        <w:t xml:space="preserve"> Výška príspevku je závislá od priemernej miery evidovanej nezamestnanosti v príslušnom okrese,</w:t>
      </w:r>
    </w:p>
    <w:p w:rsidR="00A03BF5" w:rsidRPr="004C5551" w:rsidRDefault="00A03BF5" w:rsidP="002A746E">
      <w:pPr>
        <w:pStyle w:val="Normlnysozarkami"/>
        <w:ind w:firstLine="431"/>
      </w:pPr>
      <w:r w:rsidRPr="004C5551">
        <w:t>Prostredníctvom tohto opatrenia bolo v roku 2014 podporené vytvorenie 96 pracovných miest na </w:t>
      </w:r>
      <w:proofErr w:type="spellStart"/>
      <w:r w:rsidRPr="004C5551">
        <w:t>samozamestnanie</w:t>
      </w:r>
      <w:proofErr w:type="spellEnd"/>
      <w:r w:rsidRPr="004C5551">
        <w:t xml:space="preserve"> OZP (o 200 pracovných miest menej ako v roku 2013), čo súvisí so zníženým záujmom </w:t>
      </w:r>
      <w:proofErr w:type="spellStart"/>
      <w:r w:rsidRPr="004C5551">
        <w:t>UoZ</w:t>
      </w:r>
      <w:proofErr w:type="spellEnd"/>
      <w:r w:rsidRPr="004C5551">
        <w:t xml:space="preserve"> o tento príspevok v nadväznosti na úpravy podmienok poskytovania príspevku </w:t>
      </w:r>
      <w:r w:rsidR="00E60AEE" w:rsidRPr="004C5551">
        <w:t>od </w:t>
      </w:r>
      <w:r w:rsidRPr="004C5551">
        <w:t>1</w:t>
      </w:r>
      <w:r w:rsidR="00E60AEE" w:rsidRPr="004C5551">
        <w:t>. </w:t>
      </w:r>
      <w:r w:rsidRPr="004C5551">
        <w:t>5</w:t>
      </w:r>
      <w:r w:rsidR="00E60AEE" w:rsidRPr="004C5551">
        <w:t>. </w:t>
      </w:r>
      <w:r w:rsidRPr="004C5551">
        <w:t xml:space="preserve">2013. Celkovo bol príspevok čerpaný vo výške 431 095 </w:t>
      </w:r>
      <w:r w:rsidR="00AA0137" w:rsidRPr="004C5551">
        <w:t>eur</w:t>
      </w:r>
      <w:r w:rsidRPr="004C5551">
        <w:t xml:space="preserve">, čo je v porovnaní s rokom 2013 pokles o 2 112 058 </w:t>
      </w:r>
      <w:r w:rsidR="00AA0137" w:rsidRPr="004C5551">
        <w:t>eur</w:t>
      </w:r>
      <w:r w:rsidRPr="004C5551">
        <w:t>.</w:t>
      </w:r>
    </w:p>
    <w:p w:rsidR="00A03BF5" w:rsidRPr="004C5551" w:rsidRDefault="00A03BF5" w:rsidP="00A03BF5">
      <w:pPr>
        <w:pStyle w:val="Normlnysozarkami"/>
        <w:ind w:firstLine="567"/>
      </w:pPr>
    </w:p>
    <w:p w:rsidR="00A03BF5" w:rsidRPr="004C5551" w:rsidRDefault="00A03BF5" w:rsidP="00277C0E">
      <w:pPr>
        <w:spacing w:after="60"/>
        <w:rPr>
          <w:b/>
        </w:rPr>
      </w:pPr>
      <w:r w:rsidRPr="004C5551">
        <w:rPr>
          <w:b/>
        </w:rPr>
        <w:t>Príspevok na činnosť pracovného asistenta (§ 59)</w:t>
      </w:r>
    </w:p>
    <w:p w:rsidR="00A03BF5" w:rsidRPr="004C5551" w:rsidRDefault="00A03BF5" w:rsidP="002A746E">
      <w:pPr>
        <w:pStyle w:val="Normlnysozarkami"/>
        <w:ind w:firstLine="431"/>
        <w:rPr>
          <w:szCs w:val="22"/>
        </w:rPr>
      </w:pPr>
      <w:r w:rsidRPr="004C5551">
        <w:t>Cieľom tohto opatrenia je vytvárať podmienky pre výkon zamestnania OZP</w:t>
      </w:r>
      <w:r w:rsidRPr="004C5551">
        <w:rPr>
          <w:szCs w:val="22"/>
        </w:rPr>
        <w:t xml:space="preserve">, ak potreba pracovného asistenta vyplýva z druhu zdravotného postihnutia a z vykonávanej pracovnej činnosti OZP. </w:t>
      </w:r>
      <w:r w:rsidRPr="004C5551">
        <w:rPr>
          <w:bCs/>
        </w:rPr>
        <w:t xml:space="preserve">Úrad </w:t>
      </w:r>
      <w:r w:rsidR="004928A6" w:rsidRPr="004C5551">
        <w:rPr>
          <w:bCs/>
        </w:rPr>
        <w:t xml:space="preserve">PSVR </w:t>
      </w:r>
      <w:r w:rsidRPr="004C5551">
        <w:rPr>
          <w:bCs/>
        </w:rPr>
        <w:t xml:space="preserve">poskytne príspevok zamestnávateľovi, ktorý zamestnáva OZP, alebo samostatne zárobkovo činnej osobe, ktorá je OZP, ak z druhu zdravotného postihnutia a z vykonávanej pracovnej činnosti zamestnanca alebo samostatne zárobkovo činnej osoby vyplýva potreba pracovného asistenta. </w:t>
      </w:r>
    </w:p>
    <w:p w:rsidR="00A03BF5" w:rsidRPr="004C5551" w:rsidRDefault="00A03BF5" w:rsidP="002A746E">
      <w:pPr>
        <w:pStyle w:val="Normlnysozarkami"/>
        <w:ind w:firstLine="431"/>
      </w:pPr>
      <w:r w:rsidRPr="004C5551">
        <w:t>Úrady</w:t>
      </w:r>
      <w:r w:rsidR="004928A6" w:rsidRPr="004C5551">
        <w:t xml:space="preserve"> PSVR</w:t>
      </w:r>
      <w:r w:rsidRPr="004C5551">
        <w:t xml:space="preserve"> v roku 2014 podporili 770 pracovných miest pre pracovného asistenta, čo bolo o 6 viac ako v roku 2013. Celková suma čerpaných finančných prostriedkov bola vo výške 3 220 722 </w:t>
      </w:r>
      <w:r w:rsidR="00AA0137" w:rsidRPr="004C5551">
        <w:t>eur</w:t>
      </w:r>
      <w:r w:rsidRPr="004C5551">
        <w:t xml:space="preserve">, čo je o 441 955 </w:t>
      </w:r>
      <w:r w:rsidR="00AA0137" w:rsidRPr="004C5551">
        <w:t>eur</w:t>
      </w:r>
      <w:r w:rsidRPr="004C5551">
        <w:t xml:space="preserve"> menej ako v roku 2013.</w:t>
      </w:r>
    </w:p>
    <w:p w:rsidR="00A03BF5" w:rsidRPr="004C5551" w:rsidRDefault="00A03BF5" w:rsidP="00A03BF5">
      <w:pPr>
        <w:pStyle w:val="Normlnysozarkami"/>
        <w:ind w:firstLine="567"/>
      </w:pPr>
      <w:r w:rsidRPr="004C5551">
        <w:t xml:space="preserve"> </w:t>
      </w:r>
    </w:p>
    <w:p w:rsidR="00A03BF5" w:rsidRPr="004C5551" w:rsidRDefault="00A03BF5" w:rsidP="00277C0E">
      <w:pPr>
        <w:spacing w:after="60"/>
        <w:rPr>
          <w:b/>
        </w:rPr>
      </w:pPr>
      <w:r w:rsidRPr="004C5551">
        <w:rPr>
          <w:b/>
        </w:rPr>
        <w:t>Príspevok na úhradu prevádzkových nákladov chránenej dielne alebo chráneného pracoviska a na úhradu nákladov na dopravu zamestnancov (§ 60)</w:t>
      </w:r>
    </w:p>
    <w:p w:rsidR="00A03BF5" w:rsidRPr="004C5551" w:rsidRDefault="00A03BF5" w:rsidP="002A746E">
      <w:pPr>
        <w:ind w:firstLine="431"/>
      </w:pPr>
      <w:r w:rsidRPr="004C5551">
        <w:t xml:space="preserve">Príspevok na úhradu prevádzkových nákladov CHD alebo CHP a na úhradu nákladov </w:t>
      </w:r>
      <w:r w:rsidR="00E60AEE" w:rsidRPr="004C5551">
        <w:t>na </w:t>
      </w:r>
      <w:r w:rsidRPr="004C5551">
        <w:t xml:space="preserve">dopravu zamestnancov sa poskytuje právnickej osobe alebo fyzickej osobe najneskôr do konca prvého kalendárneho mesiaca štvrťroka nasledujúceho po štvrťroku, za ktorý príspevok žiada. </w:t>
      </w:r>
      <w:r w:rsidRPr="004C5551">
        <w:rPr>
          <w:bCs/>
        </w:rPr>
        <w:t>Výška príspevku je závislá od priemernej miery evidovanej nezamestnanosti v príslušnom okrese.</w:t>
      </w:r>
    </w:p>
    <w:p w:rsidR="00635489" w:rsidRPr="004C5551" w:rsidRDefault="00A03BF5" w:rsidP="002A746E">
      <w:pPr>
        <w:pStyle w:val="Normlnysozarkami"/>
        <w:ind w:firstLine="431"/>
      </w:pPr>
      <w:r w:rsidRPr="004C5551">
        <w:t>V roku 2014 bolo prostredníctvom tohto opatrenia podporených 9 728 pracovných miest, čo v porovnaní s rokom 2013 predstavuje nárast o 2 919 pracovných miest.</w:t>
      </w:r>
      <w:r w:rsidRPr="004C5551">
        <w:rPr>
          <w:color w:val="00B050"/>
        </w:rPr>
        <w:t xml:space="preserve"> </w:t>
      </w:r>
      <w:r w:rsidRPr="004C5551">
        <w:t xml:space="preserve">Celková suma na úhradu nákladov predstavovala 20 258 100 </w:t>
      </w:r>
      <w:r w:rsidR="00AA0137" w:rsidRPr="004C5551">
        <w:t>eur</w:t>
      </w:r>
      <w:r w:rsidRPr="004C5551">
        <w:t xml:space="preserve"> čo je o 2 512 853 </w:t>
      </w:r>
      <w:r w:rsidR="00AA0137" w:rsidRPr="004C5551">
        <w:t>eur</w:t>
      </w:r>
      <w:r w:rsidRPr="004C5551">
        <w:t xml:space="preserve"> viac ako v roku 2013. </w:t>
      </w:r>
    </w:p>
    <w:p w:rsidR="00465417" w:rsidRPr="004C5551" w:rsidRDefault="00465417" w:rsidP="002A746E">
      <w:pPr>
        <w:pStyle w:val="Normlnysozarkami"/>
        <w:ind w:firstLine="431"/>
      </w:pPr>
      <w:r w:rsidRPr="004C5551">
        <w:br w:type="page"/>
      </w:r>
    </w:p>
    <w:p w:rsidR="00641072" w:rsidRPr="004C5551" w:rsidRDefault="00641072" w:rsidP="00641072">
      <w:pPr>
        <w:pStyle w:val="Nadpis7"/>
        <w:rPr>
          <w:b w:val="0"/>
          <w:i/>
        </w:rPr>
      </w:pPr>
      <w:r w:rsidRPr="004C5551">
        <w:t>Tabuľka</w:t>
      </w:r>
      <w:r w:rsidR="00754C2A" w:rsidRPr="004C5551">
        <w:t xml:space="preserve"> 6</w:t>
      </w:r>
      <w:r w:rsidRPr="004C5551">
        <w:t xml:space="preserve"> Priemerná hrubá mesačná mzda v podnikateľskej a nepodnikateľskej sfére podľa stupňov vzdelania (plný pracovný čas) </w:t>
      </w:r>
      <w:r w:rsidR="00E52DFA" w:rsidRPr="004C5551">
        <w:rPr>
          <w:color w:val="000000" w:themeColor="text1"/>
        </w:rPr>
        <w:t>–</w:t>
      </w:r>
      <w:r w:rsidRPr="004C5551">
        <w:t xml:space="preserve"> rok 201</w:t>
      </w:r>
      <w:r w:rsidR="00A03BF5" w:rsidRPr="004C5551">
        <w:t>4</w:t>
      </w:r>
    </w:p>
    <w:p w:rsidR="00641072" w:rsidRPr="004C5551" w:rsidRDefault="00641072" w:rsidP="00641072">
      <w:pPr>
        <w:ind w:right="-426"/>
        <w:jc w:val="right"/>
        <w:rPr>
          <w:color w:val="333300"/>
        </w:rPr>
      </w:pPr>
      <w:r w:rsidRPr="004C5551">
        <w:rPr>
          <w:color w:val="333300"/>
          <w:szCs w:val="22"/>
        </w:rPr>
        <w:t xml:space="preserve">v </w:t>
      </w:r>
      <w:r w:rsidR="00AA0137" w:rsidRPr="004C5551">
        <w:rPr>
          <w:color w:val="333300"/>
          <w:szCs w:val="22"/>
        </w:rPr>
        <w:t>€</w:t>
      </w:r>
    </w:p>
    <w:tbl>
      <w:tblPr>
        <w:tblW w:w="9633" w:type="dxa"/>
        <w:jc w:val="center"/>
        <w:tblInd w:w="55" w:type="dxa"/>
        <w:tblLayout w:type="fixed"/>
        <w:tblCellMar>
          <w:left w:w="70" w:type="dxa"/>
          <w:right w:w="70" w:type="dxa"/>
        </w:tblCellMar>
        <w:tblLook w:val="0000" w:firstRow="0" w:lastRow="0" w:firstColumn="0" w:lastColumn="0" w:noHBand="0" w:noVBand="0"/>
      </w:tblPr>
      <w:tblGrid>
        <w:gridCol w:w="3417"/>
        <w:gridCol w:w="1134"/>
        <w:gridCol w:w="993"/>
        <w:gridCol w:w="992"/>
        <w:gridCol w:w="1134"/>
        <w:gridCol w:w="992"/>
        <w:gridCol w:w="971"/>
      </w:tblGrid>
      <w:tr w:rsidR="00641072" w:rsidRPr="004C5551" w:rsidTr="009A02B2">
        <w:trPr>
          <w:trHeight w:val="234"/>
          <w:jc w:val="center"/>
        </w:trPr>
        <w:tc>
          <w:tcPr>
            <w:tcW w:w="3417" w:type="dxa"/>
            <w:vMerge w:val="restart"/>
            <w:tcBorders>
              <w:top w:val="single" w:sz="4" w:space="0" w:color="auto"/>
              <w:left w:val="single" w:sz="4" w:space="0" w:color="auto"/>
              <w:bottom w:val="single" w:sz="4" w:space="0" w:color="000000"/>
              <w:right w:val="single" w:sz="4" w:space="0" w:color="auto"/>
            </w:tcBorders>
            <w:shd w:val="clear" w:color="auto" w:fill="FF9999" w:themeFill="accent3" w:themeFillTint="66"/>
            <w:vAlign w:val="center"/>
          </w:tcPr>
          <w:p w:rsidR="00641072" w:rsidRPr="004C5551" w:rsidRDefault="00641072" w:rsidP="00641072">
            <w:pPr>
              <w:jc w:val="center"/>
              <w:rPr>
                <w:b/>
                <w:bCs/>
                <w:color w:val="333300"/>
                <w:sz w:val="20"/>
                <w:szCs w:val="20"/>
              </w:rPr>
            </w:pPr>
            <w:r w:rsidRPr="004C5551">
              <w:rPr>
                <w:b/>
                <w:bCs/>
                <w:color w:val="333300"/>
                <w:sz w:val="20"/>
                <w:szCs w:val="20"/>
              </w:rPr>
              <w:t>Vzdelanie</w:t>
            </w:r>
          </w:p>
        </w:tc>
        <w:tc>
          <w:tcPr>
            <w:tcW w:w="3119" w:type="dxa"/>
            <w:gridSpan w:val="3"/>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ind w:hanging="10"/>
              <w:jc w:val="center"/>
              <w:rPr>
                <w:b/>
                <w:color w:val="333300"/>
                <w:sz w:val="20"/>
                <w:szCs w:val="20"/>
              </w:rPr>
            </w:pPr>
            <w:r w:rsidRPr="004C5551">
              <w:rPr>
                <w:b/>
                <w:color w:val="333300"/>
                <w:sz w:val="20"/>
                <w:szCs w:val="20"/>
              </w:rPr>
              <w:t xml:space="preserve">Podnikateľská sféra </w:t>
            </w:r>
          </w:p>
        </w:tc>
        <w:tc>
          <w:tcPr>
            <w:tcW w:w="3097" w:type="dxa"/>
            <w:gridSpan w:val="3"/>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jc w:val="center"/>
              <w:rPr>
                <w:b/>
                <w:color w:val="333300"/>
                <w:sz w:val="20"/>
                <w:szCs w:val="20"/>
              </w:rPr>
            </w:pPr>
            <w:r w:rsidRPr="004C5551">
              <w:rPr>
                <w:b/>
                <w:color w:val="333300"/>
                <w:sz w:val="20"/>
                <w:szCs w:val="20"/>
              </w:rPr>
              <w:t>Nepodnikateľská sféra</w:t>
            </w:r>
          </w:p>
        </w:tc>
      </w:tr>
      <w:tr w:rsidR="00641072" w:rsidRPr="004C5551" w:rsidTr="009A02B2">
        <w:trPr>
          <w:trHeight w:val="264"/>
          <w:jc w:val="center"/>
        </w:trPr>
        <w:tc>
          <w:tcPr>
            <w:tcW w:w="341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641072" w:rsidRPr="004C5551" w:rsidRDefault="00641072" w:rsidP="00641072">
            <w:pPr>
              <w:rPr>
                <w:b/>
                <w:bCs/>
                <w:color w:val="333300"/>
                <w:sz w:val="20"/>
                <w:szCs w:val="20"/>
              </w:rPr>
            </w:pPr>
          </w:p>
        </w:tc>
        <w:tc>
          <w:tcPr>
            <w:tcW w:w="1134"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ind w:hanging="10"/>
              <w:jc w:val="center"/>
              <w:rPr>
                <w:b/>
                <w:color w:val="333300"/>
                <w:sz w:val="20"/>
                <w:szCs w:val="20"/>
              </w:rPr>
            </w:pPr>
            <w:r w:rsidRPr="004C5551">
              <w:rPr>
                <w:b/>
                <w:color w:val="333300"/>
                <w:sz w:val="20"/>
                <w:szCs w:val="20"/>
              </w:rPr>
              <w:t>Spolu</w:t>
            </w:r>
          </w:p>
        </w:tc>
        <w:tc>
          <w:tcPr>
            <w:tcW w:w="993"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ind w:hanging="10"/>
              <w:jc w:val="center"/>
              <w:rPr>
                <w:b/>
                <w:color w:val="333300"/>
                <w:sz w:val="20"/>
                <w:szCs w:val="20"/>
              </w:rPr>
            </w:pPr>
            <w:r w:rsidRPr="004C5551">
              <w:rPr>
                <w:b/>
                <w:color w:val="333300"/>
                <w:sz w:val="20"/>
                <w:szCs w:val="20"/>
              </w:rPr>
              <w:t>Muži</w:t>
            </w:r>
          </w:p>
        </w:tc>
        <w:tc>
          <w:tcPr>
            <w:tcW w:w="992"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ind w:hanging="10"/>
              <w:jc w:val="center"/>
              <w:rPr>
                <w:b/>
                <w:color w:val="333300"/>
                <w:sz w:val="20"/>
                <w:szCs w:val="20"/>
              </w:rPr>
            </w:pPr>
            <w:r w:rsidRPr="004C5551">
              <w:rPr>
                <w:b/>
                <w:color w:val="333300"/>
                <w:sz w:val="20"/>
                <w:szCs w:val="20"/>
              </w:rPr>
              <w:t>Ženy</w:t>
            </w:r>
          </w:p>
        </w:tc>
        <w:tc>
          <w:tcPr>
            <w:tcW w:w="1134"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jc w:val="center"/>
              <w:rPr>
                <w:b/>
                <w:color w:val="333300"/>
                <w:sz w:val="20"/>
                <w:szCs w:val="20"/>
              </w:rPr>
            </w:pPr>
            <w:r w:rsidRPr="004C5551">
              <w:rPr>
                <w:b/>
                <w:color w:val="333300"/>
                <w:sz w:val="20"/>
                <w:szCs w:val="20"/>
              </w:rPr>
              <w:t>Spolu</w:t>
            </w:r>
          </w:p>
        </w:tc>
        <w:tc>
          <w:tcPr>
            <w:tcW w:w="992"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jc w:val="center"/>
              <w:rPr>
                <w:b/>
                <w:color w:val="333300"/>
                <w:sz w:val="20"/>
                <w:szCs w:val="20"/>
              </w:rPr>
            </w:pPr>
            <w:r w:rsidRPr="004C5551">
              <w:rPr>
                <w:b/>
                <w:color w:val="333300"/>
                <w:sz w:val="20"/>
                <w:szCs w:val="20"/>
              </w:rPr>
              <w:t>Muži</w:t>
            </w:r>
          </w:p>
        </w:tc>
        <w:tc>
          <w:tcPr>
            <w:tcW w:w="971" w:type="dxa"/>
            <w:tcBorders>
              <w:top w:val="single" w:sz="4" w:space="0" w:color="auto"/>
              <w:left w:val="nil"/>
              <w:bottom w:val="single" w:sz="4" w:space="0" w:color="auto"/>
              <w:right w:val="single" w:sz="4" w:space="0" w:color="auto"/>
            </w:tcBorders>
            <w:shd w:val="clear" w:color="auto" w:fill="FF9999" w:themeFill="accent3" w:themeFillTint="66"/>
          </w:tcPr>
          <w:p w:rsidR="00641072" w:rsidRPr="004C5551" w:rsidRDefault="00641072" w:rsidP="00641072">
            <w:pPr>
              <w:jc w:val="center"/>
              <w:rPr>
                <w:b/>
                <w:color w:val="333300"/>
                <w:sz w:val="20"/>
                <w:szCs w:val="20"/>
              </w:rPr>
            </w:pPr>
            <w:r w:rsidRPr="004C5551">
              <w:rPr>
                <w:b/>
                <w:color w:val="333300"/>
                <w:sz w:val="20"/>
                <w:szCs w:val="20"/>
              </w:rPr>
              <w:t>Ženy</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rPr>
                <w:b/>
                <w:color w:val="333300"/>
                <w:sz w:val="20"/>
                <w:szCs w:val="20"/>
              </w:rPr>
            </w:pPr>
            <w:r w:rsidRPr="004C5551">
              <w:rPr>
                <w:b/>
                <w:color w:val="333300"/>
                <w:sz w:val="20"/>
                <w:szCs w:val="20"/>
              </w:rPr>
              <w:t>Spolu SR</w:t>
            </w:r>
          </w:p>
        </w:tc>
        <w:tc>
          <w:tcPr>
            <w:tcW w:w="1134"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1 019</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1 113</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877</w:t>
            </w:r>
          </w:p>
        </w:tc>
        <w:tc>
          <w:tcPr>
            <w:tcW w:w="1134"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868</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959</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b/>
                <w:color w:val="333300"/>
                <w:sz w:val="20"/>
                <w:szCs w:val="20"/>
              </w:rPr>
            </w:pPr>
            <w:r w:rsidRPr="004C5551">
              <w:rPr>
                <w:b/>
                <w:color w:val="333300"/>
                <w:sz w:val="20"/>
                <w:szCs w:val="20"/>
              </w:rPr>
              <w:t>834</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Základné</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679</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761</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592</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493</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557</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471</w:t>
            </w:r>
          </w:p>
        </w:tc>
      </w:tr>
      <w:tr w:rsidR="00BB2139" w:rsidRPr="004C5551" w:rsidTr="009A02B2">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Vyučení</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773</w:t>
            </w:r>
          </w:p>
        </w:tc>
        <w:tc>
          <w:tcPr>
            <w:tcW w:w="993"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843</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619</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536</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625</w:t>
            </w:r>
          </w:p>
        </w:tc>
        <w:tc>
          <w:tcPr>
            <w:tcW w:w="971"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482</w:t>
            </w:r>
          </w:p>
        </w:tc>
      </w:tr>
      <w:tr w:rsidR="00BB2139" w:rsidRPr="004C5551" w:rsidTr="009A02B2">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Stredné (bez maturity)</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734</w:t>
            </w:r>
          </w:p>
        </w:tc>
        <w:tc>
          <w:tcPr>
            <w:tcW w:w="993"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787</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641</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582</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691</w:t>
            </w:r>
          </w:p>
        </w:tc>
        <w:tc>
          <w:tcPr>
            <w:tcW w:w="971"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527</w:t>
            </w:r>
          </w:p>
        </w:tc>
      </w:tr>
      <w:tr w:rsidR="00BB2139" w:rsidRPr="004C5551" w:rsidTr="009A02B2">
        <w:trPr>
          <w:trHeight w:hRule="exact" w:val="284"/>
          <w:jc w:val="center"/>
        </w:trPr>
        <w:tc>
          <w:tcPr>
            <w:tcW w:w="3417" w:type="dxa"/>
            <w:tcBorders>
              <w:top w:val="nil"/>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Vyučení s maturitou</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907</w:t>
            </w:r>
          </w:p>
        </w:tc>
        <w:tc>
          <w:tcPr>
            <w:tcW w:w="993"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993</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735</w:t>
            </w:r>
          </w:p>
        </w:tc>
        <w:tc>
          <w:tcPr>
            <w:tcW w:w="1134" w:type="dxa"/>
            <w:tcBorders>
              <w:top w:val="nil"/>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698</w:t>
            </w:r>
          </w:p>
        </w:tc>
        <w:tc>
          <w:tcPr>
            <w:tcW w:w="992"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783</w:t>
            </w:r>
          </w:p>
        </w:tc>
        <w:tc>
          <w:tcPr>
            <w:tcW w:w="971" w:type="dxa"/>
            <w:tcBorders>
              <w:top w:val="nil"/>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654</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Úplné stredné všeobecné</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947</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1 082</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830</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763</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861</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741</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Úplné stredné odborné</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975</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1 084</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867</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780</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813</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775</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Vyššie odborné</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1 097</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1 285</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984</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903</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863</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910</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 xml:space="preserve">Vysokoškolské I. stupňa </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1 179</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1 401</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991</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851</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910</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836</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 xml:space="preserve">Vysokoškolské II. stupňa </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1 697</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1 903</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1 400</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1 062</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1 161</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1 025</w:t>
            </w:r>
          </w:p>
        </w:tc>
      </w:tr>
      <w:tr w:rsidR="00BB2139" w:rsidRPr="004C5551" w:rsidTr="009A02B2">
        <w:trPr>
          <w:trHeight w:hRule="exact" w:val="284"/>
          <w:jc w:val="center"/>
        </w:trPr>
        <w:tc>
          <w:tcPr>
            <w:tcW w:w="3417" w:type="dxa"/>
            <w:tcBorders>
              <w:top w:val="single" w:sz="4" w:space="0" w:color="auto"/>
              <w:left w:val="single" w:sz="4" w:space="0" w:color="auto"/>
              <w:bottom w:val="single" w:sz="4" w:space="0" w:color="auto"/>
              <w:right w:val="single" w:sz="4" w:space="0" w:color="auto"/>
            </w:tcBorders>
            <w:vAlign w:val="center"/>
          </w:tcPr>
          <w:p w:rsidR="00BB2139" w:rsidRPr="004C5551" w:rsidRDefault="00BB2139" w:rsidP="00502AAC">
            <w:pPr>
              <w:ind w:left="113"/>
              <w:rPr>
                <w:color w:val="333300"/>
                <w:sz w:val="20"/>
                <w:szCs w:val="20"/>
              </w:rPr>
            </w:pPr>
            <w:r w:rsidRPr="004C5551">
              <w:rPr>
                <w:color w:val="333300"/>
                <w:sz w:val="20"/>
                <w:szCs w:val="20"/>
              </w:rPr>
              <w:t xml:space="preserve">Vysokoškolské III. stupňa </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color w:val="333300"/>
                <w:sz w:val="20"/>
                <w:szCs w:val="20"/>
              </w:rPr>
            </w:pPr>
            <w:r w:rsidRPr="004C5551">
              <w:rPr>
                <w:color w:val="333300"/>
                <w:sz w:val="20"/>
                <w:szCs w:val="20"/>
              </w:rPr>
              <w:t>2 303</w:t>
            </w:r>
          </w:p>
        </w:tc>
        <w:tc>
          <w:tcPr>
            <w:tcW w:w="993"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2 666</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1 687</w:t>
            </w:r>
          </w:p>
        </w:tc>
        <w:tc>
          <w:tcPr>
            <w:tcW w:w="1134" w:type="dxa"/>
            <w:tcBorders>
              <w:top w:val="single" w:sz="4" w:space="0" w:color="auto"/>
              <w:left w:val="nil"/>
              <w:bottom w:val="single" w:sz="4" w:space="0" w:color="auto"/>
              <w:right w:val="single" w:sz="4" w:space="0" w:color="auto"/>
            </w:tcBorders>
            <w:vAlign w:val="center"/>
          </w:tcPr>
          <w:p w:rsidR="00BB2139" w:rsidRPr="004C5551" w:rsidRDefault="00BB2139" w:rsidP="00502AAC">
            <w:pPr>
              <w:ind w:right="174"/>
              <w:jc w:val="right"/>
              <w:rPr>
                <w:sz w:val="20"/>
                <w:szCs w:val="20"/>
              </w:rPr>
            </w:pPr>
            <w:r w:rsidRPr="004C5551">
              <w:rPr>
                <w:sz w:val="20"/>
                <w:szCs w:val="20"/>
              </w:rPr>
              <w:t>1 354</w:t>
            </w:r>
          </w:p>
        </w:tc>
        <w:tc>
          <w:tcPr>
            <w:tcW w:w="992"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1 424</w:t>
            </w:r>
          </w:p>
        </w:tc>
        <w:tc>
          <w:tcPr>
            <w:tcW w:w="971" w:type="dxa"/>
            <w:tcBorders>
              <w:top w:val="single" w:sz="4" w:space="0" w:color="auto"/>
              <w:left w:val="nil"/>
              <w:bottom w:val="single" w:sz="4" w:space="0" w:color="auto"/>
              <w:right w:val="single" w:sz="4" w:space="0" w:color="auto"/>
            </w:tcBorders>
            <w:noWrap/>
            <w:vAlign w:val="center"/>
          </w:tcPr>
          <w:p w:rsidR="00BB2139" w:rsidRPr="004C5551" w:rsidRDefault="00BB2139" w:rsidP="00502AAC">
            <w:pPr>
              <w:ind w:right="174"/>
              <w:jc w:val="right"/>
              <w:rPr>
                <w:color w:val="333300"/>
                <w:sz w:val="20"/>
                <w:szCs w:val="20"/>
              </w:rPr>
            </w:pPr>
            <w:r w:rsidRPr="004C5551">
              <w:rPr>
                <w:color w:val="333300"/>
                <w:sz w:val="20"/>
                <w:szCs w:val="20"/>
              </w:rPr>
              <w:t>1 261</w:t>
            </w:r>
          </w:p>
        </w:tc>
      </w:tr>
    </w:tbl>
    <w:p w:rsidR="00BB2139" w:rsidRPr="004C5551" w:rsidRDefault="00BB2139" w:rsidP="00BB2139">
      <w:pPr>
        <w:pStyle w:val="zdroj"/>
        <w:spacing w:after="0"/>
        <w:ind w:firstLine="0"/>
      </w:pPr>
      <w:r w:rsidRPr="004C5551">
        <w:t xml:space="preserve">Zdroj: </w:t>
      </w:r>
      <w:proofErr w:type="spellStart"/>
      <w:r w:rsidRPr="004C5551">
        <w:t>Trexima</w:t>
      </w:r>
      <w:proofErr w:type="spellEnd"/>
      <w:r w:rsidRPr="004C5551">
        <w:t>, Informačný systém o priemerných zárobkoch IV. štvrťrok 2014</w:t>
      </w:r>
    </w:p>
    <w:p w:rsidR="00BB2139" w:rsidRPr="004C5551" w:rsidRDefault="00BB2139" w:rsidP="00BB2139">
      <w:pPr>
        <w:rPr>
          <w:lang w:eastAsia="cs-CZ"/>
        </w:rPr>
      </w:pPr>
    </w:p>
    <w:p w:rsidR="00641072" w:rsidRPr="004C5551" w:rsidRDefault="00641072" w:rsidP="00641072">
      <w:pPr>
        <w:pStyle w:val="zdroj"/>
        <w:spacing w:after="0"/>
        <w:ind w:firstLine="0"/>
      </w:pPr>
    </w:p>
    <w:p w:rsidR="00641072" w:rsidRPr="004C5551" w:rsidRDefault="00641072" w:rsidP="00641072">
      <w:pPr>
        <w:rPr>
          <w:lang w:eastAsia="cs-CZ"/>
        </w:rPr>
      </w:pPr>
    </w:p>
    <w:p w:rsidR="00641072" w:rsidRPr="004C5551" w:rsidRDefault="00641072" w:rsidP="00641072">
      <w:pPr>
        <w:pStyle w:val="Nadpis7"/>
        <w:rPr>
          <w:b w:val="0"/>
          <w:i/>
        </w:rPr>
      </w:pPr>
      <w:r w:rsidRPr="004C5551">
        <w:t xml:space="preserve">Tabuľka </w:t>
      </w:r>
      <w:r w:rsidR="00754C2A" w:rsidRPr="004C5551">
        <w:t>7</w:t>
      </w:r>
      <w:r w:rsidRPr="004C5551">
        <w:t xml:space="preserve"> Priemerná hrubá mesačná mzda v podnikateľskej a nepodnikateľskej sfére podľa hlavnej triedy </w:t>
      </w:r>
      <w:r w:rsidR="00586B82" w:rsidRPr="004C5551">
        <w:t xml:space="preserve">SK ISCO-08 </w:t>
      </w:r>
      <w:r w:rsidRPr="004C5551">
        <w:t>a pohlavia (plný pracovný čas) – rok 201</w:t>
      </w:r>
      <w:r w:rsidR="00BB2139" w:rsidRPr="004C5551">
        <w:t>4</w:t>
      </w:r>
    </w:p>
    <w:p w:rsidR="00641072" w:rsidRPr="004C5551" w:rsidRDefault="00641072" w:rsidP="00641072">
      <w:pPr>
        <w:ind w:right="-426"/>
        <w:jc w:val="right"/>
        <w:rPr>
          <w:color w:val="333300"/>
          <w:szCs w:val="22"/>
        </w:rPr>
      </w:pPr>
      <w:r w:rsidRPr="004C5551">
        <w:rPr>
          <w:color w:val="333300"/>
          <w:szCs w:val="22"/>
        </w:rPr>
        <w:t xml:space="preserve">v </w:t>
      </w:r>
      <w:r w:rsidR="00AA0137" w:rsidRPr="004C5551">
        <w:rPr>
          <w:color w:val="333300"/>
          <w:szCs w:val="22"/>
        </w:rPr>
        <w:t>€</w:t>
      </w:r>
    </w:p>
    <w:tbl>
      <w:tblPr>
        <w:tblW w:w="961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1"/>
        <w:gridCol w:w="856"/>
        <w:gridCol w:w="856"/>
        <w:gridCol w:w="856"/>
        <w:gridCol w:w="856"/>
        <w:gridCol w:w="856"/>
        <w:gridCol w:w="856"/>
      </w:tblGrid>
      <w:tr w:rsidR="00641072" w:rsidRPr="004C5551" w:rsidTr="009A02B2">
        <w:trPr>
          <w:trHeight w:val="323"/>
          <w:jc w:val="center"/>
        </w:trPr>
        <w:tc>
          <w:tcPr>
            <w:tcW w:w="4481" w:type="dxa"/>
            <w:vMerge w:val="restart"/>
            <w:shd w:val="clear" w:color="auto" w:fill="FF9999" w:themeFill="accent3" w:themeFillTint="66"/>
            <w:vAlign w:val="center"/>
          </w:tcPr>
          <w:p w:rsidR="00641072" w:rsidRPr="004C5551" w:rsidRDefault="00641072" w:rsidP="00794C37">
            <w:pPr>
              <w:jc w:val="center"/>
              <w:rPr>
                <w:b/>
                <w:bCs/>
                <w:color w:val="333300"/>
                <w:sz w:val="20"/>
                <w:szCs w:val="20"/>
              </w:rPr>
            </w:pPr>
            <w:r w:rsidRPr="004C5551">
              <w:rPr>
                <w:b/>
                <w:bCs/>
                <w:color w:val="333300"/>
                <w:sz w:val="20"/>
                <w:szCs w:val="20"/>
              </w:rPr>
              <w:t xml:space="preserve">Hlavná trieda </w:t>
            </w:r>
            <w:r w:rsidR="00794C37" w:rsidRPr="004C5551">
              <w:rPr>
                <w:b/>
                <w:bCs/>
                <w:color w:val="333300"/>
                <w:sz w:val="20"/>
                <w:szCs w:val="20"/>
              </w:rPr>
              <w:t>SK ISCO-08</w:t>
            </w:r>
          </w:p>
        </w:tc>
        <w:tc>
          <w:tcPr>
            <w:tcW w:w="2568" w:type="dxa"/>
            <w:gridSpan w:val="3"/>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Podnikateľská sféra</w:t>
            </w:r>
          </w:p>
        </w:tc>
        <w:tc>
          <w:tcPr>
            <w:tcW w:w="2568" w:type="dxa"/>
            <w:gridSpan w:val="3"/>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Nepodnikateľská sféra</w:t>
            </w:r>
          </w:p>
        </w:tc>
      </w:tr>
      <w:tr w:rsidR="00641072" w:rsidRPr="004C5551" w:rsidTr="009A02B2">
        <w:trPr>
          <w:trHeight w:val="70"/>
          <w:jc w:val="center"/>
        </w:trPr>
        <w:tc>
          <w:tcPr>
            <w:tcW w:w="4481" w:type="dxa"/>
            <w:vMerge/>
            <w:shd w:val="clear" w:color="auto" w:fill="FF9999" w:themeFill="accent3" w:themeFillTint="66"/>
            <w:vAlign w:val="center"/>
          </w:tcPr>
          <w:p w:rsidR="00641072" w:rsidRPr="004C5551" w:rsidRDefault="00641072" w:rsidP="00641072">
            <w:pPr>
              <w:jc w:val="center"/>
              <w:rPr>
                <w:b/>
                <w:bCs/>
                <w:color w:val="333300"/>
                <w:sz w:val="20"/>
                <w:szCs w:val="20"/>
              </w:rPr>
            </w:pP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Spolu</w:t>
            </w: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Muži</w:t>
            </w: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Ženy</w:t>
            </w: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Spolu</w:t>
            </w: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Muži</w:t>
            </w:r>
          </w:p>
        </w:tc>
        <w:tc>
          <w:tcPr>
            <w:tcW w:w="856" w:type="dxa"/>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Ženy</w:t>
            </w:r>
          </w:p>
        </w:tc>
      </w:tr>
      <w:tr w:rsidR="00BB2139" w:rsidRPr="004C5551" w:rsidTr="009A02B2">
        <w:trPr>
          <w:trHeight w:val="270"/>
          <w:jc w:val="center"/>
        </w:trPr>
        <w:tc>
          <w:tcPr>
            <w:tcW w:w="4481" w:type="dxa"/>
            <w:vAlign w:val="center"/>
          </w:tcPr>
          <w:p w:rsidR="00BB2139" w:rsidRPr="004C5551" w:rsidRDefault="00BB2139" w:rsidP="00502AAC">
            <w:pPr>
              <w:rPr>
                <w:b/>
                <w:color w:val="333300"/>
                <w:sz w:val="20"/>
                <w:szCs w:val="20"/>
              </w:rPr>
            </w:pPr>
            <w:r w:rsidRPr="004C5551">
              <w:rPr>
                <w:b/>
                <w:color w:val="333300"/>
                <w:sz w:val="20"/>
                <w:szCs w:val="20"/>
              </w:rPr>
              <w:t>Spolu SR</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1 019</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1 113</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877</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868</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959</w:t>
            </w:r>
          </w:p>
        </w:tc>
        <w:tc>
          <w:tcPr>
            <w:tcW w:w="856" w:type="dxa"/>
            <w:noWrap/>
            <w:vAlign w:val="center"/>
          </w:tcPr>
          <w:p w:rsidR="00BB2139" w:rsidRPr="004C5551" w:rsidRDefault="00BB2139" w:rsidP="00502AAC">
            <w:pPr>
              <w:ind w:right="75"/>
              <w:jc w:val="right"/>
              <w:rPr>
                <w:b/>
                <w:sz w:val="20"/>
                <w:szCs w:val="20"/>
              </w:rPr>
            </w:pPr>
            <w:r w:rsidRPr="004C5551">
              <w:rPr>
                <w:b/>
                <w:sz w:val="20"/>
                <w:szCs w:val="20"/>
              </w:rPr>
              <w:t>834</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Zákonodarcovia, vedúci a riadiaci zamestnanci</w:t>
            </w:r>
          </w:p>
        </w:tc>
        <w:tc>
          <w:tcPr>
            <w:tcW w:w="856" w:type="dxa"/>
            <w:vAlign w:val="center"/>
          </w:tcPr>
          <w:p w:rsidR="00BB2139" w:rsidRPr="004C5551" w:rsidRDefault="00BB2139" w:rsidP="00502AAC">
            <w:pPr>
              <w:ind w:right="75"/>
              <w:jc w:val="right"/>
              <w:rPr>
                <w:sz w:val="20"/>
                <w:szCs w:val="20"/>
              </w:rPr>
            </w:pPr>
            <w:r w:rsidRPr="004C5551">
              <w:rPr>
                <w:sz w:val="20"/>
                <w:szCs w:val="20"/>
              </w:rPr>
              <w:t>2 318</w:t>
            </w:r>
          </w:p>
        </w:tc>
        <w:tc>
          <w:tcPr>
            <w:tcW w:w="856" w:type="dxa"/>
            <w:vAlign w:val="center"/>
          </w:tcPr>
          <w:p w:rsidR="00BB2139" w:rsidRPr="004C5551" w:rsidRDefault="00BB2139" w:rsidP="00502AAC">
            <w:pPr>
              <w:ind w:right="75"/>
              <w:jc w:val="right"/>
              <w:rPr>
                <w:sz w:val="20"/>
                <w:szCs w:val="20"/>
              </w:rPr>
            </w:pPr>
            <w:r w:rsidRPr="004C5551">
              <w:rPr>
                <w:sz w:val="20"/>
                <w:szCs w:val="20"/>
              </w:rPr>
              <w:t>2 545</w:t>
            </w:r>
          </w:p>
        </w:tc>
        <w:tc>
          <w:tcPr>
            <w:tcW w:w="856" w:type="dxa"/>
            <w:vAlign w:val="center"/>
          </w:tcPr>
          <w:p w:rsidR="00BB2139" w:rsidRPr="004C5551" w:rsidRDefault="00BB2139" w:rsidP="00502AAC">
            <w:pPr>
              <w:ind w:right="75"/>
              <w:jc w:val="right"/>
              <w:rPr>
                <w:sz w:val="20"/>
                <w:szCs w:val="20"/>
              </w:rPr>
            </w:pPr>
            <w:r w:rsidRPr="004C5551">
              <w:rPr>
                <w:sz w:val="20"/>
                <w:szCs w:val="20"/>
              </w:rPr>
              <w:t>1 838</w:t>
            </w:r>
          </w:p>
        </w:tc>
        <w:tc>
          <w:tcPr>
            <w:tcW w:w="856" w:type="dxa"/>
            <w:vAlign w:val="center"/>
          </w:tcPr>
          <w:p w:rsidR="00BB2139" w:rsidRPr="004C5551" w:rsidRDefault="00BB2139" w:rsidP="00502AAC">
            <w:pPr>
              <w:ind w:right="75"/>
              <w:jc w:val="right"/>
              <w:rPr>
                <w:sz w:val="20"/>
                <w:szCs w:val="20"/>
              </w:rPr>
            </w:pPr>
            <w:r w:rsidRPr="004C5551">
              <w:rPr>
                <w:sz w:val="20"/>
                <w:szCs w:val="20"/>
              </w:rPr>
              <w:t>1 509</w:t>
            </w:r>
          </w:p>
        </w:tc>
        <w:tc>
          <w:tcPr>
            <w:tcW w:w="856" w:type="dxa"/>
            <w:noWrap/>
            <w:vAlign w:val="center"/>
          </w:tcPr>
          <w:p w:rsidR="00BB2139" w:rsidRPr="004C5551" w:rsidRDefault="00BB2139" w:rsidP="00502AAC">
            <w:pPr>
              <w:ind w:right="75"/>
              <w:jc w:val="right"/>
              <w:rPr>
                <w:sz w:val="20"/>
                <w:szCs w:val="20"/>
              </w:rPr>
            </w:pPr>
            <w:r w:rsidRPr="004C5551">
              <w:rPr>
                <w:sz w:val="20"/>
                <w:szCs w:val="20"/>
              </w:rPr>
              <w:t>1 764</w:t>
            </w:r>
          </w:p>
        </w:tc>
        <w:tc>
          <w:tcPr>
            <w:tcW w:w="856" w:type="dxa"/>
            <w:noWrap/>
            <w:vAlign w:val="center"/>
          </w:tcPr>
          <w:p w:rsidR="00BB2139" w:rsidRPr="004C5551" w:rsidRDefault="00BB2139" w:rsidP="00502AAC">
            <w:pPr>
              <w:ind w:right="75"/>
              <w:jc w:val="right"/>
              <w:rPr>
                <w:sz w:val="20"/>
                <w:szCs w:val="20"/>
              </w:rPr>
            </w:pPr>
            <w:r w:rsidRPr="004C5551">
              <w:rPr>
                <w:sz w:val="20"/>
                <w:szCs w:val="20"/>
              </w:rPr>
              <w:t>1 333</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Vedeckí a odborní duševní zamestnanci</w:t>
            </w:r>
          </w:p>
        </w:tc>
        <w:tc>
          <w:tcPr>
            <w:tcW w:w="856" w:type="dxa"/>
            <w:vAlign w:val="center"/>
          </w:tcPr>
          <w:p w:rsidR="00BB2139" w:rsidRPr="004C5551" w:rsidRDefault="00BB2139" w:rsidP="00502AAC">
            <w:pPr>
              <w:ind w:right="75"/>
              <w:jc w:val="right"/>
              <w:rPr>
                <w:sz w:val="20"/>
                <w:szCs w:val="20"/>
              </w:rPr>
            </w:pPr>
            <w:r w:rsidRPr="004C5551">
              <w:rPr>
                <w:sz w:val="20"/>
                <w:szCs w:val="20"/>
              </w:rPr>
              <w:t>1 576</w:t>
            </w:r>
          </w:p>
        </w:tc>
        <w:tc>
          <w:tcPr>
            <w:tcW w:w="856" w:type="dxa"/>
            <w:vAlign w:val="center"/>
          </w:tcPr>
          <w:p w:rsidR="00BB2139" w:rsidRPr="004C5551" w:rsidRDefault="00BB2139" w:rsidP="00502AAC">
            <w:pPr>
              <w:ind w:right="75"/>
              <w:jc w:val="right"/>
              <w:rPr>
                <w:sz w:val="20"/>
                <w:szCs w:val="20"/>
              </w:rPr>
            </w:pPr>
            <w:r w:rsidRPr="004C5551">
              <w:rPr>
                <w:sz w:val="20"/>
                <w:szCs w:val="20"/>
              </w:rPr>
              <w:t>1 774</w:t>
            </w:r>
          </w:p>
        </w:tc>
        <w:tc>
          <w:tcPr>
            <w:tcW w:w="856" w:type="dxa"/>
            <w:vAlign w:val="center"/>
          </w:tcPr>
          <w:p w:rsidR="00BB2139" w:rsidRPr="004C5551" w:rsidRDefault="00BB2139" w:rsidP="00502AAC">
            <w:pPr>
              <w:ind w:right="75"/>
              <w:jc w:val="right"/>
              <w:rPr>
                <w:sz w:val="20"/>
                <w:szCs w:val="20"/>
              </w:rPr>
            </w:pPr>
            <w:r w:rsidRPr="004C5551">
              <w:rPr>
                <w:sz w:val="20"/>
                <w:szCs w:val="20"/>
              </w:rPr>
              <w:t>1 331</w:t>
            </w:r>
          </w:p>
        </w:tc>
        <w:tc>
          <w:tcPr>
            <w:tcW w:w="856" w:type="dxa"/>
            <w:vAlign w:val="center"/>
          </w:tcPr>
          <w:p w:rsidR="00BB2139" w:rsidRPr="004C5551" w:rsidRDefault="00BB2139" w:rsidP="00502AAC">
            <w:pPr>
              <w:ind w:right="75"/>
              <w:jc w:val="right"/>
              <w:rPr>
                <w:sz w:val="20"/>
                <w:szCs w:val="20"/>
              </w:rPr>
            </w:pPr>
            <w:r w:rsidRPr="004C5551">
              <w:rPr>
                <w:sz w:val="20"/>
                <w:szCs w:val="20"/>
              </w:rPr>
              <w:t>987</w:t>
            </w:r>
          </w:p>
        </w:tc>
        <w:tc>
          <w:tcPr>
            <w:tcW w:w="856" w:type="dxa"/>
            <w:noWrap/>
            <w:vAlign w:val="center"/>
          </w:tcPr>
          <w:p w:rsidR="00BB2139" w:rsidRPr="004C5551" w:rsidRDefault="00BB2139" w:rsidP="00502AAC">
            <w:pPr>
              <w:ind w:right="75"/>
              <w:jc w:val="right"/>
              <w:rPr>
                <w:sz w:val="20"/>
                <w:szCs w:val="20"/>
              </w:rPr>
            </w:pPr>
            <w:r w:rsidRPr="004C5551">
              <w:rPr>
                <w:sz w:val="20"/>
                <w:szCs w:val="20"/>
              </w:rPr>
              <w:t>1 076</w:t>
            </w:r>
          </w:p>
        </w:tc>
        <w:tc>
          <w:tcPr>
            <w:tcW w:w="856" w:type="dxa"/>
            <w:noWrap/>
            <w:vAlign w:val="center"/>
          </w:tcPr>
          <w:p w:rsidR="00BB2139" w:rsidRPr="004C5551" w:rsidRDefault="00BB2139" w:rsidP="00502AAC">
            <w:pPr>
              <w:ind w:right="75"/>
              <w:jc w:val="right"/>
              <w:rPr>
                <w:sz w:val="20"/>
                <w:szCs w:val="20"/>
              </w:rPr>
            </w:pPr>
            <w:r w:rsidRPr="004C5551">
              <w:rPr>
                <w:sz w:val="20"/>
                <w:szCs w:val="20"/>
              </w:rPr>
              <w:t>959</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Technickí, zdravotnícki, pedagogickí zamestnanci</w:t>
            </w:r>
          </w:p>
        </w:tc>
        <w:tc>
          <w:tcPr>
            <w:tcW w:w="856" w:type="dxa"/>
            <w:vAlign w:val="center"/>
          </w:tcPr>
          <w:p w:rsidR="00BB2139" w:rsidRPr="004C5551" w:rsidRDefault="00BB2139" w:rsidP="00502AAC">
            <w:pPr>
              <w:ind w:right="75"/>
              <w:jc w:val="right"/>
              <w:rPr>
                <w:sz w:val="20"/>
                <w:szCs w:val="20"/>
              </w:rPr>
            </w:pPr>
            <w:r w:rsidRPr="004C5551">
              <w:rPr>
                <w:sz w:val="20"/>
                <w:szCs w:val="20"/>
              </w:rPr>
              <w:t>1 137</w:t>
            </w:r>
          </w:p>
        </w:tc>
        <w:tc>
          <w:tcPr>
            <w:tcW w:w="856" w:type="dxa"/>
            <w:vAlign w:val="center"/>
          </w:tcPr>
          <w:p w:rsidR="00BB2139" w:rsidRPr="004C5551" w:rsidRDefault="00BB2139" w:rsidP="00502AAC">
            <w:pPr>
              <w:ind w:right="75"/>
              <w:jc w:val="right"/>
              <w:rPr>
                <w:sz w:val="20"/>
                <w:szCs w:val="20"/>
              </w:rPr>
            </w:pPr>
            <w:r w:rsidRPr="004C5551">
              <w:rPr>
                <w:sz w:val="20"/>
                <w:szCs w:val="20"/>
              </w:rPr>
              <w:t>1 253</w:t>
            </w:r>
          </w:p>
        </w:tc>
        <w:tc>
          <w:tcPr>
            <w:tcW w:w="856" w:type="dxa"/>
            <w:vAlign w:val="center"/>
          </w:tcPr>
          <w:p w:rsidR="00BB2139" w:rsidRPr="004C5551" w:rsidRDefault="00BB2139" w:rsidP="00502AAC">
            <w:pPr>
              <w:ind w:right="75"/>
              <w:jc w:val="right"/>
              <w:rPr>
                <w:sz w:val="20"/>
                <w:szCs w:val="20"/>
              </w:rPr>
            </w:pPr>
            <w:r w:rsidRPr="004C5551">
              <w:rPr>
                <w:sz w:val="20"/>
                <w:szCs w:val="20"/>
              </w:rPr>
              <w:t>1 011</w:t>
            </w:r>
          </w:p>
        </w:tc>
        <w:tc>
          <w:tcPr>
            <w:tcW w:w="856" w:type="dxa"/>
            <w:vAlign w:val="center"/>
          </w:tcPr>
          <w:p w:rsidR="00BB2139" w:rsidRPr="004C5551" w:rsidRDefault="00BB2139" w:rsidP="00502AAC">
            <w:pPr>
              <w:ind w:right="75"/>
              <w:jc w:val="right"/>
              <w:rPr>
                <w:sz w:val="20"/>
                <w:szCs w:val="20"/>
              </w:rPr>
            </w:pPr>
            <w:r w:rsidRPr="004C5551">
              <w:rPr>
                <w:sz w:val="20"/>
                <w:szCs w:val="20"/>
              </w:rPr>
              <w:t>838</w:t>
            </w:r>
          </w:p>
        </w:tc>
        <w:tc>
          <w:tcPr>
            <w:tcW w:w="856" w:type="dxa"/>
            <w:noWrap/>
            <w:vAlign w:val="center"/>
          </w:tcPr>
          <w:p w:rsidR="00BB2139" w:rsidRPr="004C5551" w:rsidRDefault="00BB2139" w:rsidP="00502AAC">
            <w:pPr>
              <w:ind w:right="75"/>
              <w:jc w:val="right"/>
              <w:rPr>
                <w:sz w:val="20"/>
                <w:szCs w:val="20"/>
              </w:rPr>
            </w:pPr>
            <w:r w:rsidRPr="004C5551">
              <w:rPr>
                <w:sz w:val="20"/>
                <w:szCs w:val="20"/>
              </w:rPr>
              <w:t>895</w:t>
            </w:r>
          </w:p>
        </w:tc>
        <w:tc>
          <w:tcPr>
            <w:tcW w:w="856" w:type="dxa"/>
            <w:noWrap/>
            <w:vAlign w:val="center"/>
          </w:tcPr>
          <w:p w:rsidR="00BB2139" w:rsidRPr="004C5551" w:rsidRDefault="00BB2139" w:rsidP="00502AAC">
            <w:pPr>
              <w:ind w:right="75"/>
              <w:jc w:val="right"/>
              <w:rPr>
                <w:sz w:val="20"/>
                <w:szCs w:val="20"/>
              </w:rPr>
            </w:pPr>
            <w:r w:rsidRPr="004C5551">
              <w:rPr>
                <w:sz w:val="20"/>
                <w:szCs w:val="20"/>
              </w:rPr>
              <w:t>823</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Nižší administratívni zamestnanci (úradníci)</w:t>
            </w:r>
          </w:p>
        </w:tc>
        <w:tc>
          <w:tcPr>
            <w:tcW w:w="856" w:type="dxa"/>
            <w:vAlign w:val="center"/>
          </w:tcPr>
          <w:p w:rsidR="00BB2139" w:rsidRPr="004C5551" w:rsidRDefault="00BB2139" w:rsidP="00502AAC">
            <w:pPr>
              <w:ind w:right="75"/>
              <w:jc w:val="right"/>
              <w:rPr>
                <w:sz w:val="20"/>
                <w:szCs w:val="20"/>
              </w:rPr>
            </w:pPr>
            <w:r w:rsidRPr="004C5551">
              <w:rPr>
                <w:sz w:val="20"/>
                <w:szCs w:val="20"/>
              </w:rPr>
              <w:t>825</w:t>
            </w:r>
          </w:p>
        </w:tc>
        <w:tc>
          <w:tcPr>
            <w:tcW w:w="856" w:type="dxa"/>
            <w:vAlign w:val="center"/>
          </w:tcPr>
          <w:p w:rsidR="00BB2139" w:rsidRPr="004C5551" w:rsidRDefault="00BB2139" w:rsidP="00502AAC">
            <w:pPr>
              <w:ind w:right="75"/>
              <w:jc w:val="right"/>
              <w:rPr>
                <w:sz w:val="20"/>
                <w:szCs w:val="20"/>
              </w:rPr>
            </w:pPr>
            <w:r w:rsidRPr="004C5551">
              <w:rPr>
                <w:sz w:val="20"/>
                <w:szCs w:val="20"/>
              </w:rPr>
              <w:t>889</w:t>
            </w:r>
          </w:p>
        </w:tc>
        <w:tc>
          <w:tcPr>
            <w:tcW w:w="856" w:type="dxa"/>
            <w:vAlign w:val="center"/>
          </w:tcPr>
          <w:p w:rsidR="00BB2139" w:rsidRPr="004C5551" w:rsidRDefault="00BB2139" w:rsidP="00502AAC">
            <w:pPr>
              <w:ind w:right="75"/>
              <w:jc w:val="right"/>
              <w:rPr>
                <w:sz w:val="20"/>
                <w:szCs w:val="20"/>
              </w:rPr>
            </w:pPr>
            <w:r w:rsidRPr="004C5551">
              <w:rPr>
                <w:sz w:val="20"/>
                <w:szCs w:val="20"/>
              </w:rPr>
              <w:t>794</w:t>
            </w:r>
          </w:p>
        </w:tc>
        <w:tc>
          <w:tcPr>
            <w:tcW w:w="856" w:type="dxa"/>
            <w:vAlign w:val="center"/>
          </w:tcPr>
          <w:p w:rsidR="00BB2139" w:rsidRPr="004C5551" w:rsidRDefault="00BB2139" w:rsidP="00502AAC">
            <w:pPr>
              <w:ind w:right="75"/>
              <w:jc w:val="right"/>
              <w:rPr>
                <w:sz w:val="20"/>
                <w:szCs w:val="20"/>
              </w:rPr>
            </w:pPr>
            <w:r w:rsidRPr="004C5551">
              <w:rPr>
                <w:sz w:val="20"/>
                <w:szCs w:val="20"/>
              </w:rPr>
              <w:t>737</w:t>
            </w:r>
          </w:p>
        </w:tc>
        <w:tc>
          <w:tcPr>
            <w:tcW w:w="856" w:type="dxa"/>
            <w:noWrap/>
            <w:vAlign w:val="center"/>
          </w:tcPr>
          <w:p w:rsidR="00BB2139" w:rsidRPr="004C5551" w:rsidRDefault="00BB2139" w:rsidP="00502AAC">
            <w:pPr>
              <w:ind w:right="75"/>
              <w:jc w:val="right"/>
              <w:rPr>
                <w:sz w:val="20"/>
                <w:szCs w:val="20"/>
              </w:rPr>
            </w:pPr>
            <w:r w:rsidRPr="004C5551">
              <w:rPr>
                <w:sz w:val="20"/>
                <w:szCs w:val="20"/>
              </w:rPr>
              <w:t>763</w:t>
            </w:r>
          </w:p>
        </w:tc>
        <w:tc>
          <w:tcPr>
            <w:tcW w:w="856" w:type="dxa"/>
            <w:noWrap/>
            <w:vAlign w:val="center"/>
          </w:tcPr>
          <w:p w:rsidR="00BB2139" w:rsidRPr="004C5551" w:rsidRDefault="00BB2139" w:rsidP="00502AAC">
            <w:pPr>
              <w:ind w:right="75"/>
              <w:jc w:val="right"/>
              <w:rPr>
                <w:sz w:val="20"/>
                <w:szCs w:val="20"/>
              </w:rPr>
            </w:pPr>
            <w:r w:rsidRPr="004C5551">
              <w:rPr>
                <w:sz w:val="20"/>
                <w:szCs w:val="20"/>
              </w:rPr>
              <w:t>734</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Prevádzkoví zamestnanci v službách a obchode</w:t>
            </w:r>
          </w:p>
        </w:tc>
        <w:tc>
          <w:tcPr>
            <w:tcW w:w="856" w:type="dxa"/>
            <w:vAlign w:val="center"/>
          </w:tcPr>
          <w:p w:rsidR="00BB2139" w:rsidRPr="004C5551" w:rsidRDefault="00BB2139" w:rsidP="00502AAC">
            <w:pPr>
              <w:ind w:right="75"/>
              <w:jc w:val="right"/>
              <w:rPr>
                <w:sz w:val="20"/>
                <w:szCs w:val="20"/>
              </w:rPr>
            </w:pPr>
            <w:r w:rsidRPr="004C5551">
              <w:rPr>
                <w:sz w:val="20"/>
                <w:szCs w:val="20"/>
              </w:rPr>
              <w:t>656</w:t>
            </w:r>
          </w:p>
        </w:tc>
        <w:tc>
          <w:tcPr>
            <w:tcW w:w="856" w:type="dxa"/>
            <w:vAlign w:val="center"/>
          </w:tcPr>
          <w:p w:rsidR="00BB2139" w:rsidRPr="004C5551" w:rsidRDefault="00BB2139" w:rsidP="00502AAC">
            <w:pPr>
              <w:ind w:right="75"/>
              <w:jc w:val="right"/>
              <w:rPr>
                <w:sz w:val="20"/>
                <w:szCs w:val="20"/>
              </w:rPr>
            </w:pPr>
            <w:r w:rsidRPr="004C5551">
              <w:rPr>
                <w:sz w:val="20"/>
                <w:szCs w:val="20"/>
              </w:rPr>
              <w:t>721</w:t>
            </w:r>
          </w:p>
        </w:tc>
        <w:tc>
          <w:tcPr>
            <w:tcW w:w="856" w:type="dxa"/>
            <w:vAlign w:val="center"/>
          </w:tcPr>
          <w:p w:rsidR="00BB2139" w:rsidRPr="004C5551" w:rsidRDefault="00BB2139" w:rsidP="00502AAC">
            <w:pPr>
              <w:ind w:right="75"/>
              <w:jc w:val="right"/>
              <w:rPr>
                <w:sz w:val="20"/>
                <w:szCs w:val="20"/>
              </w:rPr>
            </w:pPr>
            <w:r w:rsidRPr="004C5551">
              <w:rPr>
                <w:sz w:val="20"/>
                <w:szCs w:val="20"/>
              </w:rPr>
              <w:t>612</w:t>
            </w:r>
          </w:p>
        </w:tc>
        <w:tc>
          <w:tcPr>
            <w:tcW w:w="856" w:type="dxa"/>
            <w:vAlign w:val="center"/>
          </w:tcPr>
          <w:p w:rsidR="00BB2139" w:rsidRPr="004C5551" w:rsidRDefault="00BB2139" w:rsidP="00502AAC">
            <w:pPr>
              <w:ind w:right="75"/>
              <w:jc w:val="right"/>
              <w:rPr>
                <w:sz w:val="20"/>
                <w:szCs w:val="20"/>
              </w:rPr>
            </w:pPr>
            <w:r w:rsidRPr="004C5551">
              <w:rPr>
                <w:sz w:val="20"/>
                <w:szCs w:val="20"/>
              </w:rPr>
              <w:t>572</w:t>
            </w:r>
          </w:p>
        </w:tc>
        <w:tc>
          <w:tcPr>
            <w:tcW w:w="856" w:type="dxa"/>
            <w:noWrap/>
            <w:vAlign w:val="center"/>
          </w:tcPr>
          <w:p w:rsidR="00BB2139" w:rsidRPr="004C5551" w:rsidRDefault="00BB2139" w:rsidP="00502AAC">
            <w:pPr>
              <w:ind w:right="75"/>
              <w:jc w:val="right"/>
              <w:rPr>
                <w:sz w:val="20"/>
                <w:szCs w:val="20"/>
              </w:rPr>
            </w:pPr>
            <w:r w:rsidRPr="004C5551">
              <w:rPr>
                <w:sz w:val="20"/>
                <w:szCs w:val="20"/>
              </w:rPr>
              <w:t>697</w:t>
            </w:r>
          </w:p>
        </w:tc>
        <w:tc>
          <w:tcPr>
            <w:tcW w:w="856" w:type="dxa"/>
            <w:noWrap/>
            <w:vAlign w:val="center"/>
          </w:tcPr>
          <w:p w:rsidR="00BB2139" w:rsidRPr="004C5551" w:rsidRDefault="00BB2139" w:rsidP="00502AAC">
            <w:pPr>
              <w:ind w:right="75"/>
              <w:jc w:val="right"/>
              <w:rPr>
                <w:sz w:val="20"/>
                <w:szCs w:val="20"/>
              </w:rPr>
            </w:pPr>
            <w:r w:rsidRPr="004C5551">
              <w:rPr>
                <w:sz w:val="20"/>
                <w:szCs w:val="20"/>
              </w:rPr>
              <w:t>517</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Kvalifikovaní robotníci v </w:t>
            </w:r>
            <w:proofErr w:type="spellStart"/>
            <w:r w:rsidRPr="004C5551">
              <w:rPr>
                <w:color w:val="333300"/>
                <w:sz w:val="20"/>
                <w:szCs w:val="20"/>
              </w:rPr>
              <w:t>poľnohosp</w:t>
            </w:r>
            <w:proofErr w:type="spellEnd"/>
            <w:r w:rsidRPr="004C5551">
              <w:rPr>
                <w:color w:val="333300"/>
                <w:sz w:val="20"/>
                <w:szCs w:val="20"/>
              </w:rPr>
              <w:t>., lesníctve</w:t>
            </w:r>
          </w:p>
        </w:tc>
        <w:tc>
          <w:tcPr>
            <w:tcW w:w="856" w:type="dxa"/>
            <w:vAlign w:val="center"/>
          </w:tcPr>
          <w:p w:rsidR="00BB2139" w:rsidRPr="004C5551" w:rsidRDefault="00BB2139" w:rsidP="00502AAC">
            <w:pPr>
              <w:ind w:right="75"/>
              <w:jc w:val="right"/>
              <w:rPr>
                <w:sz w:val="20"/>
                <w:szCs w:val="20"/>
              </w:rPr>
            </w:pPr>
            <w:r w:rsidRPr="004C5551">
              <w:rPr>
                <w:sz w:val="20"/>
                <w:szCs w:val="20"/>
              </w:rPr>
              <w:t>681</w:t>
            </w:r>
          </w:p>
        </w:tc>
        <w:tc>
          <w:tcPr>
            <w:tcW w:w="856" w:type="dxa"/>
            <w:vAlign w:val="center"/>
          </w:tcPr>
          <w:p w:rsidR="00BB2139" w:rsidRPr="004C5551" w:rsidRDefault="00BB2139" w:rsidP="00502AAC">
            <w:pPr>
              <w:ind w:right="75"/>
              <w:jc w:val="right"/>
              <w:rPr>
                <w:sz w:val="20"/>
                <w:szCs w:val="20"/>
              </w:rPr>
            </w:pPr>
            <w:r w:rsidRPr="004C5551">
              <w:rPr>
                <w:sz w:val="20"/>
                <w:szCs w:val="20"/>
              </w:rPr>
              <w:t>715</w:t>
            </w:r>
          </w:p>
        </w:tc>
        <w:tc>
          <w:tcPr>
            <w:tcW w:w="856" w:type="dxa"/>
            <w:vAlign w:val="center"/>
          </w:tcPr>
          <w:p w:rsidR="00BB2139" w:rsidRPr="004C5551" w:rsidRDefault="00BB2139" w:rsidP="00502AAC">
            <w:pPr>
              <w:ind w:right="75"/>
              <w:jc w:val="right"/>
              <w:rPr>
                <w:sz w:val="20"/>
                <w:szCs w:val="20"/>
              </w:rPr>
            </w:pPr>
            <w:r w:rsidRPr="004C5551">
              <w:rPr>
                <w:sz w:val="20"/>
                <w:szCs w:val="20"/>
              </w:rPr>
              <w:t>621</w:t>
            </w:r>
          </w:p>
        </w:tc>
        <w:tc>
          <w:tcPr>
            <w:tcW w:w="856" w:type="dxa"/>
            <w:vAlign w:val="center"/>
          </w:tcPr>
          <w:p w:rsidR="00BB2139" w:rsidRPr="004C5551" w:rsidRDefault="00BB2139" w:rsidP="00502AAC">
            <w:pPr>
              <w:ind w:right="75"/>
              <w:jc w:val="right"/>
              <w:rPr>
                <w:sz w:val="20"/>
                <w:szCs w:val="20"/>
              </w:rPr>
            </w:pPr>
            <w:r w:rsidRPr="004C5551">
              <w:rPr>
                <w:sz w:val="20"/>
                <w:szCs w:val="20"/>
              </w:rPr>
              <w:t>522</w:t>
            </w:r>
          </w:p>
        </w:tc>
        <w:tc>
          <w:tcPr>
            <w:tcW w:w="856" w:type="dxa"/>
            <w:noWrap/>
            <w:vAlign w:val="center"/>
          </w:tcPr>
          <w:p w:rsidR="00BB2139" w:rsidRPr="004C5551" w:rsidRDefault="00BB2139" w:rsidP="00502AAC">
            <w:pPr>
              <w:ind w:right="75"/>
              <w:jc w:val="right"/>
              <w:rPr>
                <w:sz w:val="20"/>
                <w:szCs w:val="20"/>
              </w:rPr>
            </w:pPr>
            <w:r w:rsidRPr="004C5551">
              <w:rPr>
                <w:sz w:val="20"/>
                <w:szCs w:val="20"/>
              </w:rPr>
              <w:t>530</w:t>
            </w:r>
          </w:p>
        </w:tc>
        <w:tc>
          <w:tcPr>
            <w:tcW w:w="856" w:type="dxa"/>
            <w:noWrap/>
            <w:vAlign w:val="center"/>
          </w:tcPr>
          <w:p w:rsidR="00BB2139" w:rsidRPr="004C5551" w:rsidRDefault="00BB2139" w:rsidP="00502AAC">
            <w:pPr>
              <w:ind w:right="75"/>
              <w:jc w:val="right"/>
              <w:rPr>
                <w:sz w:val="20"/>
                <w:szCs w:val="20"/>
              </w:rPr>
            </w:pPr>
            <w:r w:rsidRPr="004C5551">
              <w:rPr>
                <w:sz w:val="20"/>
                <w:szCs w:val="20"/>
              </w:rPr>
              <w:t>510</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Remeselní a kvalifikovaní robotníci v </w:t>
            </w:r>
            <w:proofErr w:type="spellStart"/>
            <w:r w:rsidRPr="004C5551">
              <w:rPr>
                <w:color w:val="333300"/>
                <w:sz w:val="20"/>
                <w:szCs w:val="20"/>
              </w:rPr>
              <w:t>príb</w:t>
            </w:r>
            <w:proofErr w:type="spellEnd"/>
            <w:r w:rsidRPr="004C5551">
              <w:rPr>
                <w:color w:val="333300"/>
                <w:sz w:val="20"/>
                <w:szCs w:val="20"/>
              </w:rPr>
              <w:t>. odb.</w:t>
            </w:r>
          </w:p>
        </w:tc>
        <w:tc>
          <w:tcPr>
            <w:tcW w:w="856" w:type="dxa"/>
            <w:vAlign w:val="center"/>
          </w:tcPr>
          <w:p w:rsidR="00BB2139" w:rsidRPr="004C5551" w:rsidRDefault="00BB2139" w:rsidP="00502AAC">
            <w:pPr>
              <w:ind w:right="75"/>
              <w:jc w:val="right"/>
              <w:rPr>
                <w:sz w:val="20"/>
                <w:szCs w:val="20"/>
              </w:rPr>
            </w:pPr>
            <w:r w:rsidRPr="004C5551">
              <w:rPr>
                <w:sz w:val="20"/>
                <w:szCs w:val="20"/>
              </w:rPr>
              <w:t>860</w:t>
            </w:r>
          </w:p>
        </w:tc>
        <w:tc>
          <w:tcPr>
            <w:tcW w:w="856" w:type="dxa"/>
            <w:vAlign w:val="center"/>
          </w:tcPr>
          <w:p w:rsidR="00BB2139" w:rsidRPr="004C5551" w:rsidRDefault="00BB2139" w:rsidP="00502AAC">
            <w:pPr>
              <w:ind w:right="75"/>
              <w:jc w:val="right"/>
              <w:rPr>
                <w:sz w:val="20"/>
                <w:szCs w:val="20"/>
              </w:rPr>
            </w:pPr>
            <w:r w:rsidRPr="004C5551">
              <w:rPr>
                <w:sz w:val="20"/>
                <w:szCs w:val="20"/>
              </w:rPr>
              <w:t>914</w:t>
            </w:r>
          </w:p>
        </w:tc>
        <w:tc>
          <w:tcPr>
            <w:tcW w:w="856" w:type="dxa"/>
            <w:vAlign w:val="center"/>
          </w:tcPr>
          <w:p w:rsidR="00BB2139" w:rsidRPr="004C5551" w:rsidRDefault="00BB2139" w:rsidP="00502AAC">
            <w:pPr>
              <w:ind w:right="75"/>
              <w:jc w:val="right"/>
              <w:rPr>
                <w:sz w:val="20"/>
                <w:szCs w:val="20"/>
              </w:rPr>
            </w:pPr>
            <w:r w:rsidRPr="004C5551">
              <w:rPr>
                <w:sz w:val="20"/>
                <w:szCs w:val="20"/>
              </w:rPr>
              <w:t>629</w:t>
            </w:r>
          </w:p>
        </w:tc>
        <w:tc>
          <w:tcPr>
            <w:tcW w:w="856" w:type="dxa"/>
            <w:vAlign w:val="center"/>
          </w:tcPr>
          <w:p w:rsidR="00BB2139" w:rsidRPr="004C5551" w:rsidRDefault="00BB2139" w:rsidP="00502AAC">
            <w:pPr>
              <w:ind w:right="75"/>
              <w:jc w:val="right"/>
              <w:rPr>
                <w:sz w:val="20"/>
                <w:szCs w:val="20"/>
              </w:rPr>
            </w:pPr>
            <w:r w:rsidRPr="004C5551">
              <w:rPr>
                <w:sz w:val="20"/>
                <w:szCs w:val="20"/>
              </w:rPr>
              <w:t>630</w:t>
            </w:r>
          </w:p>
        </w:tc>
        <w:tc>
          <w:tcPr>
            <w:tcW w:w="856" w:type="dxa"/>
            <w:noWrap/>
            <w:vAlign w:val="center"/>
          </w:tcPr>
          <w:p w:rsidR="00BB2139" w:rsidRPr="004C5551" w:rsidRDefault="00BB2139" w:rsidP="00502AAC">
            <w:pPr>
              <w:ind w:right="75"/>
              <w:jc w:val="right"/>
              <w:rPr>
                <w:sz w:val="20"/>
                <w:szCs w:val="20"/>
              </w:rPr>
            </w:pPr>
            <w:r w:rsidRPr="004C5551">
              <w:rPr>
                <w:sz w:val="20"/>
                <w:szCs w:val="20"/>
              </w:rPr>
              <w:t>640</w:t>
            </w:r>
          </w:p>
        </w:tc>
        <w:tc>
          <w:tcPr>
            <w:tcW w:w="856" w:type="dxa"/>
            <w:noWrap/>
            <w:vAlign w:val="center"/>
          </w:tcPr>
          <w:p w:rsidR="00BB2139" w:rsidRPr="004C5551" w:rsidRDefault="00BB2139" w:rsidP="00502AAC">
            <w:pPr>
              <w:ind w:right="75"/>
              <w:jc w:val="right"/>
              <w:rPr>
                <w:sz w:val="20"/>
                <w:szCs w:val="20"/>
              </w:rPr>
            </w:pPr>
            <w:r w:rsidRPr="004C5551">
              <w:rPr>
                <w:sz w:val="20"/>
                <w:szCs w:val="20"/>
              </w:rPr>
              <w:t>546</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Obsluha strojov a zariadení</w:t>
            </w:r>
          </w:p>
        </w:tc>
        <w:tc>
          <w:tcPr>
            <w:tcW w:w="856" w:type="dxa"/>
            <w:vAlign w:val="center"/>
          </w:tcPr>
          <w:p w:rsidR="00BB2139" w:rsidRPr="004C5551" w:rsidRDefault="00BB2139" w:rsidP="00502AAC">
            <w:pPr>
              <w:ind w:right="75"/>
              <w:jc w:val="right"/>
              <w:rPr>
                <w:sz w:val="20"/>
                <w:szCs w:val="20"/>
              </w:rPr>
            </w:pPr>
            <w:r w:rsidRPr="004C5551">
              <w:rPr>
                <w:sz w:val="20"/>
                <w:szCs w:val="20"/>
              </w:rPr>
              <w:t>793</w:t>
            </w:r>
          </w:p>
        </w:tc>
        <w:tc>
          <w:tcPr>
            <w:tcW w:w="856" w:type="dxa"/>
            <w:vAlign w:val="center"/>
          </w:tcPr>
          <w:p w:rsidR="00BB2139" w:rsidRPr="004C5551" w:rsidRDefault="00BB2139" w:rsidP="00502AAC">
            <w:pPr>
              <w:ind w:right="75"/>
              <w:jc w:val="right"/>
              <w:rPr>
                <w:sz w:val="20"/>
                <w:szCs w:val="20"/>
              </w:rPr>
            </w:pPr>
            <w:r w:rsidRPr="004C5551">
              <w:rPr>
                <w:sz w:val="20"/>
                <w:szCs w:val="20"/>
              </w:rPr>
              <w:t>841</w:t>
            </w:r>
          </w:p>
        </w:tc>
        <w:tc>
          <w:tcPr>
            <w:tcW w:w="856" w:type="dxa"/>
            <w:vAlign w:val="center"/>
          </w:tcPr>
          <w:p w:rsidR="00BB2139" w:rsidRPr="004C5551" w:rsidRDefault="00BB2139" w:rsidP="00502AAC">
            <w:pPr>
              <w:ind w:right="75"/>
              <w:jc w:val="right"/>
              <w:rPr>
                <w:sz w:val="20"/>
                <w:szCs w:val="20"/>
              </w:rPr>
            </w:pPr>
            <w:r w:rsidRPr="004C5551">
              <w:rPr>
                <w:sz w:val="20"/>
                <w:szCs w:val="20"/>
              </w:rPr>
              <w:t>660</w:t>
            </w:r>
          </w:p>
        </w:tc>
        <w:tc>
          <w:tcPr>
            <w:tcW w:w="856" w:type="dxa"/>
            <w:vAlign w:val="center"/>
          </w:tcPr>
          <w:p w:rsidR="00BB2139" w:rsidRPr="004C5551" w:rsidRDefault="00BB2139" w:rsidP="00502AAC">
            <w:pPr>
              <w:ind w:right="75"/>
              <w:jc w:val="right"/>
              <w:rPr>
                <w:sz w:val="20"/>
                <w:szCs w:val="20"/>
              </w:rPr>
            </w:pPr>
            <w:r w:rsidRPr="004C5551">
              <w:rPr>
                <w:sz w:val="20"/>
                <w:szCs w:val="20"/>
              </w:rPr>
              <w:t>683</w:t>
            </w:r>
          </w:p>
        </w:tc>
        <w:tc>
          <w:tcPr>
            <w:tcW w:w="856" w:type="dxa"/>
            <w:noWrap/>
            <w:vAlign w:val="center"/>
          </w:tcPr>
          <w:p w:rsidR="00BB2139" w:rsidRPr="004C5551" w:rsidRDefault="00BB2139" w:rsidP="00502AAC">
            <w:pPr>
              <w:ind w:right="75"/>
              <w:jc w:val="right"/>
              <w:rPr>
                <w:sz w:val="20"/>
                <w:szCs w:val="20"/>
              </w:rPr>
            </w:pPr>
            <w:r w:rsidRPr="004C5551">
              <w:rPr>
                <w:sz w:val="20"/>
                <w:szCs w:val="20"/>
              </w:rPr>
              <w:t>692</w:t>
            </w:r>
          </w:p>
        </w:tc>
        <w:tc>
          <w:tcPr>
            <w:tcW w:w="856" w:type="dxa"/>
            <w:noWrap/>
            <w:vAlign w:val="center"/>
          </w:tcPr>
          <w:p w:rsidR="00BB2139" w:rsidRPr="004C5551" w:rsidRDefault="00BB2139" w:rsidP="00502AAC">
            <w:pPr>
              <w:ind w:right="75"/>
              <w:jc w:val="right"/>
              <w:rPr>
                <w:sz w:val="20"/>
                <w:szCs w:val="20"/>
              </w:rPr>
            </w:pPr>
            <w:r w:rsidRPr="004C5551">
              <w:rPr>
                <w:sz w:val="20"/>
                <w:szCs w:val="20"/>
              </w:rPr>
              <w:t>481</w:t>
            </w:r>
          </w:p>
        </w:tc>
      </w:tr>
      <w:tr w:rsidR="00BB2139" w:rsidRPr="004C5551" w:rsidTr="009A02B2">
        <w:trPr>
          <w:trHeight w:hRule="exact" w:val="284"/>
          <w:jc w:val="center"/>
        </w:trPr>
        <w:tc>
          <w:tcPr>
            <w:tcW w:w="4481" w:type="dxa"/>
            <w:vAlign w:val="center"/>
          </w:tcPr>
          <w:p w:rsidR="00BB2139" w:rsidRPr="004C5551" w:rsidRDefault="00BB2139" w:rsidP="00502AAC">
            <w:pPr>
              <w:ind w:left="113"/>
              <w:rPr>
                <w:color w:val="333300"/>
                <w:sz w:val="20"/>
                <w:szCs w:val="20"/>
              </w:rPr>
            </w:pPr>
            <w:r w:rsidRPr="004C5551">
              <w:rPr>
                <w:color w:val="333300"/>
                <w:sz w:val="20"/>
                <w:szCs w:val="20"/>
              </w:rPr>
              <w:t>Pomocní a nekvalifikovaní zamestnanci</w:t>
            </w:r>
          </w:p>
        </w:tc>
        <w:tc>
          <w:tcPr>
            <w:tcW w:w="856" w:type="dxa"/>
            <w:vAlign w:val="center"/>
          </w:tcPr>
          <w:p w:rsidR="00BB2139" w:rsidRPr="004C5551" w:rsidRDefault="00BB2139" w:rsidP="00502AAC">
            <w:pPr>
              <w:ind w:right="75"/>
              <w:jc w:val="right"/>
              <w:rPr>
                <w:sz w:val="20"/>
                <w:szCs w:val="20"/>
              </w:rPr>
            </w:pPr>
            <w:r w:rsidRPr="004C5551">
              <w:rPr>
                <w:sz w:val="20"/>
                <w:szCs w:val="20"/>
              </w:rPr>
              <w:t>590</w:t>
            </w:r>
          </w:p>
        </w:tc>
        <w:tc>
          <w:tcPr>
            <w:tcW w:w="856" w:type="dxa"/>
            <w:vAlign w:val="center"/>
          </w:tcPr>
          <w:p w:rsidR="00BB2139" w:rsidRPr="004C5551" w:rsidRDefault="00BB2139" w:rsidP="00502AAC">
            <w:pPr>
              <w:ind w:right="75"/>
              <w:jc w:val="right"/>
              <w:rPr>
                <w:sz w:val="20"/>
                <w:szCs w:val="20"/>
              </w:rPr>
            </w:pPr>
            <w:r w:rsidRPr="004C5551">
              <w:rPr>
                <w:sz w:val="20"/>
                <w:szCs w:val="20"/>
              </w:rPr>
              <w:t>646</w:t>
            </w:r>
          </w:p>
        </w:tc>
        <w:tc>
          <w:tcPr>
            <w:tcW w:w="856" w:type="dxa"/>
            <w:vAlign w:val="center"/>
          </w:tcPr>
          <w:p w:rsidR="00BB2139" w:rsidRPr="004C5551" w:rsidRDefault="00BB2139" w:rsidP="00502AAC">
            <w:pPr>
              <w:ind w:right="75"/>
              <w:jc w:val="right"/>
              <w:rPr>
                <w:sz w:val="20"/>
                <w:szCs w:val="20"/>
              </w:rPr>
            </w:pPr>
            <w:r w:rsidRPr="004C5551">
              <w:rPr>
                <w:sz w:val="20"/>
                <w:szCs w:val="20"/>
              </w:rPr>
              <w:t>528</w:t>
            </w:r>
          </w:p>
        </w:tc>
        <w:tc>
          <w:tcPr>
            <w:tcW w:w="856" w:type="dxa"/>
            <w:vAlign w:val="center"/>
          </w:tcPr>
          <w:p w:rsidR="00BB2139" w:rsidRPr="004C5551" w:rsidRDefault="00BB2139" w:rsidP="00502AAC">
            <w:pPr>
              <w:ind w:right="75"/>
              <w:jc w:val="right"/>
              <w:rPr>
                <w:sz w:val="20"/>
                <w:szCs w:val="20"/>
              </w:rPr>
            </w:pPr>
            <w:r w:rsidRPr="004C5551">
              <w:rPr>
                <w:sz w:val="20"/>
                <w:szCs w:val="20"/>
              </w:rPr>
              <w:t>467</w:t>
            </w:r>
          </w:p>
        </w:tc>
        <w:tc>
          <w:tcPr>
            <w:tcW w:w="856" w:type="dxa"/>
            <w:noWrap/>
            <w:vAlign w:val="center"/>
          </w:tcPr>
          <w:p w:rsidR="00BB2139" w:rsidRPr="004C5551" w:rsidRDefault="00BB2139" w:rsidP="00502AAC">
            <w:pPr>
              <w:ind w:right="75"/>
              <w:jc w:val="right"/>
              <w:rPr>
                <w:sz w:val="20"/>
                <w:szCs w:val="20"/>
              </w:rPr>
            </w:pPr>
            <w:r w:rsidRPr="004C5551">
              <w:rPr>
                <w:sz w:val="20"/>
                <w:szCs w:val="20"/>
              </w:rPr>
              <w:t>531</w:t>
            </w:r>
          </w:p>
        </w:tc>
        <w:tc>
          <w:tcPr>
            <w:tcW w:w="856" w:type="dxa"/>
            <w:noWrap/>
            <w:vAlign w:val="center"/>
          </w:tcPr>
          <w:p w:rsidR="00BB2139" w:rsidRPr="004C5551" w:rsidRDefault="00BB2139" w:rsidP="00502AAC">
            <w:pPr>
              <w:ind w:right="75"/>
              <w:jc w:val="right"/>
              <w:rPr>
                <w:sz w:val="20"/>
                <w:szCs w:val="20"/>
              </w:rPr>
            </w:pPr>
            <w:r w:rsidRPr="004C5551">
              <w:rPr>
                <w:sz w:val="20"/>
                <w:szCs w:val="20"/>
              </w:rPr>
              <w:t>448</w:t>
            </w:r>
          </w:p>
        </w:tc>
      </w:tr>
    </w:tbl>
    <w:p w:rsidR="00BB2139" w:rsidRPr="004C5551" w:rsidRDefault="00BB2139" w:rsidP="00BB2139">
      <w:pPr>
        <w:pStyle w:val="zdroj"/>
        <w:ind w:firstLine="0"/>
      </w:pPr>
      <w:r w:rsidRPr="004C5551">
        <w:t xml:space="preserve">Zdroj: </w:t>
      </w:r>
      <w:proofErr w:type="spellStart"/>
      <w:r w:rsidRPr="004C5551">
        <w:t>Trexima</w:t>
      </w:r>
      <w:proofErr w:type="spellEnd"/>
      <w:r w:rsidRPr="004C5551">
        <w:t>, Informačný systém o priemerných zárobkoch IV. štvrťrok 2014</w:t>
      </w:r>
    </w:p>
    <w:p w:rsidR="00BE6ABB" w:rsidRPr="004C5551" w:rsidRDefault="00BE6ABB">
      <w:pPr>
        <w:jc w:val="left"/>
        <w:rPr>
          <w:i/>
          <w:color w:val="000000"/>
          <w:sz w:val="20"/>
          <w:szCs w:val="20"/>
        </w:rPr>
      </w:pPr>
      <w:r w:rsidRPr="004C5551">
        <w:br w:type="page"/>
      </w:r>
    </w:p>
    <w:p w:rsidR="00641072" w:rsidRPr="004C5551" w:rsidRDefault="00641072" w:rsidP="006A153B">
      <w:pPr>
        <w:pStyle w:val="Nadpis7"/>
      </w:pPr>
      <w:r w:rsidRPr="004C5551">
        <w:t xml:space="preserve">Tabuľka </w:t>
      </w:r>
      <w:r w:rsidR="00AD623F" w:rsidRPr="004C5551">
        <w:t>8</w:t>
      </w:r>
      <w:r w:rsidRPr="004C5551">
        <w:t xml:space="preserve"> Priemerná hrubá mesačná mzda v podnikateľskej a nepodnikateľskej sfére </w:t>
      </w:r>
      <w:r w:rsidRPr="004C5551">
        <w:br/>
        <w:t>podľa veku – rok 201</w:t>
      </w:r>
      <w:r w:rsidR="00CD4E01" w:rsidRPr="004C5551">
        <w:t>4</w:t>
      </w:r>
    </w:p>
    <w:p w:rsidR="00641072" w:rsidRPr="004C5551" w:rsidRDefault="00641072" w:rsidP="00641072">
      <w:pPr>
        <w:spacing w:before="120"/>
        <w:ind w:right="1275"/>
        <w:jc w:val="right"/>
        <w:rPr>
          <w:b/>
          <w:i/>
          <w:color w:val="333300"/>
          <w:sz w:val="4"/>
          <w:szCs w:val="4"/>
        </w:rPr>
      </w:pPr>
      <w:r w:rsidRPr="004C5551">
        <w:rPr>
          <w:color w:val="333300"/>
          <w:szCs w:val="22"/>
        </w:rPr>
        <w:t xml:space="preserve">v </w:t>
      </w:r>
      <w:r w:rsidR="00AA0137" w:rsidRPr="004C5551">
        <w:rPr>
          <w:color w:val="333300"/>
          <w:szCs w:val="22"/>
        </w:rPr>
        <w:t>€</w:t>
      </w:r>
    </w:p>
    <w:tbl>
      <w:tblPr>
        <w:tblW w:w="3608" w:type="pct"/>
        <w:jc w:val="center"/>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980"/>
        <w:gridCol w:w="2161"/>
      </w:tblGrid>
      <w:tr w:rsidR="00641072" w:rsidRPr="004C5551" w:rsidTr="00E537F0">
        <w:trPr>
          <w:jc w:val="center"/>
        </w:trPr>
        <w:tc>
          <w:tcPr>
            <w:tcW w:w="1911" w:type="pct"/>
            <w:shd w:val="clear" w:color="auto" w:fill="FF9999" w:themeFill="accent3" w:themeFillTint="66"/>
            <w:vAlign w:val="center"/>
          </w:tcPr>
          <w:p w:rsidR="00641072" w:rsidRPr="004C5551" w:rsidRDefault="00641072" w:rsidP="00641072">
            <w:pPr>
              <w:jc w:val="center"/>
              <w:rPr>
                <w:b/>
                <w:color w:val="333300"/>
              </w:rPr>
            </w:pPr>
            <w:r w:rsidRPr="004C5551">
              <w:rPr>
                <w:b/>
                <w:color w:val="333300"/>
                <w:szCs w:val="22"/>
              </w:rPr>
              <w:t>Veková skupina</w:t>
            </w:r>
          </w:p>
        </w:tc>
        <w:tc>
          <w:tcPr>
            <w:tcW w:w="1477" w:type="pct"/>
            <w:shd w:val="clear" w:color="auto" w:fill="FF9999" w:themeFill="accent3" w:themeFillTint="66"/>
          </w:tcPr>
          <w:p w:rsidR="00641072" w:rsidRPr="004C5551" w:rsidRDefault="00641072" w:rsidP="00641072">
            <w:pPr>
              <w:jc w:val="center"/>
              <w:rPr>
                <w:b/>
                <w:color w:val="333300"/>
              </w:rPr>
            </w:pPr>
            <w:r w:rsidRPr="004C5551">
              <w:rPr>
                <w:b/>
                <w:color w:val="333300"/>
                <w:szCs w:val="22"/>
              </w:rPr>
              <w:t>Podnikateľská sféra</w:t>
            </w:r>
          </w:p>
        </w:tc>
        <w:tc>
          <w:tcPr>
            <w:tcW w:w="1612" w:type="pct"/>
            <w:shd w:val="clear" w:color="auto" w:fill="FF9999" w:themeFill="accent3" w:themeFillTint="66"/>
          </w:tcPr>
          <w:p w:rsidR="00641072" w:rsidRPr="004C5551" w:rsidRDefault="00641072" w:rsidP="00641072">
            <w:pPr>
              <w:jc w:val="center"/>
              <w:rPr>
                <w:b/>
                <w:color w:val="333300"/>
              </w:rPr>
            </w:pPr>
            <w:r w:rsidRPr="004C5551">
              <w:rPr>
                <w:b/>
                <w:color w:val="333300"/>
                <w:szCs w:val="22"/>
              </w:rPr>
              <w:t>Nepodnikateľská sféra</w:t>
            </w:r>
          </w:p>
        </w:tc>
      </w:tr>
      <w:tr w:rsidR="00CD4E01" w:rsidRPr="004C5551" w:rsidTr="00502AAC">
        <w:trPr>
          <w:jc w:val="center"/>
        </w:trPr>
        <w:tc>
          <w:tcPr>
            <w:tcW w:w="1911" w:type="pct"/>
            <w:shd w:val="clear" w:color="auto" w:fill="FFFFFF"/>
          </w:tcPr>
          <w:p w:rsidR="00CD4E01" w:rsidRPr="004C5551" w:rsidRDefault="00CD4E01" w:rsidP="00502AAC">
            <w:pPr>
              <w:jc w:val="left"/>
              <w:rPr>
                <w:b/>
                <w:bCs/>
                <w:iCs/>
                <w:color w:val="333300"/>
              </w:rPr>
            </w:pPr>
            <w:r w:rsidRPr="004C5551">
              <w:rPr>
                <w:b/>
                <w:bCs/>
                <w:iCs/>
                <w:color w:val="333300"/>
                <w:szCs w:val="22"/>
              </w:rPr>
              <w:t>Spolu</w:t>
            </w:r>
          </w:p>
        </w:tc>
        <w:tc>
          <w:tcPr>
            <w:tcW w:w="1477" w:type="pct"/>
            <w:shd w:val="clear" w:color="auto" w:fill="FFFFFF"/>
            <w:vAlign w:val="center"/>
          </w:tcPr>
          <w:p w:rsidR="00CD4E01" w:rsidRPr="004C5551" w:rsidRDefault="00CD4E01" w:rsidP="00502AAC">
            <w:pPr>
              <w:ind w:right="656"/>
              <w:jc w:val="right"/>
              <w:rPr>
                <w:b/>
                <w:sz w:val="20"/>
                <w:szCs w:val="20"/>
              </w:rPr>
            </w:pPr>
            <w:r w:rsidRPr="004C5551">
              <w:rPr>
                <w:b/>
                <w:sz w:val="20"/>
                <w:szCs w:val="20"/>
              </w:rPr>
              <w:t>995</w:t>
            </w:r>
          </w:p>
        </w:tc>
        <w:tc>
          <w:tcPr>
            <w:tcW w:w="1612" w:type="pct"/>
            <w:shd w:val="clear" w:color="auto" w:fill="FFFFFF"/>
            <w:vAlign w:val="center"/>
          </w:tcPr>
          <w:p w:rsidR="00CD4E01" w:rsidRPr="004C5551" w:rsidRDefault="00CD4E01" w:rsidP="00502AAC">
            <w:pPr>
              <w:ind w:right="656"/>
              <w:jc w:val="right"/>
              <w:rPr>
                <w:b/>
                <w:sz w:val="20"/>
                <w:szCs w:val="20"/>
              </w:rPr>
            </w:pPr>
            <w:r w:rsidRPr="004C5551">
              <w:rPr>
                <w:b/>
                <w:sz w:val="20"/>
                <w:szCs w:val="20"/>
              </w:rPr>
              <w:t>827</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do 19 rokov</w:t>
            </w:r>
          </w:p>
        </w:tc>
        <w:tc>
          <w:tcPr>
            <w:tcW w:w="1477" w:type="pct"/>
            <w:vAlign w:val="center"/>
          </w:tcPr>
          <w:p w:rsidR="00CD4E01" w:rsidRPr="004C5551" w:rsidRDefault="00CD4E01" w:rsidP="00502AAC">
            <w:pPr>
              <w:ind w:right="656"/>
              <w:jc w:val="right"/>
              <w:rPr>
                <w:sz w:val="20"/>
                <w:szCs w:val="20"/>
              </w:rPr>
            </w:pPr>
            <w:r w:rsidRPr="004C5551">
              <w:rPr>
                <w:sz w:val="20"/>
                <w:szCs w:val="20"/>
              </w:rPr>
              <w:t>541</w:t>
            </w:r>
          </w:p>
        </w:tc>
        <w:tc>
          <w:tcPr>
            <w:tcW w:w="1612" w:type="pct"/>
            <w:vAlign w:val="center"/>
          </w:tcPr>
          <w:p w:rsidR="00CD4E01" w:rsidRPr="004C5551" w:rsidRDefault="00CD4E01" w:rsidP="00502AAC">
            <w:pPr>
              <w:ind w:right="656"/>
              <w:jc w:val="right"/>
              <w:rPr>
                <w:sz w:val="20"/>
                <w:szCs w:val="20"/>
              </w:rPr>
            </w:pPr>
            <w:r w:rsidRPr="004C5551">
              <w:rPr>
                <w:sz w:val="20"/>
                <w:szCs w:val="20"/>
              </w:rPr>
              <w:t>456</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20 – 24 rokov</w:t>
            </w:r>
          </w:p>
        </w:tc>
        <w:tc>
          <w:tcPr>
            <w:tcW w:w="1477" w:type="pct"/>
            <w:vAlign w:val="center"/>
          </w:tcPr>
          <w:p w:rsidR="00CD4E01" w:rsidRPr="004C5551" w:rsidRDefault="00CD4E01" w:rsidP="00502AAC">
            <w:pPr>
              <w:ind w:right="656"/>
              <w:jc w:val="right"/>
              <w:rPr>
                <w:sz w:val="20"/>
                <w:szCs w:val="20"/>
              </w:rPr>
            </w:pPr>
            <w:r w:rsidRPr="004C5551">
              <w:rPr>
                <w:sz w:val="20"/>
                <w:szCs w:val="20"/>
              </w:rPr>
              <w:t>672</w:t>
            </w:r>
          </w:p>
        </w:tc>
        <w:tc>
          <w:tcPr>
            <w:tcW w:w="1612" w:type="pct"/>
            <w:vAlign w:val="center"/>
          </w:tcPr>
          <w:p w:rsidR="00CD4E01" w:rsidRPr="004C5551" w:rsidRDefault="00CD4E01" w:rsidP="00502AAC">
            <w:pPr>
              <w:ind w:right="656"/>
              <w:jc w:val="right"/>
              <w:rPr>
                <w:sz w:val="20"/>
                <w:szCs w:val="20"/>
              </w:rPr>
            </w:pPr>
            <w:r w:rsidRPr="004C5551">
              <w:rPr>
                <w:sz w:val="20"/>
                <w:szCs w:val="20"/>
              </w:rPr>
              <w:t>584</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25 – 29 rokov</w:t>
            </w:r>
          </w:p>
        </w:tc>
        <w:tc>
          <w:tcPr>
            <w:tcW w:w="1477" w:type="pct"/>
            <w:vAlign w:val="center"/>
          </w:tcPr>
          <w:p w:rsidR="00CD4E01" w:rsidRPr="004C5551" w:rsidRDefault="00CD4E01" w:rsidP="00502AAC">
            <w:pPr>
              <w:ind w:right="656"/>
              <w:jc w:val="right"/>
              <w:rPr>
                <w:sz w:val="20"/>
                <w:szCs w:val="20"/>
              </w:rPr>
            </w:pPr>
            <w:r w:rsidRPr="004C5551">
              <w:rPr>
                <w:sz w:val="20"/>
                <w:szCs w:val="20"/>
              </w:rPr>
              <w:t>888</w:t>
            </w:r>
          </w:p>
        </w:tc>
        <w:tc>
          <w:tcPr>
            <w:tcW w:w="1612" w:type="pct"/>
            <w:vAlign w:val="center"/>
          </w:tcPr>
          <w:p w:rsidR="00CD4E01" w:rsidRPr="004C5551" w:rsidRDefault="00CD4E01" w:rsidP="00502AAC">
            <w:pPr>
              <w:ind w:right="656"/>
              <w:jc w:val="right"/>
              <w:rPr>
                <w:sz w:val="20"/>
                <w:szCs w:val="20"/>
              </w:rPr>
            </w:pPr>
            <w:r w:rsidRPr="004C5551">
              <w:rPr>
                <w:sz w:val="20"/>
                <w:szCs w:val="20"/>
              </w:rPr>
              <w:t>744</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30 – 34 rokov</w:t>
            </w:r>
          </w:p>
        </w:tc>
        <w:tc>
          <w:tcPr>
            <w:tcW w:w="1477" w:type="pct"/>
            <w:vAlign w:val="center"/>
          </w:tcPr>
          <w:p w:rsidR="00CD4E01" w:rsidRPr="004C5551" w:rsidRDefault="00CD4E01" w:rsidP="00502AAC">
            <w:pPr>
              <w:ind w:right="656"/>
              <w:jc w:val="right"/>
              <w:rPr>
                <w:sz w:val="20"/>
                <w:szCs w:val="20"/>
              </w:rPr>
            </w:pPr>
            <w:r w:rsidRPr="004C5551">
              <w:rPr>
                <w:sz w:val="20"/>
                <w:szCs w:val="20"/>
              </w:rPr>
              <w:t>1 073</w:t>
            </w:r>
          </w:p>
        </w:tc>
        <w:tc>
          <w:tcPr>
            <w:tcW w:w="1612" w:type="pct"/>
            <w:vAlign w:val="center"/>
          </w:tcPr>
          <w:p w:rsidR="00CD4E01" w:rsidRPr="004C5551" w:rsidRDefault="00CD4E01" w:rsidP="00502AAC">
            <w:pPr>
              <w:ind w:right="656"/>
              <w:jc w:val="right"/>
              <w:rPr>
                <w:sz w:val="20"/>
                <w:szCs w:val="20"/>
              </w:rPr>
            </w:pPr>
            <w:r w:rsidRPr="004C5551">
              <w:rPr>
                <w:sz w:val="20"/>
                <w:szCs w:val="20"/>
              </w:rPr>
              <w:t>823</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35 – 39 rokov</w:t>
            </w:r>
          </w:p>
        </w:tc>
        <w:tc>
          <w:tcPr>
            <w:tcW w:w="1477" w:type="pct"/>
            <w:vAlign w:val="center"/>
          </w:tcPr>
          <w:p w:rsidR="00CD4E01" w:rsidRPr="004C5551" w:rsidRDefault="00CD4E01" w:rsidP="00502AAC">
            <w:pPr>
              <w:ind w:right="656"/>
              <w:jc w:val="right"/>
              <w:rPr>
                <w:sz w:val="20"/>
                <w:szCs w:val="20"/>
              </w:rPr>
            </w:pPr>
            <w:r w:rsidRPr="004C5551">
              <w:rPr>
                <w:sz w:val="20"/>
                <w:szCs w:val="20"/>
              </w:rPr>
              <w:t>1 118</w:t>
            </w:r>
          </w:p>
        </w:tc>
        <w:tc>
          <w:tcPr>
            <w:tcW w:w="1612" w:type="pct"/>
            <w:vAlign w:val="center"/>
          </w:tcPr>
          <w:p w:rsidR="00CD4E01" w:rsidRPr="004C5551" w:rsidRDefault="00CD4E01" w:rsidP="00502AAC">
            <w:pPr>
              <w:ind w:right="656"/>
              <w:jc w:val="right"/>
              <w:rPr>
                <w:sz w:val="20"/>
                <w:szCs w:val="20"/>
              </w:rPr>
            </w:pPr>
            <w:r w:rsidRPr="004C5551">
              <w:rPr>
                <w:sz w:val="20"/>
                <w:szCs w:val="20"/>
              </w:rPr>
              <w:t>829</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40 – 44 rokov</w:t>
            </w:r>
          </w:p>
        </w:tc>
        <w:tc>
          <w:tcPr>
            <w:tcW w:w="1477" w:type="pct"/>
            <w:vAlign w:val="center"/>
          </w:tcPr>
          <w:p w:rsidR="00CD4E01" w:rsidRPr="004C5551" w:rsidRDefault="00CD4E01" w:rsidP="00502AAC">
            <w:pPr>
              <w:ind w:right="656"/>
              <w:jc w:val="right"/>
              <w:rPr>
                <w:sz w:val="20"/>
                <w:szCs w:val="20"/>
              </w:rPr>
            </w:pPr>
            <w:r w:rsidRPr="004C5551">
              <w:rPr>
                <w:sz w:val="20"/>
                <w:szCs w:val="20"/>
              </w:rPr>
              <w:t>1 072</w:t>
            </w:r>
          </w:p>
        </w:tc>
        <w:tc>
          <w:tcPr>
            <w:tcW w:w="1612" w:type="pct"/>
            <w:vAlign w:val="center"/>
          </w:tcPr>
          <w:p w:rsidR="00CD4E01" w:rsidRPr="004C5551" w:rsidRDefault="00CD4E01" w:rsidP="00502AAC">
            <w:pPr>
              <w:ind w:right="656"/>
              <w:jc w:val="right"/>
              <w:rPr>
                <w:sz w:val="20"/>
                <w:szCs w:val="20"/>
              </w:rPr>
            </w:pPr>
            <w:r w:rsidRPr="004C5551">
              <w:rPr>
                <w:sz w:val="20"/>
                <w:szCs w:val="20"/>
              </w:rPr>
              <w:t>844</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45 – 49 rokov</w:t>
            </w:r>
          </w:p>
        </w:tc>
        <w:tc>
          <w:tcPr>
            <w:tcW w:w="1477" w:type="pct"/>
            <w:vAlign w:val="center"/>
          </w:tcPr>
          <w:p w:rsidR="00CD4E01" w:rsidRPr="004C5551" w:rsidRDefault="00CD4E01" w:rsidP="00502AAC">
            <w:pPr>
              <w:ind w:right="656"/>
              <w:jc w:val="right"/>
              <w:rPr>
                <w:sz w:val="20"/>
                <w:szCs w:val="20"/>
              </w:rPr>
            </w:pPr>
            <w:r w:rsidRPr="004C5551">
              <w:rPr>
                <w:sz w:val="20"/>
                <w:szCs w:val="20"/>
              </w:rPr>
              <w:t>1 002</w:t>
            </w:r>
          </w:p>
        </w:tc>
        <w:tc>
          <w:tcPr>
            <w:tcW w:w="1612" w:type="pct"/>
            <w:vAlign w:val="center"/>
          </w:tcPr>
          <w:p w:rsidR="00CD4E01" w:rsidRPr="004C5551" w:rsidRDefault="00CD4E01" w:rsidP="00502AAC">
            <w:pPr>
              <w:ind w:right="656"/>
              <w:jc w:val="right"/>
              <w:rPr>
                <w:sz w:val="20"/>
                <w:szCs w:val="20"/>
              </w:rPr>
            </w:pPr>
            <w:r w:rsidRPr="004C5551">
              <w:rPr>
                <w:sz w:val="20"/>
                <w:szCs w:val="20"/>
              </w:rPr>
              <w:t>827</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50 – 54 rokov</w:t>
            </w:r>
          </w:p>
        </w:tc>
        <w:tc>
          <w:tcPr>
            <w:tcW w:w="1477" w:type="pct"/>
            <w:vAlign w:val="center"/>
          </w:tcPr>
          <w:p w:rsidR="00CD4E01" w:rsidRPr="004C5551" w:rsidRDefault="00CD4E01" w:rsidP="00502AAC">
            <w:pPr>
              <w:ind w:right="656"/>
              <w:jc w:val="right"/>
              <w:rPr>
                <w:sz w:val="20"/>
                <w:szCs w:val="20"/>
              </w:rPr>
            </w:pPr>
            <w:r w:rsidRPr="004C5551">
              <w:rPr>
                <w:sz w:val="20"/>
                <w:szCs w:val="20"/>
              </w:rPr>
              <w:t>961</w:t>
            </w:r>
          </w:p>
        </w:tc>
        <w:tc>
          <w:tcPr>
            <w:tcW w:w="1612" w:type="pct"/>
            <w:vAlign w:val="center"/>
          </w:tcPr>
          <w:p w:rsidR="00CD4E01" w:rsidRPr="004C5551" w:rsidRDefault="00CD4E01" w:rsidP="00502AAC">
            <w:pPr>
              <w:ind w:right="656"/>
              <w:jc w:val="right"/>
              <w:rPr>
                <w:sz w:val="20"/>
                <w:szCs w:val="20"/>
              </w:rPr>
            </w:pPr>
            <w:r w:rsidRPr="004C5551">
              <w:rPr>
                <w:sz w:val="20"/>
                <w:szCs w:val="20"/>
              </w:rPr>
              <w:t>831</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55 – 59 rokov</w:t>
            </w:r>
          </w:p>
        </w:tc>
        <w:tc>
          <w:tcPr>
            <w:tcW w:w="1477" w:type="pct"/>
            <w:vAlign w:val="center"/>
          </w:tcPr>
          <w:p w:rsidR="00CD4E01" w:rsidRPr="004C5551" w:rsidRDefault="00CD4E01" w:rsidP="00502AAC">
            <w:pPr>
              <w:ind w:right="656"/>
              <w:jc w:val="right"/>
              <w:rPr>
                <w:sz w:val="20"/>
                <w:szCs w:val="20"/>
              </w:rPr>
            </w:pPr>
            <w:r w:rsidRPr="004C5551">
              <w:rPr>
                <w:sz w:val="20"/>
                <w:szCs w:val="20"/>
              </w:rPr>
              <w:t>942</w:t>
            </w:r>
          </w:p>
        </w:tc>
        <w:tc>
          <w:tcPr>
            <w:tcW w:w="1612" w:type="pct"/>
            <w:vAlign w:val="center"/>
          </w:tcPr>
          <w:p w:rsidR="00CD4E01" w:rsidRPr="004C5551" w:rsidRDefault="00CD4E01" w:rsidP="00502AAC">
            <w:pPr>
              <w:ind w:right="656"/>
              <w:jc w:val="right"/>
              <w:rPr>
                <w:sz w:val="20"/>
                <w:szCs w:val="20"/>
              </w:rPr>
            </w:pPr>
            <w:r w:rsidRPr="004C5551">
              <w:rPr>
                <w:sz w:val="20"/>
                <w:szCs w:val="20"/>
              </w:rPr>
              <w:t>824</w:t>
            </w:r>
          </w:p>
        </w:tc>
      </w:tr>
      <w:tr w:rsidR="00CD4E01" w:rsidRPr="004C5551" w:rsidTr="00502AAC">
        <w:trPr>
          <w:jc w:val="center"/>
        </w:trPr>
        <w:tc>
          <w:tcPr>
            <w:tcW w:w="1911" w:type="pct"/>
          </w:tcPr>
          <w:p w:rsidR="00CD4E01" w:rsidRPr="004C5551" w:rsidRDefault="00CD4E01" w:rsidP="00502AAC">
            <w:pPr>
              <w:ind w:left="113"/>
              <w:jc w:val="left"/>
              <w:rPr>
                <w:color w:val="333300"/>
              </w:rPr>
            </w:pPr>
            <w:r w:rsidRPr="004C5551">
              <w:rPr>
                <w:color w:val="333300"/>
                <w:szCs w:val="22"/>
              </w:rPr>
              <w:t xml:space="preserve">60 a viac rokov </w:t>
            </w:r>
          </w:p>
        </w:tc>
        <w:tc>
          <w:tcPr>
            <w:tcW w:w="1477" w:type="pct"/>
            <w:vAlign w:val="center"/>
          </w:tcPr>
          <w:p w:rsidR="00CD4E01" w:rsidRPr="004C5551" w:rsidRDefault="00CD4E01" w:rsidP="00502AAC">
            <w:pPr>
              <w:ind w:right="656"/>
              <w:jc w:val="right"/>
              <w:rPr>
                <w:sz w:val="20"/>
                <w:szCs w:val="20"/>
              </w:rPr>
            </w:pPr>
            <w:r w:rsidRPr="004C5551">
              <w:rPr>
                <w:sz w:val="20"/>
                <w:szCs w:val="20"/>
              </w:rPr>
              <w:t>998</w:t>
            </w:r>
          </w:p>
        </w:tc>
        <w:tc>
          <w:tcPr>
            <w:tcW w:w="1612" w:type="pct"/>
            <w:vAlign w:val="center"/>
          </w:tcPr>
          <w:p w:rsidR="00CD4E01" w:rsidRPr="004C5551" w:rsidRDefault="00CD4E01" w:rsidP="00502AAC">
            <w:pPr>
              <w:ind w:right="656"/>
              <w:jc w:val="right"/>
              <w:rPr>
                <w:sz w:val="20"/>
                <w:szCs w:val="20"/>
              </w:rPr>
            </w:pPr>
            <w:r w:rsidRPr="004C5551">
              <w:rPr>
                <w:sz w:val="20"/>
                <w:szCs w:val="20"/>
              </w:rPr>
              <w:t>893</w:t>
            </w:r>
          </w:p>
        </w:tc>
      </w:tr>
    </w:tbl>
    <w:p w:rsidR="00CD4E01" w:rsidRPr="004C5551" w:rsidRDefault="00CD4E01" w:rsidP="00CD4E01">
      <w:pPr>
        <w:pStyle w:val="zdroj"/>
        <w:spacing w:after="0"/>
        <w:ind w:left="708" w:firstLine="426"/>
        <w:rPr>
          <w:sz w:val="18"/>
          <w:szCs w:val="18"/>
        </w:rPr>
      </w:pPr>
      <w:r w:rsidRPr="004C5551">
        <w:t xml:space="preserve"> Zdroj: </w:t>
      </w:r>
      <w:proofErr w:type="spellStart"/>
      <w:r w:rsidRPr="004C5551">
        <w:t>Trexima</w:t>
      </w:r>
      <w:proofErr w:type="spellEnd"/>
      <w:r w:rsidRPr="004C5551">
        <w:t xml:space="preserve">, Informačný systém o priemerných </w:t>
      </w:r>
      <w:r w:rsidRPr="004C5551">
        <w:rPr>
          <w:sz w:val="18"/>
          <w:szCs w:val="18"/>
        </w:rPr>
        <w:t>zárobkoch IV. štvrťrok 2014</w:t>
      </w:r>
    </w:p>
    <w:p w:rsidR="00641072" w:rsidRPr="004C5551" w:rsidRDefault="00641072" w:rsidP="00641072">
      <w:pPr>
        <w:pStyle w:val="zdroj"/>
        <w:rPr>
          <w:sz w:val="18"/>
          <w:szCs w:val="18"/>
        </w:rPr>
      </w:pPr>
    </w:p>
    <w:p w:rsidR="00641072" w:rsidRPr="004C5551" w:rsidRDefault="00641072" w:rsidP="00641072">
      <w:pPr>
        <w:pStyle w:val="Nadpis7"/>
        <w:rPr>
          <w:b w:val="0"/>
          <w:i/>
        </w:rPr>
      </w:pPr>
      <w:r w:rsidRPr="004C5551">
        <w:t xml:space="preserve">Tabuľka </w:t>
      </w:r>
      <w:r w:rsidR="00AD623F" w:rsidRPr="004C5551">
        <w:t>9</w:t>
      </w:r>
      <w:r w:rsidRPr="004C5551">
        <w:t xml:space="preserve"> Priemerná hrubá mesačná mzda v podnikateľskej a nepodnikateľskej sfére </w:t>
      </w:r>
      <w:r w:rsidRPr="004C5551">
        <w:br/>
        <w:t>podľa regiónov – rok 201</w:t>
      </w:r>
      <w:r w:rsidR="00CD4E01" w:rsidRPr="004C5551">
        <w:t>4</w:t>
      </w:r>
    </w:p>
    <w:p w:rsidR="00641072" w:rsidRPr="004C5551" w:rsidRDefault="00641072" w:rsidP="00641072">
      <w:pPr>
        <w:ind w:right="1134"/>
        <w:jc w:val="right"/>
        <w:rPr>
          <w:color w:val="333300"/>
        </w:rPr>
      </w:pPr>
      <w:r w:rsidRPr="004C5551">
        <w:rPr>
          <w:color w:val="333300"/>
          <w:szCs w:val="22"/>
        </w:rPr>
        <w:t xml:space="preserve">v </w:t>
      </w:r>
      <w:r w:rsidR="00AA0137" w:rsidRPr="004C5551">
        <w:rPr>
          <w:color w:val="333300"/>
          <w:szCs w:val="22"/>
        </w:rPr>
        <w:t>€</w:t>
      </w:r>
    </w:p>
    <w:p w:rsidR="00641072" w:rsidRPr="004C5551" w:rsidRDefault="00641072" w:rsidP="00641072">
      <w:pPr>
        <w:jc w:val="center"/>
        <w:rPr>
          <w:b/>
          <w:i/>
          <w:color w:val="333300"/>
          <w:sz w:val="4"/>
          <w:szCs w:val="4"/>
        </w:rPr>
      </w:pPr>
    </w:p>
    <w:tbl>
      <w:tblPr>
        <w:tblW w:w="3655" w:type="pct"/>
        <w:jc w:val="center"/>
        <w:tblInd w:w="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939"/>
        <w:gridCol w:w="2171"/>
      </w:tblGrid>
      <w:tr w:rsidR="00641072" w:rsidRPr="004C5551" w:rsidTr="00E537F0">
        <w:trPr>
          <w:trHeight w:val="262"/>
          <w:jc w:val="center"/>
        </w:trPr>
        <w:tc>
          <w:tcPr>
            <w:tcW w:w="1973" w:type="pct"/>
            <w:shd w:val="clear" w:color="auto" w:fill="FF9999" w:themeFill="accent3" w:themeFillTint="66"/>
            <w:vAlign w:val="center"/>
          </w:tcPr>
          <w:p w:rsidR="00641072" w:rsidRPr="004C5551" w:rsidRDefault="00641072" w:rsidP="00641072">
            <w:pPr>
              <w:jc w:val="center"/>
              <w:rPr>
                <w:b/>
                <w:color w:val="333300"/>
              </w:rPr>
            </w:pPr>
            <w:r w:rsidRPr="004C5551">
              <w:rPr>
                <w:b/>
                <w:color w:val="333300"/>
                <w:szCs w:val="22"/>
              </w:rPr>
              <w:t>Región</w:t>
            </w:r>
          </w:p>
        </w:tc>
        <w:tc>
          <w:tcPr>
            <w:tcW w:w="1428" w:type="pct"/>
            <w:shd w:val="clear" w:color="auto" w:fill="FF9999" w:themeFill="accent3" w:themeFillTint="66"/>
          </w:tcPr>
          <w:p w:rsidR="00641072" w:rsidRPr="004C5551" w:rsidRDefault="00641072" w:rsidP="00641072">
            <w:pPr>
              <w:jc w:val="center"/>
              <w:rPr>
                <w:b/>
                <w:color w:val="333300"/>
              </w:rPr>
            </w:pPr>
            <w:r w:rsidRPr="004C5551">
              <w:rPr>
                <w:b/>
                <w:color w:val="333300"/>
                <w:szCs w:val="22"/>
              </w:rPr>
              <w:t>Podnikateľská sféra</w:t>
            </w:r>
          </w:p>
        </w:tc>
        <w:tc>
          <w:tcPr>
            <w:tcW w:w="1599" w:type="pct"/>
            <w:shd w:val="clear" w:color="auto" w:fill="FF9999" w:themeFill="accent3" w:themeFillTint="66"/>
          </w:tcPr>
          <w:p w:rsidR="00641072" w:rsidRPr="004C5551" w:rsidRDefault="00641072" w:rsidP="00641072">
            <w:pPr>
              <w:jc w:val="center"/>
              <w:rPr>
                <w:b/>
                <w:color w:val="333300"/>
              </w:rPr>
            </w:pPr>
            <w:r w:rsidRPr="004C5551">
              <w:rPr>
                <w:b/>
                <w:color w:val="333300"/>
                <w:szCs w:val="22"/>
              </w:rPr>
              <w:t>Nepodnikateľská sféra</w:t>
            </w:r>
          </w:p>
        </w:tc>
      </w:tr>
      <w:tr w:rsidR="00CD4E01" w:rsidRPr="004C5551" w:rsidTr="00502AAC">
        <w:trPr>
          <w:trHeight w:val="247"/>
          <w:jc w:val="center"/>
        </w:trPr>
        <w:tc>
          <w:tcPr>
            <w:tcW w:w="1973" w:type="pct"/>
          </w:tcPr>
          <w:p w:rsidR="00CD4E01" w:rsidRPr="004C5551" w:rsidRDefault="00CD4E01" w:rsidP="00502AAC">
            <w:pPr>
              <w:jc w:val="left"/>
              <w:rPr>
                <w:b/>
                <w:bCs/>
                <w:iCs/>
                <w:color w:val="333300"/>
              </w:rPr>
            </w:pPr>
            <w:r w:rsidRPr="004C5551">
              <w:rPr>
                <w:b/>
                <w:bCs/>
                <w:iCs/>
                <w:color w:val="333300"/>
                <w:szCs w:val="22"/>
              </w:rPr>
              <w:t>Spolu</w:t>
            </w:r>
          </w:p>
        </w:tc>
        <w:tc>
          <w:tcPr>
            <w:tcW w:w="1428" w:type="pct"/>
            <w:vAlign w:val="center"/>
          </w:tcPr>
          <w:p w:rsidR="00CD4E01" w:rsidRPr="004C5551" w:rsidRDefault="00CD4E01" w:rsidP="00502AAC">
            <w:pPr>
              <w:ind w:right="690"/>
              <w:jc w:val="right"/>
              <w:rPr>
                <w:b/>
                <w:sz w:val="20"/>
                <w:szCs w:val="20"/>
              </w:rPr>
            </w:pPr>
            <w:r w:rsidRPr="004C5551">
              <w:rPr>
                <w:b/>
                <w:sz w:val="20"/>
                <w:szCs w:val="20"/>
              </w:rPr>
              <w:t>995</w:t>
            </w:r>
          </w:p>
        </w:tc>
        <w:tc>
          <w:tcPr>
            <w:tcW w:w="1599" w:type="pct"/>
            <w:vAlign w:val="center"/>
          </w:tcPr>
          <w:p w:rsidR="00CD4E01" w:rsidRPr="004C5551" w:rsidRDefault="00CD4E01" w:rsidP="00502AAC">
            <w:pPr>
              <w:ind w:right="690"/>
              <w:jc w:val="right"/>
              <w:rPr>
                <w:b/>
                <w:sz w:val="20"/>
                <w:szCs w:val="20"/>
              </w:rPr>
            </w:pPr>
            <w:r w:rsidRPr="004C5551">
              <w:rPr>
                <w:b/>
                <w:sz w:val="20"/>
                <w:szCs w:val="20"/>
              </w:rPr>
              <w:t>827</w:t>
            </w:r>
          </w:p>
        </w:tc>
      </w:tr>
      <w:tr w:rsidR="00CD4E01" w:rsidRPr="004C5551" w:rsidTr="00502AAC">
        <w:trPr>
          <w:trHeight w:val="262"/>
          <w:jc w:val="center"/>
        </w:trPr>
        <w:tc>
          <w:tcPr>
            <w:tcW w:w="1973" w:type="pct"/>
          </w:tcPr>
          <w:p w:rsidR="00CD4E01" w:rsidRPr="004C5551" w:rsidRDefault="00CD4E01" w:rsidP="00502AAC">
            <w:pPr>
              <w:ind w:left="113"/>
              <w:jc w:val="left"/>
              <w:rPr>
                <w:color w:val="333300"/>
              </w:rPr>
            </w:pPr>
            <w:r w:rsidRPr="004C5551">
              <w:rPr>
                <w:color w:val="333300"/>
                <w:szCs w:val="22"/>
              </w:rPr>
              <w:t>Bratislavský</w:t>
            </w:r>
          </w:p>
        </w:tc>
        <w:tc>
          <w:tcPr>
            <w:tcW w:w="1428" w:type="pct"/>
            <w:vAlign w:val="center"/>
          </w:tcPr>
          <w:p w:rsidR="00CD4E01" w:rsidRPr="004C5551" w:rsidRDefault="00CD4E01" w:rsidP="00502AAC">
            <w:pPr>
              <w:ind w:right="690"/>
              <w:jc w:val="right"/>
              <w:rPr>
                <w:sz w:val="20"/>
                <w:szCs w:val="20"/>
              </w:rPr>
            </w:pPr>
            <w:r w:rsidRPr="004C5551">
              <w:rPr>
                <w:sz w:val="20"/>
                <w:szCs w:val="20"/>
              </w:rPr>
              <w:t>1 369</w:t>
            </w:r>
          </w:p>
        </w:tc>
        <w:tc>
          <w:tcPr>
            <w:tcW w:w="1599" w:type="pct"/>
            <w:vAlign w:val="center"/>
          </w:tcPr>
          <w:p w:rsidR="00CD4E01" w:rsidRPr="004C5551" w:rsidRDefault="00CD4E01" w:rsidP="00502AAC">
            <w:pPr>
              <w:ind w:right="690"/>
              <w:jc w:val="right"/>
              <w:rPr>
                <w:sz w:val="20"/>
                <w:szCs w:val="20"/>
              </w:rPr>
            </w:pPr>
            <w:r w:rsidRPr="004C5551">
              <w:rPr>
                <w:sz w:val="20"/>
                <w:szCs w:val="20"/>
              </w:rPr>
              <w:t>958</w:t>
            </w:r>
          </w:p>
        </w:tc>
      </w:tr>
      <w:tr w:rsidR="00CD4E01" w:rsidRPr="004C5551" w:rsidTr="00502AAC">
        <w:trPr>
          <w:trHeight w:val="247"/>
          <w:jc w:val="center"/>
        </w:trPr>
        <w:tc>
          <w:tcPr>
            <w:tcW w:w="1973" w:type="pct"/>
          </w:tcPr>
          <w:p w:rsidR="00CD4E01" w:rsidRPr="004C5551" w:rsidRDefault="00CD4E01" w:rsidP="00502AAC">
            <w:pPr>
              <w:ind w:left="113"/>
              <w:jc w:val="left"/>
              <w:rPr>
                <w:color w:val="333300"/>
              </w:rPr>
            </w:pPr>
            <w:r w:rsidRPr="004C5551">
              <w:rPr>
                <w:color w:val="333300"/>
                <w:szCs w:val="22"/>
              </w:rPr>
              <w:t>Trnavský</w:t>
            </w:r>
          </w:p>
        </w:tc>
        <w:tc>
          <w:tcPr>
            <w:tcW w:w="1428" w:type="pct"/>
            <w:vAlign w:val="center"/>
          </w:tcPr>
          <w:p w:rsidR="00CD4E01" w:rsidRPr="004C5551" w:rsidRDefault="00CD4E01" w:rsidP="00502AAC">
            <w:pPr>
              <w:ind w:right="690"/>
              <w:jc w:val="right"/>
              <w:rPr>
                <w:sz w:val="20"/>
                <w:szCs w:val="20"/>
              </w:rPr>
            </w:pPr>
            <w:r w:rsidRPr="004C5551">
              <w:rPr>
                <w:sz w:val="20"/>
                <w:szCs w:val="20"/>
              </w:rPr>
              <w:t>915</w:t>
            </w:r>
          </w:p>
        </w:tc>
        <w:tc>
          <w:tcPr>
            <w:tcW w:w="1599" w:type="pct"/>
            <w:vAlign w:val="center"/>
          </w:tcPr>
          <w:p w:rsidR="00CD4E01" w:rsidRPr="004C5551" w:rsidRDefault="00CD4E01" w:rsidP="00502AAC">
            <w:pPr>
              <w:ind w:right="690"/>
              <w:jc w:val="right"/>
              <w:rPr>
                <w:sz w:val="20"/>
                <w:szCs w:val="20"/>
              </w:rPr>
            </w:pPr>
            <w:r w:rsidRPr="004C5551">
              <w:rPr>
                <w:sz w:val="20"/>
                <w:szCs w:val="20"/>
              </w:rPr>
              <w:t>809</w:t>
            </w:r>
          </w:p>
        </w:tc>
      </w:tr>
      <w:tr w:rsidR="00CD4E01" w:rsidRPr="004C5551" w:rsidTr="00502AAC">
        <w:trPr>
          <w:trHeight w:val="262"/>
          <w:jc w:val="center"/>
        </w:trPr>
        <w:tc>
          <w:tcPr>
            <w:tcW w:w="1973" w:type="pct"/>
          </w:tcPr>
          <w:p w:rsidR="00CD4E01" w:rsidRPr="004C5551" w:rsidRDefault="00CD4E01" w:rsidP="00502AAC">
            <w:pPr>
              <w:ind w:left="113"/>
              <w:jc w:val="left"/>
              <w:rPr>
                <w:color w:val="333300"/>
              </w:rPr>
            </w:pPr>
            <w:r w:rsidRPr="004C5551">
              <w:rPr>
                <w:color w:val="333300"/>
                <w:szCs w:val="22"/>
              </w:rPr>
              <w:t>Trenčiansky</w:t>
            </w:r>
          </w:p>
        </w:tc>
        <w:tc>
          <w:tcPr>
            <w:tcW w:w="1428" w:type="pct"/>
            <w:vAlign w:val="center"/>
          </w:tcPr>
          <w:p w:rsidR="00CD4E01" w:rsidRPr="004C5551" w:rsidRDefault="00CD4E01" w:rsidP="00502AAC">
            <w:pPr>
              <w:ind w:right="690"/>
              <w:jc w:val="right"/>
              <w:rPr>
                <w:sz w:val="20"/>
                <w:szCs w:val="20"/>
              </w:rPr>
            </w:pPr>
            <w:r w:rsidRPr="004C5551">
              <w:rPr>
                <w:sz w:val="20"/>
                <w:szCs w:val="20"/>
              </w:rPr>
              <w:t>883</w:t>
            </w:r>
          </w:p>
        </w:tc>
        <w:tc>
          <w:tcPr>
            <w:tcW w:w="1599" w:type="pct"/>
            <w:vAlign w:val="center"/>
          </w:tcPr>
          <w:p w:rsidR="00CD4E01" w:rsidRPr="004C5551" w:rsidRDefault="00CD4E01" w:rsidP="00502AAC">
            <w:pPr>
              <w:ind w:right="690"/>
              <w:jc w:val="right"/>
              <w:rPr>
                <w:sz w:val="20"/>
                <w:szCs w:val="20"/>
              </w:rPr>
            </w:pPr>
            <w:r w:rsidRPr="004C5551">
              <w:rPr>
                <w:sz w:val="20"/>
                <w:szCs w:val="20"/>
              </w:rPr>
              <w:t>781</w:t>
            </w:r>
          </w:p>
        </w:tc>
      </w:tr>
      <w:tr w:rsidR="00CD4E01" w:rsidRPr="004C5551" w:rsidTr="00502AAC">
        <w:trPr>
          <w:trHeight w:val="247"/>
          <w:jc w:val="center"/>
        </w:trPr>
        <w:tc>
          <w:tcPr>
            <w:tcW w:w="1973" w:type="pct"/>
          </w:tcPr>
          <w:p w:rsidR="00CD4E01" w:rsidRPr="004C5551" w:rsidRDefault="00CD4E01" w:rsidP="00502AAC">
            <w:pPr>
              <w:ind w:left="113"/>
              <w:jc w:val="left"/>
              <w:rPr>
                <w:color w:val="333300"/>
              </w:rPr>
            </w:pPr>
            <w:r w:rsidRPr="004C5551">
              <w:rPr>
                <w:color w:val="333300"/>
                <w:szCs w:val="22"/>
              </w:rPr>
              <w:t>Nitriansky</w:t>
            </w:r>
          </w:p>
        </w:tc>
        <w:tc>
          <w:tcPr>
            <w:tcW w:w="1428" w:type="pct"/>
            <w:vAlign w:val="center"/>
          </w:tcPr>
          <w:p w:rsidR="00CD4E01" w:rsidRPr="004C5551" w:rsidRDefault="00CD4E01" w:rsidP="00502AAC">
            <w:pPr>
              <w:ind w:right="690"/>
              <w:jc w:val="right"/>
              <w:rPr>
                <w:sz w:val="20"/>
                <w:szCs w:val="20"/>
              </w:rPr>
            </w:pPr>
            <w:r w:rsidRPr="004C5551">
              <w:rPr>
                <w:sz w:val="20"/>
                <w:szCs w:val="20"/>
              </w:rPr>
              <w:t>842</w:t>
            </w:r>
          </w:p>
        </w:tc>
        <w:tc>
          <w:tcPr>
            <w:tcW w:w="1599" w:type="pct"/>
            <w:vAlign w:val="center"/>
          </w:tcPr>
          <w:p w:rsidR="00CD4E01" w:rsidRPr="004C5551" w:rsidRDefault="00CD4E01" w:rsidP="00502AAC">
            <w:pPr>
              <w:ind w:right="690"/>
              <w:jc w:val="right"/>
              <w:rPr>
                <w:sz w:val="20"/>
                <w:szCs w:val="20"/>
              </w:rPr>
            </w:pPr>
            <w:r w:rsidRPr="004C5551">
              <w:rPr>
                <w:sz w:val="20"/>
                <w:szCs w:val="20"/>
              </w:rPr>
              <w:t>776</w:t>
            </w:r>
          </w:p>
        </w:tc>
      </w:tr>
      <w:tr w:rsidR="00CD4E01" w:rsidRPr="004C5551" w:rsidTr="00502AAC">
        <w:trPr>
          <w:trHeight w:val="262"/>
          <w:jc w:val="center"/>
        </w:trPr>
        <w:tc>
          <w:tcPr>
            <w:tcW w:w="1973" w:type="pct"/>
          </w:tcPr>
          <w:p w:rsidR="00CD4E01" w:rsidRPr="004C5551" w:rsidRDefault="00CD4E01" w:rsidP="00502AAC">
            <w:pPr>
              <w:ind w:left="113"/>
              <w:jc w:val="left"/>
              <w:rPr>
                <w:color w:val="333300"/>
              </w:rPr>
            </w:pPr>
            <w:r w:rsidRPr="004C5551">
              <w:rPr>
                <w:color w:val="333300"/>
                <w:szCs w:val="22"/>
              </w:rPr>
              <w:t>Žilinský</w:t>
            </w:r>
          </w:p>
        </w:tc>
        <w:tc>
          <w:tcPr>
            <w:tcW w:w="1428" w:type="pct"/>
            <w:vAlign w:val="center"/>
          </w:tcPr>
          <w:p w:rsidR="00CD4E01" w:rsidRPr="004C5551" w:rsidRDefault="00CD4E01" w:rsidP="00502AAC">
            <w:pPr>
              <w:ind w:right="690"/>
              <w:jc w:val="right"/>
              <w:rPr>
                <w:sz w:val="20"/>
                <w:szCs w:val="20"/>
              </w:rPr>
            </w:pPr>
            <w:r w:rsidRPr="004C5551">
              <w:rPr>
                <w:sz w:val="20"/>
                <w:szCs w:val="20"/>
              </w:rPr>
              <w:t>887</w:t>
            </w:r>
          </w:p>
        </w:tc>
        <w:tc>
          <w:tcPr>
            <w:tcW w:w="1599" w:type="pct"/>
            <w:vAlign w:val="center"/>
          </w:tcPr>
          <w:p w:rsidR="00CD4E01" w:rsidRPr="004C5551" w:rsidRDefault="00CD4E01" w:rsidP="00502AAC">
            <w:pPr>
              <w:ind w:right="690"/>
              <w:jc w:val="right"/>
              <w:rPr>
                <w:sz w:val="20"/>
                <w:szCs w:val="20"/>
              </w:rPr>
            </w:pPr>
            <w:r w:rsidRPr="004C5551">
              <w:rPr>
                <w:sz w:val="20"/>
                <w:szCs w:val="20"/>
              </w:rPr>
              <w:t>811</w:t>
            </w:r>
          </w:p>
        </w:tc>
      </w:tr>
      <w:tr w:rsidR="00CD4E01" w:rsidRPr="004C5551" w:rsidTr="00502AAC">
        <w:trPr>
          <w:trHeight w:val="247"/>
          <w:jc w:val="center"/>
        </w:trPr>
        <w:tc>
          <w:tcPr>
            <w:tcW w:w="1973" w:type="pct"/>
          </w:tcPr>
          <w:p w:rsidR="00CD4E01" w:rsidRPr="004C5551" w:rsidRDefault="00CD4E01" w:rsidP="00502AAC">
            <w:pPr>
              <w:ind w:left="113"/>
              <w:jc w:val="left"/>
              <w:rPr>
                <w:color w:val="333300"/>
              </w:rPr>
            </w:pPr>
            <w:r w:rsidRPr="004C5551">
              <w:rPr>
                <w:color w:val="333300"/>
                <w:szCs w:val="22"/>
              </w:rPr>
              <w:t>Banskobystrický</w:t>
            </w:r>
          </w:p>
        </w:tc>
        <w:tc>
          <w:tcPr>
            <w:tcW w:w="1428" w:type="pct"/>
            <w:vAlign w:val="center"/>
          </w:tcPr>
          <w:p w:rsidR="00CD4E01" w:rsidRPr="004C5551" w:rsidRDefault="00CD4E01" w:rsidP="00502AAC">
            <w:pPr>
              <w:ind w:right="690"/>
              <w:jc w:val="right"/>
              <w:rPr>
                <w:sz w:val="20"/>
                <w:szCs w:val="20"/>
              </w:rPr>
            </w:pPr>
            <w:r w:rsidRPr="004C5551">
              <w:rPr>
                <w:sz w:val="20"/>
                <w:szCs w:val="20"/>
              </w:rPr>
              <w:t>844</w:t>
            </w:r>
          </w:p>
        </w:tc>
        <w:tc>
          <w:tcPr>
            <w:tcW w:w="1599" w:type="pct"/>
            <w:vAlign w:val="center"/>
          </w:tcPr>
          <w:p w:rsidR="00CD4E01" w:rsidRPr="004C5551" w:rsidRDefault="00CD4E01" w:rsidP="00502AAC">
            <w:pPr>
              <w:ind w:right="690"/>
              <w:jc w:val="right"/>
              <w:rPr>
                <w:sz w:val="20"/>
                <w:szCs w:val="20"/>
              </w:rPr>
            </w:pPr>
            <w:r w:rsidRPr="004C5551">
              <w:rPr>
                <w:sz w:val="20"/>
                <w:szCs w:val="20"/>
              </w:rPr>
              <w:t>802</w:t>
            </w:r>
          </w:p>
        </w:tc>
      </w:tr>
      <w:tr w:rsidR="00CD4E01" w:rsidRPr="004C5551" w:rsidTr="00502AAC">
        <w:trPr>
          <w:trHeight w:val="262"/>
          <w:jc w:val="center"/>
        </w:trPr>
        <w:tc>
          <w:tcPr>
            <w:tcW w:w="1973" w:type="pct"/>
          </w:tcPr>
          <w:p w:rsidR="00CD4E01" w:rsidRPr="004C5551" w:rsidRDefault="00CD4E01" w:rsidP="00502AAC">
            <w:pPr>
              <w:ind w:left="113"/>
              <w:jc w:val="left"/>
              <w:rPr>
                <w:color w:val="333300"/>
              </w:rPr>
            </w:pPr>
            <w:r w:rsidRPr="004C5551">
              <w:rPr>
                <w:color w:val="333300"/>
                <w:szCs w:val="22"/>
              </w:rPr>
              <w:t>Prešovský</w:t>
            </w:r>
          </w:p>
        </w:tc>
        <w:tc>
          <w:tcPr>
            <w:tcW w:w="1428" w:type="pct"/>
            <w:vAlign w:val="center"/>
          </w:tcPr>
          <w:p w:rsidR="00CD4E01" w:rsidRPr="004C5551" w:rsidRDefault="00CD4E01" w:rsidP="00502AAC">
            <w:pPr>
              <w:ind w:right="690"/>
              <w:jc w:val="right"/>
              <w:rPr>
                <w:sz w:val="20"/>
                <w:szCs w:val="20"/>
              </w:rPr>
            </w:pPr>
            <w:r w:rsidRPr="004C5551">
              <w:rPr>
                <w:sz w:val="20"/>
                <w:szCs w:val="20"/>
              </w:rPr>
              <w:t>750</w:t>
            </w:r>
          </w:p>
        </w:tc>
        <w:tc>
          <w:tcPr>
            <w:tcW w:w="1599" w:type="pct"/>
            <w:vAlign w:val="center"/>
          </w:tcPr>
          <w:p w:rsidR="00CD4E01" w:rsidRPr="004C5551" w:rsidRDefault="00CD4E01" w:rsidP="00502AAC">
            <w:pPr>
              <w:ind w:right="690"/>
              <w:jc w:val="right"/>
              <w:rPr>
                <w:sz w:val="20"/>
                <w:szCs w:val="20"/>
              </w:rPr>
            </w:pPr>
            <w:r w:rsidRPr="004C5551">
              <w:rPr>
                <w:sz w:val="20"/>
                <w:szCs w:val="20"/>
              </w:rPr>
              <w:t>776</w:t>
            </w:r>
          </w:p>
        </w:tc>
      </w:tr>
      <w:tr w:rsidR="00CD4E01" w:rsidRPr="004C5551" w:rsidTr="00502AAC">
        <w:trPr>
          <w:trHeight w:val="262"/>
          <w:jc w:val="center"/>
        </w:trPr>
        <w:tc>
          <w:tcPr>
            <w:tcW w:w="1973" w:type="pct"/>
          </w:tcPr>
          <w:p w:rsidR="00CD4E01" w:rsidRPr="004C5551" w:rsidRDefault="00CD4E01" w:rsidP="00502AAC">
            <w:pPr>
              <w:ind w:left="113"/>
              <w:jc w:val="left"/>
              <w:rPr>
                <w:color w:val="333300"/>
              </w:rPr>
            </w:pPr>
            <w:r w:rsidRPr="004C5551">
              <w:rPr>
                <w:color w:val="333300"/>
                <w:szCs w:val="22"/>
              </w:rPr>
              <w:t>Košický</w:t>
            </w:r>
          </w:p>
        </w:tc>
        <w:tc>
          <w:tcPr>
            <w:tcW w:w="1428" w:type="pct"/>
            <w:vAlign w:val="center"/>
          </w:tcPr>
          <w:p w:rsidR="00CD4E01" w:rsidRPr="004C5551" w:rsidRDefault="00CD4E01" w:rsidP="00502AAC">
            <w:pPr>
              <w:ind w:right="690"/>
              <w:jc w:val="right"/>
              <w:rPr>
                <w:sz w:val="20"/>
                <w:szCs w:val="20"/>
              </w:rPr>
            </w:pPr>
            <w:r w:rsidRPr="004C5551">
              <w:rPr>
                <w:sz w:val="20"/>
                <w:szCs w:val="20"/>
              </w:rPr>
              <w:t>957</w:t>
            </w:r>
          </w:p>
        </w:tc>
        <w:tc>
          <w:tcPr>
            <w:tcW w:w="1599" w:type="pct"/>
            <w:vAlign w:val="center"/>
          </w:tcPr>
          <w:p w:rsidR="00CD4E01" w:rsidRPr="004C5551" w:rsidRDefault="00CD4E01" w:rsidP="00502AAC">
            <w:pPr>
              <w:ind w:right="690"/>
              <w:jc w:val="right"/>
              <w:rPr>
                <w:sz w:val="20"/>
                <w:szCs w:val="20"/>
              </w:rPr>
            </w:pPr>
            <w:r w:rsidRPr="004C5551">
              <w:rPr>
                <w:sz w:val="20"/>
                <w:szCs w:val="20"/>
              </w:rPr>
              <w:t>811</w:t>
            </w:r>
          </w:p>
        </w:tc>
      </w:tr>
    </w:tbl>
    <w:p w:rsidR="00641072" w:rsidRPr="004C5551" w:rsidRDefault="00CD4E01" w:rsidP="00641072">
      <w:pPr>
        <w:pStyle w:val="zdroj"/>
        <w:ind w:left="709" w:firstLine="709"/>
      </w:pPr>
      <w:r w:rsidRPr="004C5551">
        <w:t xml:space="preserve">Zdroj: </w:t>
      </w:r>
      <w:proofErr w:type="spellStart"/>
      <w:r w:rsidRPr="004C5551">
        <w:t>Trexima</w:t>
      </w:r>
      <w:proofErr w:type="spellEnd"/>
      <w:r w:rsidRPr="004C5551">
        <w:t>, Informačný systém o priemerných zárobkoch IV. štvrťrok 2014</w:t>
      </w:r>
    </w:p>
    <w:p w:rsidR="00641072" w:rsidRPr="004C5551" w:rsidRDefault="00641072" w:rsidP="00641072">
      <w:pPr>
        <w:pStyle w:val="Nadpis7"/>
        <w:rPr>
          <w:b w:val="0"/>
          <w:i/>
        </w:rPr>
      </w:pPr>
      <w:r w:rsidRPr="004C5551">
        <w:t>Tabuľka 1</w:t>
      </w:r>
      <w:r w:rsidR="00AD623F" w:rsidRPr="004C5551">
        <w:t>0</w:t>
      </w:r>
      <w:r w:rsidRPr="004C5551">
        <w:t xml:space="preserve"> Priemerná hrubá mesačná mzda a vybrané zložky mzdy zamestnancov </w:t>
      </w:r>
      <w:r w:rsidRPr="004C5551">
        <w:br/>
        <w:t>podľa pohlavia – rok 201</w:t>
      </w:r>
      <w:r w:rsidR="00E537F0" w:rsidRPr="004C5551">
        <w:t>4</w:t>
      </w:r>
    </w:p>
    <w:p w:rsidR="00641072" w:rsidRPr="004C5551" w:rsidRDefault="00641072" w:rsidP="00641072">
      <w:pPr>
        <w:ind w:right="-142"/>
        <w:jc w:val="right"/>
        <w:rPr>
          <w:color w:val="333300"/>
          <w:szCs w:val="22"/>
        </w:rPr>
      </w:pPr>
      <w:r w:rsidRPr="004C5551">
        <w:rPr>
          <w:color w:val="333300"/>
          <w:szCs w:val="22"/>
        </w:rPr>
        <w:t xml:space="preserve">v </w:t>
      </w:r>
      <w:r w:rsidR="00AA0137" w:rsidRPr="004C5551">
        <w:rPr>
          <w:color w:val="333300"/>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1169"/>
        <w:gridCol w:w="732"/>
        <w:gridCol w:w="1451"/>
        <w:gridCol w:w="1146"/>
        <w:gridCol w:w="1116"/>
        <w:gridCol w:w="1142"/>
        <w:gridCol w:w="1170"/>
        <w:gridCol w:w="1362"/>
      </w:tblGrid>
      <w:tr w:rsidR="00641072" w:rsidRPr="004C5551" w:rsidTr="00E537F0">
        <w:trPr>
          <w:trHeight w:val="299"/>
          <w:jc w:val="center"/>
        </w:trPr>
        <w:tc>
          <w:tcPr>
            <w:tcW w:w="1023" w:type="pct"/>
            <w:gridSpan w:val="2"/>
            <w:vMerge w:val="restart"/>
            <w:tcBorders>
              <w:top w:val="single" w:sz="4" w:space="0" w:color="auto"/>
              <w:bottom w:val="single" w:sz="6" w:space="0" w:color="000000"/>
            </w:tcBorders>
            <w:shd w:val="clear" w:color="auto" w:fill="FF9999" w:themeFill="accent3" w:themeFillTint="66"/>
            <w:vAlign w:val="center"/>
          </w:tcPr>
          <w:p w:rsidR="00641072" w:rsidRPr="004C5551" w:rsidRDefault="00641072" w:rsidP="00641072">
            <w:pPr>
              <w:jc w:val="center"/>
              <w:rPr>
                <w:b/>
                <w:caps/>
                <w:color w:val="333300"/>
                <w:sz w:val="20"/>
                <w:szCs w:val="20"/>
              </w:rPr>
            </w:pPr>
            <w:r w:rsidRPr="004C5551">
              <w:rPr>
                <w:b/>
                <w:caps/>
                <w:color w:val="333300"/>
                <w:sz w:val="20"/>
                <w:szCs w:val="20"/>
              </w:rPr>
              <w:t>Pohlavie / zložky mzdy</w:t>
            </w:r>
          </w:p>
        </w:tc>
        <w:tc>
          <w:tcPr>
            <w:tcW w:w="781" w:type="pct"/>
            <w:vMerge w:val="restart"/>
            <w:tcBorders>
              <w:top w:val="single" w:sz="4" w:space="0" w:color="auto"/>
              <w:bottom w:val="single" w:sz="6" w:space="0" w:color="000000"/>
            </w:tcBorders>
            <w:shd w:val="clear" w:color="auto" w:fill="FF9999" w:themeFill="accent3" w:themeFillTint="66"/>
            <w:vAlign w:val="center"/>
          </w:tcPr>
          <w:p w:rsidR="00641072" w:rsidRPr="004C5551" w:rsidRDefault="00641072" w:rsidP="00641072">
            <w:pPr>
              <w:jc w:val="center"/>
              <w:rPr>
                <w:b/>
                <w:caps/>
                <w:color w:val="333300"/>
                <w:sz w:val="20"/>
                <w:szCs w:val="20"/>
              </w:rPr>
            </w:pPr>
            <w:r w:rsidRPr="004C5551">
              <w:rPr>
                <w:b/>
                <w:caps/>
                <w:color w:val="333300"/>
                <w:sz w:val="20"/>
                <w:szCs w:val="20"/>
              </w:rPr>
              <w:t>Priemerná mesačná hrubá mzda</w:t>
            </w:r>
          </w:p>
        </w:tc>
        <w:tc>
          <w:tcPr>
            <w:tcW w:w="3196" w:type="pct"/>
            <w:gridSpan w:val="5"/>
            <w:tcBorders>
              <w:top w:val="single" w:sz="4" w:space="0" w:color="auto"/>
              <w:bottom w:val="single" w:sz="6" w:space="0" w:color="000000"/>
            </w:tcBorders>
            <w:shd w:val="clear" w:color="auto" w:fill="FF9999" w:themeFill="accent3" w:themeFillTint="66"/>
            <w:vAlign w:val="center"/>
          </w:tcPr>
          <w:p w:rsidR="00641072" w:rsidRPr="004C5551" w:rsidRDefault="00641072" w:rsidP="00641072">
            <w:pPr>
              <w:jc w:val="center"/>
              <w:rPr>
                <w:b/>
                <w:caps/>
                <w:color w:val="333300"/>
                <w:sz w:val="20"/>
                <w:szCs w:val="20"/>
              </w:rPr>
            </w:pPr>
            <w:r w:rsidRPr="004C5551">
              <w:rPr>
                <w:b/>
                <w:caps/>
                <w:color w:val="333300"/>
                <w:sz w:val="20"/>
                <w:szCs w:val="20"/>
              </w:rPr>
              <w:t>v tom zložky priemernej mesačnej hrubej mzdy</w:t>
            </w:r>
          </w:p>
        </w:tc>
      </w:tr>
      <w:tr w:rsidR="00641072" w:rsidRPr="004C5551" w:rsidTr="00E537F0">
        <w:trPr>
          <w:trHeight w:val="151"/>
          <w:jc w:val="center"/>
        </w:trPr>
        <w:tc>
          <w:tcPr>
            <w:tcW w:w="1023" w:type="pct"/>
            <w:gridSpan w:val="2"/>
            <w:vMerge/>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p>
        </w:tc>
        <w:tc>
          <w:tcPr>
            <w:tcW w:w="781" w:type="pct"/>
            <w:vMerge/>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p>
        </w:tc>
        <w:tc>
          <w:tcPr>
            <w:tcW w:w="617" w:type="pct"/>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základná mzda</w:t>
            </w:r>
          </w:p>
        </w:tc>
        <w:tc>
          <w:tcPr>
            <w:tcW w:w="601" w:type="pct"/>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prémie a odmeny</w:t>
            </w:r>
          </w:p>
        </w:tc>
        <w:tc>
          <w:tcPr>
            <w:tcW w:w="615" w:type="pct"/>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príplatky a doplatky</w:t>
            </w:r>
          </w:p>
        </w:tc>
        <w:tc>
          <w:tcPr>
            <w:tcW w:w="630" w:type="pct"/>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Náhrady mzdy</w:t>
            </w:r>
          </w:p>
        </w:tc>
        <w:tc>
          <w:tcPr>
            <w:tcW w:w="733" w:type="pct"/>
            <w:tcBorders>
              <w:top w:val="single" w:sz="6" w:space="0" w:color="000000"/>
              <w:bottom w:val="single" w:sz="6" w:space="0" w:color="000000"/>
            </w:tcBorders>
            <w:shd w:val="clear" w:color="auto" w:fill="FF9999" w:themeFill="accent3" w:themeFillTint="66"/>
            <w:vAlign w:val="center"/>
          </w:tcPr>
          <w:p w:rsidR="00641072" w:rsidRPr="004C5551" w:rsidRDefault="00641072" w:rsidP="00641072">
            <w:pPr>
              <w:jc w:val="center"/>
              <w:rPr>
                <w:b/>
                <w:color w:val="333300"/>
                <w:sz w:val="20"/>
                <w:szCs w:val="20"/>
              </w:rPr>
            </w:pPr>
            <w:r w:rsidRPr="004C5551">
              <w:rPr>
                <w:b/>
                <w:color w:val="333300"/>
                <w:sz w:val="20"/>
                <w:szCs w:val="20"/>
              </w:rPr>
              <w:t>ostatné mzdové zložky</w:t>
            </w:r>
          </w:p>
        </w:tc>
      </w:tr>
      <w:tr w:rsidR="00CD4E01" w:rsidRPr="004C5551" w:rsidTr="00502AAC">
        <w:trPr>
          <w:trHeight w:val="283"/>
          <w:jc w:val="center"/>
        </w:trPr>
        <w:tc>
          <w:tcPr>
            <w:tcW w:w="629" w:type="pct"/>
            <w:vMerge w:val="restart"/>
            <w:vAlign w:val="center"/>
          </w:tcPr>
          <w:p w:rsidR="00CD4E01" w:rsidRPr="004C5551" w:rsidRDefault="00CD4E01" w:rsidP="00502AAC">
            <w:pPr>
              <w:jc w:val="center"/>
              <w:rPr>
                <w:b/>
                <w:bCs/>
                <w:color w:val="333300"/>
                <w:sz w:val="20"/>
                <w:szCs w:val="20"/>
              </w:rPr>
            </w:pPr>
            <w:r w:rsidRPr="004C5551">
              <w:rPr>
                <w:b/>
                <w:bCs/>
                <w:color w:val="333300"/>
                <w:sz w:val="20"/>
                <w:szCs w:val="20"/>
              </w:rPr>
              <w:t>Spolu</w:t>
            </w:r>
          </w:p>
        </w:tc>
        <w:tc>
          <w:tcPr>
            <w:tcW w:w="394" w:type="pct"/>
            <w:tcBorders>
              <w:bottom w:val="nil"/>
              <w:right w:val="single" w:sz="2" w:space="0" w:color="auto"/>
            </w:tcBorders>
            <w:vAlign w:val="center"/>
          </w:tcPr>
          <w:p w:rsidR="00CD4E01" w:rsidRPr="004C5551" w:rsidRDefault="00CD4E01" w:rsidP="00502AAC">
            <w:pPr>
              <w:jc w:val="center"/>
              <w:rPr>
                <w:b/>
                <w:bCs/>
                <w:color w:val="333300"/>
                <w:sz w:val="20"/>
                <w:szCs w:val="20"/>
              </w:rPr>
            </w:pPr>
            <w:r w:rsidRPr="004C5551">
              <w:rPr>
                <w:b/>
                <w:bCs/>
                <w:color w:val="333300"/>
                <w:sz w:val="20"/>
                <w:szCs w:val="20"/>
              </w:rPr>
              <w:t xml:space="preserve">v </w:t>
            </w:r>
            <w:r w:rsidR="00AA0137" w:rsidRPr="004C5551">
              <w:rPr>
                <w:b/>
                <w:bCs/>
                <w:color w:val="333300"/>
                <w:sz w:val="20"/>
                <w:szCs w:val="20"/>
              </w:rPr>
              <w:t>€</w:t>
            </w:r>
          </w:p>
        </w:tc>
        <w:tc>
          <w:tcPr>
            <w:tcW w:w="781" w:type="pct"/>
            <w:tcBorders>
              <w:left w:val="single" w:sz="2" w:space="0" w:color="auto"/>
              <w:bottom w:val="nil"/>
              <w:right w:val="single" w:sz="2" w:space="0" w:color="auto"/>
            </w:tcBorders>
            <w:vAlign w:val="center"/>
          </w:tcPr>
          <w:p w:rsidR="00CD4E01" w:rsidRPr="004C5551" w:rsidRDefault="00CD4E01" w:rsidP="00502AAC">
            <w:pPr>
              <w:ind w:right="415"/>
              <w:jc w:val="right"/>
              <w:rPr>
                <w:b/>
                <w:sz w:val="20"/>
                <w:szCs w:val="20"/>
              </w:rPr>
            </w:pPr>
            <w:r w:rsidRPr="004C5551">
              <w:rPr>
                <w:b/>
                <w:sz w:val="20"/>
                <w:szCs w:val="20"/>
              </w:rPr>
              <w:t>955</w:t>
            </w:r>
          </w:p>
        </w:tc>
        <w:tc>
          <w:tcPr>
            <w:tcW w:w="617" w:type="pct"/>
            <w:tcBorders>
              <w:left w:val="single" w:sz="2" w:space="0" w:color="auto"/>
              <w:bottom w:val="nil"/>
              <w:right w:val="single" w:sz="2" w:space="0" w:color="auto"/>
            </w:tcBorders>
            <w:vAlign w:val="center"/>
          </w:tcPr>
          <w:p w:rsidR="00CD4E01" w:rsidRPr="004C5551" w:rsidRDefault="00CD4E01" w:rsidP="00502AAC">
            <w:pPr>
              <w:ind w:right="415"/>
              <w:jc w:val="right"/>
              <w:rPr>
                <w:b/>
                <w:sz w:val="20"/>
                <w:szCs w:val="20"/>
              </w:rPr>
            </w:pPr>
            <w:r w:rsidRPr="004C5551">
              <w:rPr>
                <w:b/>
                <w:sz w:val="20"/>
                <w:szCs w:val="20"/>
              </w:rPr>
              <w:t>637</w:t>
            </w:r>
          </w:p>
        </w:tc>
        <w:tc>
          <w:tcPr>
            <w:tcW w:w="601" w:type="pct"/>
            <w:tcBorders>
              <w:left w:val="single" w:sz="2" w:space="0" w:color="auto"/>
              <w:bottom w:val="nil"/>
              <w:right w:val="single" w:sz="2" w:space="0" w:color="auto"/>
            </w:tcBorders>
            <w:vAlign w:val="center"/>
          </w:tcPr>
          <w:p w:rsidR="00CD4E01" w:rsidRPr="004C5551" w:rsidRDefault="00CD4E01" w:rsidP="00502AAC">
            <w:pPr>
              <w:ind w:right="415"/>
              <w:jc w:val="right"/>
              <w:rPr>
                <w:b/>
                <w:sz w:val="20"/>
                <w:szCs w:val="20"/>
              </w:rPr>
            </w:pPr>
            <w:r w:rsidRPr="004C5551">
              <w:rPr>
                <w:b/>
                <w:sz w:val="20"/>
                <w:szCs w:val="20"/>
              </w:rPr>
              <w:t>105</w:t>
            </w:r>
          </w:p>
        </w:tc>
        <w:tc>
          <w:tcPr>
            <w:tcW w:w="615" w:type="pct"/>
            <w:tcBorders>
              <w:left w:val="single" w:sz="2" w:space="0" w:color="auto"/>
              <w:bottom w:val="nil"/>
              <w:right w:val="single" w:sz="2" w:space="0" w:color="auto"/>
            </w:tcBorders>
            <w:vAlign w:val="center"/>
          </w:tcPr>
          <w:p w:rsidR="00CD4E01" w:rsidRPr="004C5551" w:rsidRDefault="00CD4E01" w:rsidP="00502AAC">
            <w:pPr>
              <w:ind w:right="415"/>
              <w:jc w:val="right"/>
              <w:rPr>
                <w:b/>
                <w:sz w:val="20"/>
                <w:szCs w:val="20"/>
              </w:rPr>
            </w:pPr>
            <w:r w:rsidRPr="004C5551">
              <w:rPr>
                <w:b/>
                <w:sz w:val="20"/>
                <w:szCs w:val="20"/>
              </w:rPr>
              <w:t>66</w:t>
            </w:r>
          </w:p>
        </w:tc>
        <w:tc>
          <w:tcPr>
            <w:tcW w:w="630" w:type="pct"/>
            <w:tcBorders>
              <w:left w:val="single" w:sz="2" w:space="0" w:color="auto"/>
              <w:bottom w:val="nil"/>
              <w:right w:val="single" w:sz="2" w:space="0" w:color="auto"/>
            </w:tcBorders>
            <w:vAlign w:val="center"/>
          </w:tcPr>
          <w:p w:rsidR="00CD4E01" w:rsidRPr="004C5551" w:rsidRDefault="00CD4E01" w:rsidP="00502AAC">
            <w:pPr>
              <w:ind w:right="415"/>
              <w:jc w:val="right"/>
              <w:rPr>
                <w:b/>
                <w:sz w:val="20"/>
                <w:szCs w:val="20"/>
              </w:rPr>
            </w:pPr>
            <w:r w:rsidRPr="004C5551">
              <w:rPr>
                <w:b/>
                <w:sz w:val="20"/>
                <w:szCs w:val="20"/>
              </w:rPr>
              <w:t>114</w:t>
            </w:r>
          </w:p>
        </w:tc>
        <w:tc>
          <w:tcPr>
            <w:tcW w:w="733" w:type="pct"/>
            <w:tcBorders>
              <w:left w:val="single" w:sz="2" w:space="0" w:color="auto"/>
              <w:bottom w:val="nil"/>
            </w:tcBorders>
            <w:vAlign w:val="center"/>
          </w:tcPr>
          <w:p w:rsidR="00CD4E01" w:rsidRPr="004C5551" w:rsidRDefault="00CD4E01" w:rsidP="00502AAC">
            <w:pPr>
              <w:ind w:right="415"/>
              <w:jc w:val="right"/>
              <w:rPr>
                <w:b/>
                <w:sz w:val="20"/>
                <w:szCs w:val="20"/>
              </w:rPr>
            </w:pPr>
            <w:r w:rsidRPr="004C5551">
              <w:rPr>
                <w:b/>
                <w:sz w:val="20"/>
                <w:szCs w:val="20"/>
              </w:rPr>
              <w:t>31</w:t>
            </w:r>
          </w:p>
        </w:tc>
      </w:tr>
      <w:tr w:rsidR="00CD4E01" w:rsidRPr="004C5551" w:rsidTr="00502AAC">
        <w:trPr>
          <w:trHeight w:val="151"/>
          <w:jc w:val="center"/>
        </w:trPr>
        <w:tc>
          <w:tcPr>
            <w:tcW w:w="629" w:type="pct"/>
            <w:vMerge/>
            <w:vAlign w:val="center"/>
          </w:tcPr>
          <w:p w:rsidR="00CD4E01" w:rsidRPr="004C5551" w:rsidRDefault="00CD4E01" w:rsidP="00502AAC">
            <w:pPr>
              <w:jc w:val="center"/>
              <w:rPr>
                <w:color w:val="333300"/>
                <w:sz w:val="20"/>
                <w:szCs w:val="20"/>
              </w:rPr>
            </w:pPr>
          </w:p>
        </w:tc>
        <w:tc>
          <w:tcPr>
            <w:tcW w:w="394" w:type="pct"/>
            <w:tcBorders>
              <w:top w:val="nil"/>
              <w:right w:val="single" w:sz="2" w:space="0" w:color="auto"/>
            </w:tcBorders>
            <w:vAlign w:val="center"/>
          </w:tcPr>
          <w:p w:rsidR="00CD4E01" w:rsidRPr="004C5551" w:rsidRDefault="00CD4E01" w:rsidP="00502AAC">
            <w:pPr>
              <w:jc w:val="center"/>
              <w:rPr>
                <w:iCs/>
                <w:color w:val="333300"/>
                <w:sz w:val="20"/>
                <w:szCs w:val="20"/>
              </w:rPr>
            </w:pPr>
            <w:r w:rsidRPr="004C5551">
              <w:rPr>
                <w:iCs/>
                <w:color w:val="333300"/>
                <w:sz w:val="20"/>
                <w:szCs w:val="20"/>
              </w:rPr>
              <w:t>v</w:t>
            </w:r>
            <w:r w:rsidR="009425AA" w:rsidRPr="004C5551">
              <w:rPr>
                <w:iCs/>
                <w:color w:val="333300"/>
                <w:sz w:val="20"/>
                <w:szCs w:val="20"/>
              </w:rPr>
              <w:t> %</w:t>
            </w:r>
          </w:p>
        </w:tc>
        <w:tc>
          <w:tcPr>
            <w:tcW w:w="781" w:type="pct"/>
            <w:tcBorders>
              <w:top w:val="nil"/>
              <w:left w:val="single" w:sz="2" w:space="0" w:color="auto"/>
              <w:right w:val="single" w:sz="2" w:space="0" w:color="auto"/>
            </w:tcBorders>
            <w:vAlign w:val="center"/>
          </w:tcPr>
          <w:p w:rsidR="00CD4E01" w:rsidRPr="004C5551" w:rsidRDefault="00CD4E01" w:rsidP="00502AAC">
            <w:pPr>
              <w:ind w:left="72" w:right="415"/>
              <w:jc w:val="right"/>
              <w:rPr>
                <w:iCs/>
                <w:color w:val="333300"/>
                <w:sz w:val="20"/>
                <w:szCs w:val="20"/>
              </w:rPr>
            </w:pPr>
            <w:r w:rsidRPr="004C5551">
              <w:rPr>
                <w:iCs/>
                <w:color w:val="333300"/>
                <w:sz w:val="20"/>
                <w:szCs w:val="20"/>
              </w:rPr>
              <w:t>100</w:t>
            </w:r>
          </w:p>
        </w:tc>
        <w:tc>
          <w:tcPr>
            <w:tcW w:w="617" w:type="pct"/>
            <w:tcBorders>
              <w:top w:val="nil"/>
              <w:left w:val="single" w:sz="2" w:space="0" w:color="auto"/>
              <w:right w:val="single" w:sz="2" w:space="0" w:color="auto"/>
            </w:tcBorders>
            <w:vAlign w:val="center"/>
          </w:tcPr>
          <w:p w:rsidR="00CD4E01" w:rsidRPr="004C5551" w:rsidRDefault="00CD4E01" w:rsidP="00502AAC">
            <w:pPr>
              <w:ind w:right="415"/>
              <w:jc w:val="right"/>
              <w:rPr>
                <w:sz w:val="20"/>
                <w:szCs w:val="20"/>
              </w:rPr>
            </w:pPr>
            <w:r w:rsidRPr="004C5551">
              <w:rPr>
                <w:sz w:val="20"/>
                <w:szCs w:val="20"/>
              </w:rPr>
              <w:t>67</w:t>
            </w:r>
          </w:p>
        </w:tc>
        <w:tc>
          <w:tcPr>
            <w:tcW w:w="601" w:type="pct"/>
            <w:tcBorders>
              <w:top w:val="nil"/>
              <w:left w:val="single" w:sz="2" w:space="0" w:color="auto"/>
              <w:right w:val="single" w:sz="2" w:space="0" w:color="auto"/>
            </w:tcBorders>
            <w:vAlign w:val="center"/>
          </w:tcPr>
          <w:p w:rsidR="00CD4E01" w:rsidRPr="004C5551" w:rsidRDefault="00CD4E01" w:rsidP="00502AAC">
            <w:pPr>
              <w:ind w:right="415"/>
              <w:jc w:val="right"/>
              <w:rPr>
                <w:sz w:val="20"/>
                <w:szCs w:val="20"/>
              </w:rPr>
            </w:pPr>
            <w:r w:rsidRPr="004C5551">
              <w:rPr>
                <w:sz w:val="20"/>
                <w:szCs w:val="20"/>
              </w:rPr>
              <w:t>11</w:t>
            </w:r>
          </w:p>
        </w:tc>
        <w:tc>
          <w:tcPr>
            <w:tcW w:w="615" w:type="pct"/>
            <w:tcBorders>
              <w:top w:val="nil"/>
              <w:left w:val="single" w:sz="2" w:space="0" w:color="auto"/>
              <w:right w:val="single" w:sz="2" w:space="0" w:color="auto"/>
            </w:tcBorders>
            <w:vAlign w:val="center"/>
          </w:tcPr>
          <w:p w:rsidR="00CD4E01" w:rsidRPr="004C5551" w:rsidRDefault="00CD4E01" w:rsidP="00502AAC">
            <w:pPr>
              <w:ind w:right="415"/>
              <w:jc w:val="right"/>
              <w:rPr>
                <w:sz w:val="20"/>
                <w:szCs w:val="20"/>
              </w:rPr>
            </w:pPr>
            <w:r w:rsidRPr="004C5551">
              <w:rPr>
                <w:sz w:val="20"/>
                <w:szCs w:val="20"/>
              </w:rPr>
              <w:t>7</w:t>
            </w:r>
          </w:p>
        </w:tc>
        <w:tc>
          <w:tcPr>
            <w:tcW w:w="630" w:type="pct"/>
            <w:tcBorders>
              <w:top w:val="nil"/>
              <w:left w:val="single" w:sz="2" w:space="0" w:color="auto"/>
              <w:right w:val="single" w:sz="2" w:space="0" w:color="auto"/>
            </w:tcBorders>
            <w:vAlign w:val="center"/>
          </w:tcPr>
          <w:p w:rsidR="00CD4E01" w:rsidRPr="004C5551" w:rsidRDefault="00CD4E01" w:rsidP="00502AAC">
            <w:pPr>
              <w:ind w:right="415"/>
              <w:jc w:val="right"/>
              <w:rPr>
                <w:sz w:val="20"/>
                <w:szCs w:val="20"/>
              </w:rPr>
            </w:pPr>
            <w:r w:rsidRPr="004C5551">
              <w:rPr>
                <w:sz w:val="20"/>
                <w:szCs w:val="20"/>
              </w:rPr>
              <w:t>12</w:t>
            </w:r>
          </w:p>
        </w:tc>
        <w:tc>
          <w:tcPr>
            <w:tcW w:w="733" w:type="pct"/>
            <w:tcBorders>
              <w:top w:val="nil"/>
              <w:left w:val="single" w:sz="2" w:space="0" w:color="auto"/>
            </w:tcBorders>
            <w:vAlign w:val="center"/>
          </w:tcPr>
          <w:p w:rsidR="00CD4E01" w:rsidRPr="004C5551" w:rsidRDefault="00CD4E01" w:rsidP="00502AAC">
            <w:pPr>
              <w:ind w:right="415"/>
              <w:jc w:val="right"/>
              <w:rPr>
                <w:sz w:val="20"/>
                <w:szCs w:val="20"/>
              </w:rPr>
            </w:pPr>
            <w:r w:rsidRPr="004C5551">
              <w:rPr>
                <w:sz w:val="20"/>
                <w:szCs w:val="20"/>
              </w:rPr>
              <w:t>3</w:t>
            </w:r>
          </w:p>
        </w:tc>
      </w:tr>
      <w:tr w:rsidR="00CD4E01" w:rsidRPr="004C5551" w:rsidTr="00502AAC">
        <w:trPr>
          <w:trHeight w:val="225"/>
          <w:jc w:val="center"/>
        </w:trPr>
        <w:tc>
          <w:tcPr>
            <w:tcW w:w="629" w:type="pct"/>
            <w:vMerge w:val="restart"/>
            <w:vAlign w:val="center"/>
          </w:tcPr>
          <w:p w:rsidR="00CD4E01" w:rsidRPr="004C5551" w:rsidRDefault="00CD4E01" w:rsidP="00502AAC">
            <w:pPr>
              <w:jc w:val="center"/>
              <w:rPr>
                <w:color w:val="333300"/>
                <w:sz w:val="20"/>
                <w:szCs w:val="20"/>
              </w:rPr>
            </w:pPr>
            <w:r w:rsidRPr="004C5551">
              <w:rPr>
                <w:color w:val="333300"/>
                <w:sz w:val="20"/>
                <w:szCs w:val="20"/>
              </w:rPr>
              <w:t>Muži</w:t>
            </w:r>
          </w:p>
        </w:tc>
        <w:tc>
          <w:tcPr>
            <w:tcW w:w="394" w:type="pct"/>
            <w:tcBorders>
              <w:bottom w:val="nil"/>
            </w:tcBorders>
            <w:vAlign w:val="center"/>
          </w:tcPr>
          <w:p w:rsidR="00CD4E01" w:rsidRPr="004C5551" w:rsidRDefault="00CD4E01" w:rsidP="00502AAC">
            <w:pPr>
              <w:jc w:val="center"/>
              <w:rPr>
                <w:color w:val="333300"/>
                <w:sz w:val="20"/>
                <w:szCs w:val="20"/>
              </w:rPr>
            </w:pPr>
            <w:r w:rsidRPr="004C5551">
              <w:rPr>
                <w:color w:val="333300"/>
                <w:sz w:val="20"/>
                <w:szCs w:val="20"/>
              </w:rPr>
              <w:t xml:space="preserve">v </w:t>
            </w:r>
            <w:r w:rsidR="00AA0137" w:rsidRPr="004C5551">
              <w:rPr>
                <w:color w:val="333300"/>
                <w:sz w:val="20"/>
                <w:szCs w:val="20"/>
              </w:rPr>
              <w:t>€</w:t>
            </w:r>
          </w:p>
        </w:tc>
        <w:tc>
          <w:tcPr>
            <w:tcW w:w="781" w:type="pct"/>
            <w:tcBorders>
              <w:bottom w:val="nil"/>
            </w:tcBorders>
            <w:vAlign w:val="center"/>
          </w:tcPr>
          <w:p w:rsidR="00CD4E01" w:rsidRPr="004C5551" w:rsidRDefault="00CD4E01" w:rsidP="00502AAC">
            <w:pPr>
              <w:ind w:right="415"/>
              <w:jc w:val="right"/>
              <w:rPr>
                <w:sz w:val="18"/>
                <w:szCs w:val="18"/>
              </w:rPr>
            </w:pPr>
            <w:r w:rsidRPr="004C5551">
              <w:rPr>
                <w:sz w:val="18"/>
                <w:szCs w:val="18"/>
              </w:rPr>
              <w:t>1 076</w:t>
            </w:r>
          </w:p>
        </w:tc>
        <w:tc>
          <w:tcPr>
            <w:tcW w:w="617" w:type="pct"/>
            <w:tcBorders>
              <w:bottom w:val="nil"/>
            </w:tcBorders>
            <w:vAlign w:val="center"/>
          </w:tcPr>
          <w:p w:rsidR="00CD4E01" w:rsidRPr="004C5551" w:rsidRDefault="00CD4E01" w:rsidP="00502AAC">
            <w:pPr>
              <w:ind w:right="415"/>
              <w:jc w:val="right"/>
              <w:rPr>
                <w:sz w:val="18"/>
                <w:szCs w:val="18"/>
              </w:rPr>
            </w:pPr>
            <w:r w:rsidRPr="004C5551">
              <w:rPr>
                <w:sz w:val="18"/>
                <w:szCs w:val="18"/>
              </w:rPr>
              <w:t>704</w:t>
            </w:r>
          </w:p>
        </w:tc>
        <w:tc>
          <w:tcPr>
            <w:tcW w:w="601" w:type="pct"/>
            <w:tcBorders>
              <w:bottom w:val="nil"/>
            </w:tcBorders>
            <w:vAlign w:val="center"/>
          </w:tcPr>
          <w:p w:rsidR="00CD4E01" w:rsidRPr="004C5551" w:rsidRDefault="00CD4E01" w:rsidP="00502AAC">
            <w:pPr>
              <w:ind w:right="415"/>
              <w:jc w:val="right"/>
              <w:rPr>
                <w:sz w:val="18"/>
                <w:szCs w:val="18"/>
              </w:rPr>
            </w:pPr>
            <w:r w:rsidRPr="004C5551">
              <w:rPr>
                <w:sz w:val="18"/>
                <w:szCs w:val="18"/>
              </w:rPr>
              <w:t>135</w:t>
            </w:r>
          </w:p>
        </w:tc>
        <w:tc>
          <w:tcPr>
            <w:tcW w:w="615" w:type="pct"/>
            <w:tcBorders>
              <w:bottom w:val="nil"/>
            </w:tcBorders>
            <w:vAlign w:val="center"/>
          </w:tcPr>
          <w:p w:rsidR="00CD4E01" w:rsidRPr="004C5551" w:rsidRDefault="00CD4E01" w:rsidP="00502AAC">
            <w:pPr>
              <w:ind w:right="415"/>
              <w:jc w:val="right"/>
              <w:rPr>
                <w:sz w:val="18"/>
                <w:szCs w:val="18"/>
              </w:rPr>
            </w:pPr>
            <w:r w:rsidRPr="004C5551">
              <w:rPr>
                <w:sz w:val="18"/>
                <w:szCs w:val="18"/>
              </w:rPr>
              <w:t>71</w:t>
            </w:r>
          </w:p>
        </w:tc>
        <w:tc>
          <w:tcPr>
            <w:tcW w:w="630" w:type="pct"/>
            <w:tcBorders>
              <w:bottom w:val="nil"/>
            </w:tcBorders>
            <w:vAlign w:val="center"/>
          </w:tcPr>
          <w:p w:rsidR="00CD4E01" w:rsidRPr="004C5551" w:rsidRDefault="00CD4E01" w:rsidP="00502AAC">
            <w:pPr>
              <w:ind w:right="415"/>
              <w:jc w:val="right"/>
              <w:rPr>
                <w:sz w:val="18"/>
                <w:szCs w:val="18"/>
              </w:rPr>
            </w:pPr>
            <w:r w:rsidRPr="004C5551">
              <w:rPr>
                <w:sz w:val="18"/>
                <w:szCs w:val="18"/>
              </w:rPr>
              <w:t>125</w:t>
            </w:r>
          </w:p>
        </w:tc>
        <w:tc>
          <w:tcPr>
            <w:tcW w:w="733" w:type="pct"/>
            <w:tcBorders>
              <w:bottom w:val="nil"/>
            </w:tcBorders>
            <w:vAlign w:val="center"/>
          </w:tcPr>
          <w:p w:rsidR="00CD4E01" w:rsidRPr="004C5551" w:rsidRDefault="00CD4E01" w:rsidP="00502AAC">
            <w:pPr>
              <w:ind w:right="415"/>
              <w:jc w:val="right"/>
              <w:rPr>
                <w:sz w:val="18"/>
                <w:szCs w:val="18"/>
              </w:rPr>
            </w:pPr>
            <w:r w:rsidRPr="004C5551">
              <w:rPr>
                <w:sz w:val="18"/>
                <w:szCs w:val="18"/>
              </w:rPr>
              <w:t>39</w:t>
            </w:r>
          </w:p>
        </w:tc>
      </w:tr>
      <w:tr w:rsidR="00CD4E01" w:rsidRPr="004C5551" w:rsidTr="00502AAC">
        <w:trPr>
          <w:trHeight w:val="151"/>
          <w:jc w:val="center"/>
        </w:trPr>
        <w:tc>
          <w:tcPr>
            <w:tcW w:w="629" w:type="pct"/>
            <w:vMerge/>
            <w:vAlign w:val="center"/>
          </w:tcPr>
          <w:p w:rsidR="00CD4E01" w:rsidRPr="004C5551" w:rsidRDefault="00CD4E01" w:rsidP="00502AAC">
            <w:pPr>
              <w:jc w:val="center"/>
              <w:rPr>
                <w:color w:val="333300"/>
                <w:sz w:val="20"/>
                <w:szCs w:val="20"/>
              </w:rPr>
            </w:pPr>
          </w:p>
        </w:tc>
        <w:tc>
          <w:tcPr>
            <w:tcW w:w="394" w:type="pct"/>
            <w:tcBorders>
              <w:top w:val="nil"/>
            </w:tcBorders>
            <w:vAlign w:val="center"/>
          </w:tcPr>
          <w:p w:rsidR="00CD4E01" w:rsidRPr="004C5551" w:rsidRDefault="00CD4E01" w:rsidP="00502AAC">
            <w:pPr>
              <w:jc w:val="center"/>
              <w:rPr>
                <w:iCs/>
                <w:color w:val="333300"/>
                <w:sz w:val="20"/>
                <w:szCs w:val="20"/>
              </w:rPr>
            </w:pPr>
            <w:r w:rsidRPr="004C5551">
              <w:rPr>
                <w:iCs/>
                <w:color w:val="333300"/>
                <w:sz w:val="20"/>
                <w:szCs w:val="20"/>
              </w:rPr>
              <w:t>v</w:t>
            </w:r>
            <w:r w:rsidR="009425AA" w:rsidRPr="004C5551">
              <w:rPr>
                <w:iCs/>
                <w:color w:val="333300"/>
                <w:sz w:val="20"/>
                <w:szCs w:val="20"/>
              </w:rPr>
              <w:t> %</w:t>
            </w:r>
          </w:p>
        </w:tc>
        <w:tc>
          <w:tcPr>
            <w:tcW w:w="781" w:type="pct"/>
            <w:tcBorders>
              <w:top w:val="nil"/>
            </w:tcBorders>
            <w:vAlign w:val="center"/>
          </w:tcPr>
          <w:p w:rsidR="00CD4E01" w:rsidRPr="004C5551" w:rsidRDefault="00CD4E01" w:rsidP="00502AAC">
            <w:pPr>
              <w:ind w:left="72" w:right="415"/>
              <w:jc w:val="right"/>
              <w:rPr>
                <w:iCs/>
                <w:color w:val="333300"/>
                <w:sz w:val="20"/>
                <w:szCs w:val="20"/>
              </w:rPr>
            </w:pPr>
            <w:r w:rsidRPr="004C5551">
              <w:rPr>
                <w:iCs/>
                <w:color w:val="333300"/>
                <w:sz w:val="20"/>
                <w:szCs w:val="20"/>
              </w:rPr>
              <w:t>100</w:t>
            </w:r>
          </w:p>
        </w:tc>
        <w:tc>
          <w:tcPr>
            <w:tcW w:w="617" w:type="pct"/>
            <w:tcBorders>
              <w:top w:val="nil"/>
            </w:tcBorders>
            <w:vAlign w:val="center"/>
          </w:tcPr>
          <w:p w:rsidR="00CD4E01" w:rsidRPr="004C5551" w:rsidRDefault="00CD4E01" w:rsidP="00502AAC">
            <w:pPr>
              <w:ind w:right="415"/>
              <w:jc w:val="right"/>
              <w:rPr>
                <w:sz w:val="18"/>
                <w:szCs w:val="18"/>
              </w:rPr>
            </w:pPr>
            <w:r w:rsidRPr="004C5551">
              <w:rPr>
                <w:sz w:val="18"/>
                <w:szCs w:val="18"/>
              </w:rPr>
              <w:t>65</w:t>
            </w:r>
          </w:p>
        </w:tc>
        <w:tc>
          <w:tcPr>
            <w:tcW w:w="601" w:type="pct"/>
            <w:tcBorders>
              <w:top w:val="nil"/>
            </w:tcBorders>
            <w:vAlign w:val="center"/>
          </w:tcPr>
          <w:p w:rsidR="00CD4E01" w:rsidRPr="004C5551" w:rsidRDefault="00CD4E01" w:rsidP="00502AAC">
            <w:pPr>
              <w:ind w:right="415"/>
              <w:jc w:val="right"/>
              <w:rPr>
                <w:sz w:val="18"/>
                <w:szCs w:val="18"/>
              </w:rPr>
            </w:pPr>
            <w:r w:rsidRPr="004C5551">
              <w:rPr>
                <w:sz w:val="18"/>
                <w:szCs w:val="18"/>
              </w:rPr>
              <w:t>13</w:t>
            </w:r>
          </w:p>
        </w:tc>
        <w:tc>
          <w:tcPr>
            <w:tcW w:w="615" w:type="pct"/>
            <w:tcBorders>
              <w:top w:val="nil"/>
            </w:tcBorders>
            <w:vAlign w:val="center"/>
          </w:tcPr>
          <w:p w:rsidR="00CD4E01" w:rsidRPr="004C5551" w:rsidRDefault="00CD4E01" w:rsidP="00502AAC">
            <w:pPr>
              <w:ind w:right="415"/>
              <w:jc w:val="right"/>
              <w:rPr>
                <w:sz w:val="18"/>
                <w:szCs w:val="18"/>
              </w:rPr>
            </w:pPr>
            <w:r w:rsidRPr="004C5551">
              <w:rPr>
                <w:sz w:val="18"/>
                <w:szCs w:val="18"/>
              </w:rPr>
              <w:t>7</w:t>
            </w:r>
          </w:p>
        </w:tc>
        <w:tc>
          <w:tcPr>
            <w:tcW w:w="630" w:type="pct"/>
            <w:tcBorders>
              <w:top w:val="nil"/>
            </w:tcBorders>
            <w:vAlign w:val="center"/>
          </w:tcPr>
          <w:p w:rsidR="00CD4E01" w:rsidRPr="004C5551" w:rsidRDefault="00CD4E01" w:rsidP="00502AAC">
            <w:pPr>
              <w:ind w:right="415"/>
              <w:jc w:val="right"/>
              <w:rPr>
                <w:sz w:val="18"/>
                <w:szCs w:val="18"/>
              </w:rPr>
            </w:pPr>
            <w:r w:rsidRPr="004C5551">
              <w:rPr>
                <w:sz w:val="18"/>
                <w:szCs w:val="18"/>
              </w:rPr>
              <w:t>12</w:t>
            </w:r>
          </w:p>
        </w:tc>
        <w:tc>
          <w:tcPr>
            <w:tcW w:w="733" w:type="pct"/>
            <w:tcBorders>
              <w:top w:val="nil"/>
            </w:tcBorders>
            <w:vAlign w:val="center"/>
          </w:tcPr>
          <w:p w:rsidR="00CD4E01" w:rsidRPr="004C5551" w:rsidRDefault="00CD4E01" w:rsidP="00502AAC">
            <w:pPr>
              <w:ind w:right="415"/>
              <w:jc w:val="right"/>
              <w:rPr>
                <w:sz w:val="18"/>
                <w:szCs w:val="18"/>
              </w:rPr>
            </w:pPr>
            <w:r w:rsidRPr="004C5551">
              <w:rPr>
                <w:sz w:val="18"/>
                <w:szCs w:val="18"/>
              </w:rPr>
              <w:t>4</w:t>
            </w:r>
          </w:p>
        </w:tc>
      </w:tr>
      <w:tr w:rsidR="00CD4E01" w:rsidRPr="004C5551" w:rsidTr="00502AAC">
        <w:trPr>
          <w:trHeight w:val="147"/>
          <w:jc w:val="center"/>
        </w:trPr>
        <w:tc>
          <w:tcPr>
            <w:tcW w:w="629" w:type="pct"/>
            <w:vMerge w:val="restart"/>
            <w:vAlign w:val="center"/>
          </w:tcPr>
          <w:p w:rsidR="00CD4E01" w:rsidRPr="004C5551" w:rsidRDefault="00CD4E01" w:rsidP="00502AAC">
            <w:pPr>
              <w:jc w:val="center"/>
              <w:rPr>
                <w:color w:val="333300"/>
                <w:sz w:val="20"/>
                <w:szCs w:val="20"/>
              </w:rPr>
            </w:pPr>
            <w:r w:rsidRPr="004C5551">
              <w:rPr>
                <w:color w:val="333300"/>
                <w:sz w:val="20"/>
                <w:szCs w:val="20"/>
              </w:rPr>
              <w:t>Ženy</w:t>
            </w:r>
          </w:p>
        </w:tc>
        <w:tc>
          <w:tcPr>
            <w:tcW w:w="394" w:type="pct"/>
            <w:tcBorders>
              <w:bottom w:val="nil"/>
            </w:tcBorders>
            <w:vAlign w:val="center"/>
          </w:tcPr>
          <w:p w:rsidR="00CD4E01" w:rsidRPr="004C5551" w:rsidRDefault="00CD4E01" w:rsidP="00502AAC">
            <w:pPr>
              <w:jc w:val="center"/>
              <w:rPr>
                <w:color w:val="333300"/>
                <w:sz w:val="20"/>
                <w:szCs w:val="20"/>
              </w:rPr>
            </w:pPr>
            <w:r w:rsidRPr="004C5551">
              <w:rPr>
                <w:color w:val="333300"/>
                <w:sz w:val="20"/>
                <w:szCs w:val="20"/>
              </w:rPr>
              <w:t xml:space="preserve">v </w:t>
            </w:r>
            <w:r w:rsidR="00AA0137" w:rsidRPr="004C5551">
              <w:rPr>
                <w:color w:val="333300"/>
                <w:sz w:val="20"/>
                <w:szCs w:val="20"/>
              </w:rPr>
              <w:t>€</w:t>
            </w:r>
          </w:p>
        </w:tc>
        <w:tc>
          <w:tcPr>
            <w:tcW w:w="781" w:type="pct"/>
            <w:tcBorders>
              <w:bottom w:val="nil"/>
            </w:tcBorders>
            <w:vAlign w:val="center"/>
          </w:tcPr>
          <w:p w:rsidR="00CD4E01" w:rsidRPr="004C5551" w:rsidRDefault="00CD4E01" w:rsidP="00502AAC">
            <w:pPr>
              <w:ind w:right="415"/>
              <w:jc w:val="right"/>
              <w:rPr>
                <w:sz w:val="18"/>
                <w:szCs w:val="18"/>
              </w:rPr>
            </w:pPr>
            <w:r w:rsidRPr="004C5551">
              <w:rPr>
                <w:sz w:val="18"/>
                <w:szCs w:val="18"/>
              </w:rPr>
              <w:t>828</w:t>
            </w:r>
          </w:p>
        </w:tc>
        <w:tc>
          <w:tcPr>
            <w:tcW w:w="617" w:type="pct"/>
            <w:tcBorders>
              <w:bottom w:val="nil"/>
            </w:tcBorders>
            <w:vAlign w:val="center"/>
          </w:tcPr>
          <w:p w:rsidR="00CD4E01" w:rsidRPr="004C5551" w:rsidRDefault="00CD4E01" w:rsidP="00502AAC">
            <w:pPr>
              <w:ind w:right="415"/>
              <w:jc w:val="right"/>
              <w:rPr>
                <w:sz w:val="18"/>
                <w:szCs w:val="18"/>
              </w:rPr>
            </w:pPr>
            <w:r w:rsidRPr="004C5551">
              <w:rPr>
                <w:sz w:val="18"/>
                <w:szCs w:val="18"/>
              </w:rPr>
              <w:t>566</w:t>
            </w:r>
          </w:p>
        </w:tc>
        <w:tc>
          <w:tcPr>
            <w:tcW w:w="601" w:type="pct"/>
            <w:tcBorders>
              <w:bottom w:val="nil"/>
            </w:tcBorders>
            <w:vAlign w:val="center"/>
          </w:tcPr>
          <w:p w:rsidR="00CD4E01" w:rsidRPr="004C5551" w:rsidRDefault="00CD4E01" w:rsidP="00502AAC">
            <w:pPr>
              <w:ind w:right="415"/>
              <w:jc w:val="right"/>
              <w:rPr>
                <w:sz w:val="18"/>
                <w:szCs w:val="18"/>
              </w:rPr>
            </w:pPr>
            <w:r w:rsidRPr="004C5551">
              <w:rPr>
                <w:sz w:val="18"/>
                <w:szCs w:val="18"/>
              </w:rPr>
              <w:t>74</w:t>
            </w:r>
          </w:p>
        </w:tc>
        <w:tc>
          <w:tcPr>
            <w:tcW w:w="615" w:type="pct"/>
            <w:tcBorders>
              <w:bottom w:val="nil"/>
            </w:tcBorders>
            <w:vAlign w:val="center"/>
          </w:tcPr>
          <w:p w:rsidR="00CD4E01" w:rsidRPr="004C5551" w:rsidRDefault="00CD4E01" w:rsidP="00502AAC">
            <w:pPr>
              <w:ind w:right="415"/>
              <w:jc w:val="right"/>
              <w:rPr>
                <w:sz w:val="18"/>
                <w:szCs w:val="18"/>
              </w:rPr>
            </w:pPr>
            <w:r w:rsidRPr="004C5551">
              <w:rPr>
                <w:sz w:val="18"/>
                <w:szCs w:val="18"/>
              </w:rPr>
              <w:t>60</w:t>
            </w:r>
          </w:p>
        </w:tc>
        <w:tc>
          <w:tcPr>
            <w:tcW w:w="630" w:type="pct"/>
            <w:tcBorders>
              <w:bottom w:val="nil"/>
            </w:tcBorders>
            <w:vAlign w:val="center"/>
          </w:tcPr>
          <w:p w:rsidR="00CD4E01" w:rsidRPr="004C5551" w:rsidRDefault="00CD4E01" w:rsidP="00502AAC">
            <w:pPr>
              <w:ind w:right="415"/>
              <w:jc w:val="right"/>
              <w:rPr>
                <w:sz w:val="18"/>
                <w:szCs w:val="18"/>
              </w:rPr>
            </w:pPr>
            <w:r w:rsidRPr="004C5551">
              <w:rPr>
                <w:sz w:val="18"/>
                <w:szCs w:val="18"/>
              </w:rPr>
              <w:t>102</w:t>
            </w:r>
          </w:p>
        </w:tc>
        <w:tc>
          <w:tcPr>
            <w:tcW w:w="733" w:type="pct"/>
            <w:tcBorders>
              <w:bottom w:val="nil"/>
            </w:tcBorders>
            <w:vAlign w:val="center"/>
          </w:tcPr>
          <w:p w:rsidR="00CD4E01" w:rsidRPr="004C5551" w:rsidRDefault="00CD4E01" w:rsidP="00502AAC">
            <w:pPr>
              <w:ind w:right="415"/>
              <w:jc w:val="right"/>
              <w:rPr>
                <w:sz w:val="18"/>
                <w:szCs w:val="18"/>
              </w:rPr>
            </w:pPr>
            <w:r w:rsidRPr="004C5551">
              <w:rPr>
                <w:sz w:val="18"/>
                <w:szCs w:val="18"/>
              </w:rPr>
              <w:t>23</w:t>
            </w:r>
          </w:p>
        </w:tc>
      </w:tr>
      <w:tr w:rsidR="00CD4E01" w:rsidRPr="004C5551" w:rsidTr="00502AAC">
        <w:trPr>
          <w:trHeight w:val="151"/>
          <w:jc w:val="center"/>
        </w:trPr>
        <w:tc>
          <w:tcPr>
            <w:tcW w:w="629" w:type="pct"/>
            <w:vMerge/>
            <w:tcBorders>
              <w:bottom w:val="single" w:sz="4" w:space="0" w:color="auto"/>
            </w:tcBorders>
            <w:vAlign w:val="center"/>
          </w:tcPr>
          <w:p w:rsidR="00CD4E01" w:rsidRPr="004C5551" w:rsidRDefault="00CD4E01" w:rsidP="00502AAC">
            <w:pPr>
              <w:jc w:val="center"/>
              <w:rPr>
                <w:color w:val="333300"/>
                <w:sz w:val="20"/>
                <w:szCs w:val="20"/>
              </w:rPr>
            </w:pPr>
          </w:p>
        </w:tc>
        <w:tc>
          <w:tcPr>
            <w:tcW w:w="394" w:type="pct"/>
            <w:tcBorders>
              <w:top w:val="nil"/>
              <w:bottom w:val="single" w:sz="4" w:space="0" w:color="auto"/>
            </w:tcBorders>
            <w:vAlign w:val="center"/>
          </w:tcPr>
          <w:p w:rsidR="00CD4E01" w:rsidRPr="004C5551" w:rsidRDefault="00CD4E01" w:rsidP="00502AAC">
            <w:pPr>
              <w:jc w:val="center"/>
              <w:rPr>
                <w:iCs/>
                <w:color w:val="333300"/>
                <w:sz w:val="20"/>
                <w:szCs w:val="20"/>
              </w:rPr>
            </w:pPr>
            <w:r w:rsidRPr="004C5551">
              <w:rPr>
                <w:iCs/>
                <w:color w:val="333300"/>
                <w:sz w:val="20"/>
                <w:szCs w:val="20"/>
              </w:rPr>
              <w:t>v</w:t>
            </w:r>
            <w:r w:rsidR="009425AA" w:rsidRPr="004C5551">
              <w:rPr>
                <w:iCs/>
                <w:color w:val="333300"/>
                <w:sz w:val="20"/>
                <w:szCs w:val="20"/>
              </w:rPr>
              <w:t> %</w:t>
            </w:r>
          </w:p>
        </w:tc>
        <w:tc>
          <w:tcPr>
            <w:tcW w:w="781" w:type="pct"/>
            <w:tcBorders>
              <w:top w:val="nil"/>
              <w:bottom w:val="single" w:sz="4" w:space="0" w:color="auto"/>
            </w:tcBorders>
            <w:vAlign w:val="center"/>
          </w:tcPr>
          <w:p w:rsidR="00CD4E01" w:rsidRPr="004C5551" w:rsidRDefault="00CD4E01" w:rsidP="00502AAC">
            <w:pPr>
              <w:ind w:left="72" w:right="415"/>
              <w:jc w:val="right"/>
              <w:rPr>
                <w:iCs/>
                <w:color w:val="333300"/>
                <w:sz w:val="20"/>
                <w:szCs w:val="20"/>
              </w:rPr>
            </w:pPr>
            <w:r w:rsidRPr="004C5551">
              <w:rPr>
                <w:iCs/>
                <w:color w:val="333300"/>
                <w:sz w:val="20"/>
                <w:szCs w:val="20"/>
              </w:rPr>
              <w:t>100</w:t>
            </w:r>
          </w:p>
        </w:tc>
        <w:tc>
          <w:tcPr>
            <w:tcW w:w="617" w:type="pct"/>
            <w:tcBorders>
              <w:top w:val="nil"/>
              <w:bottom w:val="single" w:sz="4" w:space="0" w:color="auto"/>
            </w:tcBorders>
            <w:vAlign w:val="center"/>
          </w:tcPr>
          <w:p w:rsidR="00CD4E01" w:rsidRPr="004C5551" w:rsidRDefault="00CD4E01" w:rsidP="00502AAC">
            <w:pPr>
              <w:ind w:right="415"/>
              <w:jc w:val="right"/>
              <w:rPr>
                <w:sz w:val="18"/>
                <w:szCs w:val="18"/>
              </w:rPr>
            </w:pPr>
            <w:r w:rsidRPr="004C5551">
              <w:rPr>
                <w:sz w:val="18"/>
                <w:szCs w:val="18"/>
              </w:rPr>
              <w:t>68</w:t>
            </w:r>
          </w:p>
        </w:tc>
        <w:tc>
          <w:tcPr>
            <w:tcW w:w="601" w:type="pct"/>
            <w:tcBorders>
              <w:top w:val="nil"/>
              <w:bottom w:val="single" w:sz="4" w:space="0" w:color="auto"/>
            </w:tcBorders>
            <w:vAlign w:val="center"/>
          </w:tcPr>
          <w:p w:rsidR="00CD4E01" w:rsidRPr="004C5551" w:rsidRDefault="00CD4E01" w:rsidP="00502AAC">
            <w:pPr>
              <w:ind w:right="415"/>
              <w:jc w:val="right"/>
              <w:rPr>
                <w:sz w:val="18"/>
                <w:szCs w:val="18"/>
              </w:rPr>
            </w:pPr>
            <w:r w:rsidRPr="004C5551">
              <w:rPr>
                <w:sz w:val="18"/>
                <w:szCs w:val="18"/>
              </w:rPr>
              <w:t>9</w:t>
            </w:r>
          </w:p>
        </w:tc>
        <w:tc>
          <w:tcPr>
            <w:tcW w:w="615" w:type="pct"/>
            <w:tcBorders>
              <w:top w:val="nil"/>
              <w:bottom w:val="single" w:sz="4" w:space="0" w:color="auto"/>
            </w:tcBorders>
            <w:vAlign w:val="center"/>
          </w:tcPr>
          <w:p w:rsidR="00CD4E01" w:rsidRPr="004C5551" w:rsidRDefault="00CD4E01" w:rsidP="00502AAC">
            <w:pPr>
              <w:ind w:right="415"/>
              <w:jc w:val="right"/>
              <w:rPr>
                <w:sz w:val="18"/>
                <w:szCs w:val="18"/>
              </w:rPr>
            </w:pPr>
            <w:r w:rsidRPr="004C5551">
              <w:rPr>
                <w:sz w:val="18"/>
                <w:szCs w:val="18"/>
              </w:rPr>
              <w:t>7</w:t>
            </w:r>
          </w:p>
        </w:tc>
        <w:tc>
          <w:tcPr>
            <w:tcW w:w="630" w:type="pct"/>
            <w:tcBorders>
              <w:top w:val="nil"/>
              <w:bottom w:val="single" w:sz="4" w:space="0" w:color="auto"/>
            </w:tcBorders>
            <w:vAlign w:val="center"/>
          </w:tcPr>
          <w:p w:rsidR="00CD4E01" w:rsidRPr="004C5551" w:rsidRDefault="00CD4E01" w:rsidP="00502AAC">
            <w:pPr>
              <w:ind w:right="415"/>
              <w:jc w:val="right"/>
              <w:rPr>
                <w:sz w:val="18"/>
                <w:szCs w:val="18"/>
              </w:rPr>
            </w:pPr>
            <w:r w:rsidRPr="004C5551">
              <w:rPr>
                <w:sz w:val="18"/>
                <w:szCs w:val="18"/>
              </w:rPr>
              <w:t>12</w:t>
            </w:r>
          </w:p>
        </w:tc>
        <w:tc>
          <w:tcPr>
            <w:tcW w:w="733" w:type="pct"/>
            <w:tcBorders>
              <w:top w:val="nil"/>
              <w:bottom w:val="single" w:sz="4" w:space="0" w:color="auto"/>
            </w:tcBorders>
            <w:vAlign w:val="center"/>
          </w:tcPr>
          <w:p w:rsidR="00CD4E01" w:rsidRPr="004C5551" w:rsidRDefault="00CD4E01" w:rsidP="00502AAC">
            <w:pPr>
              <w:ind w:right="415"/>
              <w:jc w:val="right"/>
              <w:rPr>
                <w:sz w:val="18"/>
                <w:szCs w:val="18"/>
              </w:rPr>
            </w:pPr>
            <w:r w:rsidRPr="004C5551">
              <w:rPr>
                <w:sz w:val="18"/>
                <w:szCs w:val="18"/>
              </w:rPr>
              <w:t>3</w:t>
            </w:r>
          </w:p>
        </w:tc>
      </w:tr>
    </w:tbl>
    <w:p w:rsidR="00CD4E01" w:rsidRPr="004C5551" w:rsidRDefault="00CD4E01" w:rsidP="00CD4E01">
      <w:pPr>
        <w:pStyle w:val="zdroj"/>
        <w:ind w:hanging="142"/>
      </w:pPr>
      <w:r w:rsidRPr="004C5551">
        <w:t xml:space="preserve">Zdroj: </w:t>
      </w:r>
      <w:proofErr w:type="spellStart"/>
      <w:r w:rsidRPr="004C5551">
        <w:t>Trexima</w:t>
      </w:r>
      <w:proofErr w:type="spellEnd"/>
      <w:r w:rsidRPr="004C5551">
        <w:t>, Informačný systém o priemerných zárobkoch IV. štvrťrok 2014</w:t>
      </w:r>
    </w:p>
    <w:p w:rsidR="005A0C4E" w:rsidRPr="004C5551" w:rsidRDefault="005A0C4E" w:rsidP="00CD4E01">
      <w:pPr>
        <w:pStyle w:val="zdroj"/>
        <w:ind w:hanging="142"/>
      </w:pPr>
    </w:p>
    <w:p w:rsidR="00641072" w:rsidRPr="004C5551" w:rsidRDefault="00641072" w:rsidP="00641072">
      <w:pPr>
        <w:pStyle w:val="Nadpis7"/>
        <w:rPr>
          <w:b w:val="0"/>
          <w:i/>
        </w:rPr>
      </w:pPr>
      <w:r w:rsidRPr="004C5551">
        <w:t>Tabuľka 1</w:t>
      </w:r>
      <w:r w:rsidR="00AD623F" w:rsidRPr="004C5551">
        <w:t>1</w:t>
      </w:r>
      <w:r w:rsidRPr="004C5551">
        <w:t xml:space="preserve"> Podiely zamestnancov v pásmach priemernej hrubej mesačnej mzdy – rok 201</w:t>
      </w:r>
      <w:r w:rsidR="00CD4E01" w:rsidRPr="004C5551">
        <w:t>4</w:t>
      </w:r>
    </w:p>
    <w:p w:rsidR="00641072" w:rsidRPr="004C5551" w:rsidRDefault="00641072" w:rsidP="00641072">
      <w:pPr>
        <w:rPr>
          <w:b/>
          <w:color w:val="333300"/>
          <w:sz w:val="16"/>
          <w:szCs w:val="16"/>
        </w:rPr>
      </w:pPr>
    </w:p>
    <w:tbl>
      <w:tblPr>
        <w:tblW w:w="4370" w:type="pct"/>
        <w:jc w:val="center"/>
        <w:tblInd w:w="1774" w:type="dxa"/>
        <w:tblLayout w:type="fixed"/>
        <w:tblCellMar>
          <w:left w:w="70" w:type="dxa"/>
          <w:right w:w="70" w:type="dxa"/>
        </w:tblCellMar>
        <w:tblLook w:val="04A0" w:firstRow="1" w:lastRow="0" w:firstColumn="1" w:lastColumn="0" w:noHBand="0" w:noVBand="1"/>
      </w:tblPr>
      <w:tblGrid>
        <w:gridCol w:w="2042"/>
        <w:gridCol w:w="710"/>
        <w:gridCol w:w="655"/>
        <w:gridCol w:w="501"/>
        <w:gridCol w:w="498"/>
        <w:gridCol w:w="512"/>
        <w:gridCol w:w="642"/>
        <w:gridCol w:w="620"/>
        <w:gridCol w:w="594"/>
        <w:gridCol w:w="564"/>
        <w:gridCol w:w="713"/>
      </w:tblGrid>
      <w:tr w:rsidR="001A0CDB" w:rsidRPr="004C5551" w:rsidTr="00E537F0">
        <w:trPr>
          <w:trHeight w:val="204"/>
          <w:jc w:val="center"/>
        </w:trPr>
        <w:tc>
          <w:tcPr>
            <w:tcW w:w="1268"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1A0CDB">
            <w:pPr>
              <w:ind w:right="8"/>
              <w:jc w:val="center"/>
              <w:rPr>
                <w:color w:val="333300"/>
                <w:szCs w:val="22"/>
              </w:rPr>
            </w:pPr>
            <w:r w:rsidRPr="004C5551">
              <w:rPr>
                <w:b/>
                <w:bCs/>
                <w:color w:val="333300"/>
                <w:szCs w:val="22"/>
              </w:rPr>
              <w:t xml:space="preserve">Mzdové pásmo priemernej mesačnej hrubej mzdy v </w:t>
            </w:r>
            <w:r w:rsidR="00AA0137" w:rsidRPr="004C5551">
              <w:rPr>
                <w:b/>
                <w:bCs/>
                <w:color w:val="333300"/>
                <w:szCs w:val="22"/>
              </w:rPr>
              <w:t>€</w:t>
            </w:r>
          </w:p>
        </w:tc>
        <w:tc>
          <w:tcPr>
            <w:tcW w:w="441"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641072">
            <w:pPr>
              <w:jc w:val="right"/>
              <w:rPr>
                <w:sz w:val="18"/>
                <w:szCs w:val="18"/>
              </w:rPr>
            </w:pPr>
            <w:r w:rsidRPr="004C5551">
              <w:rPr>
                <w:b/>
                <w:color w:val="333300"/>
                <w:szCs w:val="22"/>
              </w:rPr>
              <w:t>Spolu</w:t>
            </w:r>
          </w:p>
        </w:tc>
        <w:tc>
          <w:tcPr>
            <w:tcW w:w="3291" w:type="pct"/>
            <w:gridSpan w:val="9"/>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1A0CDB">
            <w:pPr>
              <w:jc w:val="center"/>
              <w:rPr>
                <w:sz w:val="18"/>
                <w:szCs w:val="18"/>
              </w:rPr>
            </w:pPr>
            <w:r w:rsidRPr="004C5551">
              <w:rPr>
                <w:b/>
                <w:color w:val="333300"/>
                <w:szCs w:val="22"/>
              </w:rPr>
              <w:t>Podiely zamestnancov podľa hlavných tried zamestnaní v</w:t>
            </w:r>
            <w:r w:rsidR="009425AA" w:rsidRPr="004C5551">
              <w:rPr>
                <w:b/>
                <w:color w:val="333300"/>
                <w:szCs w:val="22"/>
              </w:rPr>
              <w:t> %</w:t>
            </w:r>
          </w:p>
        </w:tc>
      </w:tr>
      <w:tr w:rsidR="001A0CDB" w:rsidRPr="004C5551" w:rsidTr="00E537F0">
        <w:trPr>
          <w:trHeight w:val="204"/>
          <w:jc w:val="center"/>
        </w:trPr>
        <w:tc>
          <w:tcPr>
            <w:tcW w:w="1268"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1A0CDB">
            <w:pPr>
              <w:ind w:right="8"/>
              <w:jc w:val="center"/>
              <w:rPr>
                <w:color w:val="333300"/>
                <w:szCs w:val="22"/>
              </w:rPr>
            </w:pPr>
          </w:p>
        </w:tc>
        <w:tc>
          <w:tcPr>
            <w:tcW w:w="441"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641072">
            <w:pPr>
              <w:jc w:val="right"/>
              <w:rPr>
                <w:sz w:val="18"/>
                <w:szCs w:val="18"/>
              </w:rPr>
            </w:pPr>
          </w:p>
        </w:tc>
        <w:tc>
          <w:tcPr>
            <w:tcW w:w="407"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1</w:t>
            </w:r>
          </w:p>
        </w:tc>
        <w:tc>
          <w:tcPr>
            <w:tcW w:w="311"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2</w:t>
            </w:r>
          </w:p>
        </w:tc>
        <w:tc>
          <w:tcPr>
            <w:tcW w:w="30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3</w:t>
            </w:r>
          </w:p>
        </w:tc>
        <w:tc>
          <w:tcPr>
            <w:tcW w:w="318"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4</w:t>
            </w:r>
          </w:p>
        </w:tc>
        <w:tc>
          <w:tcPr>
            <w:tcW w:w="39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5</w:t>
            </w:r>
          </w:p>
        </w:tc>
        <w:tc>
          <w:tcPr>
            <w:tcW w:w="385"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6</w:t>
            </w:r>
          </w:p>
        </w:tc>
        <w:tc>
          <w:tcPr>
            <w:tcW w:w="36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7</w:t>
            </w:r>
          </w:p>
        </w:tc>
        <w:tc>
          <w:tcPr>
            <w:tcW w:w="350"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8</w:t>
            </w:r>
          </w:p>
        </w:tc>
        <w:tc>
          <w:tcPr>
            <w:tcW w:w="443"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1A0CDB" w:rsidRPr="004C5551" w:rsidRDefault="001A0CDB" w:rsidP="00F145F9">
            <w:pPr>
              <w:jc w:val="center"/>
              <w:rPr>
                <w:b/>
                <w:color w:val="333300"/>
              </w:rPr>
            </w:pPr>
            <w:r w:rsidRPr="004C5551">
              <w:rPr>
                <w:b/>
                <w:color w:val="333300"/>
                <w:szCs w:val="22"/>
              </w:rPr>
              <w:t>9</w:t>
            </w:r>
          </w:p>
        </w:tc>
      </w:tr>
      <w:tr w:rsidR="00CD4E01" w:rsidRPr="004C5551" w:rsidTr="00502AAC">
        <w:trPr>
          <w:trHeight w:val="204"/>
          <w:jc w:val="center"/>
        </w:trPr>
        <w:tc>
          <w:tcPr>
            <w:tcW w:w="1268" w:type="pct"/>
            <w:tcBorders>
              <w:top w:val="single" w:sz="6" w:space="0" w:color="auto"/>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menej ako 200</w:t>
            </w:r>
          </w:p>
        </w:tc>
        <w:tc>
          <w:tcPr>
            <w:tcW w:w="441" w:type="pct"/>
            <w:tcBorders>
              <w:top w:val="single" w:sz="6" w:space="0" w:color="auto"/>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0,94</w:t>
            </w:r>
          </w:p>
        </w:tc>
        <w:tc>
          <w:tcPr>
            <w:tcW w:w="407" w:type="pct"/>
            <w:tcBorders>
              <w:top w:val="single" w:sz="6" w:space="0" w:color="auto"/>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0,12</w:t>
            </w:r>
          </w:p>
        </w:tc>
        <w:tc>
          <w:tcPr>
            <w:tcW w:w="311"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1,30</w:t>
            </w:r>
          </w:p>
        </w:tc>
        <w:tc>
          <w:tcPr>
            <w:tcW w:w="309"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0,33</w:t>
            </w:r>
          </w:p>
        </w:tc>
        <w:tc>
          <w:tcPr>
            <w:tcW w:w="318"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0,83</w:t>
            </w:r>
          </w:p>
        </w:tc>
        <w:tc>
          <w:tcPr>
            <w:tcW w:w="399"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1,86</w:t>
            </w:r>
          </w:p>
        </w:tc>
        <w:tc>
          <w:tcPr>
            <w:tcW w:w="385"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0,26</w:t>
            </w:r>
          </w:p>
        </w:tc>
        <w:tc>
          <w:tcPr>
            <w:tcW w:w="369"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0,13</w:t>
            </w:r>
          </w:p>
        </w:tc>
        <w:tc>
          <w:tcPr>
            <w:tcW w:w="350" w:type="pct"/>
            <w:tcBorders>
              <w:top w:val="single" w:sz="6" w:space="0" w:color="auto"/>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0,29</w:t>
            </w:r>
          </w:p>
        </w:tc>
        <w:tc>
          <w:tcPr>
            <w:tcW w:w="443" w:type="pct"/>
            <w:tcBorders>
              <w:top w:val="single" w:sz="6" w:space="0" w:color="auto"/>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1,89</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200,01 – 250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0,49</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0,06</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0,46</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0,20</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0,43</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1,23</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0,12</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0,08</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250,01 </w:t>
            </w:r>
            <w:r w:rsidRPr="004C5551">
              <w:rPr>
                <w:color w:val="000000" w:themeColor="text1"/>
              </w:rPr>
              <w:t>–</w:t>
            </w:r>
            <w:r w:rsidRPr="004C5551">
              <w:rPr>
                <w:color w:val="333300"/>
                <w:szCs w:val="22"/>
              </w:rPr>
              <w:t xml:space="preserve"> 300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0,53</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0,11</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0,46</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1,25</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0,34</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0,17</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0,19</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1,57</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300,01 </w:t>
            </w:r>
            <w:r w:rsidRPr="004C5551">
              <w:rPr>
                <w:color w:val="000000" w:themeColor="text1"/>
              </w:rPr>
              <w:t>–</w:t>
            </w:r>
            <w:r w:rsidRPr="004C5551">
              <w:rPr>
                <w:color w:val="333300"/>
                <w:szCs w:val="22"/>
              </w:rPr>
              <w:t xml:space="preserve"> 350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1,78</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0,16</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0,64</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0,32</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1,05</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2,31</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1,50</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2,27</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1,49</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5,42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350,01 </w:t>
            </w:r>
            <w:r w:rsidRPr="004C5551">
              <w:rPr>
                <w:color w:val="000000" w:themeColor="text1"/>
              </w:rPr>
              <w:t>–</w:t>
            </w:r>
            <w:r w:rsidRPr="004C5551">
              <w:rPr>
                <w:color w:val="333300"/>
                <w:szCs w:val="22"/>
              </w:rPr>
              <w:t xml:space="preserve"> 400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3,55</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0,28</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0,82</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0,70</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2,01</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6,28</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3,30</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3,39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3,09</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13,20</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400,01 </w:t>
            </w:r>
            <w:r w:rsidRPr="004C5551">
              <w:rPr>
                <w:color w:val="000000" w:themeColor="text1"/>
              </w:rPr>
              <w:t>–</w:t>
            </w:r>
            <w:r w:rsidRPr="004C5551">
              <w:rPr>
                <w:color w:val="333300"/>
                <w:szCs w:val="22"/>
              </w:rPr>
              <w:t xml:space="preserve"> 450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5,20</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0,65</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0,88</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1,39</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3,85</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12,27</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6,85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3,50</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5,98</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14,63</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450,01 </w:t>
            </w:r>
            <w:r w:rsidRPr="004C5551">
              <w:rPr>
                <w:color w:val="000000" w:themeColor="text1"/>
              </w:rPr>
              <w:t>–</w:t>
            </w:r>
            <w:r w:rsidRPr="004C5551">
              <w:rPr>
                <w:color w:val="333300"/>
                <w:szCs w:val="22"/>
              </w:rPr>
              <w:t xml:space="preserve"> 500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5,49</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1,29</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1,87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5,77</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12,48</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9,69</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3,99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7,08</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11,89</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500,01 </w:t>
            </w:r>
            <w:r w:rsidRPr="004C5551">
              <w:rPr>
                <w:color w:val="000000" w:themeColor="text1"/>
              </w:rPr>
              <w:t>–</w:t>
            </w:r>
            <w:r w:rsidRPr="004C5551">
              <w:rPr>
                <w:color w:val="333300"/>
                <w:szCs w:val="22"/>
              </w:rPr>
              <w:t xml:space="preserve"> 550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5,71</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1,02</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1,61</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2,66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8,71</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11,73</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9,87</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4,83</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7,11</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9,56</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550,01 </w:t>
            </w:r>
            <w:r w:rsidRPr="004C5551">
              <w:rPr>
                <w:color w:val="000000" w:themeColor="text1"/>
              </w:rPr>
              <w:t>–</w:t>
            </w:r>
            <w:r w:rsidRPr="004C5551">
              <w:rPr>
                <w:color w:val="333300"/>
                <w:szCs w:val="22"/>
              </w:rPr>
              <w:t xml:space="preserve"> 600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5,80</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1,20</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2,12</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3,40</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8,82</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10,16</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10,88</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5,64</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7,46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8,06</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600,01 </w:t>
            </w:r>
            <w:r w:rsidRPr="004C5551">
              <w:rPr>
                <w:color w:val="000000" w:themeColor="text1"/>
              </w:rPr>
              <w:t>–</w:t>
            </w:r>
            <w:r w:rsidRPr="004C5551">
              <w:rPr>
                <w:color w:val="333300"/>
                <w:szCs w:val="22"/>
              </w:rPr>
              <w:t xml:space="preserve"> 650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5,85</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1,79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3,03</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4,18</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7,84</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8,03</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10,05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6,28</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7,36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7,75</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650,01 </w:t>
            </w:r>
            <w:r w:rsidRPr="004C5551">
              <w:rPr>
                <w:color w:val="000000" w:themeColor="text1"/>
              </w:rPr>
              <w:t>–</w:t>
            </w:r>
            <w:r w:rsidRPr="004C5551">
              <w:rPr>
                <w:color w:val="333300"/>
                <w:szCs w:val="22"/>
              </w:rPr>
              <w:t xml:space="preserve"> 700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5,85</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2,23</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4,09</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5,06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7,70</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6,12</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9,55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7,07</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7,26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5,83</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700,01 </w:t>
            </w:r>
            <w:r w:rsidRPr="004C5551">
              <w:rPr>
                <w:color w:val="000000" w:themeColor="text1"/>
              </w:rPr>
              <w:t>–</w:t>
            </w:r>
            <w:r w:rsidRPr="004C5551">
              <w:rPr>
                <w:color w:val="333300"/>
                <w:szCs w:val="22"/>
              </w:rPr>
              <w:t xml:space="preserve"> 750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5,89</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2,54</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4,53</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5,86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7,29</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5,18</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7,36</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7,34</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7,83</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4,59</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750,01 </w:t>
            </w:r>
            <w:r w:rsidRPr="004C5551">
              <w:rPr>
                <w:color w:val="000000" w:themeColor="text1"/>
              </w:rPr>
              <w:t>–</w:t>
            </w:r>
            <w:r w:rsidRPr="004C5551">
              <w:rPr>
                <w:color w:val="333300"/>
                <w:szCs w:val="22"/>
              </w:rPr>
              <w:t xml:space="preserve"> 800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5,43</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2,23</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4,46</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5,91</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6,51</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4,48</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6,45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6,79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7,42</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3,25</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800,01 </w:t>
            </w:r>
            <w:r w:rsidRPr="004C5551">
              <w:rPr>
                <w:color w:val="000000" w:themeColor="text1"/>
              </w:rPr>
              <w:t>–</w:t>
            </w:r>
            <w:r w:rsidRPr="004C5551">
              <w:rPr>
                <w:color w:val="333300"/>
                <w:szCs w:val="22"/>
              </w:rPr>
              <w:t xml:space="preserve"> 850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4,83</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2,13</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4,48</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5,98</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5,51</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3,53</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3,97</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5,97</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6,14</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2,50</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850,01 </w:t>
            </w:r>
            <w:r w:rsidRPr="004C5551">
              <w:rPr>
                <w:color w:val="000000" w:themeColor="text1"/>
              </w:rPr>
              <w:t>–</w:t>
            </w:r>
            <w:r w:rsidRPr="004C5551">
              <w:rPr>
                <w:color w:val="333300"/>
                <w:szCs w:val="22"/>
              </w:rPr>
              <w:t xml:space="preserve"> 900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4,29</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1,87</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4,49</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6,20</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4,79</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2,54</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5,13</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4,82</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1,92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 xml:space="preserve">900,01 </w:t>
            </w:r>
            <w:r w:rsidRPr="004C5551">
              <w:rPr>
                <w:color w:val="000000" w:themeColor="text1"/>
              </w:rPr>
              <w:t>–</w:t>
            </w:r>
            <w:r w:rsidRPr="004C5551">
              <w:rPr>
                <w:color w:val="333300"/>
                <w:szCs w:val="22"/>
              </w:rPr>
              <w:t xml:space="preserve"> 950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3,91</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2,02</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4,71</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6,06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4,25</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1,95</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3,67</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3,95</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1,45</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950,01 – 1 000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3,57</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5,04</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5,56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3,54</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1,51</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2,51</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3,92</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3,33</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1,12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1 000,01 – 1 100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6,03</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4,60</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9,23</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9,16</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5,84</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2,22</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4,03</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6,63</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5,38</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1,51</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1 100,01 – 1 200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4,59</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4,12</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7,02</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6,87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4,06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1,45</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2,49</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5,38</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4,06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0,91</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1 200,01 – 1 300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3,48</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3,85</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5,26</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5,49</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2,86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0,91</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1,25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4,45</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2,67</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1 300,01 – 1 400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2,73</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4,17</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4,39</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4,52</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1,93</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0,59</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0,64</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3,41</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1,74</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0,30</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1 400,01 – 1 500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2,22</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3,99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3,83</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3,57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1,37</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0,39</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2,64</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1,41</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0,26</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1 500,01 – 1 600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1,75</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3,79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3,09</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2,74</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0,32</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0,19</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1,93</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1,07</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0,19</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1 600,01 – 1 700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1,45</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3,39</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2,83</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2,17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0,85</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0,21</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0,04</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0,88</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0,11</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1 700,01 – 1 800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1,14</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3,08</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2,48</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1,69</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0,57</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0,17</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0,05</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0,91</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0,52</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0,06</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1 800,01 – 1 900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0,96</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3,00</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2,07</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1,51</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0,48</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0,15</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0,07</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0,66</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0,39</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0,03</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1 900,01 – 2 000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0,78</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2,74</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1,78</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1,17</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0,32</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0,10</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0,49</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0,26</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0,01</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2 000,01 – 2 100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0,66</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2,64</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1,58</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0,92</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0,08</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0,31</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0,18</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0,02</w:t>
            </w:r>
          </w:p>
        </w:tc>
      </w:tr>
      <w:tr w:rsidR="00CD4E01" w:rsidRPr="004C5551" w:rsidTr="00502AAC">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2 100,01 – 2 200</w:t>
            </w:r>
          </w:p>
        </w:tc>
        <w:tc>
          <w:tcPr>
            <w:tcW w:w="441" w:type="pct"/>
            <w:tcBorders>
              <w:top w:val="nil"/>
              <w:left w:val="single" w:sz="8" w:space="0" w:color="auto"/>
              <w:bottom w:val="nil"/>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0,54</w:t>
            </w:r>
          </w:p>
        </w:tc>
        <w:tc>
          <w:tcPr>
            <w:tcW w:w="407" w:type="pct"/>
            <w:tcBorders>
              <w:top w:val="nil"/>
              <w:left w:val="single" w:sz="4" w:space="0" w:color="auto"/>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2,28</w:t>
            </w:r>
          </w:p>
        </w:tc>
        <w:tc>
          <w:tcPr>
            <w:tcW w:w="311"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1,37</w:t>
            </w:r>
          </w:p>
        </w:tc>
        <w:tc>
          <w:tcPr>
            <w:tcW w:w="30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0,71</w:t>
            </w:r>
          </w:p>
        </w:tc>
        <w:tc>
          <w:tcPr>
            <w:tcW w:w="318"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0,16</w:t>
            </w:r>
          </w:p>
        </w:tc>
        <w:tc>
          <w:tcPr>
            <w:tcW w:w="39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0,06</w:t>
            </w:r>
          </w:p>
        </w:tc>
        <w:tc>
          <w:tcPr>
            <w:tcW w:w="385"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0,04</w:t>
            </w:r>
          </w:p>
        </w:tc>
        <w:tc>
          <w:tcPr>
            <w:tcW w:w="369"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0,21</w:t>
            </w:r>
          </w:p>
        </w:tc>
        <w:tc>
          <w:tcPr>
            <w:tcW w:w="350" w:type="pct"/>
            <w:tcBorders>
              <w:top w:val="nil"/>
              <w:left w:val="nil"/>
              <w:bottom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0,14</w:t>
            </w:r>
          </w:p>
        </w:tc>
        <w:tc>
          <w:tcPr>
            <w:tcW w:w="443" w:type="pct"/>
            <w:tcBorders>
              <w:top w:val="nil"/>
              <w:left w:val="nil"/>
              <w:bottom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0,01</w:t>
            </w:r>
          </w:p>
        </w:tc>
      </w:tr>
      <w:tr w:rsidR="00CD4E01" w:rsidRPr="004C5551" w:rsidTr="00CD4E01">
        <w:trPr>
          <w:trHeight w:val="204"/>
          <w:jc w:val="center"/>
        </w:trPr>
        <w:tc>
          <w:tcPr>
            <w:tcW w:w="1268" w:type="pct"/>
            <w:tcBorders>
              <w:top w:val="nil"/>
              <w:left w:val="single" w:sz="6" w:space="0" w:color="auto"/>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2 200,01 – 2 300</w:t>
            </w:r>
          </w:p>
        </w:tc>
        <w:tc>
          <w:tcPr>
            <w:tcW w:w="441" w:type="pct"/>
            <w:tcBorders>
              <w:top w:val="nil"/>
              <w:left w:val="single" w:sz="8" w:space="0" w:color="auto"/>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0,46</w:t>
            </w:r>
          </w:p>
        </w:tc>
        <w:tc>
          <w:tcPr>
            <w:tcW w:w="407" w:type="pct"/>
            <w:tcBorders>
              <w:top w:val="nil"/>
              <w:left w:val="single" w:sz="4"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2,17</w:t>
            </w:r>
          </w:p>
        </w:tc>
        <w:tc>
          <w:tcPr>
            <w:tcW w:w="311"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1,19</w:t>
            </w:r>
          </w:p>
        </w:tc>
        <w:tc>
          <w:tcPr>
            <w:tcW w:w="309"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0,55</w:t>
            </w:r>
          </w:p>
        </w:tc>
        <w:tc>
          <w:tcPr>
            <w:tcW w:w="318"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0,14</w:t>
            </w:r>
          </w:p>
        </w:tc>
        <w:tc>
          <w:tcPr>
            <w:tcW w:w="399"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0,07</w:t>
            </w:r>
          </w:p>
        </w:tc>
        <w:tc>
          <w:tcPr>
            <w:tcW w:w="385"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0,02</w:t>
            </w:r>
          </w:p>
        </w:tc>
        <w:tc>
          <w:tcPr>
            <w:tcW w:w="369"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0,15</w:t>
            </w:r>
          </w:p>
        </w:tc>
        <w:tc>
          <w:tcPr>
            <w:tcW w:w="350" w:type="pct"/>
            <w:tcBorders>
              <w:top w:val="nil"/>
              <w:left w:val="nil"/>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0,10</w:t>
            </w:r>
          </w:p>
        </w:tc>
        <w:tc>
          <w:tcPr>
            <w:tcW w:w="443" w:type="pct"/>
            <w:tcBorders>
              <w:top w:val="nil"/>
              <w:left w:val="nil"/>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0,01</w:t>
            </w:r>
          </w:p>
        </w:tc>
      </w:tr>
      <w:tr w:rsidR="00CD4E01" w:rsidRPr="004C5551" w:rsidTr="00CD4E01">
        <w:trPr>
          <w:trHeight w:val="213"/>
          <w:jc w:val="center"/>
        </w:trPr>
        <w:tc>
          <w:tcPr>
            <w:tcW w:w="1268" w:type="pct"/>
            <w:tcBorders>
              <w:top w:val="nil"/>
              <w:left w:val="single" w:sz="6" w:space="0" w:color="auto"/>
              <w:bottom w:val="single" w:sz="6" w:space="0" w:color="auto"/>
              <w:right w:val="single" w:sz="4" w:space="0" w:color="auto"/>
            </w:tcBorders>
            <w:shd w:val="clear" w:color="auto" w:fill="FFFFFF"/>
            <w:noWrap/>
            <w:vAlign w:val="center"/>
          </w:tcPr>
          <w:p w:rsidR="00CD4E01" w:rsidRPr="004C5551" w:rsidRDefault="00CD4E01" w:rsidP="009A02B2">
            <w:pPr>
              <w:ind w:right="8"/>
              <w:jc w:val="left"/>
              <w:rPr>
                <w:color w:val="333300"/>
              </w:rPr>
            </w:pPr>
            <w:r w:rsidRPr="004C5551">
              <w:rPr>
                <w:color w:val="333300"/>
                <w:szCs w:val="22"/>
              </w:rPr>
              <w:t>2 300,01 a viac</w:t>
            </w:r>
          </w:p>
        </w:tc>
        <w:tc>
          <w:tcPr>
            <w:tcW w:w="441" w:type="pct"/>
            <w:tcBorders>
              <w:top w:val="nil"/>
              <w:left w:val="single" w:sz="8" w:space="0" w:color="auto"/>
              <w:bottom w:val="single" w:sz="6" w:space="0" w:color="auto"/>
              <w:right w:val="nil"/>
            </w:tcBorders>
            <w:shd w:val="clear" w:color="auto" w:fill="FFFFFF"/>
            <w:noWrap/>
            <w:vAlign w:val="center"/>
          </w:tcPr>
          <w:p w:rsidR="00CD4E01" w:rsidRPr="004C5551" w:rsidRDefault="00CD4E01" w:rsidP="00502AAC">
            <w:pPr>
              <w:jc w:val="right"/>
              <w:rPr>
                <w:sz w:val="18"/>
                <w:szCs w:val="18"/>
              </w:rPr>
            </w:pPr>
            <w:r w:rsidRPr="004C5551">
              <w:rPr>
                <w:sz w:val="18"/>
                <w:szCs w:val="18"/>
              </w:rPr>
              <w:t>4,08</w:t>
            </w:r>
          </w:p>
        </w:tc>
        <w:tc>
          <w:tcPr>
            <w:tcW w:w="407" w:type="pct"/>
            <w:tcBorders>
              <w:top w:val="nil"/>
              <w:left w:val="single" w:sz="4" w:space="0" w:color="auto"/>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34,42</w:t>
            </w:r>
          </w:p>
        </w:tc>
        <w:tc>
          <w:tcPr>
            <w:tcW w:w="311"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9,47</w:t>
            </w:r>
          </w:p>
        </w:tc>
        <w:tc>
          <w:tcPr>
            <w:tcW w:w="309"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3,08</w:t>
            </w:r>
          </w:p>
        </w:tc>
        <w:tc>
          <w:tcPr>
            <w:tcW w:w="318"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0,63</w:t>
            </w:r>
          </w:p>
        </w:tc>
        <w:tc>
          <w:tcPr>
            <w:tcW w:w="399"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0,37</w:t>
            </w:r>
          </w:p>
        </w:tc>
        <w:tc>
          <w:tcPr>
            <w:tcW w:w="385"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w:t>
            </w:r>
          </w:p>
        </w:tc>
        <w:tc>
          <w:tcPr>
            <w:tcW w:w="369"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0,43</w:t>
            </w:r>
          </w:p>
        </w:tc>
        <w:tc>
          <w:tcPr>
            <w:tcW w:w="350" w:type="pct"/>
            <w:tcBorders>
              <w:top w:val="nil"/>
              <w:left w:val="nil"/>
              <w:bottom w:val="single" w:sz="6" w:space="0" w:color="auto"/>
              <w:right w:val="single" w:sz="4"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0,25</w:t>
            </w:r>
          </w:p>
        </w:tc>
        <w:tc>
          <w:tcPr>
            <w:tcW w:w="443" w:type="pct"/>
            <w:tcBorders>
              <w:top w:val="nil"/>
              <w:left w:val="nil"/>
              <w:bottom w:val="single" w:sz="6" w:space="0" w:color="auto"/>
              <w:right w:val="single" w:sz="6" w:space="0" w:color="auto"/>
            </w:tcBorders>
            <w:shd w:val="clear" w:color="auto" w:fill="FFFFFF"/>
            <w:noWrap/>
            <w:vAlign w:val="center"/>
          </w:tcPr>
          <w:p w:rsidR="00CD4E01" w:rsidRPr="004C5551" w:rsidRDefault="00CD4E01" w:rsidP="00502AAC">
            <w:pPr>
              <w:jc w:val="right"/>
              <w:rPr>
                <w:sz w:val="18"/>
                <w:szCs w:val="18"/>
              </w:rPr>
            </w:pPr>
            <w:r w:rsidRPr="004C5551">
              <w:rPr>
                <w:sz w:val="18"/>
                <w:szCs w:val="18"/>
              </w:rPr>
              <w:t>0,00</w:t>
            </w:r>
          </w:p>
        </w:tc>
      </w:tr>
    </w:tbl>
    <w:p w:rsidR="00CD4E01" w:rsidRPr="004C5551" w:rsidRDefault="00CD4E01" w:rsidP="00CD4E01">
      <w:pPr>
        <w:pStyle w:val="zdroj"/>
        <w:spacing w:after="0"/>
        <w:ind w:firstLine="0"/>
      </w:pPr>
    </w:p>
    <w:p w:rsidR="00CD4E01" w:rsidRPr="004C5551" w:rsidRDefault="00CD4E01" w:rsidP="00CD4E01">
      <w:pPr>
        <w:pStyle w:val="zdroj"/>
        <w:spacing w:after="0"/>
        <w:ind w:firstLine="0"/>
      </w:pPr>
      <w:r w:rsidRPr="004C5551">
        <w:t xml:space="preserve">Zdroj: </w:t>
      </w:r>
      <w:proofErr w:type="spellStart"/>
      <w:r w:rsidRPr="004C5551">
        <w:t>Trexima</w:t>
      </w:r>
      <w:proofErr w:type="spellEnd"/>
      <w:r w:rsidRPr="004C5551">
        <w:t>, Informačný systém o priemerných zárobkoch IV. štvrťrok 2014</w:t>
      </w:r>
    </w:p>
    <w:p w:rsidR="00CD4E01" w:rsidRPr="004C5551" w:rsidRDefault="00CD4E01" w:rsidP="00CD4E01">
      <w:pPr>
        <w:pStyle w:val="zdroj"/>
        <w:spacing w:before="0" w:after="0"/>
        <w:ind w:firstLine="0"/>
      </w:pPr>
      <w:r w:rsidRPr="004C5551">
        <w:rPr>
          <w:iCs/>
        </w:rPr>
        <w:t>Poznámka: údaje za všetkých zamestnancov bez rozdielu na aký pracovný úväzok pracujú</w:t>
      </w:r>
    </w:p>
    <w:p w:rsidR="00CD4E01" w:rsidRPr="004C5551" w:rsidRDefault="00CD4E01" w:rsidP="00CD4E01">
      <w:pPr>
        <w:pStyle w:val="zdroj"/>
        <w:spacing w:before="0" w:after="0"/>
        <w:ind w:firstLine="0"/>
      </w:pPr>
    </w:p>
    <w:p w:rsidR="00CD4E01" w:rsidRPr="004C5551" w:rsidRDefault="00CD4E01" w:rsidP="00CD4E01">
      <w:pPr>
        <w:pStyle w:val="zdroj"/>
        <w:spacing w:before="0" w:after="0"/>
        <w:ind w:firstLine="0"/>
      </w:pPr>
      <w:r w:rsidRPr="004C5551">
        <w:t>Vysvetlivky:</w:t>
      </w:r>
    </w:p>
    <w:p w:rsidR="00CD4E01" w:rsidRPr="004C5551" w:rsidRDefault="00CD4E01" w:rsidP="00CD4E01">
      <w:pPr>
        <w:pStyle w:val="zdroj"/>
        <w:spacing w:before="0" w:after="0"/>
        <w:ind w:firstLine="0"/>
      </w:pPr>
      <w:r w:rsidRPr="004C5551">
        <w:t>Hlavné triedy zamestnaní SK ISCO-08:</w:t>
      </w:r>
    </w:p>
    <w:p w:rsidR="00CD4E01" w:rsidRPr="004C5551" w:rsidRDefault="00CD4E01" w:rsidP="00CD4E01">
      <w:pPr>
        <w:pStyle w:val="zdroj"/>
        <w:spacing w:before="0"/>
        <w:ind w:firstLine="0"/>
      </w:pPr>
      <w:r w:rsidRPr="004C5551">
        <w:t xml:space="preserve">1 – Zákonodarcovia, vedúci a riadiaci zamestnanci, 2 – Vedeckí a odborní duševní zamestnanci, </w:t>
      </w:r>
      <w:r w:rsidRPr="004C5551">
        <w:br/>
        <w:t>3 – Technickí, zdravotnícki, pedagogickí zamestnanci, 4 – Nižší administratívni zamestnanci,</w:t>
      </w:r>
      <w:r w:rsidRPr="004C5551">
        <w:br/>
        <w:t xml:space="preserve">5 – Prevádzkoví zamestnanci v službách a obchode, 6 – Kvalifikovaní robotníci v poľnohospodárstve, lesníctve, 7 – Remeselní a kvalifikovaní robotníci v príbuzných odboroch, 8 – Obsluha strojov a zariadení, 9 – Pomocní nekvalifikovaní zamestnanci </w:t>
      </w:r>
    </w:p>
    <w:p w:rsidR="00CD4E01" w:rsidRPr="004C5551" w:rsidRDefault="00CD4E01" w:rsidP="00CD4E01">
      <w:pPr>
        <w:pStyle w:val="zdroj"/>
        <w:spacing w:before="0"/>
        <w:ind w:firstLine="0"/>
      </w:pPr>
      <w:r w:rsidRPr="004C5551">
        <w:t>- jav sa nevyskytoval</w:t>
      </w:r>
    </w:p>
    <w:p w:rsidR="00CD4E01" w:rsidRPr="004C5551" w:rsidRDefault="00CD4E01" w:rsidP="00CD4E01">
      <w:pPr>
        <w:jc w:val="left"/>
        <w:rPr>
          <w:b/>
          <w:color w:val="000000"/>
          <w:szCs w:val="22"/>
        </w:rPr>
      </w:pPr>
    </w:p>
    <w:p w:rsidR="00D06EEE" w:rsidRPr="004C5551" w:rsidRDefault="00D06EEE">
      <w:pPr>
        <w:jc w:val="left"/>
        <w:rPr>
          <w:b/>
          <w:color w:val="000000"/>
          <w:szCs w:val="22"/>
        </w:rPr>
      </w:pPr>
    </w:p>
    <w:p w:rsidR="00BE6ABB" w:rsidRPr="004C5551" w:rsidRDefault="00BE6ABB">
      <w:pPr>
        <w:jc w:val="left"/>
        <w:rPr>
          <w:b/>
          <w:color w:val="000000"/>
          <w:szCs w:val="22"/>
        </w:rPr>
      </w:pPr>
      <w:r w:rsidRPr="004C5551">
        <w:rPr>
          <w:b/>
          <w:i/>
          <w:szCs w:val="22"/>
        </w:rPr>
        <w:br w:type="page"/>
      </w:r>
    </w:p>
    <w:p w:rsidR="00641072" w:rsidRPr="004C5551" w:rsidRDefault="00641072" w:rsidP="006A153B">
      <w:pPr>
        <w:pStyle w:val="Nadpis7"/>
      </w:pPr>
      <w:r w:rsidRPr="004C5551">
        <w:t>Tabuľka 1</w:t>
      </w:r>
      <w:r w:rsidR="00AD623F" w:rsidRPr="004C5551">
        <w:t>2</w:t>
      </w:r>
      <w:r w:rsidRPr="004C5551">
        <w:t xml:space="preserve"> Priemerný hodinový zárobok podľa krajov v podnikat</w:t>
      </w:r>
      <w:r w:rsidR="00E537F0" w:rsidRPr="004C5551">
        <w:t xml:space="preserve">eľskej sfére – </w:t>
      </w:r>
      <w:r w:rsidR="00E537F0" w:rsidRPr="004C5551">
        <w:br/>
        <w:t>4. štvrťrok 2014</w:t>
      </w:r>
    </w:p>
    <w:tbl>
      <w:tblPr>
        <w:tblW w:w="4697" w:type="dxa"/>
        <w:jc w:val="center"/>
        <w:tblInd w:w="1984" w:type="dxa"/>
        <w:tblCellMar>
          <w:left w:w="70" w:type="dxa"/>
          <w:right w:w="70" w:type="dxa"/>
        </w:tblCellMar>
        <w:tblLook w:val="04A0" w:firstRow="1" w:lastRow="0" w:firstColumn="1" w:lastColumn="0" w:noHBand="0" w:noVBand="1"/>
      </w:tblPr>
      <w:tblGrid>
        <w:gridCol w:w="2453"/>
        <w:gridCol w:w="2244"/>
      </w:tblGrid>
      <w:tr w:rsidR="00641072" w:rsidRPr="004C5551" w:rsidTr="00E537F0">
        <w:trPr>
          <w:trHeight w:val="300"/>
          <w:jc w:val="center"/>
        </w:trPr>
        <w:tc>
          <w:tcPr>
            <w:tcW w:w="2453" w:type="dxa"/>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641072" w:rsidRPr="004C5551" w:rsidRDefault="00641072" w:rsidP="00641072">
            <w:pPr>
              <w:jc w:val="center"/>
              <w:rPr>
                <w:b/>
                <w:bCs/>
                <w:color w:val="333300"/>
              </w:rPr>
            </w:pPr>
            <w:r w:rsidRPr="004C5551">
              <w:rPr>
                <w:b/>
                <w:bCs/>
                <w:color w:val="333300"/>
                <w:szCs w:val="22"/>
              </w:rPr>
              <w:t>Kraj</w:t>
            </w:r>
          </w:p>
        </w:tc>
        <w:tc>
          <w:tcPr>
            <w:tcW w:w="2244" w:type="dxa"/>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641072" w:rsidRPr="004C5551" w:rsidRDefault="00AA0137" w:rsidP="00641072">
            <w:pPr>
              <w:jc w:val="center"/>
              <w:rPr>
                <w:b/>
                <w:color w:val="333300"/>
              </w:rPr>
            </w:pPr>
            <w:r w:rsidRPr="004C5551">
              <w:rPr>
                <w:b/>
                <w:bCs/>
                <w:color w:val="333300"/>
                <w:szCs w:val="22"/>
              </w:rPr>
              <w:t>€</w:t>
            </w:r>
            <w:r w:rsidR="00641072" w:rsidRPr="004C5551">
              <w:rPr>
                <w:b/>
                <w:bCs/>
                <w:color w:val="333300"/>
                <w:szCs w:val="22"/>
              </w:rPr>
              <w:t>/hod</w:t>
            </w:r>
          </w:p>
        </w:tc>
      </w:tr>
      <w:tr w:rsidR="00641072" w:rsidRPr="004C5551" w:rsidTr="00E537F0">
        <w:trPr>
          <w:trHeight w:val="315"/>
          <w:jc w:val="center"/>
        </w:trPr>
        <w:tc>
          <w:tcPr>
            <w:tcW w:w="2453" w:type="dxa"/>
            <w:vMerge/>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641072" w:rsidRPr="004C5551" w:rsidRDefault="00641072" w:rsidP="00641072">
            <w:pPr>
              <w:rPr>
                <w:b/>
                <w:bCs/>
                <w:color w:val="333300"/>
              </w:rPr>
            </w:pPr>
          </w:p>
        </w:tc>
        <w:tc>
          <w:tcPr>
            <w:tcW w:w="2244" w:type="dxa"/>
            <w:vMerge/>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641072" w:rsidRPr="004C5551" w:rsidRDefault="00641072" w:rsidP="00641072">
            <w:pPr>
              <w:rPr>
                <w:b/>
                <w:bCs/>
                <w:color w:val="333300"/>
              </w:rPr>
            </w:pPr>
          </w:p>
        </w:tc>
      </w:tr>
      <w:tr w:rsidR="00502AAC" w:rsidRPr="004C5551" w:rsidTr="00502AAC">
        <w:trPr>
          <w:trHeight w:val="300"/>
          <w:jc w:val="center"/>
        </w:trPr>
        <w:tc>
          <w:tcPr>
            <w:tcW w:w="2453" w:type="dxa"/>
            <w:tcBorders>
              <w:top w:val="single" w:sz="6" w:space="0" w:color="auto"/>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Bratislavský</w:t>
            </w:r>
          </w:p>
        </w:tc>
        <w:tc>
          <w:tcPr>
            <w:tcW w:w="2244" w:type="dxa"/>
            <w:tcBorders>
              <w:top w:val="single" w:sz="6" w:space="0" w:color="auto"/>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7,72</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Trnavský</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5,22</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Trenčiansky</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5,17</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Nitriansky</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4,90</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Žilinský</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5,23</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Banskobystrický</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4,93</w:t>
            </w:r>
          </w:p>
        </w:tc>
      </w:tr>
      <w:tr w:rsidR="00502AAC" w:rsidRPr="004C5551" w:rsidTr="00502AAC">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Prešovský</w:t>
            </w:r>
          </w:p>
        </w:tc>
        <w:tc>
          <w:tcPr>
            <w:tcW w:w="2244" w:type="dxa"/>
            <w:tcBorders>
              <w:top w:val="nil"/>
              <w:left w:val="single" w:sz="6" w:space="0" w:color="auto"/>
              <w:bottom w:val="nil"/>
              <w:right w:val="single" w:sz="6" w:space="0" w:color="auto"/>
            </w:tcBorders>
            <w:shd w:val="clear" w:color="000000" w:fill="FFFFFF"/>
            <w:noWrap/>
            <w:vAlign w:val="center"/>
          </w:tcPr>
          <w:p w:rsidR="00502AAC" w:rsidRPr="004C5551" w:rsidRDefault="00502AAC" w:rsidP="00502AAC">
            <w:pPr>
              <w:jc w:val="center"/>
            </w:pPr>
            <w:r w:rsidRPr="004C5551">
              <w:t>4,38</w:t>
            </w:r>
          </w:p>
        </w:tc>
      </w:tr>
      <w:tr w:rsidR="00502AAC" w:rsidRPr="004C5551" w:rsidTr="00502AAC">
        <w:trPr>
          <w:trHeight w:val="315"/>
          <w:jc w:val="center"/>
        </w:trPr>
        <w:tc>
          <w:tcPr>
            <w:tcW w:w="2453" w:type="dxa"/>
            <w:tcBorders>
              <w:top w:val="nil"/>
              <w:left w:val="single" w:sz="6" w:space="0" w:color="auto"/>
              <w:bottom w:val="single" w:sz="6" w:space="0" w:color="auto"/>
              <w:right w:val="single" w:sz="6" w:space="0" w:color="auto"/>
            </w:tcBorders>
            <w:shd w:val="clear" w:color="000000" w:fill="FFFFFF"/>
            <w:noWrap/>
            <w:vAlign w:val="center"/>
          </w:tcPr>
          <w:p w:rsidR="00502AAC" w:rsidRPr="004C5551" w:rsidRDefault="00502AAC" w:rsidP="00502AAC">
            <w:pPr>
              <w:rPr>
                <w:color w:val="333300"/>
              </w:rPr>
            </w:pPr>
            <w:r w:rsidRPr="004C5551">
              <w:rPr>
                <w:color w:val="333300"/>
                <w:szCs w:val="22"/>
              </w:rPr>
              <w:t>Košický</w:t>
            </w:r>
          </w:p>
        </w:tc>
        <w:tc>
          <w:tcPr>
            <w:tcW w:w="2244" w:type="dxa"/>
            <w:tcBorders>
              <w:top w:val="nil"/>
              <w:left w:val="single" w:sz="6" w:space="0" w:color="auto"/>
              <w:bottom w:val="single" w:sz="6" w:space="0" w:color="auto"/>
              <w:right w:val="single" w:sz="6" w:space="0" w:color="auto"/>
            </w:tcBorders>
            <w:shd w:val="clear" w:color="000000" w:fill="FFFFFF"/>
            <w:noWrap/>
            <w:vAlign w:val="center"/>
          </w:tcPr>
          <w:p w:rsidR="00502AAC" w:rsidRPr="004C5551" w:rsidRDefault="00502AAC" w:rsidP="00502AAC">
            <w:pPr>
              <w:jc w:val="center"/>
            </w:pPr>
            <w:r w:rsidRPr="004C5551">
              <w:t>5,61</w:t>
            </w:r>
          </w:p>
        </w:tc>
      </w:tr>
    </w:tbl>
    <w:p w:rsidR="00502AAC" w:rsidRPr="004C5551" w:rsidRDefault="00502AAC" w:rsidP="00502AAC">
      <w:pPr>
        <w:pStyle w:val="zdroj"/>
        <w:ind w:left="709" w:firstLine="709"/>
      </w:pPr>
      <w:r w:rsidRPr="004C5551">
        <w:t xml:space="preserve">Zdroj: </w:t>
      </w:r>
      <w:proofErr w:type="spellStart"/>
      <w:r w:rsidRPr="004C5551">
        <w:t>Trexima</w:t>
      </w:r>
      <w:proofErr w:type="spellEnd"/>
      <w:r w:rsidRPr="004C5551">
        <w:t>, Informačný systém o priemerných zárobkoch IV. štvrťrok 2014</w:t>
      </w:r>
    </w:p>
    <w:p w:rsidR="00641072" w:rsidRPr="004C5551" w:rsidRDefault="00641072" w:rsidP="00641072">
      <w:pPr>
        <w:pStyle w:val="zdroj"/>
        <w:ind w:left="709" w:firstLine="709"/>
      </w:pPr>
    </w:p>
    <w:p w:rsidR="00641072" w:rsidRPr="004C5551" w:rsidRDefault="00641072" w:rsidP="00641072">
      <w:pPr>
        <w:pStyle w:val="Nadpis7"/>
        <w:spacing w:before="210"/>
        <w:rPr>
          <w:b w:val="0"/>
          <w:i/>
          <w:sz w:val="16"/>
          <w:szCs w:val="16"/>
        </w:rPr>
      </w:pPr>
      <w:r w:rsidRPr="004C5551">
        <w:t>Tabuľka 1</w:t>
      </w:r>
      <w:r w:rsidR="00AD623F" w:rsidRPr="004C5551">
        <w:t>3</w:t>
      </w:r>
      <w:r w:rsidRPr="004C5551">
        <w:t xml:space="preserve"> Priemerný hodinový zárobok podľa odvetví v podnikateľskej sfére –</w:t>
      </w:r>
      <w:r w:rsidRPr="004C5551">
        <w:br/>
        <w:t xml:space="preserve"> 4. štvrťrok 201</w:t>
      </w:r>
      <w:r w:rsidR="00502AAC" w:rsidRPr="004C5551">
        <w:t>4</w:t>
      </w:r>
    </w:p>
    <w:tbl>
      <w:tblPr>
        <w:tblW w:w="7796" w:type="dxa"/>
        <w:jc w:val="center"/>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6"/>
        <w:gridCol w:w="2030"/>
      </w:tblGrid>
      <w:tr w:rsidR="00641072" w:rsidRPr="004C5551" w:rsidTr="00E537F0">
        <w:trPr>
          <w:trHeight w:val="813"/>
          <w:jc w:val="center"/>
        </w:trPr>
        <w:tc>
          <w:tcPr>
            <w:tcW w:w="5766" w:type="dxa"/>
            <w:shd w:val="clear" w:color="auto" w:fill="FF9999" w:themeFill="accent3" w:themeFillTint="66"/>
            <w:noWrap/>
            <w:vAlign w:val="center"/>
          </w:tcPr>
          <w:p w:rsidR="00641072" w:rsidRPr="004C5551" w:rsidRDefault="00641072" w:rsidP="00641072">
            <w:pPr>
              <w:jc w:val="center"/>
              <w:rPr>
                <w:b/>
                <w:bCs/>
                <w:color w:val="333300"/>
              </w:rPr>
            </w:pPr>
            <w:r w:rsidRPr="004C5551">
              <w:rPr>
                <w:b/>
                <w:bCs/>
                <w:color w:val="333300"/>
                <w:szCs w:val="22"/>
              </w:rPr>
              <w:t>Kategória SK NACE rev. 2</w:t>
            </w:r>
          </w:p>
        </w:tc>
        <w:tc>
          <w:tcPr>
            <w:tcW w:w="2030" w:type="dxa"/>
            <w:shd w:val="clear" w:color="auto" w:fill="FF9999" w:themeFill="accent3" w:themeFillTint="66"/>
            <w:noWrap/>
            <w:vAlign w:val="center"/>
          </w:tcPr>
          <w:p w:rsidR="00641072" w:rsidRPr="004C5551" w:rsidRDefault="00AA0137" w:rsidP="00641072">
            <w:pPr>
              <w:jc w:val="center"/>
              <w:rPr>
                <w:b/>
                <w:color w:val="333300"/>
              </w:rPr>
            </w:pPr>
            <w:r w:rsidRPr="004C5551">
              <w:rPr>
                <w:b/>
                <w:color w:val="333300"/>
                <w:szCs w:val="22"/>
              </w:rPr>
              <w:t>€</w:t>
            </w:r>
            <w:r w:rsidR="00641072" w:rsidRPr="004C5551">
              <w:rPr>
                <w:b/>
                <w:color w:val="333300"/>
                <w:szCs w:val="22"/>
              </w:rPr>
              <w:t>/hod</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A Poľnohospodárstvo, lesníctvo a rybolov</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4,54</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B Ťažba a dobývanie</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6,02</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 xml:space="preserve">C Priemyselná výroba </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5,73</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D Dodávka elektriny, plynu, pary a studeného vzduchu</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9,02</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E Dodávka vody; odvod odpad. vôd, odstraňovanie odpadov</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5,40</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F Stavebníctvo</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5,09</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 xml:space="preserve">G Veľkoobchod a maloobchod; oprava motor. vozidiel </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5,21</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H Doprava a skladovanie</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5,06</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I Ubytovacie a stravovacie služby</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3,47</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J Informácie a komunikácie</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10,58</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K Finančné a poisťovacie činnosti</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9,90</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L Činnosti v oblasti nehnuteľností</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5,65</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M Odborné, vedecké a technické činnosti</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7,83</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N Administratívne a podporné služby</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4,23</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O Verejná správa a obrana; povinné sociálne zabezpečenie</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8,33</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P Vzdelávanie</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5,47</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Q Zdravotníctvo a sociálna pomoc</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5,61</w:t>
            </w:r>
          </w:p>
        </w:tc>
      </w:tr>
      <w:tr w:rsidR="00502AAC" w:rsidRPr="004C5551" w:rsidTr="00502AAC">
        <w:trPr>
          <w:trHeight w:val="300"/>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 xml:space="preserve">R Umenie, zábava a rekreácia </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4,34</w:t>
            </w:r>
          </w:p>
        </w:tc>
      </w:tr>
      <w:tr w:rsidR="00502AAC" w:rsidRPr="004C5551" w:rsidTr="00502AAC">
        <w:trPr>
          <w:trHeight w:val="315"/>
          <w:jc w:val="center"/>
        </w:trPr>
        <w:tc>
          <w:tcPr>
            <w:tcW w:w="5766" w:type="dxa"/>
            <w:shd w:val="clear" w:color="000000" w:fill="FFFFFF"/>
            <w:noWrap/>
            <w:vAlign w:val="center"/>
          </w:tcPr>
          <w:p w:rsidR="00502AAC" w:rsidRPr="004C5551" w:rsidRDefault="00502AAC" w:rsidP="00502AAC">
            <w:pPr>
              <w:rPr>
                <w:color w:val="333300"/>
              </w:rPr>
            </w:pPr>
            <w:r w:rsidRPr="004C5551">
              <w:rPr>
                <w:color w:val="333300"/>
                <w:szCs w:val="22"/>
              </w:rPr>
              <w:t>S Ostatné činnosti</w:t>
            </w:r>
          </w:p>
        </w:tc>
        <w:tc>
          <w:tcPr>
            <w:tcW w:w="2030" w:type="dxa"/>
            <w:shd w:val="clear" w:color="000000" w:fill="FFFFFF"/>
            <w:noWrap/>
            <w:vAlign w:val="center"/>
          </w:tcPr>
          <w:p w:rsidR="00502AAC" w:rsidRPr="004C5551" w:rsidRDefault="00502AAC" w:rsidP="00502AAC">
            <w:pPr>
              <w:jc w:val="center"/>
              <w:rPr>
                <w:szCs w:val="20"/>
              </w:rPr>
            </w:pPr>
            <w:r w:rsidRPr="004C5551">
              <w:rPr>
                <w:szCs w:val="20"/>
              </w:rPr>
              <w:t>4,42</w:t>
            </w:r>
          </w:p>
        </w:tc>
      </w:tr>
    </w:tbl>
    <w:p w:rsidR="00502AAC" w:rsidRPr="004C5551" w:rsidRDefault="00502AAC" w:rsidP="00423669">
      <w:pPr>
        <w:pStyle w:val="zdroj"/>
      </w:pPr>
      <w:r w:rsidRPr="004C5551">
        <w:t xml:space="preserve">Zdroj: </w:t>
      </w:r>
      <w:proofErr w:type="spellStart"/>
      <w:r w:rsidRPr="004C5551">
        <w:t>Trexima</w:t>
      </w:r>
      <w:proofErr w:type="spellEnd"/>
      <w:r w:rsidRPr="004C5551">
        <w:t>, Informačný systém o priemerných zárobkoch IV. štvrťrok 2014</w:t>
      </w:r>
    </w:p>
    <w:p w:rsidR="00502AAC" w:rsidRPr="004C5551" w:rsidRDefault="00502AAC" w:rsidP="00502AAC">
      <w:pPr>
        <w:pStyle w:val="zdroj"/>
        <w:ind w:firstLine="142"/>
      </w:pPr>
    </w:p>
    <w:p w:rsidR="00641072" w:rsidRPr="004C5551" w:rsidRDefault="00641072" w:rsidP="00641072">
      <w:pPr>
        <w:pStyle w:val="zdroj"/>
        <w:ind w:firstLine="142"/>
      </w:pPr>
    </w:p>
    <w:p w:rsidR="00641072" w:rsidRPr="004C5551" w:rsidRDefault="00641072" w:rsidP="00641072">
      <w:pPr>
        <w:pStyle w:val="zdroj"/>
        <w:ind w:firstLine="142"/>
      </w:pPr>
    </w:p>
    <w:p w:rsidR="00641072" w:rsidRPr="004C5551" w:rsidRDefault="00641072" w:rsidP="00641072">
      <w:pPr>
        <w:pStyle w:val="zdroj"/>
        <w:ind w:firstLine="142"/>
      </w:pPr>
    </w:p>
    <w:p w:rsidR="00641072" w:rsidRPr="004C5551" w:rsidRDefault="00641072" w:rsidP="006A153B">
      <w:pPr>
        <w:pStyle w:val="Nadpis7"/>
      </w:pPr>
      <w:r w:rsidRPr="004C5551">
        <w:t>Tabuľka 1</w:t>
      </w:r>
      <w:r w:rsidR="00AD623F" w:rsidRPr="004C5551">
        <w:t>4</w:t>
      </w:r>
      <w:r w:rsidRPr="004C5551">
        <w:t xml:space="preserve"> Priemerný hodinový zárobok podľa veľkosti organizácie</w:t>
      </w:r>
      <w:r w:rsidRPr="004C5551">
        <w:br/>
        <w:t xml:space="preserve"> v podnika</w:t>
      </w:r>
      <w:r w:rsidR="00F67762" w:rsidRPr="004C5551">
        <w:t>teľskej sfére – 4. štvrťrok 2014</w:t>
      </w:r>
    </w:p>
    <w:tbl>
      <w:tblPr>
        <w:tblW w:w="7663" w:type="dxa"/>
        <w:tblInd w:w="1063" w:type="dxa"/>
        <w:tblCellMar>
          <w:left w:w="70" w:type="dxa"/>
          <w:right w:w="70" w:type="dxa"/>
        </w:tblCellMar>
        <w:tblLook w:val="04A0" w:firstRow="1" w:lastRow="0" w:firstColumn="1" w:lastColumn="0" w:noHBand="0" w:noVBand="1"/>
      </w:tblPr>
      <w:tblGrid>
        <w:gridCol w:w="7663"/>
      </w:tblGrid>
      <w:tr w:rsidR="00F67762" w:rsidRPr="004C5551" w:rsidTr="00DA79C0">
        <w:trPr>
          <w:trHeight w:val="300"/>
        </w:trPr>
        <w:tc>
          <w:tcPr>
            <w:tcW w:w="7663" w:type="dxa"/>
            <w:tcBorders>
              <w:top w:val="nil"/>
              <w:left w:val="nil"/>
              <w:bottom w:val="nil"/>
              <w:right w:val="nil"/>
            </w:tcBorders>
            <w:noWrap/>
            <w:vAlign w:val="bottom"/>
          </w:tcPr>
          <w:tbl>
            <w:tblPr>
              <w:tblW w:w="6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83"/>
              <w:gridCol w:w="2941"/>
            </w:tblGrid>
            <w:tr w:rsidR="00F67762" w:rsidRPr="004C5551" w:rsidTr="00E537F0">
              <w:trPr>
                <w:trHeight w:val="620"/>
                <w:jc w:val="center"/>
              </w:trPr>
              <w:tc>
                <w:tcPr>
                  <w:tcW w:w="378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F67762" w:rsidRPr="004C5551" w:rsidRDefault="00F67762" w:rsidP="00DA79C0">
                  <w:pPr>
                    <w:jc w:val="center"/>
                    <w:rPr>
                      <w:b/>
                      <w:bCs/>
                      <w:color w:val="000000"/>
                    </w:rPr>
                  </w:pPr>
                  <w:r w:rsidRPr="004C5551">
                    <w:rPr>
                      <w:b/>
                      <w:bCs/>
                      <w:color w:val="000000"/>
                      <w:szCs w:val="22"/>
                    </w:rPr>
                    <w:t>Veľkostná kategória</w:t>
                  </w:r>
                  <w:r w:rsidRPr="004C5551">
                    <w:rPr>
                      <w:b/>
                      <w:bCs/>
                      <w:color w:val="000000"/>
                      <w:szCs w:val="22"/>
                    </w:rPr>
                    <w:br/>
                    <w:t>(počet zamestnancov)</w:t>
                  </w:r>
                </w:p>
              </w:tc>
              <w:tc>
                <w:tcPr>
                  <w:tcW w:w="2941"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F67762" w:rsidRPr="004C5551" w:rsidRDefault="00AA0137" w:rsidP="00DA79C0">
                  <w:pPr>
                    <w:jc w:val="center"/>
                    <w:rPr>
                      <w:b/>
                      <w:color w:val="000000"/>
                    </w:rPr>
                  </w:pPr>
                  <w:r w:rsidRPr="004C5551">
                    <w:rPr>
                      <w:b/>
                      <w:color w:val="000000"/>
                      <w:szCs w:val="22"/>
                    </w:rPr>
                    <w:t>€</w:t>
                  </w:r>
                  <w:r w:rsidR="00F67762" w:rsidRPr="004C5551">
                    <w:rPr>
                      <w:b/>
                      <w:color w:val="000000"/>
                      <w:szCs w:val="22"/>
                    </w:rPr>
                    <w:t>/hod</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1 – 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5,15</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10 – 19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5,20</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20 – 49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5,21</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50 – 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5,60</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100 – 249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5,83</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250 – 499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5,84</w:t>
                  </w:r>
                </w:p>
              </w:tc>
            </w:tr>
            <w:tr w:rsidR="00F67762" w:rsidRPr="004C5551" w:rsidTr="00DA79C0">
              <w:trPr>
                <w:trHeight w:val="300"/>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500 – 999</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5,97</w:t>
                  </w:r>
                </w:p>
              </w:tc>
            </w:tr>
            <w:tr w:rsidR="00F67762" w:rsidRPr="004C5551" w:rsidTr="00DA79C0">
              <w:trPr>
                <w:trHeight w:val="315"/>
                <w:jc w:val="center"/>
              </w:trPr>
              <w:tc>
                <w:tcPr>
                  <w:tcW w:w="378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color w:val="000000"/>
                    </w:rPr>
                  </w:pPr>
                  <w:r w:rsidRPr="004C5551">
                    <w:rPr>
                      <w:color w:val="000000"/>
                      <w:szCs w:val="22"/>
                    </w:rPr>
                    <w:t>1 000 a viac</w:t>
                  </w:r>
                </w:p>
              </w:tc>
              <w:tc>
                <w:tcPr>
                  <w:tcW w:w="2941"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F67762" w:rsidRPr="004C5551" w:rsidRDefault="00F67762" w:rsidP="00DA79C0">
                  <w:pPr>
                    <w:jc w:val="center"/>
                    <w:rPr>
                      <w:sz w:val="20"/>
                      <w:szCs w:val="20"/>
                    </w:rPr>
                  </w:pPr>
                  <w:r w:rsidRPr="004C5551">
                    <w:rPr>
                      <w:sz w:val="20"/>
                      <w:szCs w:val="20"/>
                    </w:rPr>
                    <w:t>6,41</w:t>
                  </w:r>
                </w:p>
              </w:tc>
            </w:tr>
          </w:tbl>
          <w:p w:rsidR="00F67762" w:rsidRPr="004C5551" w:rsidRDefault="00F67762" w:rsidP="00DA79C0">
            <w:pPr>
              <w:rPr>
                <w:i/>
                <w:iCs/>
                <w:color w:val="000000"/>
              </w:rPr>
            </w:pPr>
          </w:p>
        </w:tc>
      </w:tr>
    </w:tbl>
    <w:p w:rsidR="00F67762" w:rsidRPr="004C5551" w:rsidRDefault="00F67762" w:rsidP="00F67762">
      <w:pPr>
        <w:pStyle w:val="zdroj"/>
        <w:ind w:firstLine="1418"/>
      </w:pPr>
      <w:r w:rsidRPr="004C5551">
        <w:t xml:space="preserve">Zdroj: </w:t>
      </w:r>
      <w:proofErr w:type="spellStart"/>
      <w:r w:rsidRPr="004C5551">
        <w:t>Trexima</w:t>
      </w:r>
      <w:proofErr w:type="spellEnd"/>
      <w:r w:rsidRPr="004C5551">
        <w:t>, Informačný systém o priemerných zárobkoch IV. štvrťrok 2014</w:t>
      </w:r>
    </w:p>
    <w:p w:rsidR="00F67762" w:rsidRPr="004C5551" w:rsidRDefault="00F67762" w:rsidP="00F67762">
      <w:pPr>
        <w:jc w:val="center"/>
        <w:rPr>
          <w:rFonts w:ascii="Switzerland" w:hAnsi="Switzerland"/>
          <w:b/>
          <w:bCs/>
          <w:color w:val="333300"/>
          <w:szCs w:val="22"/>
        </w:rPr>
      </w:pPr>
    </w:p>
    <w:p w:rsidR="00641072" w:rsidRPr="004C5551" w:rsidRDefault="00641072" w:rsidP="00641072">
      <w:pPr>
        <w:jc w:val="center"/>
        <w:rPr>
          <w:rFonts w:ascii="Switzerland" w:hAnsi="Switzerland"/>
          <w:b/>
          <w:bCs/>
          <w:color w:val="333300"/>
          <w:szCs w:val="22"/>
        </w:rPr>
      </w:pPr>
    </w:p>
    <w:p w:rsidR="00641072" w:rsidRPr="004C5551" w:rsidRDefault="00641072" w:rsidP="00641072">
      <w:pPr>
        <w:pStyle w:val="Nadpis7"/>
        <w:rPr>
          <w:b w:val="0"/>
          <w:i/>
        </w:rPr>
      </w:pPr>
      <w:r w:rsidRPr="004C5551">
        <w:t>Tabuľka 1</w:t>
      </w:r>
      <w:r w:rsidR="00AD623F" w:rsidRPr="004C5551">
        <w:t>5</w:t>
      </w:r>
      <w:r w:rsidRPr="004C5551">
        <w:t xml:space="preserve"> Priemerný hodinový zárobok podľa veku v podnikateľskej sfére </w:t>
      </w:r>
      <w:r w:rsidR="00E52DFA" w:rsidRPr="004C5551">
        <w:rPr>
          <w:color w:val="000000" w:themeColor="text1"/>
        </w:rPr>
        <w:t>–</w:t>
      </w:r>
      <w:r w:rsidRPr="004C5551">
        <w:br/>
      </w:r>
      <w:r w:rsidR="00E537F0" w:rsidRPr="004C5551">
        <w:t xml:space="preserve"> 4. štvrťrok 2014</w:t>
      </w:r>
    </w:p>
    <w:tbl>
      <w:tblPr>
        <w:tblW w:w="5742" w:type="dxa"/>
        <w:jc w:val="center"/>
        <w:tblInd w:w="2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41"/>
        <w:gridCol w:w="2501"/>
      </w:tblGrid>
      <w:tr w:rsidR="00641072" w:rsidRPr="004C5551" w:rsidTr="00E537F0">
        <w:trPr>
          <w:trHeight w:val="304"/>
          <w:jc w:val="center"/>
        </w:trPr>
        <w:tc>
          <w:tcPr>
            <w:tcW w:w="3241" w:type="dxa"/>
            <w:vMerge w:val="restart"/>
            <w:shd w:val="clear" w:color="auto" w:fill="FF9999" w:themeFill="accent3" w:themeFillTint="66"/>
            <w:noWrap/>
            <w:vAlign w:val="center"/>
          </w:tcPr>
          <w:p w:rsidR="00641072" w:rsidRPr="004C5551" w:rsidRDefault="00641072" w:rsidP="00641072">
            <w:pPr>
              <w:jc w:val="center"/>
              <w:rPr>
                <w:b/>
                <w:bCs/>
                <w:color w:val="333300"/>
              </w:rPr>
            </w:pPr>
            <w:r w:rsidRPr="004C5551">
              <w:rPr>
                <w:b/>
                <w:bCs/>
                <w:color w:val="333300"/>
                <w:szCs w:val="22"/>
              </w:rPr>
              <w:t>Veková skupina</w:t>
            </w:r>
          </w:p>
        </w:tc>
        <w:tc>
          <w:tcPr>
            <w:tcW w:w="2501" w:type="dxa"/>
            <w:vMerge w:val="restart"/>
            <w:shd w:val="clear" w:color="auto" w:fill="FF9999" w:themeFill="accent3" w:themeFillTint="66"/>
            <w:noWrap/>
            <w:vAlign w:val="center"/>
          </w:tcPr>
          <w:p w:rsidR="00641072" w:rsidRPr="004C5551" w:rsidRDefault="00641072" w:rsidP="00E7192E">
            <w:pPr>
              <w:jc w:val="center"/>
              <w:rPr>
                <w:color w:val="333300"/>
              </w:rPr>
            </w:pPr>
            <w:r w:rsidRPr="004C5551">
              <w:rPr>
                <w:b/>
                <w:color w:val="333300"/>
                <w:szCs w:val="22"/>
              </w:rPr>
              <w:t>(</w:t>
            </w:r>
            <w:r w:rsidR="00AA0137" w:rsidRPr="004C5551">
              <w:rPr>
                <w:b/>
                <w:color w:val="333300"/>
                <w:szCs w:val="22"/>
              </w:rPr>
              <w:t>€</w:t>
            </w:r>
            <w:r w:rsidRPr="004C5551">
              <w:rPr>
                <w:b/>
                <w:color w:val="333300"/>
                <w:szCs w:val="22"/>
              </w:rPr>
              <w:t>/hod)</w:t>
            </w:r>
          </w:p>
        </w:tc>
      </w:tr>
      <w:tr w:rsidR="00641072" w:rsidRPr="004C5551" w:rsidTr="00E537F0">
        <w:trPr>
          <w:trHeight w:val="319"/>
          <w:jc w:val="center"/>
        </w:trPr>
        <w:tc>
          <w:tcPr>
            <w:tcW w:w="3241" w:type="dxa"/>
            <w:vMerge/>
            <w:shd w:val="clear" w:color="auto" w:fill="FF9999" w:themeFill="accent3" w:themeFillTint="66"/>
            <w:vAlign w:val="center"/>
          </w:tcPr>
          <w:p w:rsidR="00641072" w:rsidRPr="004C5551" w:rsidRDefault="00641072" w:rsidP="00641072">
            <w:pPr>
              <w:jc w:val="center"/>
              <w:rPr>
                <w:b/>
                <w:bCs/>
                <w:color w:val="333300"/>
              </w:rPr>
            </w:pPr>
          </w:p>
        </w:tc>
        <w:tc>
          <w:tcPr>
            <w:tcW w:w="2501" w:type="dxa"/>
            <w:vMerge/>
            <w:shd w:val="clear" w:color="auto" w:fill="FF9999" w:themeFill="accent3" w:themeFillTint="66"/>
            <w:vAlign w:val="center"/>
          </w:tcPr>
          <w:p w:rsidR="00641072" w:rsidRPr="004C5551" w:rsidRDefault="00641072" w:rsidP="00641072">
            <w:pPr>
              <w:jc w:val="center"/>
              <w:rPr>
                <w:color w:val="333300"/>
              </w:rPr>
            </w:pP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do 19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3,24</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20 </w:t>
            </w:r>
            <w:r w:rsidRPr="004C5551">
              <w:rPr>
                <w:color w:val="000000" w:themeColor="text1"/>
              </w:rPr>
              <w:t>–</w:t>
            </w:r>
            <w:r w:rsidRPr="004C5551">
              <w:rPr>
                <w:color w:val="333300"/>
                <w:szCs w:val="22"/>
              </w:rPr>
              <w:t xml:space="preserve"> 24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3,89</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25 </w:t>
            </w:r>
            <w:r w:rsidRPr="004C5551">
              <w:rPr>
                <w:color w:val="000000" w:themeColor="text1"/>
              </w:rPr>
              <w:t>–</w:t>
            </w:r>
            <w:r w:rsidRPr="004C5551">
              <w:rPr>
                <w:color w:val="333300"/>
                <w:szCs w:val="22"/>
              </w:rPr>
              <w:t xml:space="preserve"> 29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5,13</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30 </w:t>
            </w:r>
            <w:r w:rsidRPr="004C5551">
              <w:rPr>
                <w:color w:val="000000" w:themeColor="text1"/>
              </w:rPr>
              <w:t>–</w:t>
            </w:r>
            <w:r w:rsidRPr="004C5551">
              <w:rPr>
                <w:color w:val="333300"/>
                <w:szCs w:val="22"/>
              </w:rPr>
              <w:t xml:space="preserve"> 34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6,20</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35 </w:t>
            </w:r>
            <w:r w:rsidRPr="004C5551">
              <w:rPr>
                <w:color w:val="000000" w:themeColor="text1"/>
              </w:rPr>
              <w:t>–</w:t>
            </w:r>
            <w:r w:rsidRPr="004C5551">
              <w:rPr>
                <w:color w:val="333300"/>
                <w:szCs w:val="22"/>
              </w:rPr>
              <w:t xml:space="preserve"> 39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6,50</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40 </w:t>
            </w:r>
            <w:r w:rsidRPr="004C5551">
              <w:rPr>
                <w:color w:val="000000" w:themeColor="text1"/>
              </w:rPr>
              <w:t>–</w:t>
            </w:r>
            <w:r w:rsidRPr="004C5551">
              <w:rPr>
                <w:color w:val="333300"/>
                <w:szCs w:val="22"/>
              </w:rPr>
              <w:t xml:space="preserve"> 44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6,25</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45 </w:t>
            </w:r>
            <w:r w:rsidRPr="004C5551">
              <w:rPr>
                <w:color w:val="000000" w:themeColor="text1"/>
              </w:rPr>
              <w:t>–</w:t>
            </w:r>
            <w:r w:rsidRPr="004C5551">
              <w:rPr>
                <w:color w:val="333300"/>
                <w:szCs w:val="22"/>
              </w:rPr>
              <w:t xml:space="preserve"> 49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5,84</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50 </w:t>
            </w:r>
            <w:r w:rsidRPr="004C5551">
              <w:rPr>
                <w:color w:val="000000" w:themeColor="text1"/>
              </w:rPr>
              <w:t>–</w:t>
            </w:r>
            <w:r w:rsidRPr="004C5551">
              <w:rPr>
                <w:color w:val="333300"/>
                <w:szCs w:val="22"/>
              </w:rPr>
              <w:t xml:space="preserve"> 54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5,65</w:t>
            </w:r>
          </w:p>
        </w:tc>
      </w:tr>
      <w:tr w:rsidR="00F67762" w:rsidRPr="004C5551" w:rsidTr="00DA79C0">
        <w:trPr>
          <w:trHeight w:val="304"/>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 xml:space="preserve">55 </w:t>
            </w:r>
            <w:r w:rsidRPr="004C5551">
              <w:rPr>
                <w:color w:val="000000" w:themeColor="text1"/>
              </w:rPr>
              <w:t>–</w:t>
            </w:r>
            <w:r w:rsidRPr="004C5551">
              <w:rPr>
                <w:color w:val="333300"/>
                <w:szCs w:val="22"/>
              </w:rPr>
              <w:t xml:space="preserve"> 59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5,56</w:t>
            </w:r>
          </w:p>
        </w:tc>
      </w:tr>
      <w:tr w:rsidR="00F67762" w:rsidRPr="004C5551" w:rsidTr="00DA79C0">
        <w:trPr>
          <w:trHeight w:val="319"/>
          <w:jc w:val="center"/>
        </w:trPr>
        <w:tc>
          <w:tcPr>
            <w:tcW w:w="3241" w:type="dxa"/>
            <w:shd w:val="clear" w:color="000000" w:fill="FFFFFF"/>
            <w:noWrap/>
            <w:vAlign w:val="center"/>
          </w:tcPr>
          <w:p w:rsidR="00F67762" w:rsidRPr="004C5551" w:rsidRDefault="00F67762" w:rsidP="00DA79C0">
            <w:pPr>
              <w:jc w:val="center"/>
              <w:rPr>
                <w:color w:val="333300"/>
              </w:rPr>
            </w:pPr>
            <w:r w:rsidRPr="004C5551">
              <w:rPr>
                <w:color w:val="333300"/>
                <w:szCs w:val="22"/>
              </w:rPr>
              <w:t>60 a viac rokov</w:t>
            </w:r>
          </w:p>
        </w:tc>
        <w:tc>
          <w:tcPr>
            <w:tcW w:w="2501" w:type="dxa"/>
            <w:shd w:val="clear" w:color="000000" w:fill="FFFFFF"/>
            <w:noWrap/>
            <w:vAlign w:val="center"/>
          </w:tcPr>
          <w:p w:rsidR="00F67762" w:rsidRPr="004C5551" w:rsidRDefault="00F67762" w:rsidP="00DA79C0">
            <w:pPr>
              <w:jc w:val="center"/>
              <w:rPr>
                <w:sz w:val="20"/>
                <w:szCs w:val="20"/>
              </w:rPr>
            </w:pPr>
            <w:r w:rsidRPr="004C5551">
              <w:rPr>
                <w:sz w:val="20"/>
                <w:szCs w:val="20"/>
              </w:rPr>
              <w:t>6,02</w:t>
            </w:r>
          </w:p>
        </w:tc>
      </w:tr>
    </w:tbl>
    <w:p w:rsidR="00F67762" w:rsidRPr="004C5551" w:rsidRDefault="00D5149D" w:rsidP="00F67762">
      <w:pPr>
        <w:pStyle w:val="zdroj"/>
        <w:ind w:left="709" w:firstLine="709"/>
      </w:pPr>
      <w:r w:rsidRPr="004C5551">
        <w:t xml:space="preserve"> </w:t>
      </w:r>
      <w:r w:rsidR="00F67762" w:rsidRPr="004C5551">
        <w:t xml:space="preserve">Zdroj: </w:t>
      </w:r>
      <w:proofErr w:type="spellStart"/>
      <w:r w:rsidR="00F67762" w:rsidRPr="004C5551">
        <w:t>Trexima</w:t>
      </w:r>
      <w:proofErr w:type="spellEnd"/>
      <w:r w:rsidR="00F67762" w:rsidRPr="004C5551">
        <w:t>, Informačný systém o priemerných zárobkoch IV. štvrťrok 2014</w:t>
      </w:r>
    </w:p>
    <w:p w:rsidR="00F67762" w:rsidRPr="004C5551" w:rsidRDefault="00F67762" w:rsidP="00F67762">
      <w:pPr>
        <w:spacing w:before="120"/>
        <w:ind w:firstLine="1560"/>
        <w:rPr>
          <w:i/>
          <w:iCs/>
          <w:color w:val="333300"/>
          <w:sz w:val="16"/>
          <w:szCs w:val="16"/>
        </w:rPr>
      </w:pPr>
    </w:p>
    <w:p w:rsidR="00641072" w:rsidRPr="004C5551" w:rsidRDefault="00641072" w:rsidP="00641072">
      <w:pPr>
        <w:spacing w:before="120"/>
        <w:ind w:firstLine="1560"/>
        <w:rPr>
          <w:i/>
          <w:iCs/>
          <w:color w:val="333300"/>
          <w:sz w:val="16"/>
          <w:szCs w:val="16"/>
        </w:rPr>
      </w:pPr>
    </w:p>
    <w:p w:rsidR="00641072" w:rsidRPr="004C5551" w:rsidRDefault="00641072" w:rsidP="00641072">
      <w:pPr>
        <w:pStyle w:val="Nadpis7"/>
        <w:rPr>
          <w:b w:val="0"/>
          <w:i/>
        </w:rPr>
      </w:pPr>
      <w:r w:rsidRPr="004C5551">
        <w:t>Tabuľka 1</w:t>
      </w:r>
      <w:r w:rsidR="00AD623F" w:rsidRPr="004C5551">
        <w:t>6</w:t>
      </w:r>
      <w:r w:rsidRPr="004C5551">
        <w:t xml:space="preserve"> Priemerný hodinový zárobok podľa rodového členenia v podnikateľskej sfére – </w:t>
      </w:r>
      <w:r w:rsidRPr="004C5551">
        <w:br/>
        <w:t>4. štvrťrok 201</w:t>
      </w:r>
      <w:r w:rsidR="00F67762" w:rsidRPr="004C5551">
        <w:t>4</w:t>
      </w:r>
    </w:p>
    <w:p w:rsidR="00641072" w:rsidRPr="004C5551" w:rsidRDefault="00641072" w:rsidP="00641072"/>
    <w:tbl>
      <w:tblPr>
        <w:tblW w:w="7938" w:type="dxa"/>
        <w:jc w:val="center"/>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888"/>
        <w:gridCol w:w="1368"/>
        <w:gridCol w:w="1244"/>
        <w:gridCol w:w="1214"/>
        <w:gridCol w:w="1224"/>
      </w:tblGrid>
      <w:tr w:rsidR="00641072" w:rsidRPr="004C5551" w:rsidTr="00E537F0">
        <w:trPr>
          <w:trHeight w:val="354"/>
          <w:jc w:val="center"/>
        </w:trPr>
        <w:tc>
          <w:tcPr>
            <w:tcW w:w="2888" w:type="dxa"/>
            <w:vMerge w:val="restart"/>
            <w:shd w:val="clear" w:color="auto" w:fill="FF9999" w:themeFill="accent3" w:themeFillTint="66"/>
            <w:noWrap/>
            <w:vAlign w:val="center"/>
          </w:tcPr>
          <w:p w:rsidR="00641072" w:rsidRPr="004C5551" w:rsidRDefault="00641072" w:rsidP="00641072">
            <w:pPr>
              <w:jc w:val="center"/>
              <w:rPr>
                <w:b/>
                <w:bCs/>
                <w:color w:val="333300"/>
                <w:sz w:val="20"/>
                <w:szCs w:val="20"/>
              </w:rPr>
            </w:pPr>
            <w:r w:rsidRPr="004C5551">
              <w:rPr>
                <w:b/>
                <w:bCs/>
                <w:color w:val="333300"/>
                <w:sz w:val="20"/>
                <w:szCs w:val="20"/>
              </w:rPr>
              <w:t>Ukazovateľ </w:t>
            </w:r>
          </w:p>
        </w:tc>
        <w:tc>
          <w:tcPr>
            <w:tcW w:w="1368" w:type="dxa"/>
            <w:vMerge w:val="restart"/>
            <w:shd w:val="clear" w:color="auto" w:fill="FF9999" w:themeFill="accent3" w:themeFillTint="66"/>
            <w:noWrap/>
            <w:vAlign w:val="center"/>
          </w:tcPr>
          <w:p w:rsidR="00641072" w:rsidRPr="004C5551" w:rsidRDefault="00641072" w:rsidP="00641072">
            <w:pPr>
              <w:jc w:val="center"/>
              <w:rPr>
                <w:b/>
                <w:color w:val="333300"/>
                <w:sz w:val="20"/>
                <w:szCs w:val="20"/>
              </w:rPr>
            </w:pPr>
            <w:r w:rsidRPr="004C5551">
              <w:rPr>
                <w:b/>
                <w:color w:val="333300"/>
                <w:sz w:val="20"/>
                <w:szCs w:val="20"/>
              </w:rPr>
              <w:t>Spolu</w:t>
            </w:r>
          </w:p>
        </w:tc>
        <w:tc>
          <w:tcPr>
            <w:tcW w:w="2458" w:type="dxa"/>
            <w:gridSpan w:val="2"/>
            <w:shd w:val="clear" w:color="auto" w:fill="FF9999" w:themeFill="accent3" w:themeFillTint="66"/>
            <w:noWrap/>
            <w:vAlign w:val="center"/>
          </w:tcPr>
          <w:p w:rsidR="00641072" w:rsidRPr="004C5551" w:rsidRDefault="00641072" w:rsidP="00641072">
            <w:pPr>
              <w:jc w:val="center"/>
              <w:rPr>
                <w:b/>
                <w:color w:val="333300"/>
                <w:sz w:val="20"/>
                <w:szCs w:val="20"/>
              </w:rPr>
            </w:pPr>
            <w:r w:rsidRPr="004C5551">
              <w:rPr>
                <w:b/>
                <w:color w:val="333300"/>
                <w:sz w:val="20"/>
                <w:szCs w:val="20"/>
              </w:rPr>
              <w:t>Pohlavie</w:t>
            </w:r>
          </w:p>
        </w:tc>
        <w:tc>
          <w:tcPr>
            <w:tcW w:w="1224" w:type="dxa"/>
            <w:shd w:val="clear" w:color="auto" w:fill="FF9999" w:themeFill="accent3" w:themeFillTint="66"/>
            <w:noWrap/>
            <w:vAlign w:val="center"/>
          </w:tcPr>
          <w:p w:rsidR="00641072" w:rsidRPr="004C5551" w:rsidRDefault="00641072" w:rsidP="00641072">
            <w:pPr>
              <w:jc w:val="center"/>
              <w:rPr>
                <w:b/>
                <w:color w:val="333300"/>
                <w:sz w:val="20"/>
                <w:szCs w:val="20"/>
              </w:rPr>
            </w:pPr>
            <w:r w:rsidRPr="004C5551">
              <w:rPr>
                <w:b/>
                <w:color w:val="333300"/>
                <w:sz w:val="20"/>
                <w:szCs w:val="20"/>
              </w:rPr>
              <w:t>Podiel (</w:t>
            </w:r>
            <w:r w:rsidR="009425AA" w:rsidRPr="004C5551">
              <w:rPr>
                <w:b/>
                <w:color w:val="333300"/>
                <w:sz w:val="20"/>
                <w:szCs w:val="20"/>
              </w:rPr>
              <w:t> %</w:t>
            </w:r>
            <w:r w:rsidRPr="004C5551">
              <w:rPr>
                <w:b/>
                <w:color w:val="333300"/>
                <w:sz w:val="20"/>
                <w:szCs w:val="20"/>
              </w:rPr>
              <w:t>)</w:t>
            </w:r>
          </w:p>
        </w:tc>
      </w:tr>
      <w:tr w:rsidR="00960E97" w:rsidRPr="004C5551" w:rsidTr="00960E97">
        <w:trPr>
          <w:trHeight w:val="559"/>
          <w:jc w:val="center"/>
        </w:trPr>
        <w:tc>
          <w:tcPr>
            <w:tcW w:w="2888" w:type="dxa"/>
            <w:vMerge/>
            <w:shd w:val="clear" w:color="auto" w:fill="FF9999" w:themeFill="accent3" w:themeFillTint="66"/>
            <w:vAlign w:val="center"/>
          </w:tcPr>
          <w:p w:rsidR="00960E97" w:rsidRPr="004C5551" w:rsidRDefault="00960E97" w:rsidP="00641072">
            <w:pPr>
              <w:rPr>
                <w:b/>
                <w:bCs/>
                <w:color w:val="333300"/>
                <w:sz w:val="20"/>
                <w:szCs w:val="20"/>
              </w:rPr>
            </w:pPr>
          </w:p>
        </w:tc>
        <w:tc>
          <w:tcPr>
            <w:tcW w:w="1368" w:type="dxa"/>
            <w:vMerge/>
            <w:shd w:val="clear" w:color="auto" w:fill="FF9999" w:themeFill="accent3" w:themeFillTint="66"/>
            <w:vAlign w:val="center"/>
          </w:tcPr>
          <w:p w:rsidR="00960E97" w:rsidRPr="004C5551" w:rsidRDefault="00960E97" w:rsidP="00641072">
            <w:pPr>
              <w:rPr>
                <w:b/>
                <w:color w:val="333300"/>
                <w:sz w:val="20"/>
                <w:szCs w:val="20"/>
              </w:rPr>
            </w:pPr>
          </w:p>
        </w:tc>
        <w:tc>
          <w:tcPr>
            <w:tcW w:w="1244" w:type="dxa"/>
            <w:shd w:val="clear" w:color="auto" w:fill="FF9999" w:themeFill="accent3" w:themeFillTint="66"/>
            <w:noWrap/>
            <w:vAlign w:val="center"/>
          </w:tcPr>
          <w:p w:rsidR="00960E97" w:rsidRPr="004C5551" w:rsidRDefault="00960E97" w:rsidP="00641072">
            <w:pPr>
              <w:jc w:val="center"/>
              <w:rPr>
                <w:b/>
                <w:color w:val="333300"/>
                <w:sz w:val="20"/>
                <w:szCs w:val="20"/>
              </w:rPr>
            </w:pPr>
            <w:r w:rsidRPr="004C5551">
              <w:rPr>
                <w:b/>
                <w:color w:val="333300"/>
                <w:sz w:val="20"/>
                <w:szCs w:val="20"/>
              </w:rPr>
              <w:t>Muži</w:t>
            </w:r>
          </w:p>
        </w:tc>
        <w:tc>
          <w:tcPr>
            <w:tcW w:w="1214" w:type="dxa"/>
            <w:shd w:val="clear" w:color="auto" w:fill="FF9999" w:themeFill="accent3" w:themeFillTint="66"/>
            <w:noWrap/>
            <w:vAlign w:val="center"/>
          </w:tcPr>
          <w:p w:rsidR="00960E97" w:rsidRPr="004C5551" w:rsidRDefault="00960E97" w:rsidP="00641072">
            <w:pPr>
              <w:jc w:val="center"/>
              <w:rPr>
                <w:b/>
                <w:color w:val="333300"/>
                <w:sz w:val="20"/>
                <w:szCs w:val="20"/>
              </w:rPr>
            </w:pPr>
            <w:r w:rsidRPr="004C5551">
              <w:rPr>
                <w:b/>
                <w:color w:val="333300"/>
                <w:sz w:val="20"/>
                <w:szCs w:val="20"/>
              </w:rPr>
              <w:t>Ženy</w:t>
            </w:r>
          </w:p>
        </w:tc>
        <w:tc>
          <w:tcPr>
            <w:tcW w:w="1224" w:type="dxa"/>
            <w:shd w:val="clear" w:color="auto" w:fill="FF9999" w:themeFill="accent3" w:themeFillTint="66"/>
            <w:noWrap/>
            <w:vAlign w:val="bottom"/>
          </w:tcPr>
          <w:p w:rsidR="00960E97" w:rsidRPr="004C5551" w:rsidRDefault="00960E97" w:rsidP="00641072">
            <w:pPr>
              <w:jc w:val="center"/>
              <w:rPr>
                <w:b/>
                <w:color w:val="333300"/>
                <w:sz w:val="20"/>
                <w:szCs w:val="20"/>
              </w:rPr>
            </w:pPr>
            <w:r w:rsidRPr="004C5551">
              <w:rPr>
                <w:b/>
                <w:color w:val="333300"/>
                <w:sz w:val="20"/>
                <w:szCs w:val="20"/>
              </w:rPr>
              <w:t>Ženy/</w:t>
            </w:r>
          </w:p>
          <w:p w:rsidR="00960E97" w:rsidRPr="004C5551" w:rsidRDefault="00960E97" w:rsidP="00641072">
            <w:pPr>
              <w:jc w:val="center"/>
              <w:rPr>
                <w:b/>
                <w:color w:val="333300"/>
                <w:sz w:val="20"/>
                <w:szCs w:val="20"/>
              </w:rPr>
            </w:pPr>
            <w:r w:rsidRPr="004C5551">
              <w:rPr>
                <w:b/>
                <w:color w:val="333300"/>
                <w:sz w:val="20"/>
                <w:szCs w:val="20"/>
              </w:rPr>
              <w:t>Muži</w:t>
            </w:r>
          </w:p>
        </w:tc>
      </w:tr>
      <w:tr w:rsidR="00F67762" w:rsidRPr="004C5551" w:rsidTr="00DA79C0">
        <w:trPr>
          <w:trHeight w:val="582"/>
          <w:jc w:val="center"/>
        </w:trPr>
        <w:tc>
          <w:tcPr>
            <w:tcW w:w="2888" w:type="dxa"/>
            <w:noWrap/>
            <w:vAlign w:val="center"/>
          </w:tcPr>
          <w:p w:rsidR="00F67762" w:rsidRPr="004C5551" w:rsidRDefault="00F67762" w:rsidP="00DA79C0">
            <w:pPr>
              <w:jc w:val="center"/>
              <w:rPr>
                <w:color w:val="333300"/>
                <w:sz w:val="20"/>
                <w:szCs w:val="20"/>
              </w:rPr>
            </w:pPr>
            <w:r w:rsidRPr="004C5551">
              <w:rPr>
                <w:color w:val="333300"/>
                <w:sz w:val="20"/>
                <w:szCs w:val="20"/>
              </w:rPr>
              <w:t>Priemerný hodinový zárobok (</w:t>
            </w:r>
            <w:r w:rsidR="00AA0137" w:rsidRPr="004C5551">
              <w:rPr>
                <w:color w:val="333300"/>
                <w:sz w:val="20"/>
                <w:szCs w:val="20"/>
              </w:rPr>
              <w:t>€</w:t>
            </w:r>
            <w:r w:rsidRPr="004C5551">
              <w:rPr>
                <w:color w:val="333300"/>
                <w:sz w:val="20"/>
                <w:szCs w:val="20"/>
              </w:rPr>
              <w:t>/hod)</w:t>
            </w:r>
          </w:p>
        </w:tc>
        <w:tc>
          <w:tcPr>
            <w:tcW w:w="1368" w:type="dxa"/>
            <w:noWrap/>
            <w:vAlign w:val="center"/>
          </w:tcPr>
          <w:p w:rsidR="00F67762" w:rsidRPr="004C5551" w:rsidRDefault="00F67762" w:rsidP="00DA79C0">
            <w:pPr>
              <w:jc w:val="center"/>
              <w:rPr>
                <w:color w:val="333300"/>
                <w:sz w:val="20"/>
                <w:szCs w:val="20"/>
              </w:rPr>
            </w:pPr>
            <w:r w:rsidRPr="004C5551">
              <w:rPr>
                <w:color w:val="333300"/>
                <w:sz w:val="20"/>
                <w:szCs w:val="20"/>
              </w:rPr>
              <w:t>5,76</w:t>
            </w:r>
          </w:p>
        </w:tc>
        <w:tc>
          <w:tcPr>
            <w:tcW w:w="1244" w:type="dxa"/>
            <w:noWrap/>
            <w:vAlign w:val="center"/>
          </w:tcPr>
          <w:p w:rsidR="00F67762" w:rsidRPr="004C5551" w:rsidRDefault="00F67762" w:rsidP="00DA79C0">
            <w:pPr>
              <w:jc w:val="center"/>
              <w:rPr>
                <w:color w:val="333300"/>
                <w:sz w:val="20"/>
                <w:szCs w:val="20"/>
              </w:rPr>
            </w:pPr>
            <w:r w:rsidRPr="004C5551">
              <w:rPr>
                <w:color w:val="333300"/>
                <w:sz w:val="20"/>
                <w:szCs w:val="20"/>
              </w:rPr>
              <w:t>6,29</w:t>
            </w:r>
          </w:p>
        </w:tc>
        <w:tc>
          <w:tcPr>
            <w:tcW w:w="1214" w:type="dxa"/>
            <w:noWrap/>
            <w:vAlign w:val="center"/>
          </w:tcPr>
          <w:p w:rsidR="00F67762" w:rsidRPr="004C5551" w:rsidRDefault="00F67762" w:rsidP="00DA79C0">
            <w:pPr>
              <w:jc w:val="center"/>
              <w:rPr>
                <w:color w:val="333300"/>
                <w:sz w:val="20"/>
                <w:szCs w:val="20"/>
              </w:rPr>
            </w:pPr>
            <w:r w:rsidRPr="004C5551">
              <w:rPr>
                <w:color w:val="333300"/>
                <w:sz w:val="20"/>
                <w:szCs w:val="20"/>
              </w:rPr>
              <w:t>5,02</w:t>
            </w:r>
          </w:p>
        </w:tc>
        <w:tc>
          <w:tcPr>
            <w:tcW w:w="1224" w:type="dxa"/>
            <w:noWrap/>
            <w:vAlign w:val="center"/>
          </w:tcPr>
          <w:p w:rsidR="00F67762" w:rsidRPr="004C5551" w:rsidRDefault="00F67762" w:rsidP="00DA79C0">
            <w:pPr>
              <w:jc w:val="center"/>
              <w:rPr>
                <w:color w:val="333300"/>
                <w:sz w:val="20"/>
                <w:szCs w:val="20"/>
              </w:rPr>
            </w:pPr>
            <w:r w:rsidRPr="004C5551">
              <w:rPr>
                <w:color w:val="333300"/>
                <w:sz w:val="20"/>
                <w:szCs w:val="20"/>
              </w:rPr>
              <w:t>80</w:t>
            </w:r>
          </w:p>
        </w:tc>
      </w:tr>
    </w:tbl>
    <w:p w:rsidR="00F67762" w:rsidRPr="004C5551" w:rsidRDefault="00F67762" w:rsidP="00F67762">
      <w:pPr>
        <w:pStyle w:val="zdroj"/>
      </w:pPr>
      <w:r w:rsidRPr="004C5551">
        <w:t xml:space="preserve">Zdroj: </w:t>
      </w:r>
      <w:proofErr w:type="spellStart"/>
      <w:r w:rsidRPr="004C5551">
        <w:t>Trexima</w:t>
      </w:r>
      <w:proofErr w:type="spellEnd"/>
      <w:r w:rsidRPr="004C5551">
        <w:t>, Informačný systém o priemerných zárobkoch IV. štvrťrok 2014</w:t>
      </w:r>
    </w:p>
    <w:p w:rsidR="00641072" w:rsidRPr="004C5551" w:rsidRDefault="009A02B2" w:rsidP="006A153B">
      <w:pPr>
        <w:pStyle w:val="Nadpis7"/>
      </w:pPr>
      <w:r w:rsidRPr="004C5551">
        <w:br/>
      </w:r>
      <w:r w:rsidR="00641072" w:rsidRPr="004C5551">
        <w:t>Tabuľka 1</w:t>
      </w:r>
      <w:r w:rsidR="00AD623F" w:rsidRPr="004C5551">
        <w:t>7</w:t>
      </w:r>
      <w:r w:rsidR="00641072" w:rsidRPr="004C5551">
        <w:t xml:space="preserve"> Mesačné náklady práce na zamestnanca v SR za rok 201</w:t>
      </w:r>
      <w:r w:rsidR="00F67762" w:rsidRPr="004C5551">
        <w:t>3</w:t>
      </w:r>
      <w:r w:rsidR="00641072" w:rsidRPr="004C5551">
        <w:t xml:space="preserve"> podľa odvetví </w:t>
      </w:r>
    </w:p>
    <w:p w:rsidR="00641072" w:rsidRPr="004C5551" w:rsidRDefault="00641072" w:rsidP="00641072">
      <w:pPr>
        <w:tabs>
          <w:tab w:val="left" w:pos="1530"/>
        </w:tabs>
        <w:ind w:right="-567"/>
        <w:jc w:val="right"/>
        <w:rPr>
          <w:iCs/>
          <w:szCs w:val="22"/>
        </w:rPr>
      </w:pPr>
      <w:r w:rsidRPr="004C5551">
        <w:rPr>
          <w:iCs/>
          <w:sz w:val="20"/>
          <w:szCs w:val="20"/>
        </w:rPr>
        <w:t xml:space="preserve">v </w:t>
      </w:r>
      <w:r w:rsidR="00AA0137" w:rsidRPr="004C5551">
        <w:rPr>
          <w:iCs/>
          <w:sz w:val="20"/>
          <w:szCs w:val="20"/>
        </w:rPr>
        <w:t>€</w:t>
      </w:r>
      <w:r w:rsidRPr="004C5551">
        <w:rPr>
          <w:iCs/>
          <w:sz w:val="20"/>
          <w:szCs w:val="20"/>
        </w:rPr>
        <w:t>/</w:t>
      </w:r>
      <w:proofErr w:type="spellStart"/>
      <w:r w:rsidRPr="004C5551">
        <w:rPr>
          <w:iCs/>
          <w:sz w:val="20"/>
          <w:szCs w:val="20"/>
        </w:rPr>
        <w:t>zam</w:t>
      </w:r>
      <w:proofErr w:type="spellEnd"/>
      <w:r w:rsidRPr="004C5551">
        <w:rPr>
          <w:iCs/>
          <w:sz w:val="20"/>
          <w:szCs w:val="20"/>
        </w:rPr>
        <w:t>./mes</w:t>
      </w:r>
      <w:r w:rsidRPr="004C5551">
        <w:rPr>
          <w:iCs/>
          <w:szCs w:val="22"/>
        </w:rPr>
        <w:t>.</w:t>
      </w:r>
    </w:p>
    <w:p w:rsidR="00641072" w:rsidRPr="004C5551" w:rsidRDefault="00641072" w:rsidP="00641072">
      <w:pPr>
        <w:jc w:val="center"/>
        <w:rPr>
          <w:b/>
          <w:i/>
          <w:sz w:val="4"/>
          <w:szCs w:val="4"/>
        </w:rPr>
      </w:pPr>
    </w:p>
    <w:tbl>
      <w:tblPr>
        <w:tblW w:w="5456" w:type="pct"/>
        <w:jc w:val="center"/>
        <w:tblInd w:w="-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01"/>
        <w:gridCol w:w="919"/>
        <w:gridCol w:w="939"/>
        <w:gridCol w:w="858"/>
        <w:gridCol w:w="993"/>
        <w:gridCol w:w="991"/>
        <w:gridCol w:w="1275"/>
        <w:gridCol w:w="1275"/>
        <w:gridCol w:w="1001"/>
      </w:tblGrid>
      <w:tr w:rsidR="00641072" w:rsidRPr="004C5551" w:rsidTr="00E537F0">
        <w:trPr>
          <w:trHeight w:val="265"/>
          <w:jc w:val="center"/>
        </w:trPr>
        <w:tc>
          <w:tcPr>
            <w:tcW w:w="896" w:type="pct"/>
            <w:vMerge w:val="restar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Divízie SK NACE Rev.2</w:t>
            </w:r>
          </w:p>
        </w:tc>
        <w:tc>
          <w:tcPr>
            <w:tcW w:w="457" w:type="pct"/>
            <w:vMerge w:val="restar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Celkové náklady práce</w:t>
            </w:r>
          </w:p>
        </w:tc>
        <w:tc>
          <w:tcPr>
            <w:tcW w:w="3647" w:type="pct"/>
            <w:gridSpan w:val="7"/>
            <w:shd w:val="clear" w:color="auto" w:fill="FF9999" w:themeFill="accent3" w:themeFillTint="66"/>
            <w:noWrap/>
            <w:vAlign w:val="center"/>
          </w:tcPr>
          <w:p w:rsidR="00641072" w:rsidRPr="004C5551" w:rsidRDefault="00862A28" w:rsidP="00641072">
            <w:pPr>
              <w:jc w:val="center"/>
              <w:rPr>
                <w:b/>
                <w:sz w:val="18"/>
                <w:szCs w:val="18"/>
              </w:rPr>
            </w:pPr>
            <w:r w:rsidRPr="004C5551">
              <w:rPr>
                <w:b/>
                <w:sz w:val="18"/>
                <w:szCs w:val="18"/>
              </w:rPr>
              <w:t>v tom</w:t>
            </w:r>
          </w:p>
        </w:tc>
      </w:tr>
      <w:tr w:rsidR="00641072" w:rsidRPr="004C5551" w:rsidTr="00E537F0">
        <w:trPr>
          <w:trHeight w:val="265"/>
          <w:jc w:val="center"/>
        </w:trPr>
        <w:tc>
          <w:tcPr>
            <w:tcW w:w="896" w:type="pct"/>
            <w:vMerge/>
            <w:shd w:val="clear" w:color="auto" w:fill="FF9999" w:themeFill="accent3" w:themeFillTint="66"/>
            <w:noWrap/>
            <w:vAlign w:val="center"/>
          </w:tcPr>
          <w:p w:rsidR="00641072" w:rsidRPr="004C5551" w:rsidRDefault="00641072" w:rsidP="00641072">
            <w:pPr>
              <w:jc w:val="center"/>
              <w:rPr>
                <w:b/>
                <w:sz w:val="18"/>
                <w:szCs w:val="18"/>
              </w:rPr>
            </w:pPr>
          </w:p>
        </w:tc>
        <w:tc>
          <w:tcPr>
            <w:tcW w:w="457" w:type="pct"/>
            <w:vMerge/>
            <w:shd w:val="clear" w:color="auto" w:fill="FF9999" w:themeFill="accent3" w:themeFillTint="66"/>
            <w:noWrap/>
            <w:vAlign w:val="center"/>
          </w:tcPr>
          <w:p w:rsidR="00641072" w:rsidRPr="004C5551" w:rsidRDefault="00641072" w:rsidP="00641072">
            <w:pPr>
              <w:jc w:val="center"/>
              <w:rPr>
                <w:b/>
                <w:sz w:val="18"/>
                <w:szCs w:val="18"/>
              </w:rPr>
            </w:pPr>
          </w:p>
        </w:tc>
        <w:tc>
          <w:tcPr>
            <w:tcW w:w="467" w:type="pct"/>
            <w:vMerge w:val="restar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priame náklady spolu</w:t>
            </w:r>
          </w:p>
        </w:tc>
        <w:tc>
          <w:tcPr>
            <w:tcW w:w="921" w:type="pct"/>
            <w:gridSpan w:val="2"/>
            <w:tcBorders>
              <w:bottom w:val="single" w:sz="2" w:space="0" w:color="auto"/>
            </w:tcBorders>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z toho</w:t>
            </w:r>
          </w:p>
        </w:tc>
        <w:tc>
          <w:tcPr>
            <w:tcW w:w="493" w:type="pct"/>
            <w:vMerge w:val="restart"/>
            <w:tcBorders>
              <w:bottom w:val="single" w:sz="2" w:space="0" w:color="auto"/>
            </w:tcBorders>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nepriame náklady spolu</w:t>
            </w:r>
          </w:p>
        </w:tc>
        <w:tc>
          <w:tcPr>
            <w:tcW w:w="1268" w:type="pct"/>
            <w:gridSpan w:val="2"/>
            <w:tcBorders>
              <w:bottom w:val="single" w:sz="2" w:space="0" w:color="auto"/>
            </w:tcBorders>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z toho</w:t>
            </w:r>
          </w:p>
        </w:tc>
        <w:tc>
          <w:tcPr>
            <w:tcW w:w="498" w:type="pct"/>
            <w:vMerge w:val="restar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subvencie</w:t>
            </w:r>
          </w:p>
        </w:tc>
      </w:tr>
      <w:tr w:rsidR="00641072" w:rsidRPr="004C5551" w:rsidTr="00E537F0">
        <w:trPr>
          <w:trHeight w:val="852"/>
          <w:jc w:val="center"/>
        </w:trPr>
        <w:tc>
          <w:tcPr>
            <w:tcW w:w="896" w:type="pct"/>
            <w:vMerge/>
            <w:shd w:val="clear" w:color="auto" w:fill="B8CCE4"/>
            <w:noWrap/>
            <w:vAlign w:val="center"/>
          </w:tcPr>
          <w:p w:rsidR="00641072" w:rsidRPr="004C5551" w:rsidRDefault="00641072" w:rsidP="00641072">
            <w:pPr>
              <w:jc w:val="center"/>
              <w:rPr>
                <w:b/>
                <w:sz w:val="18"/>
                <w:szCs w:val="18"/>
              </w:rPr>
            </w:pPr>
          </w:p>
        </w:tc>
        <w:tc>
          <w:tcPr>
            <w:tcW w:w="457" w:type="pct"/>
            <w:vMerge/>
            <w:shd w:val="clear" w:color="auto" w:fill="B8CCE4"/>
            <w:noWrap/>
            <w:vAlign w:val="center"/>
          </w:tcPr>
          <w:p w:rsidR="00641072" w:rsidRPr="004C5551" w:rsidRDefault="00641072" w:rsidP="00641072">
            <w:pPr>
              <w:jc w:val="center"/>
              <w:rPr>
                <w:b/>
                <w:sz w:val="18"/>
                <w:szCs w:val="18"/>
              </w:rPr>
            </w:pPr>
          </w:p>
        </w:tc>
        <w:tc>
          <w:tcPr>
            <w:tcW w:w="467" w:type="pct"/>
            <w:vMerge/>
            <w:shd w:val="clear" w:color="auto" w:fill="B8CCE4"/>
            <w:noWrap/>
            <w:vAlign w:val="center"/>
          </w:tcPr>
          <w:p w:rsidR="00641072" w:rsidRPr="004C5551" w:rsidRDefault="00641072" w:rsidP="00641072">
            <w:pPr>
              <w:rPr>
                <w:b/>
                <w:sz w:val="18"/>
                <w:szCs w:val="18"/>
              </w:rPr>
            </w:pPr>
          </w:p>
        </w:tc>
        <w:tc>
          <w:tcPr>
            <w:tcW w:w="427" w:type="pc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mzdy</w:t>
            </w:r>
          </w:p>
        </w:tc>
        <w:tc>
          <w:tcPr>
            <w:tcW w:w="494" w:type="pc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náhrady mzdy</w:t>
            </w:r>
          </w:p>
        </w:tc>
        <w:tc>
          <w:tcPr>
            <w:tcW w:w="493" w:type="pct"/>
            <w:vMerge/>
            <w:shd w:val="clear" w:color="auto" w:fill="FF9999" w:themeFill="accent3" w:themeFillTint="66"/>
            <w:noWrap/>
            <w:vAlign w:val="center"/>
          </w:tcPr>
          <w:p w:rsidR="00641072" w:rsidRPr="004C5551" w:rsidRDefault="00641072" w:rsidP="00641072">
            <w:pPr>
              <w:jc w:val="center"/>
              <w:rPr>
                <w:b/>
                <w:sz w:val="18"/>
                <w:szCs w:val="18"/>
              </w:rPr>
            </w:pPr>
          </w:p>
        </w:tc>
        <w:tc>
          <w:tcPr>
            <w:tcW w:w="634" w:type="pc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povinné príspevky na sociálne poistenie</w:t>
            </w:r>
          </w:p>
        </w:tc>
        <w:tc>
          <w:tcPr>
            <w:tcW w:w="634" w:type="pct"/>
            <w:shd w:val="clear" w:color="auto" w:fill="FF9999" w:themeFill="accent3" w:themeFillTint="66"/>
            <w:noWrap/>
            <w:vAlign w:val="center"/>
          </w:tcPr>
          <w:p w:rsidR="00641072" w:rsidRPr="004C5551" w:rsidRDefault="00641072" w:rsidP="00641072">
            <w:pPr>
              <w:jc w:val="center"/>
              <w:rPr>
                <w:b/>
                <w:sz w:val="18"/>
                <w:szCs w:val="18"/>
              </w:rPr>
            </w:pPr>
            <w:r w:rsidRPr="004C5551">
              <w:rPr>
                <w:b/>
                <w:sz w:val="18"/>
                <w:szCs w:val="18"/>
              </w:rPr>
              <w:t>nepovinné príspevky na sociálne poistenie</w:t>
            </w:r>
          </w:p>
        </w:tc>
        <w:tc>
          <w:tcPr>
            <w:tcW w:w="498" w:type="pct"/>
            <w:vMerge/>
            <w:shd w:val="clear" w:color="auto" w:fill="B8CCE4"/>
            <w:noWrap/>
            <w:vAlign w:val="center"/>
          </w:tcPr>
          <w:p w:rsidR="00641072" w:rsidRPr="004C5551" w:rsidRDefault="00641072" w:rsidP="00641072">
            <w:pPr>
              <w:jc w:val="center"/>
              <w:rPr>
                <w:b/>
                <w:sz w:val="18"/>
                <w:szCs w:val="18"/>
              </w:rPr>
            </w:pPr>
          </w:p>
        </w:tc>
      </w:tr>
      <w:tr w:rsidR="00F67762" w:rsidRPr="004C5551" w:rsidTr="00DA79C0">
        <w:trPr>
          <w:trHeight w:val="286"/>
          <w:jc w:val="center"/>
        </w:trPr>
        <w:tc>
          <w:tcPr>
            <w:tcW w:w="896" w:type="pct"/>
            <w:noWrap/>
            <w:vAlign w:val="center"/>
          </w:tcPr>
          <w:p w:rsidR="00F67762" w:rsidRPr="004C5551" w:rsidRDefault="00F67762" w:rsidP="00DA79C0">
            <w:pPr>
              <w:rPr>
                <w:b/>
                <w:bCs/>
                <w:iCs/>
                <w:sz w:val="18"/>
                <w:szCs w:val="18"/>
              </w:rPr>
            </w:pPr>
            <w:r w:rsidRPr="004C5551">
              <w:rPr>
                <w:b/>
                <w:bCs/>
                <w:iCs/>
                <w:sz w:val="18"/>
                <w:szCs w:val="18"/>
              </w:rPr>
              <w:t>Priemer za SR</w:t>
            </w:r>
          </w:p>
        </w:tc>
        <w:tc>
          <w:tcPr>
            <w:tcW w:w="457" w:type="pct"/>
            <w:noWrap/>
            <w:vAlign w:val="center"/>
          </w:tcPr>
          <w:p w:rsidR="00F67762" w:rsidRPr="004C5551" w:rsidRDefault="00F67762" w:rsidP="00DA79C0">
            <w:pPr>
              <w:ind w:right="90"/>
              <w:jc w:val="right"/>
              <w:rPr>
                <w:b/>
                <w:sz w:val="18"/>
                <w:szCs w:val="18"/>
              </w:rPr>
            </w:pPr>
            <w:r w:rsidRPr="004C5551">
              <w:rPr>
                <w:b/>
                <w:sz w:val="18"/>
                <w:szCs w:val="18"/>
              </w:rPr>
              <w:t>1 252</w:t>
            </w:r>
          </w:p>
        </w:tc>
        <w:tc>
          <w:tcPr>
            <w:tcW w:w="467" w:type="pct"/>
            <w:noWrap/>
            <w:vAlign w:val="center"/>
          </w:tcPr>
          <w:p w:rsidR="00F67762" w:rsidRPr="004C5551" w:rsidRDefault="00F67762" w:rsidP="00DA79C0">
            <w:pPr>
              <w:ind w:right="90"/>
              <w:jc w:val="right"/>
              <w:rPr>
                <w:b/>
                <w:sz w:val="18"/>
                <w:szCs w:val="18"/>
              </w:rPr>
            </w:pPr>
            <w:r w:rsidRPr="004C5551">
              <w:rPr>
                <w:b/>
                <w:sz w:val="18"/>
                <w:szCs w:val="18"/>
              </w:rPr>
              <w:t>909</w:t>
            </w:r>
          </w:p>
        </w:tc>
        <w:tc>
          <w:tcPr>
            <w:tcW w:w="427" w:type="pct"/>
            <w:noWrap/>
            <w:vAlign w:val="center"/>
          </w:tcPr>
          <w:p w:rsidR="00F67762" w:rsidRPr="004C5551" w:rsidRDefault="00F67762" w:rsidP="00DA79C0">
            <w:pPr>
              <w:ind w:right="90"/>
              <w:jc w:val="right"/>
              <w:rPr>
                <w:b/>
                <w:sz w:val="18"/>
                <w:szCs w:val="18"/>
              </w:rPr>
            </w:pPr>
            <w:r w:rsidRPr="004C5551">
              <w:rPr>
                <w:b/>
                <w:sz w:val="18"/>
                <w:szCs w:val="18"/>
              </w:rPr>
              <w:t>795</w:t>
            </w:r>
          </w:p>
        </w:tc>
        <w:tc>
          <w:tcPr>
            <w:tcW w:w="494" w:type="pct"/>
            <w:noWrap/>
            <w:vAlign w:val="center"/>
          </w:tcPr>
          <w:p w:rsidR="00F67762" w:rsidRPr="004C5551" w:rsidRDefault="00F67762" w:rsidP="00DA79C0">
            <w:pPr>
              <w:ind w:right="90"/>
              <w:jc w:val="right"/>
              <w:rPr>
                <w:b/>
                <w:sz w:val="18"/>
                <w:szCs w:val="18"/>
              </w:rPr>
            </w:pPr>
            <w:r w:rsidRPr="004C5551">
              <w:rPr>
                <w:b/>
                <w:sz w:val="18"/>
                <w:szCs w:val="18"/>
              </w:rPr>
              <w:t>105</w:t>
            </w:r>
          </w:p>
        </w:tc>
        <w:tc>
          <w:tcPr>
            <w:tcW w:w="493" w:type="pct"/>
            <w:noWrap/>
            <w:vAlign w:val="center"/>
          </w:tcPr>
          <w:p w:rsidR="00F67762" w:rsidRPr="004C5551" w:rsidRDefault="00F67762" w:rsidP="00DA79C0">
            <w:pPr>
              <w:ind w:right="90"/>
              <w:jc w:val="right"/>
              <w:rPr>
                <w:b/>
                <w:sz w:val="18"/>
                <w:szCs w:val="18"/>
              </w:rPr>
            </w:pPr>
            <w:r w:rsidRPr="004C5551">
              <w:rPr>
                <w:b/>
                <w:sz w:val="18"/>
                <w:szCs w:val="18"/>
              </w:rPr>
              <w:t>344</w:t>
            </w:r>
          </w:p>
        </w:tc>
        <w:tc>
          <w:tcPr>
            <w:tcW w:w="634" w:type="pct"/>
            <w:noWrap/>
            <w:vAlign w:val="center"/>
          </w:tcPr>
          <w:p w:rsidR="00F67762" w:rsidRPr="004C5551" w:rsidRDefault="00F67762" w:rsidP="00DA79C0">
            <w:pPr>
              <w:ind w:right="90"/>
              <w:jc w:val="right"/>
              <w:rPr>
                <w:b/>
                <w:sz w:val="18"/>
                <w:szCs w:val="18"/>
              </w:rPr>
            </w:pPr>
            <w:r w:rsidRPr="004C5551">
              <w:rPr>
                <w:b/>
                <w:sz w:val="18"/>
                <w:szCs w:val="18"/>
              </w:rPr>
              <w:t>308</w:t>
            </w:r>
          </w:p>
        </w:tc>
        <w:tc>
          <w:tcPr>
            <w:tcW w:w="634" w:type="pct"/>
            <w:noWrap/>
            <w:vAlign w:val="center"/>
          </w:tcPr>
          <w:p w:rsidR="00F67762" w:rsidRPr="004C5551" w:rsidRDefault="00F67762" w:rsidP="00DA79C0">
            <w:pPr>
              <w:ind w:right="90"/>
              <w:jc w:val="right"/>
              <w:rPr>
                <w:b/>
                <w:sz w:val="18"/>
                <w:szCs w:val="18"/>
              </w:rPr>
            </w:pPr>
            <w:r w:rsidRPr="004C5551">
              <w:rPr>
                <w:b/>
                <w:sz w:val="18"/>
                <w:szCs w:val="18"/>
              </w:rPr>
              <w:t>7</w:t>
            </w:r>
          </w:p>
        </w:tc>
        <w:tc>
          <w:tcPr>
            <w:tcW w:w="498" w:type="pct"/>
            <w:noWrap/>
            <w:vAlign w:val="center"/>
          </w:tcPr>
          <w:p w:rsidR="00F67762" w:rsidRPr="004C5551" w:rsidRDefault="00F67762" w:rsidP="00DA79C0">
            <w:pPr>
              <w:ind w:right="90"/>
              <w:jc w:val="right"/>
              <w:rPr>
                <w:b/>
                <w:bCs/>
                <w:iCs/>
                <w:sz w:val="18"/>
                <w:szCs w:val="18"/>
              </w:rPr>
            </w:pPr>
            <w:r w:rsidRPr="004C5551">
              <w:rPr>
                <w:b/>
                <w:bCs/>
                <w:iCs/>
                <w:sz w:val="18"/>
                <w:szCs w:val="18"/>
              </w:rPr>
              <w:t>-1</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A Poľnohospodárstvo, lesníctvo, rybolov</w:t>
            </w:r>
          </w:p>
        </w:tc>
        <w:tc>
          <w:tcPr>
            <w:tcW w:w="457" w:type="pct"/>
            <w:noWrap/>
            <w:vAlign w:val="center"/>
          </w:tcPr>
          <w:p w:rsidR="00F67762" w:rsidRPr="004C5551" w:rsidRDefault="00F67762" w:rsidP="00DA79C0">
            <w:pPr>
              <w:ind w:right="90"/>
              <w:jc w:val="right"/>
              <w:rPr>
                <w:sz w:val="18"/>
                <w:szCs w:val="18"/>
              </w:rPr>
            </w:pPr>
            <w:r w:rsidRPr="004C5551">
              <w:rPr>
                <w:sz w:val="18"/>
                <w:szCs w:val="18"/>
              </w:rPr>
              <w:t>1 046</w:t>
            </w:r>
          </w:p>
        </w:tc>
        <w:tc>
          <w:tcPr>
            <w:tcW w:w="467" w:type="pct"/>
            <w:noWrap/>
            <w:vAlign w:val="center"/>
          </w:tcPr>
          <w:p w:rsidR="00F67762" w:rsidRPr="004C5551" w:rsidRDefault="00F67762" w:rsidP="00DA79C0">
            <w:pPr>
              <w:ind w:right="90"/>
              <w:jc w:val="right"/>
              <w:rPr>
                <w:sz w:val="18"/>
                <w:szCs w:val="18"/>
              </w:rPr>
            </w:pPr>
            <w:r w:rsidRPr="004C5551">
              <w:rPr>
                <w:sz w:val="18"/>
                <w:szCs w:val="18"/>
              </w:rPr>
              <w:t>755</w:t>
            </w:r>
          </w:p>
        </w:tc>
        <w:tc>
          <w:tcPr>
            <w:tcW w:w="427" w:type="pct"/>
            <w:noWrap/>
            <w:vAlign w:val="center"/>
          </w:tcPr>
          <w:p w:rsidR="00F67762" w:rsidRPr="004C5551" w:rsidRDefault="00F67762" w:rsidP="00DA79C0">
            <w:pPr>
              <w:ind w:right="90"/>
              <w:jc w:val="right"/>
              <w:rPr>
                <w:sz w:val="18"/>
                <w:szCs w:val="18"/>
              </w:rPr>
            </w:pPr>
            <w:r w:rsidRPr="004C5551">
              <w:rPr>
                <w:sz w:val="18"/>
                <w:szCs w:val="18"/>
              </w:rPr>
              <w:t>661</w:t>
            </w:r>
          </w:p>
        </w:tc>
        <w:tc>
          <w:tcPr>
            <w:tcW w:w="494" w:type="pct"/>
            <w:noWrap/>
            <w:vAlign w:val="center"/>
          </w:tcPr>
          <w:p w:rsidR="00F67762" w:rsidRPr="004C5551" w:rsidRDefault="00F67762" w:rsidP="00DA79C0">
            <w:pPr>
              <w:ind w:right="90"/>
              <w:jc w:val="right"/>
              <w:rPr>
                <w:sz w:val="18"/>
                <w:szCs w:val="18"/>
              </w:rPr>
            </w:pPr>
            <w:r w:rsidRPr="004C5551">
              <w:rPr>
                <w:sz w:val="18"/>
                <w:szCs w:val="18"/>
              </w:rPr>
              <w:t>88</w:t>
            </w:r>
          </w:p>
        </w:tc>
        <w:tc>
          <w:tcPr>
            <w:tcW w:w="493" w:type="pct"/>
            <w:noWrap/>
            <w:vAlign w:val="center"/>
          </w:tcPr>
          <w:p w:rsidR="00F67762" w:rsidRPr="004C5551" w:rsidRDefault="00F67762" w:rsidP="00DA79C0">
            <w:pPr>
              <w:ind w:right="90"/>
              <w:jc w:val="right"/>
              <w:rPr>
                <w:sz w:val="18"/>
                <w:szCs w:val="18"/>
              </w:rPr>
            </w:pPr>
            <w:r w:rsidRPr="004C5551">
              <w:rPr>
                <w:sz w:val="18"/>
                <w:szCs w:val="18"/>
              </w:rPr>
              <w:t>292</w:t>
            </w:r>
          </w:p>
        </w:tc>
        <w:tc>
          <w:tcPr>
            <w:tcW w:w="634" w:type="pct"/>
            <w:noWrap/>
            <w:vAlign w:val="center"/>
          </w:tcPr>
          <w:p w:rsidR="00F67762" w:rsidRPr="004C5551" w:rsidRDefault="00F67762" w:rsidP="00DA79C0">
            <w:pPr>
              <w:ind w:right="90"/>
              <w:jc w:val="right"/>
              <w:rPr>
                <w:sz w:val="18"/>
                <w:szCs w:val="18"/>
              </w:rPr>
            </w:pPr>
            <w:r w:rsidRPr="004C5551">
              <w:rPr>
                <w:sz w:val="18"/>
                <w:szCs w:val="18"/>
              </w:rPr>
              <w:t>264</w:t>
            </w:r>
          </w:p>
        </w:tc>
        <w:tc>
          <w:tcPr>
            <w:tcW w:w="634" w:type="pct"/>
            <w:noWrap/>
            <w:vAlign w:val="center"/>
          </w:tcPr>
          <w:p w:rsidR="00F67762" w:rsidRPr="004C5551" w:rsidRDefault="00F67762" w:rsidP="00DA79C0">
            <w:pPr>
              <w:ind w:right="90"/>
              <w:jc w:val="right"/>
              <w:rPr>
                <w:sz w:val="18"/>
                <w:szCs w:val="18"/>
              </w:rPr>
            </w:pPr>
            <w:r w:rsidRPr="004C5551">
              <w:rPr>
                <w:sz w:val="18"/>
                <w:szCs w:val="18"/>
              </w:rPr>
              <w:t>4</w:t>
            </w:r>
          </w:p>
        </w:tc>
        <w:tc>
          <w:tcPr>
            <w:tcW w:w="498" w:type="pct"/>
            <w:noWrap/>
            <w:vAlign w:val="center"/>
          </w:tcPr>
          <w:p w:rsidR="00F67762" w:rsidRPr="004C5551" w:rsidRDefault="00F67762" w:rsidP="00DA79C0">
            <w:pPr>
              <w:ind w:right="90"/>
              <w:jc w:val="right"/>
              <w:rPr>
                <w:sz w:val="18"/>
                <w:szCs w:val="18"/>
              </w:rPr>
            </w:pPr>
            <w:r w:rsidRPr="004C5551">
              <w:rPr>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B Ťažba a dobývanie</w:t>
            </w:r>
          </w:p>
        </w:tc>
        <w:tc>
          <w:tcPr>
            <w:tcW w:w="457" w:type="pct"/>
            <w:noWrap/>
            <w:vAlign w:val="center"/>
          </w:tcPr>
          <w:p w:rsidR="00F67762" w:rsidRPr="004C5551" w:rsidRDefault="00F67762" w:rsidP="00DA79C0">
            <w:pPr>
              <w:ind w:right="90"/>
              <w:jc w:val="right"/>
              <w:rPr>
                <w:sz w:val="18"/>
                <w:szCs w:val="18"/>
              </w:rPr>
            </w:pPr>
            <w:r w:rsidRPr="004C5551">
              <w:rPr>
                <w:sz w:val="18"/>
                <w:szCs w:val="18"/>
              </w:rPr>
              <w:t>1 414</w:t>
            </w:r>
          </w:p>
        </w:tc>
        <w:tc>
          <w:tcPr>
            <w:tcW w:w="467" w:type="pct"/>
            <w:noWrap/>
            <w:vAlign w:val="center"/>
          </w:tcPr>
          <w:p w:rsidR="00F67762" w:rsidRPr="004C5551" w:rsidRDefault="00F67762" w:rsidP="00DA79C0">
            <w:pPr>
              <w:ind w:right="90"/>
              <w:jc w:val="right"/>
              <w:rPr>
                <w:sz w:val="18"/>
                <w:szCs w:val="18"/>
              </w:rPr>
            </w:pPr>
            <w:r w:rsidRPr="004C5551">
              <w:rPr>
                <w:sz w:val="18"/>
                <w:szCs w:val="18"/>
              </w:rPr>
              <w:t>1 005</w:t>
            </w:r>
          </w:p>
        </w:tc>
        <w:tc>
          <w:tcPr>
            <w:tcW w:w="427" w:type="pct"/>
            <w:noWrap/>
            <w:vAlign w:val="center"/>
          </w:tcPr>
          <w:p w:rsidR="00F67762" w:rsidRPr="004C5551" w:rsidRDefault="00F67762" w:rsidP="00DA79C0">
            <w:pPr>
              <w:ind w:right="90"/>
              <w:jc w:val="right"/>
              <w:rPr>
                <w:sz w:val="18"/>
                <w:szCs w:val="18"/>
              </w:rPr>
            </w:pPr>
            <w:r w:rsidRPr="004C5551">
              <w:rPr>
                <w:sz w:val="18"/>
                <w:szCs w:val="18"/>
              </w:rPr>
              <w:t>865</w:t>
            </w:r>
          </w:p>
        </w:tc>
        <w:tc>
          <w:tcPr>
            <w:tcW w:w="494" w:type="pct"/>
            <w:noWrap/>
            <w:vAlign w:val="center"/>
          </w:tcPr>
          <w:p w:rsidR="00F67762" w:rsidRPr="004C5551" w:rsidRDefault="00F67762" w:rsidP="00DA79C0">
            <w:pPr>
              <w:ind w:right="90"/>
              <w:jc w:val="right"/>
              <w:rPr>
                <w:sz w:val="18"/>
                <w:szCs w:val="18"/>
              </w:rPr>
            </w:pPr>
            <w:r w:rsidRPr="004C5551">
              <w:rPr>
                <w:sz w:val="18"/>
                <w:szCs w:val="18"/>
              </w:rPr>
              <w:t>128</w:t>
            </w:r>
          </w:p>
        </w:tc>
        <w:tc>
          <w:tcPr>
            <w:tcW w:w="493" w:type="pct"/>
            <w:noWrap/>
            <w:vAlign w:val="center"/>
          </w:tcPr>
          <w:p w:rsidR="00F67762" w:rsidRPr="004C5551" w:rsidRDefault="00F67762" w:rsidP="00DA79C0">
            <w:pPr>
              <w:ind w:right="90"/>
              <w:jc w:val="right"/>
              <w:rPr>
                <w:sz w:val="18"/>
                <w:szCs w:val="18"/>
              </w:rPr>
            </w:pPr>
            <w:r w:rsidRPr="004C5551">
              <w:rPr>
                <w:sz w:val="18"/>
                <w:szCs w:val="18"/>
              </w:rPr>
              <w:t>409</w:t>
            </w:r>
          </w:p>
        </w:tc>
        <w:tc>
          <w:tcPr>
            <w:tcW w:w="634" w:type="pct"/>
            <w:noWrap/>
            <w:vAlign w:val="center"/>
          </w:tcPr>
          <w:p w:rsidR="00F67762" w:rsidRPr="004C5551" w:rsidRDefault="00F67762" w:rsidP="00DA79C0">
            <w:pPr>
              <w:ind w:right="90"/>
              <w:jc w:val="right"/>
              <w:rPr>
                <w:sz w:val="18"/>
                <w:szCs w:val="18"/>
              </w:rPr>
            </w:pPr>
            <w:r w:rsidRPr="004C5551">
              <w:rPr>
                <w:sz w:val="18"/>
                <w:szCs w:val="18"/>
              </w:rPr>
              <w:t>350</w:t>
            </w:r>
          </w:p>
        </w:tc>
        <w:tc>
          <w:tcPr>
            <w:tcW w:w="634" w:type="pct"/>
            <w:noWrap/>
            <w:vAlign w:val="center"/>
          </w:tcPr>
          <w:p w:rsidR="00F67762" w:rsidRPr="004C5551" w:rsidRDefault="00F67762" w:rsidP="00DA79C0">
            <w:pPr>
              <w:ind w:right="90"/>
              <w:jc w:val="right"/>
              <w:rPr>
                <w:sz w:val="18"/>
                <w:szCs w:val="18"/>
              </w:rPr>
            </w:pPr>
            <w:r w:rsidRPr="004C5551">
              <w:rPr>
                <w:sz w:val="18"/>
                <w:szCs w:val="18"/>
              </w:rPr>
              <w:t>17</w:t>
            </w:r>
          </w:p>
        </w:tc>
        <w:tc>
          <w:tcPr>
            <w:tcW w:w="498" w:type="pct"/>
            <w:noWrap/>
            <w:vAlign w:val="center"/>
          </w:tcPr>
          <w:p w:rsidR="00F67762" w:rsidRPr="004C5551" w:rsidRDefault="00F67762" w:rsidP="00DA79C0">
            <w:pPr>
              <w:ind w:right="90"/>
              <w:jc w:val="right"/>
              <w:rPr>
                <w:sz w:val="18"/>
                <w:szCs w:val="18"/>
              </w:rPr>
            </w:pPr>
            <w:r w:rsidRPr="004C5551">
              <w:rPr>
                <w:sz w:val="18"/>
                <w:szCs w:val="18"/>
              </w:rPr>
              <w:t>-</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C Priemyselná výroba</w:t>
            </w:r>
          </w:p>
        </w:tc>
        <w:tc>
          <w:tcPr>
            <w:tcW w:w="457" w:type="pct"/>
            <w:noWrap/>
            <w:vAlign w:val="center"/>
          </w:tcPr>
          <w:p w:rsidR="00F67762" w:rsidRPr="004C5551" w:rsidRDefault="00F67762" w:rsidP="00DA79C0">
            <w:pPr>
              <w:ind w:right="90"/>
              <w:jc w:val="right"/>
              <w:rPr>
                <w:sz w:val="18"/>
                <w:szCs w:val="18"/>
              </w:rPr>
            </w:pPr>
            <w:r w:rsidRPr="004C5551">
              <w:rPr>
                <w:sz w:val="18"/>
                <w:szCs w:val="18"/>
              </w:rPr>
              <w:t>1 283</w:t>
            </w:r>
          </w:p>
        </w:tc>
        <w:tc>
          <w:tcPr>
            <w:tcW w:w="467" w:type="pct"/>
            <w:noWrap/>
            <w:vAlign w:val="center"/>
          </w:tcPr>
          <w:p w:rsidR="00F67762" w:rsidRPr="004C5551" w:rsidRDefault="00F67762" w:rsidP="00DA79C0">
            <w:pPr>
              <w:ind w:right="90"/>
              <w:jc w:val="right"/>
              <w:rPr>
                <w:sz w:val="18"/>
                <w:szCs w:val="18"/>
              </w:rPr>
            </w:pPr>
            <w:r w:rsidRPr="004C5551">
              <w:rPr>
                <w:sz w:val="18"/>
                <w:szCs w:val="18"/>
              </w:rPr>
              <w:t>925</w:t>
            </w:r>
          </w:p>
        </w:tc>
        <w:tc>
          <w:tcPr>
            <w:tcW w:w="427" w:type="pct"/>
            <w:noWrap/>
            <w:vAlign w:val="center"/>
          </w:tcPr>
          <w:p w:rsidR="00F67762" w:rsidRPr="004C5551" w:rsidRDefault="00F67762" w:rsidP="00DA79C0">
            <w:pPr>
              <w:ind w:right="90"/>
              <w:jc w:val="right"/>
              <w:rPr>
                <w:sz w:val="18"/>
                <w:szCs w:val="18"/>
              </w:rPr>
            </w:pPr>
            <w:r w:rsidRPr="004C5551">
              <w:rPr>
                <w:sz w:val="18"/>
                <w:szCs w:val="18"/>
              </w:rPr>
              <w:t>806</w:t>
            </w:r>
          </w:p>
        </w:tc>
        <w:tc>
          <w:tcPr>
            <w:tcW w:w="494" w:type="pct"/>
            <w:noWrap/>
            <w:vAlign w:val="center"/>
          </w:tcPr>
          <w:p w:rsidR="00F67762" w:rsidRPr="004C5551" w:rsidRDefault="00F67762" w:rsidP="00DA79C0">
            <w:pPr>
              <w:ind w:right="90"/>
              <w:jc w:val="right"/>
              <w:rPr>
                <w:sz w:val="18"/>
                <w:szCs w:val="18"/>
              </w:rPr>
            </w:pPr>
            <w:r w:rsidRPr="004C5551">
              <w:rPr>
                <w:sz w:val="18"/>
                <w:szCs w:val="18"/>
              </w:rPr>
              <w:t>112</w:t>
            </w:r>
          </w:p>
        </w:tc>
        <w:tc>
          <w:tcPr>
            <w:tcW w:w="493" w:type="pct"/>
            <w:noWrap/>
            <w:vAlign w:val="center"/>
          </w:tcPr>
          <w:p w:rsidR="00F67762" w:rsidRPr="004C5551" w:rsidRDefault="00F67762" w:rsidP="00DA79C0">
            <w:pPr>
              <w:ind w:right="90"/>
              <w:jc w:val="right"/>
              <w:rPr>
                <w:sz w:val="18"/>
                <w:szCs w:val="18"/>
              </w:rPr>
            </w:pPr>
            <w:r w:rsidRPr="004C5551">
              <w:rPr>
                <w:sz w:val="18"/>
                <w:szCs w:val="18"/>
              </w:rPr>
              <w:t>359</w:t>
            </w:r>
          </w:p>
        </w:tc>
        <w:tc>
          <w:tcPr>
            <w:tcW w:w="634" w:type="pct"/>
            <w:noWrap/>
            <w:vAlign w:val="center"/>
          </w:tcPr>
          <w:p w:rsidR="00F67762" w:rsidRPr="004C5551" w:rsidRDefault="00F67762" w:rsidP="00DA79C0">
            <w:pPr>
              <w:ind w:right="90"/>
              <w:jc w:val="right"/>
              <w:rPr>
                <w:sz w:val="18"/>
                <w:szCs w:val="18"/>
              </w:rPr>
            </w:pPr>
            <w:r w:rsidRPr="004C5551">
              <w:rPr>
                <w:sz w:val="18"/>
                <w:szCs w:val="18"/>
              </w:rPr>
              <w:t>317</w:t>
            </w:r>
          </w:p>
        </w:tc>
        <w:tc>
          <w:tcPr>
            <w:tcW w:w="634" w:type="pct"/>
            <w:noWrap/>
            <w:vAlign w:val="center"/>
          </w:tcPr>
          <w:p w:rsidR="00F67762" w:rsidRPr="004C5551" w:rsidRDefault="00F67762" w:rsidP="00DA79C0">
            <w:pPr>
              <w:ind w:right="90"/>
              <w:jc w:val="right"/>
              <w:rPr>
                <w:sz w:val="18"/>
                <w:szCs w:val="18"/>
              </w:rPr>
            </w:pPr>
            <w:r w:rsidRPr="004C5551">
              <w:rPr>
                <w:sz w:val="18"/>
                <w:szCs w:val="18"/>
              </w:rPr>
              <w:t>9</w:t>
            </w:r>
          </w:p>
        </w:tc>
        <w:tc>
          <w:tcPr>
            <w:tcW w:w="498" w:type="pct"/>
            <w:noWrap/>
            <w:vAlign w:val="center"/>
          </w:tcPr>
          <w:p w:rsidR="00F67762" w:rsidRPr="004C5551" w:rsidRDefault="00F67762" w:rsidP="00DA79C0">
            <w:pPr>
              <w:ind w:right="90"/>
              <w:jc w:val="right"/>
              <w:rPr>
                <w:sz w:val="18"/>
                <w:szCs w:val="18"/>
              </w:rPr>
            </w:pPr>
            <w:r w:rsidRPr="004C5551">
              <w:rPr>
                <w:sz w:val="18"/>
                <w:szCs w:val="18"/>
              </w:rPr>
              <w:t>-1</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 xml:space="preserve">D Dodávka </w:t>
            </w:r>
            <w:proofErr w:type="spellStart"/>
            <w:r w:rsidRPr="004C5551">
              <w:rPr>
                <w:sz w:val="18"/>
                <w:szCs w:val="18"/>
              </w:rPr>
              <w:t>elekt</w:t>
            </w:r>
            <w:proofErr w:type="spellEnd"/>
            <w:r w:rsidRPr="004C5551">
              <w:rPr>
                <w:sz w:val="18"/>
                <w:szCs w:val="18"/>
              </w:rPr>
              <w:t>., plynu, pary a stud. vzduchu</w:t>
            </w:r>
          </w:p>
        </w:tc>
        <w:tc>
          <w:tcPr>
            <w:tcW w:w="457" w:type="pct"/>
            <w:noWrap/>
            <w:vAlign w:val="center"/>
          </w:tcPr>
          <w:p w:rsidR="00F67762" w:rsidRPr="004C5551" w:rsidRDefault="00F67762" w:rsidP="00DA79C0">
            <w:pPr>
              <w:ind w:right="90"/>
              <w:jc w:val="right"/>
              <w:rPr>
                <w:sz w:val="18"/>
                <w:szCs w:val="18"/>
              </w:rPr>
            </w:pPr>
            <w:r w:rsidRPr="004C5551">
              <w:rPr>
                <w:sz w:val="18"/>
                <w:szCs w:val="18"/>
              </w:rPr>
              <w:t>2 199</w:t>
            </w:r>
          </w:p>
        </w:tc>
        <w:tc>
          <w:tcPr>
            <w:tcW w:w="467" w:type="pct"/>
            <w:noWrap/>
            <w:vAlign w:val="center"/>
          </w:tcPr>
          <w:p w:rsidR="00F67762" w:rsidRPr="004C5551" w:rsidRDefault="00F67762" w:rsidP="00DA79C0">
            <w:pPr>
              <w:ind w:right="90"/>
              <w:jc w:val="right"/>
              <w:rPr>
                <w:sz w:val="18"/>
                <w:szCs w:val="18"/>
              </w:rPr>
            </w:pPr>
            <w:r w:rsidRPr="004C5551">
              <w:rPr>
                <w:sz w:val="18"/>
                <w:szCs w:val="18"/>
              </w:rPr>
              <w:t>1 502</w:t>
            </w:r>
          </w:p>
        </w:tc>
        <w:tc>
          <w:tcPr>
            <w:tcW w:w="427" w:type="pct"/>
            <w:noWrap/>
            <w:vAlign w:val="center"/>
          </w:tcPr>
          <w:p w:rsidR="00F67762" w:rsidRPr="004C5551" w:rsidRDefault="00F67762" w:rsidP="00DA79C0">
            <w:pPr>
              <w:ind w:right="90"/>
              <w:jc w:val="right"/>
              <w:rPr>
                <w:sz w:val="18"/>
                <w:szCs w:val="18"/>
              </w:rPr>
            </w:pPr>
            <w:r w:rsidRPr="004C5551">
              <w:rPr>
                <w:sz w:val="18"/>
                <w:szCs w:val="18"/>
              </w:rPr>
              <w:t>1 225</w:t>
            </w:r>
          </w:p>
        </w:tc>
        <w:tc>
          <w:tcPr>
            <w:tcW w:w="494" w:type="pct"/>
            <w:noWrap/>
            <w:vAlign w:val="center"/>
          </w:tcPr>
          <w:p w:rsidR="00F67762" w:rsidRPr="004C5551" w:rsidRDefault="00F67762" w:rsidP="00DA79C0">
            <w:pPr>
              <w:ind w:right="90"/>
              <w:jc w:val="right"/>
              <w:rPr>
                <w:sz w:val="18"/>
                <w:szCs w:val="18"/>
              </w:rPr>
            </w:pPr>
            <w:r w:rsidRPr="004C5551">
              <w:rPr>
                <w:sz w:val="18"/>
                <w:szCs w:val="18"/>
              </w:rPr>
              <w:t>225</w:t>
            </w:r>
          </w:p>
        </w:tc>
        <w:tc>
          <w:tcPr>
            <w:tcW w:w="493" w:type="pct"/>
            <w:noWrap/>
            <w:vAlign w:val="center"/>
          </w:tcPr>
          <w:p w:rsidR="00F67762" w:rsidRPr="004C5551" w:rsidRDefault="00F67762" w:rsidP="00DA79C0">
            <w:pPr>
              <w:ind w:right="90"/>
              <w:jc w:val="right"/>
              <w:rPr>
                <w:sz w:val="18"/>
                <w:szCs w:val="18"/>
              </w:rPr>
            </w:pPr>
            <w:r w:rsidRPr="004C5551">
              <w:rPr>
                <w:sz w:val="18"/>
                <w:szCs w:val="18"/>
              </w:rPr>
              <w:t>697</w:t>
            </w:r>
          </w:p>
        </w:tc>
        <w:tc>
          <w:tcPr>
            <w:tcW w:w="634" w:type="pct"/>
            <w:noWrap/>
            <w:vAlign w:val="center"/>
          </w:tcPr>
          <w:p w:rsidR="00F67762" w:rsidRPr="004C5551" w:rsidRDefault="00F67762" w:rsidP="00DA79C0">
            <w:pPr>
              <w:ind w:right="90"/>
              <w:jc w:val="right"/>
              <w:rPr>
                <w:sz w:val="18"/>
                <w:szCs w:val="18"/>
              </w:rPr>
            </w:pPr>
            <w:r w:rsidRPr="004C5551">
              <w:rPr>
                <w:sz w:val="18"/>
                <w:szCs w:val="18"/>
              </w:rPr>
              <w:t>513</w:t>
            </w:r>
          </w:p>
        </w:tc>
        <w:tc>
          <w:tcPr>
            <w:tcW w:w="634" w:type="pct"/>
            <w:noWrap/>
            <w:vAlign w:val="center"/>
          </w:tcPr>
          <w:p w:rsidR="00F67762" w:rsidRPr="004C5551" w:rsidRDefault="00F67762" w:rsidP="00DA79C0">
            <w:pPr>
              <w:ind w:right="90"/>
              <w:jc w:val="right"/>
              <w:rPr>
                <w:sz w:val="18"/>
                <w:szCs w:val="18"/>
              </w:rPr>
            </w:pPr>
            <w:r w:rsidRPr="004C5551">
              <w:rPr>
                <w:sz w:val="18"/>
                <w:szCs w:val="18"/>
              </w:rPr>
              <w:t>41</w:t>
            </w:r>
          </w:p>
        </w:tc>
        <w:tc>
          <w:tcPr>
            <w:tcW w:w="498" w:type="pct"/>
            <w:noWrap/>
            <w:vAlign w:val="center"/>
          </w:tcPr>
          <w:p w:rsidR="00F67762" w:rsidRPr="004C5551" w:rsidRDefault="00F67762" w:rsidP="00DA79C0">
            <w:pPr>
              <w:ind w:right="90"/>
              <w:jc w:val="right"/>
              <w:rPr>
                <w:sz w:val="18"/>
                <w:szCs w:val="18"/>
              </w:rPr>
            </w:pPr>
            <w:r w:rsidRPr="004C5551">
              <w:rPr>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E Dodávka vody</w:t>
            </w:r>
          </w:p>
        </w:tc>
        <w:tc>
          <w:tcPr>
            <w:tcW w:w="457" w:type="pct"/>
            <w:noWrap/>
            <w:vAlign w:val="center"/>
          </w:tcPr>
          <w:p w:rsidR="00F67762" w:rsidRPr="004C5551" w:rsidRDefault="00F67762" w:rsidP="00DA79C0">
            <w:pPr>
              <w:ind w:right="90"/>
              <w:jc w:val="right"/>
              <w:rPr>
                <w:sz w:val="18"/>
                <w:szCs w:val="18"/>
              </w:rPr>
            </w:pPr>
            <w:r w:rsidRPr="004C5551">
              <w:rPr>
                <w:sz w:val="18"/>
                <w:szCs w:val="18"/>
              </w:rPr>
              <w:t>1 191</w:t>
            </w:r>
          </w:p>
        </w:tc>
        <w:tc>
          <w:tcPr>
            <w:tcW w:w="467" w:type="pct"/>
            <w:noWrap/>
            <w:vAlign w:val="center"/>
          </w:tcPr>
          <w:p w:rsidR="00F67762" w:rsidRPr="004C5551" w:rsidRDefault="00F67762" w:rsidP="00DA79C0">
            <w:pPr>
              <w:ind w:right="90"/>
              <w:jc w:val="right"/>
              <w:rPr>
                <w:sz w:val="18"/>
                <w:szCs w:val="18"/>
              </w:rPr>
            </w:pPr>
            <w:r w:rsidRPr="004C5551">
              <w:rPr>
                <w:sz w:val="18"/>
                <w:szCs w:val="18"/>
              </w:rPr>
              <w:t>867</w:t>
            </w:r>
          </w:p>
        </w:tc>
        <w:tc>
          <w:tcPr>
            <w:tcW w:w="427" w:type="pct"/>
            <w:noWrap/>
            <w:vAlign w:val="center"/>
          </w:tcPr>
          <w:p w:rsidR="00F67762" w:rsidRPr="004C5551" w:rsidRDefault="00F67762" w:rsidP="00DA79C0">
            <w:pPr>
              <w:ind w:right="90"/>
              <w:jc w:val="right"/>
              <w:rPr>
                <w:sz w:val="18"/>
                <w:szCs w:val="18"/>
              </w:rPr>
            </w:pPr>
            <w:r w:rsidRPr="004C5551">
              <w:rPr>
                <w:sz w:val="18"/>
                <w:szCs w:val="18"/>
              </w:rPr>
              <w:t>732</w:t>
            </w:r>
          </w:p>
        </w:tc>
        <w:tc>
          <w:tcPr>
            <w:tcW w:w="494" w:type="pct"/>
            <w:noWrap/>
            <w:vAlign w:val="center"/>
          </w:tcPr>
          <w:p w:rsidR="00F67762" w:rsidRPr="004C5551" w:rsidRDefault="00F67762" w:rsidP="00DA79C0">
            <w:pPr>
              <w:ind w:right="90"/>
              <w:jc w:val="right"/>
              <w:rPr>
                <w:sz w:val="18"/>
                <w:szCs w:val="18"/>
              </w:rPr>
            </w:pPr>
            <w:r w:rsidRPr="004C5551">
              <w:rPr>
                <w:sz w:val="18"/>
                <w:szCs w:val="18"/>
              </w:rPr>
              <w:t>121</w:t>
            </w:r>
          </w:p>
        </w:tc>
        <w:tc>
          <w:tcPr>
            <w:tcW w:w="493" w:type="pct"/>
            <w:noWrap/>
            <w:vAlign w:val="center"/>
          </w:tcPr>
          <w:p w:rsidR="00F67762" w:rsidRPr="004C5551" w:rsidRDefault="00F67762" w:rsidP="00DA79C0">
            <w:pPr>
              <w:ind w:right="90"/>
              <w:jc w:val="right"/>
              <w:rPr>
                <w:sz w:val="18"/>
                <w:szCs w:val="18"/>
              </w:rPr>
            </w:pPr>
            <w:r w:rsidRPr="004C5551">
              <w:rPr>
                <w:sz w:val="18"/>
                <w:szCs w:val="18"/>
              </w:rPr>
              <w:t>352</w:t>
            </w:r>
          </w:p>
        </w:tc>
        <w:tc>
          <w:tcPr>
            <w:tcW w:w="634" w:type="pct"/>
            <w:noWrap/>
            <w:vAlign w:val="center"/>
          </w:tcPr>
          <w:p w:rsidR="00F67762" w:rsidRPr="004C5551" w:rsidRDefault="00F67762" w:rsidP="00DA79C0">
            <w:pPr>
              <w:ind w:right="90"/>
              <w:jc w:val="right"/>
              <w:rPr>
                <w:sz w:val="18"/>
                <w:szCs w:val="18"/>
              </w:rPr>
            </w:pPr>
            <w:r w:rsidRPr="004C5551">
              <w:rPr>
                <w:sz w:val="18"/>
                <w:szCs w:val="18"/>
              </w:rPr>
              <w:t>302</w:t>
            </w:r>
          </w:p>
        </w:tc>
        <w:tc>
          <w:tcPr>
            <w:tcW w:w="634" w:type="pct"/>
            <w:noWrap/>
            <w:vAlign w:val="center"/>
          </w:tcPr>
          <w:p w:rsidR="00F67762" w:rsidRPr="004C5551" w:rsidRDefault="00F67762" w:rsidP="00DA79C0">
            <w:pPr>
              <w:ind w:right="90"/>
              <w:jc w:val="right"/>
              <w:rPr>
                <w:sz w:val="18"/>
                <w:szCs w:val="18"/>
              </w:rPr>
            </w:pPr>
            <w:r w:rsidRPr="004C5551">
              <w:rPr>
                <w:sz w:val="18"/>
                <w:szCs w:val="18"/>
              </w:rPr>
              <w:t>18</w:t>
            </w:r>
          </w:p>
        </w:tc>
        <w:tc>
          <w:tcPr>
            <w:tcW w:w="498" w:type="pct"/>
            <w:noWrap/>
            <w:vAlign w:val="center"/>
          </w:tcPr>
          <w:p w:rsidR="00F67762" w:rsidRPr="004C5551" w:rsidRDefault="00F67762" w:rsidP="00DA79C0">
            <w:pPr>
              <w:ind w:right="90"/>
              <w:jc w:val="right"/>
              <w:rPr>
                <w:sz w:val="18"/>
                <w:szCs w:val="18"/>
              </w:rPr>
            </w:pPr>
            <w:r w:rsidRPr="004C5551">
              <w:rPr>
                <w:sz w:val="18"/>
                <w:szCs w:val="18"/>
              </w:rPr>
              <w:t>-28</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F Stavebníctvo</w:t>
            </w:r>
          </w:p>
        </w:tc>
        <w:tc>
          <w:tcPr>
            <w:tcW w:w="457" w:type="pct"/>
            <w:noWrap/>
            <w:vAlign w:val="center"/>
          </w:tcPr>
          <w:p w:rsidR="00F67762" w:rsidRPr="004C5551" w:rsidRDefault="00F67762" w:rsidP="00DA79C0">
            <w:pPr>
              <w:ind w:right="90"/>
              <w:jc w:val="right"/>
              <w:rPr>
                <w:sz w:val="18"/>
                <w:szCs w:val="18"/>
              </w:rPr>
            </w:pPr>
            <w:r w:rsidRPr="004C5551">
              <w:rPr>
                <w:sz w:val="18"/>
                <w:szCs w:val="18"/>
              </w:rPr>
              <w:t>1 121</w:t>
            </w:r>
          </w:p>
        </w:tc>
        <w:tc>
          <w:tcPr>
            <w:tcW w:w="467" w:type="pct"/>
            <w:noWrap/>
            <w:vAlign w:val="center"/>
          </w:tcPr>
          <w:p w:rsidR="00F67762" w:rsidRPr="004C5551" w:rsidRDefault="00F67762" w:rsidP="00DA79C0">
            <w:pPr>
              <w:ind w:right="90"/>
              <w:jc w:val="right"/>
              <w:rPr>
                <w:sz w:val="18"/>
                <w:szCs w:val="18"/>
              </w:rPr>
            </w:pPr>
            <w:r w:rsidRPr="004C5551">
              <w:rPr>
                <w:sz w:val="18"/>
                <w:szCs w:val="18"/>
              </w:rPr>
              <w:t>808</w:t>
            </w:r>
          </w:p>
        </w:tc>
        <w:tc>
          <w:tcPr>
            <w:tcW w:w="427" w:type="pct"/>
            <w:noWrap/>
            <w:vAlign w:val="center"/>
          </w:tcPr>
          <w:p w:rsidR="00F67762" w:rsidRPr="004C5551" w:rsidRDefault="00F67762" w:rsidP="00DA79C0">
            <w:pPr>
              <w:ind w:right="90"/>
              <w:jc w:val="right"/>
              <w:rPr>
                <w:sz w:val="18"/>
                <w:szCs w:val="18"/>
              </w:rPr>
            </w:pPr>
            <w:r w:rsidRPr="004C5551">
              <w:rPr>
                <w:sz w:val="18"/>
                <w:szCs w:val="18"/>
              </w:rPr>
              <w:t>696</w:t>
            </w:r>
          </w:p>
        </w:tc>
        <w:tc>
          <w:tcPr>
            <w:tcW w:w="494" w:type="pct"/>
            <w:noWrap/>
            <w:vAlign w:val="center"/>
          </w:tcPr>
          <w:p w:rsidR="00F67762" w:rsidRPr="004C5551" w:rsidRDefault="00F67762" w:rsidP="00DA79C0">
            <w:pPr>
              <w:ind w:right="90"/>
              <w:jc w:val="right"/>
              <w:rPr>
                <w:sz w:val="18"/>
                <w:szCs w:val="18"/>
              </w:rPr>
            </w:pPr>
            <w:r w:rsidRPr="004C5551">
              <w:rPr>
                <w:sz w:val="18"/>
                <w:szCs w:val="18"/>
              </w:rPr>
              <w:t>99</w:t>
            </w:r>
          </w:p>
        </w:tc>
        <w:tc>
          <w:tcPr>
            <w:tcW w:w="493" w:type="pct"/>
            <w:noWrap/>
            <w:vAlign w:val="center"/>
          </w:tcPr>
          <w:p w:rsidR="00F67762" w:rsidRPr="004C5551" w:rsidRDefault="00F67762" w:rsidP="00DA79C0">
            <w:pPr>
              <w:ind w:right="90"/>
              <w:jc w:val="right"/>
              <w:rPr>
                <w:sz w:val="18"/>
                <w:szCs w:val="18"/>
              </w:rPr>
            </w:pPr>
            <w:r w:rsidRPr="004C5551">
              <w:rPr>
                <w:sz w:val="18"/>
                <w:szCs w:val="18"/>
              </w:rPr>
              <w:t>312</w:t>
            </w:r>
          </w:p>
        </w:tc>
        <w:tc>
          <w:tcPr>
            <w:tcW w:w="634" w:type="pct"/>
            <w:noWrap/>
            <w:vAlign w:val="center"/>
          </w:tcPr>
          <w:p w:rsidR="00F67762" w:rsidRPr="004C5551" w:rsidRDefault="00F67762" w:rsidP="00DA79C0">
            <w:pPr>
              <w:ind w:right="90"/>
              <w:jc w:val="right"/>
              <w:rPr>
                <w:sz w:val="18"/>
                <w:szCs w:val="18"/>
              </w:rPr>
            </w:pPr>
            <w:r w:rsidRPr="004C5551">
              <w:rPr>
                <w:sz w:val="18"/>
                <w:szCs w:val="18"/>
              </w:rPr>
              <w:t>275</w:t>
            </w:r>
          </w:p>
        </w:tc>
        <w:tc>
          <w:tcPr>
            <w:tcW w:w="634" w:type="pct"/>
            <w:noWrap/>
            <w:vAlign w:val="center"/>
          </w:tcPr>
          <w:p w:rsidR="00F67762" w:rsidRPr="004C5551" w:rsidRDefault="00F67762" w:rsidP="00DA79C0">
            <w:pPr>
              <w:ind w:right="90"/>
              <w:jc w:val="right"/>
              <w:rPr>
                <w:sz w:val="18"/>
                <w:szCs w:val="18"/>
              </w:rPr>
            </w:pPr>
            <w:r w:rsidRPr="004C5551">
              <w:rPr>
                <w:sz w:val="18"/>
                <w:szCs w:val="18"/>
              </w:rPr>
              <w:t>3</w:t>
            </w:r>
          </w:p>
        </w:tc>
        <w:tc>
          <w:tcPr>
            <w:tcW w:w="498" w:type="pct"/>
            <w:noWrap/>
            <w:vAlign w:val="center"/>
          </w:tcPr>
          <w:p w:rsidR="00F67762" w:rsidRPr="004C5551" w:rsidRDefault="00F67762" w:rsidP="00DA79C0">
            <w:pPr>
              <w:ind w:right="90"/>
              <w:jc w:val="right"/>
              <w:rPr>
                <w:sz w:val="18"/>
                <w:szCs w:val="18"/>
              </w:rPr>
            </w:pPr>
            <w:r w:rsidRPr="004C5551">
              <w:rPr>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G Veľkoobchod a maloobchod</w:t>
            </w:r>
          </w:p>
        </w:tc>
        <w:tc>
          <w:tcPr>
            <w:tcW w:w="457" w:type="pct"/>
            <w:noWrap/>
            <w:vAlign w:val="center"/>
          </w:tcPr>
          <w:p w:rsidR="00F67762" w:rsidRPr="004C5551" w:rsidRDefault="00F67762" w:rsidP="00DA79C0">
            <w:pPr>
              <w:ind w:right="90"/>
              <w:jc w:val="right"/>
              <w:rPr>
                <w:sz w:val="18"/>
                <w:szCs w:val="18"/>
              </w:rPr>
            </w:pPr>
            <w:r w:rsidRPr="004C5551">
              <w:rPr>
                <w:sz w:val="18"/>
                <w:szCs w:val="18"/>
              </w:rPr>
              <w:t>1 185</w:t>
            </w:r>
          </w:p>
        </w:tc>
        <w:tc>
          <w:tcPr>
            <w:tcW w:w="467" w:type="pct"/>
            <w:noWrap/>
            <w:vAlign w:val="center"/>
          </w:tcPr>
          <w:p w:rsidR="00F67762" w:rsidRPr="004C5551" w:rsidRDefault="00F67762" w:rsidP="00DA79C0">
            <w:pPr>
              <w:ind w:right="90"/>
              <w:jc w:val="right"/>
              <w:rPr>
                <w:sz w:val="18"/>
                <w:szCs w:val="18"/>
              </w:rPr>
            </w:pPr>
            <w:r w:rsidRPr="004C5551">
              <w:rPr>
                <w:sz w:val="18"/>
                <w:szCs w:val="18"/>
              </w:rPr>
              <w:t>870</w:t>
            </w:r>
          </w:p>
        </w:tc>
        <w:tc>
          <w:tcPr>
            <w:tcW w:w="427" w:type="pct"/>
            <w:noWrap/>
            <w:vAlign w:val="center"/>
          </w:tcPr>
          <w:p w:rsidR="00F67762" w:rsidRPr="004C5551" w:rsidRDefault="00F67762" w:rsidP="00DA79C0">
            <w:pPr>
              <w:ind w:right="90"/>
              <w:jc w:val="right"/>
              <w:rPr>
                <w:sz w:val="18"/>
                <w:szCs w:val="18"/>
              </w:rPr>
            </w:pPr>
            <w:r w:rsidRPr="004C5551">
              <w:rPr>
                <w:sz w:val="18"/>
                <w:szCs w:val="18"/>
              </w:rPr>
              <w:t>772</w:t>
            </w:r>
          </w:p>
        </w:tc>
        <w:tc>
          <w:tcPr>
            <w:tcW w:w="494" w:type="pct"/>
            <w:noWrap/>
            <w:vAlign w:val="center"/>
          </w:tcPr>
          <w:p w:rsidR="00F67762" w:rsidRPr="004C5551" w:rsidRDefault="00F67762" w:rsidP="00DA79C0">
            <w:pPr>
              <w:ind w:right="90"/>
              <w:jc w:val="right"/>
              <w:rPr>
                <w:sz w:val="18"/>
                <w:szCs w:val="18"/>
              </w:rPr>
            </w:pPr>
            <w:r w:rsidRPr="004C5551">
              <w:rPr>
                <w:sz w:val="18"/>
                <w:szCs w:val="18"/>
              </w:rPr>
              <w:t>89</w:t>
            </w:r>
          </w:p>
        </w:tc>
        <w:tc>
          <w:tcPr>
            <w:tcW w:w="493" w:type="pct"/>
            <w:noWrap/>
            <w:vAlign w:val="center"/>
          </w:tcPr>
          <w:p w:rsidR="00F67762" w:rsidRPr="004C5551" w:rsidRDefault="00F67762" w:rsidP="00DA79C0">
            <w:pPr>
              <w:ind w:right="90"/>
              <w:jc w:val="right"/>
              <w:rPr>
                <w:sz w:val="18"/>
                <w:szCs w:val="18"/>
              </w:rPr>
            </w:pPr>
            <w:r w:rsidRPr="004C5551">
              <w:rPr>
                <w:sz w:val="18"/>
                <w:szCs w:val="18"/>
              </w:rPr>
              <w:t>316</w:t>
            </w:r>
          </w:p>
        </w:tc>
        <w:tc>
          <w:tcPr>
            <w:tcW w:w="634" w:type="pct"/>
            <w:noWrap/>
            <w:vAlign w:val="center"/>
          </w:tcPr>
          <w:p w:rsidR="00F67762" w:rsidRPr="004C5551" w:rsidRDefault="00F67762" w:rsidP="00DA79C0">
            <w:pPr>
              <w:ind w:right="90"/>
              <w:jc w:val="right"/>
              <w:rPr>
                <w:sz w:val="18"/>
                <w:szCs w:val="18"/>
              </w:rPr>
            </w:pPr>
            <w:r w:rsidRPr="004C5551">
              <w:rPr>
                <w:sz w:val="18"/>
                <w:szCs w:val="18"/>
              </w:rPr>
              <w:t>288</w:t>
            </w:r>
          </w:p>
        </w:tc>
        <w:tc>
          <w:tcPr>
            <w:tcW w:w="634" w:type="pct"/>
            <w:noWrap/>
            <w:vAlign w:val="center"/>
          </w:tcPr>
          <w:p w:rsidR="00F67762" w:rsidRPr="004C5551" w:rsidRDefault="00F67762" w:rsidP="00DA79C0">
            <w:pPr>
              <w:ind w:right="90"/>
              <w:jc w:val="right"/>
              <w:rPr>
                <w:sz w:val="18"/>
                <w:szCs w:val="18"/>
              </w:rPr>
            </w:pPr>
            <w:r w:rsidRPr="004C5551">
              <w:rPr>
                <w:sz w:val="18"/>
                <w:szCs w:val="18"/>
              </w:rPr>
              <w:t>3</w:t>
            </w:r>
          </w:p>
        </w:tc>
        <w:tc>
          <w:tcPr>
            <w:tcW w:w="498" w:type="pct"/>
            <w:noWrap/>
            <w:vAlign w:val="center"/>
          </w:tcPr>
          <w:p w:rsidR="00F67762" w:rsidRPr="004C5551" w:rsidRDefault="00F67762" w:rsidP="00DA79C0">
            <w:pPr>
              <w:ind w:right="90"/>
              <w:jc w:val="right"/>
              <w:rPr>
                <w:sz w:val="18"/>
                <w:szCs w:val="18"/>
              </w:rPr>
            </w:pPr>
            <w:r w:rsidRPr="004C5551">
              <w:rPr>
                <w:sz w:val="18"/>
                <w:szCs w:val="18"/>
              </w:rPr>
              <w:t>-1</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H Doprava a skladovanie</w:t>
            </w:r>
          </w:p>
        </w:tc>
        <w:tc>
          <w:tcPr>
            <w:tcW w:w="457" w:type="pct"/>
            <w:noWrap/>
            <w:vAlign w:val="center"/>
          </w:tcPr>
          <w:p w:rsidR="00F67762" w:rsidRPr="004C5551" w:rsidRDefault="00F67762" w:rsidP="00DA79C0">
            <w:pPr>
              <w:ind w:right="90"/>
              <w:jc w:val="right"/>
              <w:rPr>
                <w:sz w:val="18"/>
                <w:szCs w:val="18"/>
              </w:rPr>
            </w:pPr>
            <w:r w:rsidRPr="004C5551">
              <w:rPr>
                <w:sz w:val="18"/>
                <w:szCs w:val="18"/>
              </w:rPr>
              <w:t>1 133</w:t>
            </w:r>
          </w:p>
        </w:tc>
        <w:tc>
          <w:tcPr>
            <w:tcW w:w="467" w:type="pct"/>
            <w:noWrap/>
            <w:vAlign w:val="center"/>
          </w:tcPr>
          <w:p w:rsidR="00F67762" w:rsidRPr="004C5551" w:rsidRDefault="00F67762" w:rsidP="00DA79C0">
            <w:pPr>
              <w:ind w:right="90"/>
              <w:jc w:val="right"/>
              <w:rPr>
                <w:sz w:val="18"/>
                <w:szCs w:val="18"/>
              </w:rPr>
            </w:pPr>
            <w:r w:rsidRPr="004C5551">
              <w:rPr>
                <w:sz w:val="18"/>
                <w:szCs w:val="18"/>
              </w:rPr>
              <w:t>814</w:t>
            </w:r>
          </w:p>
        </w:tc>
        <w:tc>
          <w:tcPr>
            <w:tcW w:w="427" w:type="pct"/>
            <w:noWrap/>
            <w:vAlign w:val="center"/>
          </w:tcPr>
          <w:p w:rsidR="00F67762" w:rsidRPr="004C5551" w:rsidRDefault="00F67762" w:rsidP="00DA79C0">
            <w:pPr>
              <w:ind w:right="90"/>
              <w:jc w:val="right"/>
              <w:rPr>
                <w:sz w:val="18"/>
                <w:szCs w:val="18"/>
              </w:rPr>
            </w:pPr>
            <w:r w:rsidRPr="004C5551">
              <w:rPr>
                <w:sz w:val="18"/>
                <w:szCs w:val="18"/>
              </w:rPr>
              <w:t>710</w:t>
            </w:r>
          </w:p>
        </w:tc>
        <w:tc>
          <w:tcPr>
            <w:tcW w:w="494" w:type="pct"/>
            <w:noWrap/>
            <w:vAlign w:val="center"/>
          </w:tcPr>
          <w:p w:rsidR="00F67762" w:rsidRPr="004C5551" w:rsidRDefault="00F67762" w:rsidP="00DA79C0">
            <w:pPr>
              <w:ind w:right="90"/>
              <w:jc w:val="right"/>
              <w:rPr>
                <w:sz w:val="18"/>
                <w:szCs w:val="18"/>
              </w:rPr>
            </w:pPr>
            <w:r w:rsidRPr="004C5551">
              <w:rPr>
                <w:sz w:val="18"/>
                <w:szCs w:val="18"/>
              </w:rPr>
              <w:t>99</w:t>
            </w:r>
          </w:p>
        </w:tc>
        <w:tc>
          <w:tcPr>
            <w:tcW w:w="493" w:type="pct"/>
            <w:noWrap/>
            <w:vAlign w:val="center"/>
          </w:tcPr>
          <w:p w:rsidR="00F67762" w:rsidRPr="004C5551" w:rsidRDefault="00F67762" w:rsidP="00DA79C0">
            <w:pPr>
              <w:ind w:right="90"/>
              <w:jc w:val="right"/>
              <w:rPr>
                <w:sz w:val="18"/>
                <w:szCs w:val="18"/>
              </w:rPr>
            </w:pPr>
            <w:r w:rsidRPr="004C5551">
              <w:rPr>
                <w:sz w:val="18"/>
                <w:szCs w:val="18"/>
              </w:rPr>
              <w:t>326</w:t>
            </w:r>
          </w:p>
        </w:tc>
        <w:tc>
          <w:tcPr>
            <w:tcW w:w="634" w:type="pct"/>
            <w:noWrap/>
            <w:vAlign w:val="center"/>
          </w:tcPr>
          <w:p w:rsidR="00F67762" w:rsidRPr="004C5551" w:rsidRDefault="00F67762" w:rsidP="00DA79C0">
            <w:pPr>
              <w:ind w:right="90"/>
              <w:jc w:val="right"/>
              <w:rPr>
                <w:sz w:val="18"/>
                <w:szCs w:val="18"/>
              </w:rPr>
            </w:pPr>
            <w:r w:rsidRPr="004C5551">
              <w:rPr>
                <w:sz w:val="18"/>
                <w:szCs w:val="18"/>
              </w:rPr>
              <w:t>283</w:t>
            </w:r>
          </w:p>
        </w:tc>
        <w:tc>
          <w:tcPr>
            <w:tcW w:w="634" w:type="pct"/>
            <w:noWrap/>
            <w:vAlign w:val="center"/>
          </w:tcPr>
          <w:p w:rsidR="00F67762" w:rsidRPr="004C5551" w:rsidRDefault="00F67762" w:rsidP="00DA79C0">
            <w:pPr>
              <w:ind w:right="90"/>
              <w:jc w:val="right"/>
              <w:rPr>
                <w:sz w:val="18"/>
                <w:szCs w:val="18"/>
              </w:rPr>
            </w:pPr>
            <w:r w:rsidRPr="004C5551">
              <w:rPr>
                <w:sz w:val="18"/>
                <w:szCs w:val="18"/>
              </w:rPr>
              <w:t>10</w:t>
            </w:r>
          </w:p>
        </w:tc>
        <w:tc>
          <w:tcPr>
            <w:tcW w:w="498" w:type="pct"/>
            <w:noWrap/>
            <w:vAlign w:val="center"/>
          </w:tcPr>
          <w:p w:rsidR="00F67762" w:rsidRPr="004C5551" w:rsidRDefault="00F67762" w:rsidP="00DA79C0">
            <w:pPr>
              <w:ind w:right="90"/>
              <w:jc w:val="right"/>
              <w:rPr>
                <w:sz w:val="18"/>
                <w:szCs w:val="18"/>
              </w:rPr>
            </w:pPr>
            <w:r w:rsidRPr="004C5551">
              <w:rPr>
                <w:sz w:val="18"/>
                <w:szCs w:val="18"/>
              </w:rPr>
              <w:t>-7</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I Ubytovacie a stravovacie služby</w:t>
            </w:r>
          </w:p>
        </w:tc>
        <w:tc>
          <w:tcPr>
            <w:tcW w:w="457" w:type="pct"/>
            <w:noWrap/>
            <w:vAlign w:val="center"/>
          </w:tcPr>
          <w:p w:rsidR="00F67762" w:rsidRPr="004C5551" w:rsidRDefault="00F67762" w:rsidP="00DA79C0">
            <w:pPr>
              <w:ind w:right="90"/>
              <w:jc w:val="right"/>
              <w:rPr>
                <w:sz w:val="18"/>
                <w:szCs w:val="18"/>
              </w:rPr>
            </w:pPr>
            <w:r w:rsidRPr="004C5551">
              <w:rPr>
                <w:sz w:val="18"/>
                <w:szCs w:val="18"/>
              </w:rPr>
              <w:t>747</w:t>
            </w:r>
          </w:p>
        </w:tc>
        <w:tc>
          <w:tcPr>
            <w:tcW w:w="467" w:type="pct"/>
            <w:noWrap/>
            <w:vAlign w:val="center"/>
          </w:tcPr>
          <w:p w:rsidR="00F67762" w:rsidRPr="004C5551" w:rsidRDefault="00F67762" w:rsidP="00DA79C0">
            <w:pPr>
              <w:ind w:right="90"/>
              <w:jc w:val="right"/>
              <w:rPr>
                <w:sz w:val="18"/>
                <w:szCs w:val="18"/>
              </w:rPr>
            </w:pPr>
            <w:r w:rsidRPr="004C5551">
              <w:rPr>
                <w:sz w:val="18"/>
                <w:szCs w:val="18"/>
              </w:rPr>
              <w:t>549</w:t>
            </w:r>
          </w:p>
        </w:tc>
        <w:tc>
          <w:tcPr>
            <w:tcW w:w="427" w:type="pct"/>
            <w:noWrap/>
            <w:vAlign w:val="center"/>
          </w:tcPr>
          <w:p w:rsidR="00F67762" w:rsidRPr="004C5551" w:rsidRDefault="00F67762" w:rsidP="00DA79C0">
            <w:pPr>
              <w:ind w:right="90"/>
              <w:jc w:val="right"/>
              <w:rPr>
                <w:sz w:val="18"/>
                <w:szCs w:val="18"/>
              </w:rPr>
            </w:pPr>
            <w:r w:rsidRPr="004C5551">
              <w:rPr>
                <w:sz w:val="18"/>
                <w:szCs w:val="18"/>
              </w:rPr>
              <w:t>492</w:t>
            </w:r>
          </w:p>
        </w:tc>
        <w:tc>
          <w:tcPr>
            <w:tcW w:w="494" w:type="pct"/>
            <w:noWrap/>
            <w:vAlign w:val="center"/>
          </w:tcPr>
          <w:p w:rsidR="00F67762" w:rsidRPr="004C5551" w:rsidRDefault="00F67762" w:rsidP="00DA79C0">
            <w:pPr>
              <w:ind w:right="90"/>
              <w:jc w:val="right"/>
              <w:rPr>
                <w:sz w:val="18"/>
                <w:szCs w:val="18"/>
              </w:rPr>
            </w:pPr>
            <w:r w:rsidRPr="004C5551">
              <w:rPr>
                <w:sz w:val="18"/>
                <w:szCs w:val="18"/>
              </w:rPr>
              <w:t>54</w:t>
            </w:r>
          </w:p>
        </w:tc>
        <w:tc>
          <w:tcPr>
            <w:tcW w:w="493" w:type="pct"/>
            <w:noWrap/>
            <w:vAlign w:val="center"/>
          </w:tcPr>
          <w:p w:rsidR="00F67762" w:rsidRPr="004C5551" w:rsidRDefault="00F67762" w:rsidP="00DA79C0">
            <w:pPr>
              <w:ind w:right="90"/>
              <w:jc w:val="right"/>
              <w:rPr>
                <w:sz w:val="18"/>
                <w:szCs w:val="18"/>
              </w:rPr>
            </w:pPr>
            <w:r w:rsidRPr="004C5551">
              <w:rPr>
                <w:sz w:val="18"/>
                <w:szCs w:val="18"/>
              </w:rPr>
              <w:t>198</w:t>
            </w:r>
          </w:p>
        </w:tc>
        <w:tc>
          <w:tcPr>
            <w:tcW w:w="634" w:type="pct"/>
            <w:noWrap/>
            <w:vAlign w:val="center"/>
          </w:tcPr>
          <w:p w:rsidR="00F67762" w:rsidRPr="004C5551" w:rsidRDefault="00F67762" w:rsidP="00DA79C0">
            <w:pPr>
              <w:ind w:right="90"/>
              <w:jc w:val="right"/>
              <w:rPr>
                <w:sz w:val="18"/>
                <w:szCs w:val="18"/>
              </w:rPr>
            </w:pPr>
            <w:r w:rsidRPr="004C5551">
              <w:rPr>
                <w:sz w:val="18"/>
                <w:szCs w:val="18"/>
              </w:rPr>
              <w:t>186</w:t>
            </w:r>
          </w:p>
        </w:tc>
        <w:tc>
          <w:tcPr>
            <w:tcW w:w="634" w:type="pct"/>
            <w:noWrap/>
            <w:vAlign w:val="center"/>
          </w:tcPr>
          <w:p w:rsidR="00F67762" w:rsidRPr="004C5551" w:rsidRDefault="00F67762" w:rsidP="00DA79C0">
            <w:pPr>
              <w:ind w:right="90"/>
              <w:jc w:val="right"/>
              <w:rPr>
                <w:sz w:val="18"/>
                <w:szCs w:val="18"/>
              </w:rPr>
            </w:pPr>
            <w:r w:rsidRPr="004C5551">
              <w:rPr>
                <w:sz w:val="18"/>
                <w:szCs w:val="18"/>
              </w:rPr>
              <w:t>1</w:t>
            </w:r>
          </w:p>
        </w:tc>
        <w:tc>
          <w:tcPr>
            <w:tcW w:w="498" w:type="pct"/>
            <w:noWrap/>
            <w:vAlign w:val="center"/>
          </w:tcPr>
          <w:p w:rsidR="00F67762" w:rsidRPr="004C5551" w:rsidRDefault="00F67762" w:rsidP="00DA79C0">
            <w:pPr>
              <w:ind w:right="90"/>
              <w:jc w:val="right"/>
              <w:rPr>
                <w:sz w:val="18"/>
                <w:szCs w:val="18"/>
              </w:rPr>
            </w:pPr>
            <w:r w:rsidRPr="004C5551">
              <w:rPr>
                <w:sz w:val="18"/>
                <w:szCs w:val="18"/>
              </w:rPr>
              <w:t>-0</w:t>
            </w:r>
          </w:p>
        </w:tc>
      </w:tr>
      <w:tr w:rsidR="00F67762" w:rsidRPr="004C5551" w:rsidTr="00DA79C0">
        <w:trPr>
          <w:trHeight w:val="242"/>
          <w:jc w:val="center"/>
        </w:trPr>
        <w:tc>
          <w:tcPr>
            <w:tcW w:w="896" w:type="pct"/>
            <w:noWrap/>
            <w:vAlign w:val="center"/>
          </w:tcPr>
          <w:p w:rsidR="00F67762" w:rsidRPr="004C5551" w:rsidRDefault="00F67762" w:rsidP="00DA79C0">
            <w:pPr>
              <w:jc w:val="left"/>
              <w:rPr>
                <w:sz w:val="18"/>
                <w:szCs w:val="18"/>
              </w:rPr>
            </w:pPr>
            <w:r w:rsidRPr="004C5551">
              <w:rPr>
                <w:sz w:val="18"/>
                <w:szCs w:val="18"/>
              </w:rPr>
              <w:t xml:space="preserve">J Informácie a komunikácia </w:t>
            </w:r>
          </w:p>
        </w:tc>
        <w:tc>
          <w:tcPr>
            <w:tcW w:w="457" w:type="pct"/>
            <w:noWrap/>
            <w:vAlign w:val="center"/>
          </w:tcPr>
          <w:p w:rsidR="00F67762" w:rsidRPr="004C5551" w:rsidRDefault="00F67762" w:rsidP="00DA79C0">
            <w:pPr>
              <w:ind w:right="90"/>
              <w:jc w:val="right"/>
              <w:rPr>
                <w:sz w:val="18"/>
                <w:szCs w:val="18"/>
              </w:rPr>
            </w:pPr>
            <w:r w:rsidRPr="004C5551">
              <w:rPr>
                <w:sz w:val="18"/>
                <w:szCs w:val="18"/>
              </w:rPr>
              <w:t>2 293</w:t>
            </w:r>
          </w:p>
        </w:tc>
        <w:tc>
          <w:tcPr>
            <w:tcW w:w="467" w:type="pct"/>
            <w:noWrap/>
            <w:vAlign w:val="center"/>
          </w:tcPr>
          <w:p w:rsidR="00F67762" w:rsidRPr="004C5551" w:rsidRDefault="00F67762" w:rsidP="00DA79C0">
            <w:pPr>
              <w:ind w:right="90"/>
              <w:jc w:val="right"/>
              <w:rPr>
                <w:sz w:val="18"/>
                <w:szCs w:val="18"/>
              </w:rPr>
            </w:pPr>
            <w:r w:rsidRPr="004C5551">
              <w:rPr>
                <w:sz w:val="18"/>
                <w:szCs w:val="18"/>
              </w:rPr>
              <w:t>1 700</w:t>
            </w:r>
          </w:p>
        </w:tc>
        <w:tc>
          <w:tcPr>
            <w:tcW w:w="427" w:type="pct"/>
            <w:noWrap/>
            <w:vAlign w:val="center"/>
          </w:tcPr>
          <w:p w:rsidR="00F67762" w:rsidRPr="004C5551" w:rsidRDefault="00F67762" w:rsidP="00DA79C0">
            <w:pPr>
              <w:ind w:right="90"/>
              <w:jc w:val="right"/>
              <w:rPr>
                <w:sz w:val="18"/>
                <w:szCs w:val="18"/>
              </w:rPr>
            </w:pPr>
            <w:r w:rsidRPr="004C5551">
              <w:rPr>
                <w:sz w:val="18"/>
                <w:szCs w:val="18"/>
              </w:rPr>
              <w:t>1 508</w:t>
            </w:r>
          </w:p>
        </w:tc>
        <w:tc>
          <w:tcPr>
            <w:tcW w:w="494" w:type="pct"/>
            <w:noWrap/>
            <w:vAlign w:val="center"/>
          </w:tcPr>
          <w:p w:rsidR="00F67762" w:rsidRPr="004C5551" w:rsidRDefault="00F67762" w:rsidP="00DA79C0">
            <w:pPr>
              <w:ind w:right="90"/>
              <w:jc w:val="right"/>
              <w:rPr>
                <w:sz w:val="18"/>
                <w:szCs w:val="18"/>
              </w:rPr>
            </w:pPr>
            <w:r w:rsidRPr="004C5551">
              <w:rPr>
                <w:sz w:val="18"/>
                <w:szCs w:val="18"/>
              </w:rPr>
              <w:t>168</w:t>
            </w:r>
          </w:p>
        </w:tc>
        <w:tc>
          <w:tcPr>
            <w:tcW w:w="493" w:type="pct"/>
            <w:noWrap/>
            <w:vAlign w:val="center"/>
          </w:tcPr>
          <w:p w:rsidR="00F67762" w:rsidRPr="004C5551" w:rsidRDefault="00F67762" w:rsidP="00DA79C0">
            <w:pPr>
              <w:ind w:right="90"/>
              <w:jc w:val="right"/>
              <w:rPr>
                <w:sz w:val="18"/>
                <w:szCs w:val="18"/>
              </w:rPr>
            </w:pPr>
            <w:r w:rsidRPr="004C5551">
              <w:rPr>
                <w:sz w:val="18"/>
                <w:szCs w:val="18"/>
              </w:rPr>
              <w:t>593</w:t>
            </w:r>
          </w:p>
        </w:tc>
        <w:tc>
          <w:tcPr>
            <w:tcW w:w="634" w:type="pct"/>
            <w:noWrap/>
            <w:vAlign w:val="center"/>
          </w:tcPr>
          <w:p w:rsidR="00F67762" w:rsidRPr="004C5551" w:rsidRDefault="00F67762" w:rsidP="00DA79C0">
            <w:pPr>
              <w:ind w:right="90"/>
              <w:jc w:val="right"/>
              <w:rPr>
                <w:sz w:val="18"/>
                <w:szCs w:val="18"/>
              </w:rPr>
            </w:pPr>
            <w:r w:rsidRPr="004C5551">
              <w:rPr>
                <w:sz w:val="18"/>
                <w:szCs w:val="18"/>
              </w:rPr>
              <w:t>532</w:t>
            </w:r>
          </w:p>
        </w:tc>
        <w:tc>
          <w:tcPr>
            <w:tcW w:w="634" w:type="pct"/>
            <w:noWrap/>
            <w:vAlign w:val="center"/>
          </w:tcPr>
          <w:p w:rsidR="00F67762" w:rsidRPr="004C5551" w:rsidRDefault="00F67762" w:rsidP="00DA79C0">
            <w:pPr>
              <w:ind w:right="90"/>
              <w:jc w:val="right"/>
              <w:rPr>
                <w:sz w:val="18"/>
                <w:szCs w:val="18"/>
              </w:rPr>
            </w:pPr>
            <w:r w:rsidRPr="004C5551">
              <w:rPr>
                <w:sz w:val="18"/>
                <w:szCs w:val="18"/>
              </w:rPr>
              <w:t>9</w:t>
            </w:r>
          </w:p>
        </w:tc>
        <w:tc>
          <w:tcPr>
            <w:tcW w:w="498" w:type="pct"/>
            <w:noWrap/>
            <w:vAlign w:val="center"/>
          </w:tcPr>
          <w:p w:rsidR="00F67762" w:rsidRPr="004C5551" w:rsidRDefault="00F67762" w:rsidP="00DA79C0">
            <w:pPr>
              <w:ind w:right="90"/>
              <w:jc w:val="right"/>
              <w:rPr>
                <w:sz w:val="18"/>
                <w:szCs w:val="18"/>
              </w:rPr>
            </w:pPr>
            <w:r w:rsidRPr="004C5551">
              <w:rPr>
                <w:sz w:val="18"/>
                <w:szCs w:val="18"/>
              </w:rPr>
              <w:t>-</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K Finančné a poisťovacie činnosti</w:t>
            </w:r>
          </w:p>
        </w:tc>
        <w:tc>
          <w:tcPr>
            <w:tcW w:w="457" w:type="pct"/>
            <w:noWrap/>
            <w:vAlign w:val="center"/>
          </w:tcPr>
          <w:p w:rsidR="00F67762" w:rsidRPr="004C5551" w:rsidRDefault="00F67762" w:rsidP="00DA79C0">
            <w:pPr>
              <w:ind w:right="90"/>
              <w:jc w:val="right"/>
              <w:rPr>
                <w:sz w:val="18"/>
                <w:szCs w:val="18"/>
              </w:rPr>
            </w:pPr>
            <w:r w:rsidRPr="004C5551">
              <w:rPr>
                <w:sz w:val="18"/>
                <w:szCs w:val="18"/>
              </w:rPr>
              <w:t>2 225</w:t>
            </w:r>
          </w:p>
        </w:tc>
        <w:tc>
          <w:tcPr>
            <w:tcW w:w="467" w:type="pct"/>
            <w:noWrap/>
            <w:vAlign w:val="center"/>
          </w:tcPr>
          <w:p w:rsidR="00F67762" w:rsidRPr="004C5551" w:rsidRDefault="00F67762" w:rsidP="00DA79C0">
            <w:pPr>
              <w:ind w:right="90"/>
              <w:jc w:val="right"/>
              <w:rPr>
                <w:sz w:val="18"/>
                <w:szCs w:val="18"/>
              </w:rPr>
            </w:pPr>
            <w:r w:rsidRPr="004C5551">
              <w:rPr>
                <w:sz w:val="18"/>
                <w:szCs w:val="18"/>
              </w:rPr>
              <w:t>1 597</w:t>
            </w:r>
          </w:p>
        </w:tc>
        <w:tc>
          <w:tcPr>
            <w:tcW w:w="427" w:type="pct"/>
            <w:noWrap/>
            <w:vAlign w:val="center"/>
          </w:tcPr>
          <w:p w:rsidR="00F67762" w:rsidRPr="004C5551" w:rsidRDefault="00F67762" w:rsidP="00DA79C0">
            <w:pPr>
              <w:ind w:right="90"/>
              <w:jc w:val="right"/>
              <w:rPr>
                <w:sz w:val="18"/>
                <w:szCs w:val="18"/>
              </w:rPr>
            </w:pPr>
            <w:r w:rsidRPr="004C5551">
              <w:rPr>
                <w:sz w:val="18"/>
                <w:szCs w:val="18"/>
              </w:rPr>
              <w:t>1 376</w:t>
            </w:r>
          </w:p>
        </w:tc>
        <w:tc>
          <w:tcPr>
            <w:tcW w:w="494" w:type="pct"/>
            <w:noWrap/>
            <w:vAlign w:val="center"/>
          </w:tcPr>
          <w:p w:rsidR="00F67762" w:rsidRPr="004C5551" w:rsidRDefault="00F67762" w:rsidP="00DA79C0">
            <w:pPr>
              <w:ind w:right="90"/>
              <w:jc w:val="right"/>
              <w:rPr>
                <w:sz w:val="18"/>
                <w:szCs w:val="18"/>
              </w:rPr>
            </w:pPr>
            <w:r w:rsidRPr="004C5551">
              <w:rPr>
                <w:sz w:val="18"/>
                <w:szCs w:val="18"/>
              </w:rPr>
              <w:t>206</w:t>
            </w:r>
          </w:p>
        </w:tc>
        <w:tc>
          <w:tcPr>
            <w:tcW w:w="493" w:type="pct"/>
            <w:noWrap/>
            <w:vAlign w:val="center"/>
          </w:tcPr>
          <w:p w:rsidR="00F67762" w:rsidRPr="004C5551" w:rsidRDefault="00F67762" w:rsidP="00DA79C0">
            <w:pPr>
              <w:ind w:right="90"/>
              <w:jc w:val="right"/>
              <w:rPr>
                <w:sz w:val="18"/>
                <w:szCs w:val="18"/>
              </w:rPr>
            </w:pPr>
            <w:r w:rsidRPr="004C5551">
              <w:rPr>
                <w:sz w:val="18"/>
                <w:szCs w:val="18"/>
              </w:rPr>
              <w:t>628</w:t>
            </w:r>
          </w:p>
        </w:tc>
        <w:tc>
          <w:tcPr>
            <w:tcW w:w="634" w:type="pct"/>
            <w:noWrap/>
            <w:vAlign w:val="center"/>
          </w:tcPr>
          <w:p w:rsidR="00F67762" w:rsidRPr="004C5551" w:rsidRDefault="00F67762" w:rsidP="00DA79C0">
            <w:pPr>
              <w:ind w:right="90"/>
              <w:jc w:val="right"/>
              <w:rPr>
                <w:sz w:val="18"/>
                <w:szCs w:val="18"/>
              </w:rPr>
            </w:pPr>
            <w:r w:rsidRPr="004C5551">
              <w:rPr>
                <w:sz w:val="18"/>
                <w:szCs w:val="18"/>
              </w:rPr>
              <w:t>526</w:t>
            </w:r>
          </w:p>
        </w:tc>
        <w:tc>
          <w:tcPr>
            <w:tcW w:w="634" w:type="pct"/>
            <w:noWrap/>
            <w:vAlign w:val="center"/>
          </w:tcPr>
          <w:p w:rsidR="00F67762" w:rsidRPr="004C5551" w:rsidRDefault="00F67762" w:rsidP="00DA79C0">
            <w:pPr>
              <w:ind w:right="90"/>
              <w:jc w:val="right"/>
              <w:rPr>
                <w:sz w:val="18"/>
                <w:szCs w:val="18"/>
              </w:rPr>
            </w:pPr>
            <w:r w:rsidRPr="004C5551">
              <w:rPr>
                <w:sz w:val="18"/>
                <w:szCs w:val="18"/>
              </w:rPr>
              <w:t>23</w:t>
            </w:r>
          </w:p>
        </w:tc>
        <w:tc>
          <w:tcPr>
            <w:tcW w:w="498" w:type="pct"/>
            <w:noWrap/>
            <w:vAlign w:val="center"/>
          </w:tcPr>
          <w:p w:rsidR="00F67762" w:rsidRPr="004C5551" w:rsidRDefault="00F67762" w:rsidP="00DA79C0">
            <w:pPr>
              <w:ind w:right="90"/>
              <w:jc w:val="right"/>
              <w:rPr>
                <w:sz w:val="18"/>
                <w:szCs w:val="18"/>
              </w:rPr>
            </w:pPr>
            <w:r w:rsidRPr="004C5551">
              <w:rPr>
                <w:sz w:val="18"/>
                <w:szCs w:val="18"/>
              </w:rPr>
              <w:t>-</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L činnosti v oblasti nehnuteľností</w:t>
            </w:r>
          </w:p>
        </w:tc>
        <w:tc>
          <w:tcPr>
            <w:tcW w:w="457" w:type="pct"/>
            <w:noWrap/>
            <w:vAlign w:val="center"/>
          </w:tcPr>
          <w:p w:rsidR="00F67762" w:rsidRPr="004C5551" w:rsidRDefault="00F67762" w:rsidP="00DA79C0">
            <w:pPr>
              <w:ind w:right="90"/>
              <w:jc w:val="right"/>
              <w:rPr>
                <w:sz w:val="18"/>
                <w:szCs w:val="18"/>
              </w:rPr>
            </w:pPr>
            <w:r w:rsidRPr="004C5551">
              <w:rPr>
                <w:sz w:val="18"/>
                <w:szCs w:val="18"/>
              </w:rPr>
              <w:t>1 172</w:t>
            </w:r>
          </w:p>
        </w:tc>
        <w:tc>
          <w:tcPr>
            <w:tcW w:w="467" w:type="pct"/>
            <w:noWrap/>
            <w:vAlign w:val="center"/>
          </w:tcPr>
          <w:p w:rsidR="00F67762" w:rsidRPr="004C5551" w:rsidRDefault="00F67762" w:rsidP="00DA79C0">
            <w:pPr>
              <w:ind w:right="90"/>
              <w:jc w:val="right"/>
              <w:rPr>
                <w:sz w:val="18"/>
                <w:szCs w:val="18"/>
              </w:rPr>
            </w:pPr>
            <w:r w:rsidRPr="004C5551">
              <w:rPr>
                <w:sz w:val="18"/>
                <w:szCs w:val="18"/>
              </w:rPr>
              <w:t>853</w:t>
            </w:r>
          </w:p>
        </w:tc>
        <w:tc>
          <w:tcPr>
            <w:tcW w:w="427" w:type="pct"/>
            <w:noWrap/>
            <w:vAlign w:val="center"/>
          </w:tcPr>
          <w:p w:rsidR="00F67762" w:rsidRPr="004C5551" w:rsidRDefault="00F67762" w:rsidP="00DA79C0">
            <w:pPr>
              <w:ind w:right="90"/>
              <w:jc w:val="right"/>
              <w:rPr>
                <w:sz w:val="18"/>
                <w:szCs w:val="18"/>
              </w:rPr>
            </w:pPr>
            <w:r w:rsidRPr="004C5551">
              <w:rPr>
                <w:sz w:val="18"/>
                <w:szCs w:val="18"/>
              </w:rPr>
              <w:t>752</w:t>
            </w:r>
          </w:p>
        </w:tc>
        <w:tc>
          <w:tcPr>
            <w:tcW w:w="494" w:type="pct"/>
            <w:noWrap/>
            <w:vAlign w:val="center"/>
          </w:tcPr>
          <w:p w:rsidR="00F67762" w:rsidRPr="004C5551" w:rsidRDefault="00F67762" w:rsidP="00DA79C0">
            <w:pPr>
              <w:ind w:right="90"/>
              <w:jc w:val="right"/>
              <w:rPr>
                <w:sz w:val="18"/>
                <w:szCs w:val="18"/>
              </w:rPr>
            </w:pPr>
            <w:r w:rsidRPr="004C5551">
              <w:rPr>
                <w:sz w:val="18"/>
                <w:szCs w:val="18"/>
              </w:rPr>
              <w:t>94</w:t>
            </w:r>
          </w:p>
        </w:tc>
        <w:tc>
          <w:tcPr>
            <w:tcW w:w="493" w:type="pct"/>
            <w:noWrap/>
            <w:vAlign w:val="center"/>
          </w:tcPr>
          <w:p w:rsidR="00F67762" w:rsidRPr="004C5551" w:rsidRDefault="00F67762" w:rsidP="00DA79C0">
            <w:pPr>
              <w:ind w:right="90"/>
              <w:jc w:val="right"/>
              <w:rPr>
                <w:sz w:val="18"/>
                <w:szCs w:val="18"/>
              </w:rPr>
            </w:pPr>
            <w:r w:rsidRPr="004C5551">
              <w:rPr>
                <w:sz w:val="18"/>
                <w:szCs w:val="18"/>
              </w:rPr>
              <w:t>321</w:t>
            </w:r>
          </w:p>
        </w:tc>
        <w:tc>
          <w:tcPr>
            <w:tcW w:w="634" w:type="pct"/>
            <w:noWrap/>
            <w:vAlign w:val="center"/>
          </w:tcPr>
          <w:p w:rsidR="00F67762" w:rsidRPr="004C5551" w:rsidRDefault="00F67762" w:rsidP="00DA79C0">
            <w:pPr>
              <w:ind w:right="90"/>
              <w:jc w:val="right"/>
              <w:rPr>
                <w:sz w:val="18"/>
                <w:szCs w:val="18"/>
              </w:rPr>
            </w:pPr>
            <w:r w:rsidRPr="004C5551">
              <w:rPr>
                <w:sz w:val="18"/>
                <w:szCs w:val="18"/>
              </w:rPr>
              <w:t>290</w:t>
            </w:r>
          </w:p>
        </w:tc>
        <w:tc>
          <w:tcPr>
            <w:tcW w:w="634" w:type="pct"/>
            <w:noWrap/>
            <w:vAlign w:val="center"/>
          </w:tcPr>
          <w:p w:rsidR="00F67762" w:rsidRPr="004C5551" w:rsidRDefault="00F67762" w:rsidP="00DA79C0">
            <w:pPr>
              <w:ind w:right="90"/>
              <w:jc w:val="right"/>
              <w:rPr>
                <w:sz w:val="18"/>
                <w:szCs w:val="18"/>
              </w:rPr>
            </w:pPr>
            <w:r w:rsidRPr="004C5551">
              <w:rPr>
                <w:sz w:val="18"/>
                <w:szCs w:val="18"/>
              </w:rPr>
              <w:t>5</w:t>
            </w:r>
          </w:p>
        </w:tc>
        <w:tc>
          <w:tcPr>
            <w:tcW w:w="498" w:type="pct"/>
            <w:noWrap/>
            <w:vAlign w:val="center"/>
          </w:tcPr>
          <w:p w:rsidR="00F67762" w:rsidRPr="004C5551" w:rsidRDefault="00F67762" w:rsidP="00DA79C0">
            <w:pPr>
              <w:ind w:right="90"/>
              <w:jc w:val="right"/>
              <w:rPr>
                <w:sz w:val="18"/>
                <w:szCs w:val="18"/>
              </w:rPr>
            </w:pPr>
            <w:r w:rsidRPr="004C5551">
              <w:rPr>
                <w:sz w:val="18"/>
                <w:szCs w:val="18"/>
              </w:rPr>
              <w:t>-3</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M Odborné vedecké a technické činnosti</w:t>
            </w:r>
          </w:p>
        </w:tc>
        <w:tc>
          <w:tcPr>
            <w:tcW w:w="457" w:type="pct"/>
            <w:noWrap/>
            <w:vAlign w:val="center"/>
          </w:tcPr>
          <w:p w:rsidR="00F67762" w:rsidRPr="004C5551" w:rsidRDefault="00F67762" w:rsidP="00DA79C0">
            <w:pPr>
              <w:ind w:right="90"/>
              <w:jc w:val="right"/>
              <w:rPr>
                <w:sz w:val="18"/>
                <w:szCs w:val="18"/>
              </w:rPr>
            </w:pPr>
            <w:r w:rsidRPr="004C5551">
              <w:rPr>
                <w:sz w:val="18"/>
                <w:szCs w:val="18"/>
              </w:rPr>
              <w:t>1 631</w:t>
            </w:r>
          </w:p>
        </w:tc>
        <w:tc>
          <w:tcPr>
            <w:tcW w:w="467" w:type="pct"/>
            <w:noWrap/>
            <w:vAlign w:val="center"/>
          </w:tcPr>
          <w:p w:rsidR="00F67762" w:rsidRPr="004C5551" w:rsidRDefault="00F67762" w:rsidP="00DA79C0">
            <w:pPr>
              <w:ind w:right="90"/>
              <w:jc w:val="right"/>
              <w:rPr>
                <w:sz w:val="18"/>
                <w:szCs w:val="18"/>
              </w:rPr>
            </w:pPr>
            <w:r w:rsidRPr="004C5551">
              <w:rPr>
                <w:sz w:val="18"/>
                <w:szCs w:val="18"/>
              </w:rPr>
              <w:t>1 205</w:t>
            </w:r>
          </w:p>
        </w:tc>
        <w:tc>
          <w:tcPr>
            <w:tcW w:w="427" w:type="pct"/>
            <w:noWrap/>
            <w:vAlign w:val="center"/>
          </w:tcPr>
          <w:p w:rsidR="00F67762" w:rsidRPr="004C5551" w:rsidRDefault="00F67762" w:rsidP="00DA79C0">
            <w:pPr>
              <w:ind w:right="90"/>
              <w:jc w:val="right"/>
              <w:rPr>
                <w:sz w:val="18"/>
                <w:szCs w:val="18"/>
              </w:rPr>
            </w:pPr>
            <w:r w:rsidRPr="004C5551">
              <w:rPr>
                <w:sz w:val="18"/>
                <w:szCs w:val="18"/>
              </w:rPr>
              <w:t>1 078</w:t>
            </w:r>
          </w:p>
        </w:tc>
        <w:tc>
          <w:tcPr>
            <w:tcW w:w="494" w:type="pct"/>
            <w:noWrap/>
            <w:vAlign w:val="center"/>
          </w:tcPr>
          <w:p w:rsidR="00F67762" w:rsidRPr="004C5551" w:rsidRDefault="00F67762" w:rsidP="00DA79C0">
            <w:pPr>
              <w:ind w:right="90"/>
              <w:jc w:val="right"/>
              <w:rPr>
                <w:sz w:val="18"/>
                <w:szCs w:val="18"/>
              </w:rPr>
            </w:pPr>
            <w:r w:rsidRPr="004C5551">
              <w:rPr>
                <w:sz w:val="18"/>
                <w:szCs w:val="18"/>
              </w:rPr>
              <w:t>122</w:t>
            </w:r>
          </w:p>
        </w:tc>
        <w:tc>
          <w:tcPr>
            <w:tcW w:w="493" w:type="pct"/>
            <w:noWrap/>
            <w:vAlign w:val="center"/>
          </w:tcPr>
          <w:p w:rsidR="00F67762" w:rsidRPr="004C5551" w:rsidRDefault="00F67762" w:rsidP="00DA79C0">
            <w:pPr>
              <w:ind w:right="90"/>
              <w:jc w:val="right"/>
              <w:rPr>
                <w:sz w:val="18"/>
                <w:szCs w:val="18"/>
              </w:rPr>
            </w:pPr>
            <w:r w:rsidRPr="004C5551">
              <w:rPr>
                <w:sz w:val="18"/>
                <w:szCs w:val="18"/>
              </w:rPr>
              <w:t>426</w:t>
            </w:r>
          </w:p>
        </w:tc>
        <w:tc>
          <w:tcPr>
            <w:tcW w:w="634" w:type="pct"/>
            <w:noWrap/>
            <w:vAlign w:val="center"/>
          </w:tcPr>
          <w:p w:rsidR="00F67762" w:rsidRPr="004C5551" w:rsidRDefault="00F67762" w:rsidP="00DA79C0">
            <w:pPr>
              <w:ind w:right="90"/>
              <w:jc w:val="right"/>
              <w:rPr>
                <w:sz w:val="18"/>
                <w:szCs w:val="18"/>
              </w:rPr>
            </w:pPr>
            <w:r w:rsidRPr="004C5551">
              <w:rPr>
                <w:sz w:val="18"/>
                <w:szCs w:val="18"/>
              </w:rPr>
              <w:t>392</w:t>
            </w:r>
          </w:p>
        </w:tc>
        <w:tc>
          <w:tcPr>
            <w:tcW w:w="634" w:type="pct"/>
            <w:noWrap/>
            <w:vAlign w:val="center"/>
          </w:tcPr>
          <w:p w:rsidR="00F67762" w:rsidRPr="004C5551" w:rsidRDefault="00F67762" w:rsidP="00DA79C0">
            <w:pPr>
              <w:ind w:right="90"/>
              <w:jc w:val="right"/>
              <w:rPr>
                <w:sz w:val="18"/>
                <w:szCs w:val="18"/>
              </w:rPr>
            </w:pPr>
            <w:r w:rsidRPr="004C5551">
              <w:rPr>
                <w:sz w:val="18"/>
                <w:szCs w:val="18"/>
              </w:rPr>
              <w:t>5</w:t>
            </w:r>
          </w:p>
        </w:tc>
        <w:tc>
          <w:tcPr>
            <w:tcW w:w="498" w:type="pct"/>
            <w:noWrap/>
            <w:vAlign w:val="center"/>
          </w:tcPr>
          <w:p w:rsidR="00F67762" w:rsidRPr="004C5551" w:rsidRDefault="00F67762" w:rsidP="00DA79C0">
            <w:pPr>
              <w:ind w:right="90"/>
              <w:jc w:val="right"/>
              <w:rPr>
                <w:sz w:val="18"/>
                <w:szCs w:val="18"/>
              </w:rPr>
            </w:pPr>
            <w:r w:rsidRPr="004C5551">
              <w:rPr>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N Administratívne a podporné služby</w:t>
            </w:r>
          </w:p>
        </w:tc>
        <w:tc>
          <w:tcPr>
            <w:tcW w:w="457" w:type="pct"/>
            <w:noWrap/>
            <w:vAlign w:val="center"/>
          </w:tcPr>
          <w:p w:rsidR="00F67762" w:rsidRPr="004C5551" w:rsidRDefault="00F67762" w:rsidP="00DA79C0">
            <w:pPr>
              <w:ind w:right="90"/>
              <w:jc w:val="right"/>
              <w:rPr>
                <w:sz w:val="18"/>
                <w:szCs w:val="18"/>
              </w:rPr>
            </w:pPr>
            <w:r w:rsidRPr="004C5551">
              <w:rPr>
                <w:sz w:val="18"/>
                <w:szCs w:val="18"/>
              </w:rPr>
              <w:t>926</w:t>
            </w:r>
          </w:p>
        </w:tc>
        <w:tc>
          <w:tcPr>
            <w:tcW w:w="467" w:type="pct"/>
            <w:noWrap/>
            <w:vAlign w:val="center"/>
          </w:tcPr>
          <w:p w:rsidR="00F67762" w:rsidRPr="004C5551" w:rsidRDefault="00F67762" w:rsidP="00DA79C0">
            <w:pPr>
              <w:ind w:right="90"/>
              <w:jc w:val="right"/>
              <w:rPr>
                <w:sz w:val="18"/>
                <w:szCs w:val="18"/>
              </w:rPr>
            </w:pPr>
            <w:r w:rsidRPr="004C5551">
              <w:rPr>
                <w:sz w:val="18"/>
                <w:szCs w:val="18"/>
              </w:rPr>
              <w:t>681</w:t>
            </w:r>
          </w:p>
        </w:tc>
        <w:tc>
          <w:tcPr>
            <w:tcW w:w="427" w:type="pct"/>
            <w:noWrap/>
            <w:vAlign w:val="center"/>
          </w:tcPr>
          <w:p w:rsidR="00F67762" w:rsidRPr="004C5551" w:rsidRDefault="00F67762" w:rsidP="00DA79C0">
            <w:pPr>
              <w:ind w:right="90"/>
              <w:jc w:val="right"/>
              <w:rPr>
                <w:sz w:val="18"/>
                <w:szCs w:val="18"/>
              </w:rPr>
            </w:pPr>
            <w:r w:rsidRPr="004C5551">
              <w:rPr>
                <w:sz w:val="18"/>
                <w:szCs w:val="18"/>
              </w:rPr>
              <w:t>608</w:t>
            </w:r>
          </w:p>
        </w:tc>
        <w:tc>
          <w:tcPr>
            <w:tcW w:w="494" w:type="pct"/>
            <w:noWrap/>
            <w:vAlign w:val="center"/>
          </w:tcPr>
          <w:p w:rsidR="00F67762" w:rsidRPr="004C5551" w:rsidRDefault="00F67762" w:rsidP="00DA79C0">
            <w:pPr>
              <w:ind w:right="90"/>
              <w:jc w:val="right"/>
              <w:rPr>
                <w:sz w:val="18"/>
                <w:szCs w:val="18"/>
              </w:rPr>
            </w:pPr>
            <w:r w:rsidRPr="004C5551">
              <w:rPr>
                <w:sz w:val="18"/>
                <w:szCs w:val="18"/>
              </w:rPr>
              <w:t>70</w:t>
            </w:r>
          </w:p>
        </w:tc>
        <w:tc>
          <w:tcPr>
            <w:tcW w:w="493" w:type="pct"/>
            <w:noWrap/>
            <w:vAlign w:val="center"/>
          </w:tcPr>
          <w:p w:rsidR="00F67762" w:rsidRPr="004C5551" w:rsidRDefault="00F67762" w:rsidP="00DA79C0">
            <w:pPr>
              <w:ind w:right="90"/>
              <w:jc w:val="right"/>
              <w:rPr>
                <w:sz w:val="18"/>
                <w:szCs w:val="18"/>
              </w:rPr>
            </w:pPr>
            <w:r w:rsidRPr="004C5551">
              <w:rPr>
                <w:sz w:val="18"/>
                <w:szCs w:val="18"/>
              </w:rPr>
              <w:t>246</w:t>
            </w:r>
          </w:p>
        </w:tc>
        <w:tc>
          <w:tcPr>
            <w:tcW w:w="634" w:type="pct"/>
            <w:noWrap/>
            <w:vAlign w:val="center"/>
          </w:tcPr>
          <w:p w:rsidR="00F67762" w:rsidRPr="004C5551" w:rsidRDefault="00F67762" w:rsidP="00DA79C0">
            <w:pPr>
              <w:ind w:right="90"/>
              <w:jc w:val="right"/>
              <w:rPr>
                <w:sz w:val="18"/>
                <w:szCs w:val="18"/>
              </w:rPr>
            </w:pPr>
            <w:r w:rsidRPr="004C5551">
              <w:rPr>
                <w:sz w:val="18"/>
                <w:szCs w:val="18"/>
              </w:rPr>
              <w:t>224</w:t>
            </w:r>
          </w:p>
        </w:tc>
        <w:tc>
          <w:tcPr>
            <w:tcW w:w="634" w:type="pct"/>
            <w:noWrap/>
            <w:vAlign w:val="center"/>
          </w:tcPr>
          <w:p w:rsidR="00F67762" w:rsidRPr="004C5551" w:rsidRDefault="00F67762" w:rsidP="00DA79C0">
            <w:pPr>
              <w:ind w:right="90"/>
              <w:jc w:val="right"/>
              <w:rPr>
                <w:sz w:val="18"/>
                <w:szCs w:val="18"/>
              </w:rPr>
            </w:pPr>
            <w:r w:rsidRPr="004C5551">
              <w:rPr>
                <w:sz w:val="18"/>
                <w:szCs w:val="18"/>
              </w:rPr>
              <w:t>2</w:t>
            </w:r>
          </w:p>
        </w:tc>
        <w:tc>
          <w:tcPr>
            <w:tcW w:w="498" w:type="pct"/>
            <w:noWrap/>
            <w:vAlign w:val="center"/>
          </w:tcPr>
          <w:p w:rsidR="00F67762" w:rsidRPr="004C5551" w:rsidRDefault="00F67762" w:rsidP="00DA79C0">
            <w:pPr>
              <w:ind w:right="90"/>
              <w:jc w:val="right"/>
              <w:rPr>
                <w:sz w:val="18"/>
                <w:szCs w:val="18"/>
              </w:rPr>
            </w:pPr>
            <w:r w:rsidRPr="004C5551">
              <w:rPr>
                <w:sz w:val="18"/>
                <w:szCs w:val="18"/>
              </w:rPr>
              <w:t>-1</w:t>
            </w:r>
          </w:p>
        </w:tc>
      </w:tr>
      <w:tr w:rsidR="00F67762" w:rsidRPr="004C5551" w:rsidTr="00DA79C0">
        <w:trPr>
          <w:trHeight w:val="271"/>
          <w:jc w:val="center"/>
        </w:trPr>
        <w:tc>
          <w:tcPr>
            <w:tcW w:w="896" w:type="pct"/>
            <w:noWrap/>
            <w:vAlign w:val="center"/>
          </w:tcPr>
          <w:p w:rsidR="00F67762" w:rsidRPr="004C5551" w:rsidRDefault="00F67762" w:rsidP="00DA79C0">
            <w:pPr>
              <w:jc w:val="left"/>
              <w:rPr>
                <w:sz w:val="18"/>
                <w:szCs w:val="18"/>
              </w:rPr>
            </w:pPr>
            <w:r w:rsidRPr="004C5551">
              <w:rPr>
                <w:sz w:val="18"/>
                <w:szCs w:val="18"/>
              </w:rPr>
              <w:t>O Verejná správa a obrana</w:t>
            </w:r>
          </w:p>
        </w:tc>
        <w:tc>
          <w:tcPr>
            <w:tcW w:w="457" w:type="pct"/>
            <w:noWrap/>
            <w:vAlign w:val="center"/>
          </w:tcPr>
          <w:p w:rsidR="00F67762" w:rsidRPr="004C5551" w:rsidRDefault="00F67762" w:rsidP="00DA79C0">
            <w:pPr>
              <w:ind w:right="90"/>
              <w:jc w:val="right"/>
              <w:rPr>
                <w:sz w:val="18"/>
                <w:szCs w:val="18"/>
              </w:rPr>
            </w:pPr>
            <w:r w:rsidRPr="004C5551">
              <w:rPr>
                <w:sz w:val="18"/>
                <w:szCs w:val="18"/>
              </w:rPr>
              <w:t>1 211</w:t>
            </w:r>
          </w:p>
        </w:tc>
        <w:tc>
          <w:tcPr>
            <w:tcW w:w="467" w:type="pct"/>
            <w:noWrap/>
            <w:vAlign w:val="center"/>
          </w:tcPr>
          <w:p w:rsidR="00F67762" w:rsidRPr="004C5551" w:rsidRDefault="00F67762" w:rsidP="00DA79C0">
            <w:pPr>
              <w:ind w:right="90"/>
              <w:jc w:val="right"/>
              <w:rPr>
                <w:sz w:val="18"/>
                <w:szCs w:val="18"/>
              </w:rPr>
            </w:pPr>
            <w:r w:rsidRPr="004C5551">
              <w:rPr>
                <w:sz w:val="18"/>
                <w:szCs w:val="18"/>
              </w:rPr>
              <w:t>877</w:t>
            </w:r>
          </w:p>
        </w:tc>
        <w:tc>
          <w:tcPr>
            <w:tcW w:w="427" w:type="pct"/>
            <w:noWrap/>
            <w:vAlign w:val="center"/>
          </w:tcPr>
          <w:p w:rsidR="00F67762" w:rsidRPr="004C5551" w:rsidRDefault="00F67762" w:rsidP="00DA79C0">
            <w:pPr>
              <w:ind w:right="90"/>
              <w:jc w:val="right"/>
              <w:rPr>
                <w:sz w:val="18"/>
                <w:szCs w:val="18"/>
              </w:rPr>
            </w:pPr>
            <w:r w:rsidRPr="004C5551">
              <w:rPr>
                <w:sz w:val="18"/>
                <w:szCs w:val="18"/>
              </w:rPr>
              <w:t>790</w:t>
            </w:r>
          </w:p>
        </w:tc>
        <w:tc>
          <w:tcPr>
            <w:tcW w:w="494" w:type="pct"/>
            <w:noWrap/>
            <w:vAlign w:val="center"/>
          </w:tcPr>
          <w:p w:rsidR="00F67762" w:rsidRPr="004C5551" w:rsidRDefault="00F67762" w:rsidP="00DA79C0">
            <w:pPr>
              <w:ind w:right="90"/>
              <w:jc w:val="right"/>
              <w:rPr>
                <w:sz w:val="18"/>
                <w:szCs w:val="18"/>
              </w:rPr>
            </w:pPr>
            <w:r w:rsidRPr="004C5551">
              <w:rPr>
                <w:sz w:val="18"/>
                <w:szCs w:val="18"/>
              </w:rPr>
              <w:t>82</w:t>
            </w:r>
          </w:p>
        </w:tc>
        <w:tc>
          <w:tcPr>
            <w:tcW w:w="493" w:type="pct"/>
            <w:noWrap/>
            <w:vAlign w:val="center"/>
          </w:tcPr>
          <w:p w:rsidR="00F67762" w:rsidRPr="004C5551" w:rsidRDefault="00F67762" w:rsidP="00DA79C0">
            <w:pPr>
              <w:ind w:right="90"/>
              <w:jc w:val="right"/>
              <w:rPr>
                <w:sz w:val="18"/>
                <w:szCs w:val="18"/>
              </w:rPr>
            </w:pPr>
            <w:r w:rsidRPr="004C5551">
              <w:rPr>
                <w:sz w:val="18"/>
                <w:szCs w:val="18"/>
              </w:rPr>
              <w:t>334</w:t>
            </w:r>
          </w:p>
        </w:tc>
        <w:tc>
          <w:tcPr>
            <w:tcW w:w="634" w:type="pct"/>
            <w:noWrap/>
            <w:vAlign w:val="center"/>
          </w:tcPr>
          <w:p w:rsidR="00F67762" w:rsidRPr="004C5551" w:rsidRDefault="00F67762" w:rsidP="00DA79C0">
            <w:pPr>
              <w:ind w:right="90"/>
              <w:jc w:val="right"/>
              <w:rPr>
                <w:sz w:val="18"/>
                <w:szCs w:val="18"/>
              </w:rPr>
            </w:pPr>
            <w:r w:rsidRPr="004C5551">
              <w:rPr>
                <w:sz w:val="18"/>
                <w:szCs w:val="18"/>
              </w:rPr>
              <w:t>303</w:t>
            </w:r>
          </w:p>
        </w:tc>
        <w:tc>
          <w:tcPr>
            <w:tcW w:w="634" w:type="pct"/>
            <w:noWrap/>
            <w:vAlign w:val="center"/>
          </w:tcPr>
          <w:p w:rsidR="00F67762" w:rsidRPr="004C5551" w:rsidRDefault="00F67762" w:rsidP="00DA79C0">
            <w:pPr>
              <w:ind w:right="90"/>
              <w:jc w:val="right"/>
              <w:rPr>
                <w:sz w:val="18"/>
                <w:szCs w:val="18"/>
              </w:rPr>
            </w:pPr>
            <w:r w:rsidRPr="004C5551">
              <w:rPr>
                <w:sz w:val="18"/>
                <w:szCs w:val="18"/>
              </w:rPr>
              <w:t>8</w:t>
            </w:r>
          </w:p>
        </w:tc>
        <w:tc>
          <w:tcPr>
            <w:tcW w:w="498" w:type="pct"/>
            <w:noWrap/>
            <w:vAlign w:val="center"/>
          </w:tcPr>
          <w:p w:rsidR="00F67762" w:rsidRPr="004C5551" w:rsidRDefault="00F67762" w:rsidP="00DA79C0">
            <w:pPr>
              <w:ind w:right="90"/>
              <w:jc w:val="right"/>
              <w:rPr>
                <w:sz w:val="18"/>
                <w:szCs w:val="18"/>
              </w:rPr>
            </w:pPr>
            <w:r w:rsidRPr="004C5551">
              <w:rPr>
                <w:sz w:val="18"/>
                <w:szCs w:val="18"/>
              </w:rPr>
              <w:t>-1</w:t>
            </w:r>
          </w:p>
        </w:tc>
      </w:tr>
      <w:tr w:rsidR="00F67762" w:rsidRPr="004C5551" w:rsidTr="00DA79C0">
        <w:trPr>
          <w:trHeight w:val="271"/>
          <w:jc w:val="center"/>
        </w:trPr>
        <w:tc>
          <w:tcPr>
            <w:tcW w:w="896" w:type="pct"/>
            <w:noWrap/>
            <w:vAlign w:val="center"/>
          </w:tcPr>
          <w:p w:rsidR="00F67762" w:rsidRPr="004C5551" w:rsidRDefault="00F67762" w:rsidP="00DA79C0">
            <w:pPr>
              <w:jc w:val="left"/>
              <w:rPr>
                <w:color w:val="333300"/>
                <w:sz w:val="18"/>
                <w:szCs w:val="18"/>
              </w:rPr>
            </w:pPr>
            <w:r w:rsidRPr="004C5551">
              <w:rPr>
                <w:color w:val="333300"/>
                <w:sz w:val="18"/>
                <w:szCs w:val="18"/>
              </w:rPr>
              <w:t>P Vzdelávanie</w:t>
            </w:r>
          </w:p>
        </w:tc>
        <w:tc>
          <w:tcPr>
            <w:tcW w:w="45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1 098</w:t>
            </w:r>
          </w:p>
        </w:tc>
        <w:tc>
          <w:tcPr>
            <w:tcW w:w="46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798</w:t>
            </w:r>
          </w:p>
        </w:tc>
        <w:tc>
          <w:tcPr>
            <w:tcW w:w="42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674</w:t>
            </w:r>
          </w:p>
        </w:tc>
        <w:tc>
          <w:tcPr>
            <w:tcW w:w="49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124</w:t>
            </w:r>
          </w:p>
        </w:tc>
        <w:tc>
          <w:tcPr>
            <w:tcW w:w="493" w:type="pct"/>
            <w:noWrap/>
            <w:vAlign w:val="center"/>
          </w:tcPr>
          <w:p w:rsidR="00F67762" w:rsidRPr="004C5551" w:rsidRDefault="00F67762" w:rsidP="00DA79C0">
            <w:pPr>
              <w:ind w:right="90"/>
              <w:jc w:val="right"/>
              <w:rPr>
                <w:color w:val="333300"/>
                <w:sz w:val="18"/>
                <w:szCs w:val="18"/>
              </w:rPr>
            </w:pPr>
            <w:r w:rsidRPr="004C5551">
              <w:rPr>
                <w:color w:val="333300"/>
                <w:sz w:val="18"/>
                <w:szCs w:val="18"/>
              </w:rPr>
              <w:t>301</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279</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5</w:t>
            </w:r>
          </w:p>
        </w:tc>
        <w:tc>
          <w:tcPr>
            <w:tcW w:w="498" w:type="pct"/>
            <w:noWrap/>
            <w:vAlign w:val="center"/>
          </w:tcPr>
          <w:p w:rsidR="00F67762" w:rsidRPr="004C5551" w:rsidRDefault="00F67762" w:rsidP="00DA79C0">
            <w:pPr>
              <w:ind w:right="90"/>
              <w:jc w:val="right"/>
              <w:rPr>
                <w:color w:val="333300"/>
                <w:sz w:val="18"/>
                <w:szCs w:val="18"/>
              </w:rPr>
            </w:pPr>
            <w:r w:rsidRPr="004C5551">
              <w:rPr>
                <w:color w:val="333300"/>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color w:val="333300"/>
                <w:sz w:val="18"/>
                <w:szCs w:val="18"/>
              </w:rPr>
            </w:pPr>
            <w:r w:rsidRPr="004C5551">
              <w:rPr>
                <w:color w:val="333300"/>
                <w:sz w:val="18"/>
                <w:szCs w:val="18"/>
              </w:rPr>
              <w:t>Q Zdravotníctvo a sociálna pomoc</w:t>
            </w:r>
          </w:p>
        </w:tc>
        <w:tc>
          <w:tcPr>
            <w:tcW w:w="45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1 204</w:t>
            </w:r>
          </w:p>
        </w:tc>
        <w:tc>
          <w:tcPr>
            <w:tcW w:w="46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881</w:t>
            </w:r>
          </w:p>
        </w:tc>
        <w:tc>
          <w:tcPr>
            <w:tcW w:w="42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767</w:t>
            </w:r>
          </w:p>
        </w:tc>
        <w:tc>
          <w:tcPr>
            <w:tcW w:w="49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99</w:t>
            </w:r>
          </w:p>
        </w:tc>
        <w:tc>
          <w:tcPr>
            <w:tcW w:w="493" w:type="pct"/>
            <w:noWrap/>
            <w:vAlign w:val="center"/>
          </w:tcPr>
          <w:p w:rsidR="00F67762" w:rsidRPr="004C5551" w:rsidRDefault="00F67762" w:rsidP="00DA79C0">
            <w:pPr>
              <w:ind w:right="90"/>
              <w:jc w:val="right"/>
              <w:rPr>
                <w:color w:val="333300"/>
                <w:sz w:val="18"/>
                <w:szCs w:val="18"/>
              </w:rPr>
            </w:pPr>
            <w:r w:rsidRPr="004C5551">
              <w:rPr>
                <w:color w:val="333300"/>
                <w:sz w:val="18"/>
                <w:szCs w:val="18"/>
              </w:rPr>
              <w:t>323</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304</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5</w:t>
            </w:r>
          </w:p>
        </w:tc>
        <w:tc>
          <w:tcPr>
            <w:tcW w:w="498" w:type="pct"/>
            <w:noWrap/>
            <w:vAlign w:val="center"/>
          </w:tcPr>
          <w:p w:rsidR="00F67762" w:rsidRPr="004C5551" w:rsidRDefault="00F67762" w:rsidP="00DA79C0">
            <w:pPr>
              <w:ind w:right="90"/>
              <w:jc w:val="right"/>
              <w:rPr>
                <w:color w:val="333300"/>
                <w:sz w:val="18"/>
                <w:szCs w:val="18"/>
              </w:rPr>
            </w:pPr>
            <w:r w:rsidRPr="004C5551">
              <w:rPr>
                <w:color w:val="333300"/>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color w:val="333300"/>
                <w:sz w:val="18"/>
                <w:szCs w:val="18"/>
              </w:rPr>
            </w:pPr>
            <w:r w:rsidRPr="004C5551">
              <w:rPr>
                <w:color w:val="333300"/>
                <w:sz w:val="18"/>
                <w:szCs w:val="18"/>
              </w:rPr>
              <w:t>R Umenie, zábava a rekreácia</w:t>
            </w:r>
          </w:p>
        </w:tc>
        <w:tc>
          <w:tcPr>
            <w:tcW w:w="45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971</w:t>
            </w:r>
          </w:p>
        </w:tc>
        <w:tc>
          <w:tcPr>
            <w:tcW w:w="46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703</w:t>
            </w:r>
          </w:p>
        </w:tc>
        <w:tc>
          <w:tcPr>
            <w:tcW w:w="42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627</w:t>
            </w:r>
          </w:p>
        </w:tc>
        <w:tc>
          <w:tcPr>
            <w:tcW w:w="49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72</w:t>
            </w:r>
          </w:p>
        </w:tc>
        <w:tc>
          <w:tcPr>
            <w:tcW w:w="493"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268</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247</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4</w:t>
            </w:r>
          </w:p>
        </w:tc>
        <w:tc>
          <w:tcPr>
            <w:tcW w:w="498" w:type="pct"/>
            <w:noWrap/>
            <w:vAlign w:val="center"/>
          </w:tcPr>
          <w:p w:rsidR="00F67762" w:rsidRPr="004C5551" w:rsidRDefault="00F67762" w:rsidP="00DA79C0">
            <w:pPr>
              <w:ind w:right="90"/>
              <w:jc w:val="right"/>
              <w:rPr>
                <w:color w:val="333300"/>
                <w:sz w:val="18"/>
                <w:szCs w:val="18"/>
              </w:rPr>
            </w:pPr>
            <w:r w:rsidRPr="004C5551">
              <w:rPr>
                <w:color w:val="333300"/>
                <w:sz w:val="18"/>
                <w:szCs w:val="18"/>
              </w:rPr>
              <w:t>-0</w:t>
            </w:r>
          </w:p>
        </w:tc>
      </w:tr>
      <w:tr w:rsidR="00F67762" w:rsidRPr="004C5551" w:rsidTr="00DA79C0">
        <w:trPr>
          <w:trHeight w:val="271"/>
          <w:jc w:val="center"/>
        </w:trPr>
        <w:tc>
          <w:tcPr>
            <w:tcW w:w="896" w:type="pct"/>
            <w:noWrap/>
            <w:vAlign w:val="center"/>
          </w:tcPr>
          <w:p w:rsidR="00F67762" w:rsidRPr="004C5551" w:rsidRDefault="00F67762" w:rsidP="00DA79C0">
            <w:pPr>
              <w:jc w:val="left"/>
              <w:rPr>
                <w:color w:val="333300"/>
                <w:sz w:val="18"/>
                <w:szCs w:val="18"/>
              </w:rPr>
            </w:pPr>
            <w:r w:rsidRPr="004C5551">
              <w:rPr>
                <w:color w:val="333300"/>
                <w:sz w:val="18"/>
                <w:szCs w:val="18"/>
              </w:rPr>
              <w:t>S Ostatné činnosti</w:t>
            </w:r>
          </w:p>
        </w:tc>
        <w:tc>
          <w:tcPr>
            <w:tcW w:w="45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923</w:t>
            </w:r>
          </w:p>
        </w:tc>
        <w:tc>
          <w:tcPr>
            <w:tcW w:w="46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672</w:t>
            </w:r>
          </w:p>
        </w:tc>
        <w:tc>
          <w:tcPr>
            <w:tcW w:w="427" w:type="pct"/>
            <w:noWrap/>
            <w:vAlign w:val="center"/>
          </w:tcPr>
          <w:p w:rsidR="00F67762" w:rsidRPr="004C5551" w:rsidRDefault="00F67762" w:rsidP="00DA79C0">
            <w:pPr>
              <w:ind w:right="90"/>
              <w:jc w:val="right"/>
              <w:rPr>
                <w:color w:val="333300"/>
                <w:sz w:val="18"/>
                <w:szCs w:val="18"/>
              </w:rPr>
            </w:pPr>
            <w:r w:rsidRPr="004C5551">
              <w:rPr>
                <w:color w:val="333300"/>
                <w:sz w:val="18"/>
                <w:szCs w:val="18"/>
              </w:rPr>
              <w:t>599</w:t>
            </w:r>
          </w:p>
        </w:tc>
        <w:tc>
          <w:tcPr>
            <w:tcW w:w="49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71</w:t>
            </w:r>
          </w:p>
        </w:tc>
        <w:tc>
          <w:tcPr>
            <w:tcW w:w="493"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253</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232</w:t>
            </w:r>
          </w:p>
        </w:tc>
        <w:tc>
          <w:tcPr>
            <w:tcW w:w="634" w:type="pct"/>
            <w:noWrap/>
            <w:vAlign w:val="center"/>
          </w:tcPr>
          <w:p w:rsidR="00F67762" w:rsidRPr="004C5551" w:rsidRDefault="00F67762" w:rsidP="00DA79C0">
            <w:pPr>
              <w:ind w:right="90"/>
              <w:jc w:val="right"/>
              <w:rPr>
                <w:color w:val="333300"/>
                <w:sz w:val="18"/>
                <w:szCs w:val="18"/>
              </w:rPr>
            </w:pPr>
            <w:r w:rsidRPr="004C5551">
              <w:rPr>
                <w:color w:val="333300"/>
                <w:sz w:val="18"/>
                <w:szCs w:val="18"/>
              </w:rPr>
              <w:t>1</w:t>
            </w:r>
          </w:p>
        </w:tc>
        <w:tc>
          <w:tcPr>
            <w:tcW w:w="498" w:type="pct"/>
            <w:noWrap/>
            <w:vAlign w:val="center"/>
          </w:tcPr>
          <w:p w:rsidR="00F67762" w:rsidRPr="004C5551" w:rsidRDefault="00F67762" w:rsidP="00DA79C0">
            <w:pPr>
              <w:ind w:right="90"/>
              <w:jc w:val="right"/>
              <w:rPr>
                <w:color w:val="333300"/>
                <w:sz w:val="18"/>
                <w:szCs w:val="18"/>
              </w:rPr>
            </w:pPr>
            <w:r w:rsidRPr="004C5551">
              <w:rPr>
                <w:color w:val="333300"/>
                <w:sz w:val="18"/>
                <w:szCs w:val="18"/>
              </w:rPr>
              <w:t>-2</w:t>
            </w:r>
          </w:p>
        </w:tc>
      </w:tr>
    </w:tbl>
    <w:p w:rsidR="00F67762" w:rsidRPr="004C5551" w:rsidRDefault="00F67762" w:rsidP="00423669">
      <w:pPr>
        <w:pStyle w:val="zdroj"/>
        <w:spacing w:after="0"/>
        <w:ind w:firstLine="0"/>
      </w:pPr>
      <w:r w:rsidRPr="004C5551">
        <w:t>Zdroj: ŠÚ SR, štatistické zisťovanie o úplných nákladoch práce</w:t>
      </w:r>
    </w:p>
    <w:p w:rsidR="00F67762" w:rsidRPr="004C5551" w:rsidRDefault="00F67762" w:rsidP="00423669">
      <w:pPr>
        <w:pStyle w:val="zdroj"/>
        <w:spacing w:before="0"/>
        <w:ind w:left="-567"/>
        <w:rPr>
          <w:rFonts w:ascii="Times New Roman Bold" w:hAnsi="Times New Roman Bold"/>
          <w:b/>
          <w:color w:val="4F81BD"/>
          <w:sz w:val="24"/>
          <w:lang w:eastAsia="cs-CZ"/>
        </w:rPr>
      </w:pPr>
      <w:r w:rsidRPr="004C5551">
        <w:t>Vysvetlivka:(-) –jav sa nevyskytoval</w:t>
      </w:r>
    </w:p>
    <w:p w:rsidR="0084617B" w:rsidRPr="004C5551" w:rsidRDefault="0084617B" w:rsidP="00423669">
      <w:pPr>
        <w:pStyle w:val="zdroj"/>
        <w:spacing w:before="0"/>
        <w:rPr>
          <w:color w:val="000000" w:themeColor="text1"/>
        </w:rPr>
        <w:sectPr w:rsidR="0084617B" w:rsidRPr="004C5551" w:rsidSect="004F3C97">
          <w:headerReference w:type="even" r:id="rId103"/>
          <w:headerReference w:type="default" r:id="rId104"/>
          <w:footerReference w:type="default" r:id="rId105"/>
          <w:pgSz w:w="11906" w:h="16838"/>
          <w:pgMar w:top="1417" w:right="1417" w:bottom="1417" w:left="1417" w:header="708" w:footer="708" w:gutter="0"/>
          <w:cols w:space="708"/>
          <w:docGrid w:linePitch="360"/>
        </w:sectPr>
      </w:pPr>
    </w:p>
    <w:p w:rsidR="0084617B" w:rsidRPr="004C5551" w:rsidRDefault="0084617B" w:rsidP="0084617B">
      <w:bookmarkStart w:id="836" w:name="_Toc313879696"/>
    </w:p>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A8320D">
      <w:pPr>
        <w:pStyle w:val="Nadpis1"/>
        <w:numPr>
          <w:ilvl w:val="0"/>
          <w:numId w:val="0"/>
        </w:numPr>
        <w:jc w:val="center"/>
      </w:pPr>
      <w:bookmarkStart w:id="837" w:name="_Toc387413125"/>
      <w:bookmarkStart w:id="838" w:name="_Toc387659191"/>
      <w:bookmarkStart w:id="839" w:name="_Toc388534246"/>
      <w:bookmarkStart w:id="840" w:name="_Toc389646868"/>
      <w:bookmarkStart w:id="841" w:name="_Toc394062246"/>
      <w:bookmarkStart w:id="842" w:name="_Toc418672288"/>
      <w:bookmarkStart w:id="843" w:name="_Toc419355273"/>
      <w:bookmarkStart w:id="844" w:name="_Toc419795396"/>
      <w:bookmarkStart w:id="845" w:name="_Toc422151016"/>
      <w:bookmarkStart w:id="846" w:name="_Toc422233456"/>
      <w:r w:rsidRPr="004C5551">
        <w:t>Príloh</w:t>
      </w:r>
      <w:r w:rsidR="006F6AA3" w:rsidRPr="004C5551">
        <w:t>a</w:t>
      </w:r>
      <w:r w:rsidRPr="004C5551">
        <w:t xml:space="preserve"> ku kapitole 3</w:t>
      </w:r>
      <w:bookmarkEnd w:id="837"/>
      <w:bookmarkEnd w:id="838"/>
      <w:bookmarkEnd w:id="839"/>
      <w:bookmarkEnd w:id="840"/>
      <w:bookmarkEnd w:id="841"/>
      <w:bookmarkEnd w:id="842"/>
      <w:bookmarkEnd w:id="843"/>
      <w:bookmarkEnd w:id="844"/>
      <w:bookmarkEnd w:id="845"/>
      <w:bookmarkEnd w:id="846"/>
    </w:p>
    <w:p w:rsidR="006A153B" w:rsidRPr="004C5551" w:rsidRDefault="006A153B" w:rsidP="0084617B">
      <w:pPr>
        <w:sectPr w:rsidR="006A153B" w:rsidRPr="004C5551" w:rsidSect="004F3C97">
          <w:headerReference w:type="even" r:id="rId106"/>
          <w:footerReference w:type="default" r:id="rId107"/>
          <w:headerReference w:type="first" r:id="rId108"/>
          <w:type w:val="oddPage"/>
          <w:pgSz w:w="11906" w:h="16838"/>
          <w:pgMar w:top="1417" w:right="1417" w:bottom="1417" w:left="1417" w:header="708" w:footer="708" w:gutter="0"/>
          <w:cols w:space="708"/>
          <w:titlePg/>
          <w:docGrid w:linePitch="360"/>
        </w:sectPr>
      </w:pPr>
    </w:p>
    <w:p w:rsidR="00DA79C0" w:rsidRPr="004C5551" w:rsidRDefault="00DA79C0" w:rsidP="00DA79C0">
      <w:pPr>
        <w:pStyle w:val="Nadpis7"/>
      </w:pPr>
      <w:r w:rsidRPr="004C5551">
        <w:t xml:space="preserve">Tabuľka 1 Výdavky základného fondu nemocenského poistenia (ZFNP) a nemocenské dávky </w:t>
      </w:r>
      <w:r w:rsidRPr="004C5551">
        <w:br/>
        <w:t>v roku 2014</w:t>
      </w:r>
    </w:p>
    <w:tbl>
      <w:tblPr>
        <w:tblW w:w="10050" w:type="dxa"/>
        <w:jc w:val="center"/>
        <w:tblLayout w:type="fixed"/>
        <w:tblCellMar>
          <w:left w:w="70" w:type="dxa"/>
          <w:right w:w="70" w:type="dxa"/>
        </w:tblCellMar>
        <w:tblLook w:val="00A0" w:firstRow="1" w:lastRow="0" w:firstColumn="1" w:lastColumn="0" w:noHBand="0" w:noVBand="0"/>
      </w:tblPr>
      <w:tblGrid>
        <w:gridCol w:w="2065"/>
        <w:gridCol w:w="1134"/>
        <w:gridCol w:w="1134"/>
        <w:gridCol w:w="1134"/>
        <w:gridCol w:w="1070"/>
        <w:gridCol w:w="1086"/>
        <w:gridCol w:w="1105"/>
        <w:gridCol w:w="1322"/>
      </w:tblGrid>
      <w:tr w:rsidR="00986004" w:rsidRPr="004C5551" w:rsidTr="00B85283">
        <w:trPr>
          <w:trHeight w:val="265"/>
          <w:jc w:val="center"/>
        </w:trPr>
        <w:tc>
          <w:tcPr>
            <w:tcW w:w="206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Vyplatené dávky (v tis. €)</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Január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Február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Marec</w:t>
            </w:r>
          </w:p>
        </w:tc>
        <w:tc>
          <w:tcPr>
            <w:tcW w:w="107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Apríl</w:t>
            </w:r>
          </w:p>
        </w:tc>
        <w:tc>
          <w:tcPr>
            <w:tcW w:w="1086"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Máj</w:t>
            </w:r>
          </w:p>
        </w:tc>
        <w:tc>
          <w:tcPr>
            <w:tcW w:w="110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Jún</w:t>
            </w:r>
          </w:p>
        </w:tc>
        <w:tc>
          <w:tcPr>
            <w:tcW w:w="132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I. polrok 2014</w:t>
            </w:r>
          </w:p>
        </w:tc>
      </w:tr>
      <w:tr w:rsidR="00986004" w:rsidRPr="004C5551" w:rsidTr="00B85283">
        <w:trPr>
          <w:trHeight w:val="265"/>
          <w:jc w:val="center"/>
        </w:trPr>
        <w:tc>
          <w:tcPr>
            <w:tcW w:w="2065" w:type="dxa"/>
            <w:tcBorders>
              <w:top w:val="single" w:sz="2" w:space="0" w:color="auto"/>
              <w:left w:val="single" w:sz="2" w:space="0" w:color="auto"/>
              <w:right w:val="single" w:sz="2" w:space="0" w:color="auto"/>
            </w:tcBorders>
            <w:noWrap/>
            <w:vAlign w:val="center"/>
          </w:tcPr>
          <w:p w:rsidR="00986004" w:rsidRPr="004C5551" w:rsidRDefault="00986004" w:rsidP="00B85283">
            <w:pPr>
              <w:jc w:val="left"/>
            </w:pPr>
            <w:r w:rsidRPr="004C5551">
              <w:rPr>
                <w:szCs w:val="22"/>
              </w:rPr>
              <w:t>Nemocenské</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21 990,4</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22 618,9</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22 424,2</w:t>
            </w:r>
          </w:p>
        </w:tc>
        <w:tc>
          <w:tcPr>
            <w:tcW w:w="1070"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23 678,1</w:t>
            </w:r>
          </w:p>
        </w:tc>
        <w:tc>
          <w:tcPr>
            <w:tcW w:w="1086"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21 541,6</w:t>
            </w:r>
          </w:p>
        </w:tc>
        <w:tc>
          <w:tcPr>
            <w:tcW w:w="1105"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21 292,4</w:t>
            </w:r>
          </w:p>
        </w:tc>
        <w:tc>
          <w:tcPr>
            <w:tcW w:w="1322" w:type="dxa"/>
            <w:tcBorders>
              <w:top w:val="single" w:sz="2" w:space="0" w:color="auto"/>
              <w:left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133 545,6</w:t>
            </w:r>
          </w:p>
        </w:tc>
      </w:tr>
      <w:tr w:rsidR="00986004" w:rsidRPr="004C5551" w:rsidTr="00B85283">
        <w:trPr>
          <w:trHeight w:val="265"/>
          <w:jc w:val="center"/>
        </w:trPr>
        <w:tc>
          <w:tcPr>
            <w:tcW w:w="2065" w:type="dxa"/>
            <w:tcBorders>
              <w:left w:val="single" w:sz="2" w:space="0" w:color="auto"/>
              <w:right w:val="single" w:sz="2" w:space="0" w:color="auto"/>
            </w:tcBorders>
            <w:noWrap/>
            <w:vAlign w:val="center"/>
          </w:tcPr>
          <w:p w:rsidR="00986004" w:rsidRPr="004C5551" w:rsidRDefault="00986004" w:rsidP="00B85283">
            <w:pPr>
              <w:jc w:val="left"/>
            </w:pPr>
            <w:r w:rsidRPr="004C5551">
              <w:rPr>
                <w:szCs w:val="22"/>
              </w:rPr>
              <w:t>Ošetrovné</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772,3</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587,7</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813,6</w:t>
            </w:r>
          </w:p>
        </w:tc>
        <w:tc>
          <w:tcPr>
            <w:tcW w:w="1070"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844,1</w:t>
            </w:r>
          </w:p>
        </w:tc>
        <w:tc>
          <w:tcPr>
            <w:tcW w:w="1086"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778,3</w:t>
            </w:r>
          </w:p>
        </w:tc>
        <w:tc>
          <w:tcPr>
            <w:tcW w:w="1105"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692,6</w:t>
            </w:r>
          </w:p>
        </w:tc>
        <w:tc>
          <w:tcPr>
            <w:tcW w:w="1322" w:type="dxa"/>
            <w:tcBorders>
              <w:left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4 488,7</w:t>
            </w:r>
          </w:p>
        </w:tc>
      </w:tr>
      <w:tr w:rsidR="00986004" w:rsidRPr="004C5551" w:rsidTr="00B85283">
        <w:trPr>
          <w:trHeight w:val="265"/>
          <w:jc w:val="center"/>
        </w:trPr>
        <w:tc>
          <w:tcPr>
            <w:tcW w:w="2065" w:type="dxa"/>
            <w:tcBorders>
              <w:left w:val="single" w:sz="2" w:space="0" w:color="auto"/>
              <w:right w:val="single" w:sz="2" w:space="0" w:color="auto"/>
            </w:tcBorders>
            <w:noWrap/>
            <w:vAlign w:val="center"/>
          </w:tcPr>
          <w:p w:rsidR="00986004" w:rsidRPr="004C5551" w:rsidRDefault="00986004" w:rsidP="00B85283">
            <w:pPr>
              <w:jc w:val="left"/>
            </w:pPr>
            <w:r w:rsidRPr="004C5551">
              <w:rPr>
                <w:szCs w:val="22"/>
              </w:rPr>
              <w:t>Vyrovnávacia dávka</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9 985,7</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9 787,8</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8 738,9</w:t>
            </w:r>
          </w:p>
        </w:tc>
        <w:tc>
          <w:tcPr>
            <w:tcW w:w="1070"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9 479,2</w:t>
            </w:r>
          </w:p>
        </w:tc>
        <w:tc>
          <w:tcPr>
            <w:tcW w:w="1086"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9 127,5</w:t>
            </w:r>
          </w:p>
        </w:tc>
        <w:tc>
          <w:tcPr>
            <w:tcW w:w="1105"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9 495,8</w:t>
            </w:r>
          </w:p>
        </w:tc>
        <w:tc>
          <w:tcPr>
            <w:tcW w:w="1322" w:type="dxa"/>
            <w:tcBorders>
              <w:left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56 614,9</w:t>
            </w:r>
          </w:p>
        </w:tc>
      </w:tr>
      <w:tr w:rsidR="00986004" w:rsidRPr="004C5551" w:rsidTr="00B85283">
        <w:trPr>
          <w:trHeight w:val="265"/>
          <w:jc w:val="center"/>
        </w:trPr>
        <w:tc>
          <w:tcPr>
            <w:tcW w:w="2065" w:type="dxa"/>
            <w:tcBorders>
              <w:left w:val="single" w:sz="2" w:space="0" w:color="auto"/>
              <w:right w:val="single" w:sz="2" w:space="0" w:color="auto"/>
            </w:tcBorders>
            <w:noWrap/>
            <w:vAlign w:val="center"/>
          </w:tcPr>
          <w:p w:rsidR="00986004" w:rsidRPr="004C5551" w:rsidRDefault="00986004" w:rsidP="00B85283">
            <w:pPr>
              <w:jc w:val="left"/>
            </w:pPr>
            <w:r w:rsidRPr="004C5551">
              <w:rPr>
                <w:szCs w:val="22"/>
              </w:rPr>
              <w:t>Materské</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4,1</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3,3</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4,4</w:t>
            </w:r>
          </w:p>
        </w:tc>
        <w:tc>
          <w:tcPr>
            <w:tcW w:w="1070"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7,1</w:t>
            </w:r>
          </w:p>
        </w:tc>
        <w:tc>
          <w:tcPr>
            <w:tcW w:w="1086"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7,3</w:t>
            </w:r>
          </w:p>
        </w:tc>
        <w:tc>
          <w:tcPr>
            <w:tcW w:w="1105"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7,0</w:t>
            </w:r>
          </w:p>
        </w:tc>
        <w:tc>
          <w:tcPr>
            <w:tcW w:w="1322" w:type="dxa"/>
            <w:tcBorders>
              <w:left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33,1</w:t>
            </w:r>
          </w:p>
        </w:tc>
      </w:tr>
      <w:tr w:rsidR="00986004" w:rsidRPr="004C5551" w:rsidTr="00B85283">
        <w:trPr>
          <w:trHeight w:val="265"/>
          <w:jc w:val="center"/>
        </w:trPr>
        <w:tc>
          <w:tcPr>
            <w:tcW w:w="2065" w:type="dxa"/>
            <w:tcBorders>
              <w:left w:val="single" w:sz="2" w:space="0" w:color="auto"/>
              <w:right w:val="single" w:sz="2" w:space="0" w:color="auto"/>
            </w:tcBorders>
            <w:noWrap/>
            <w:vAlign w:val="center"/>
          </w:tcPr>
          <w:p w:rsidR="00986004" w:rsidRPr="004C5551" w:rsidRDefault="00986004" w:rsidP="00B85283">
            <w:pPr>
              <w:jc w:val="left"/>
              <w:rPr>
                <w:b/>
                <w:bCs/>
              </w:rPr>
            </w:pPr>
            <w:r w:rsidRPr="004C5551">
              <w:rPr>
                <w:b/>
                <w:bCs/>
                <w:szCs w:val="22"/>
              </w:rPr>
              <w:t>Spolu</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32 752,5</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32 997,8</w:t>
            </w:r>
          </w:p>
        </w:tc>
        <w:tc>
          <w:tcPr>
            <w:tcW w:w="1134"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31 981,2</w:t>
            </w:r>
          </w:p>
        </w:tc>
        <w:tc>
          <w:tcPr>
            <w:tcW w:w="1070"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34 008,5</w:t>
            </w:r>
          </w:p>
        </w:tc>
        <w:tc>
          <w:tcPr>
            <w:tcW w:w="1086"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31 454,7</w:t>
            </w:r>
          </w:p>
        </w:tc>
        <w:tc>
          <w:tcPr>
            <w:tcW w:w="1105" w:type="dxa"/>
            <w:tcBorders>
              <w:left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31 487,7</w:t>
            </w:r>
          </w:p>
        </w:tc>
        <w:tc>
          <w:tcPr>
            <w:tcW w:w="1322" w:type="dxa"/>
            <w:tcBorders>
              <w:left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194 682,3</w:t>
            </w:r>
          </w:p>
        </w:tc>
      </w:tr>
      <w:tr w:rsidR="00986004" w:rsidRPr="004C5551" w:rsidTr="00B85283">
        <w:trPr>
          <w:trHeight w:val="265"/>
          <w:jc w:val="center"/>
        </w:trPr>
        <w:tc>
          <w:tcPr>
            <w:tcW w:w="2065" w:type="dxa"/>
            <w:tcBorders>
              <w:left w:val="single" w:sz="2" w:space="0" w:color="auto"/>
              <w:bottom w:val="single" w:sz="2" w:space="0" w:color="auto"/>
              <w:right w:val="single" w:sz="2" w:space="0" w:color="auto"/>
            </w:tcBorders>
            <w:noWrap/>
            <w:vAlign w:val="center"/>
          </w:tcPr>
          <w:p w:rsidR="00986004" w:rsidRPr="004C5551" w:rsidRDefault="00986004" w:rsidP="00B85283">
            <w:pPr>
              <w:jc w:val="left"/>
            </w:pPr>
            <w:r w:rsidRPr="004C5551">
              <w:rPr>
                <w:szCs w:val="22"/>
              </w:rPr>
              <w:t>zúčtovanie dávok §112, ods.98</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0,0</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0,0</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0,0</w:t>
            </w:r>
          </w:p>
        </w:tc>
        <w:tc>
          <w:tcPr>
            <w:tcW w:w="1070"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0,0</w:t>
            </w:r>
          </w:p>
        </w:tc>
        <w:tc>
          <w:tcPr>
            <w:tcW w:w="1086"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0,0</w:t>
            </w:r>
          </w:p>
        </w:tc>
        <w:tc>
          <w:tcPr>
            <w:tcW w:w="1105"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-1,1</w:t>
            </w:r>
          </w:p>
        </w:tc>
        <w:tc>
          <w:tcPr>
            <w:tcW w:w="1322"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-1,1</w:t>
            </w:r>
          </w:p>
        </w:tc>
      </w:tr>
      <w:tr w:rsidR="00986004" w:rsidRPr="004C5551" w:rsidTr="00B85283">
        <w:trPr>
          <w:trHeight w:val="265"/>
          <w:jc w:val="center"/>
        </w:trPr>
        <w:tc>
          <w:tcPr>
            <w:tcW w:w="2065"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jc w:val="left"/>
              <w:rPr>
                <w:b/>
                <w:bCs/>
              </w:rPr>
            </w:pPr>
            <w:r w:rsidRPr="004C5551">
              <w:rPr>
                <w:b/>
                <w:bCs/>
                <w:szCs w:val="22"/>
              </w:rPr>
              <w:t>Celkom výdavky ZFNP</w:t>
            </w:r>
          </w:p>
        </w:tc>
        <w:tc>
          <w:tcPr>
            <w:tcW w:w="11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32 752,5</w:t>
            </w:r>
          </w:p>
        </w:tc>
        <w:tc>
          <w:tcPr>
            <w:tcW w:w="11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32 997,8</w:t>
            </w:r>
          </w:p>
        </w:tc>
        <w:tc>
          <w:tcPr>
            <w:tcW w:w="11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31 981,2</w:t>
            </w:r>
          </w:p>
        </w:tc>
        <w:tc>
          <w:tcPr>
            <w:tcW w:w="107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34 008,5</w:t>
            </w:r>
          </w:p>
        </w:tc>
        <w:tc>
          <w:tcPr>
            <w:tcW w:w="1086"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31 454,7</w:t>
            </w:r>
          </w:p>
        </w:tc>
        <w:tc>
          <w:tcPr>
            <w:tcW w:w="1105"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sz w:val="18"/>
                <w:szCs w:val="18"/>
              </w:rPr>
            </w:pPr>
            <w:r w:rsidRPr="004C5551">
              <w:rPr>
                <w:sz w:val="18"/>
                <w:szCs w:val="18"/>
              </w:rPr>
              <w:t>31 486,6</w:t>
            </w:r>
          </w:p>
        </w:tc>
        <w:tc>
          <w:tcPr>
            <w:tcW w:w="1322"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74"/>
              <w:jc w:val="right"/>
              <w:rPr>
                <w:b/>
                <w:sz w:val="18"/>
                <w:szCs w:val="18"/>
              </w:rPr>
            </w:pPr>
            <w:r w:rsidRPr="004C5551">
              <w:rPr>
                <w:b/>
                <w:sz w:val="18"/>
                <w:szCs w:val="18"/>
              </w:rPr>
              <w:t>194 681,2</w:t>
            </w:r>
          </w:p>
        </w:tc>
      </w:tr>
    </w:tbl>
    <w:p w:rsidR="00986004" w:rsidRPr="004C5551" w:rsidRDefault="00986004" w:rsidP="00986004">
      <w:pPr>
        <w:pStyle w:val="zdroj"/>
        <w:spacing w:before="0" w:after="0"/>
        <w:rPr>
          <w:color w:val="auto"/>
          <w:lang w:eastAsia="cs-CZ"/>
        </w:rPr>
      </w:pPr>
    </w:p>
    <w:tbl>
      <w:tblPr>
        <w:tblW w:w="10006" w:type="dxa"/>
        <w:jc w:val="center"/>
        <w:tblLayout w:type="fixed"/>
        <w:tblCellMar>
          <w:left w:w="70" w:type="dxa"/>
          <w:right w:w="70" w:type="dxa"/>
        </w:tblCellMar>
        <w:tblLook w:val="00A0" w:firstRow="1" w:lastRow="0" w:firstColumn="1" w:lastColumn="0" w:noHBand="0" w:noVBand="0"/>
      </w:tblPr>
      <w:tblGrid>
        <w:gridCol w:w="2068"/>
        <w:gridCol w:w="1093"/>
        <w:gridCol w:w="1034"/>
        <w:gridCol w:w="1234"/>
        <w:gridCol w:w="1034"/>
        <w:gridCol w:w="1134"/>
        <w:gridCol w:w="1134"/>
        <w:gridCol w:w="1275"/>
      </w:tblGrid>
      <w:tr w:rsidR="00986004" w:rsidRPr="004C5551" w:rsidTr="00B85283">
        <w:trPr>
          <w:trHeight w:val="278"/>
          <w:jc w:val="center"/>
        </w:trPr>
        <w:tc>
          <w:tcPr>
            <w:tcW w:w="206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Vyplatené dávky (v tis. €)</w:t>
            </w:r>
          </w:p>
        </w:tc>
        <w:tc>
          <w:tcPr>
            <w:tcW w:w="10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Júl</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August</w:t>
            </w:r>
          </w:p>
        </w:tc>
        <w:tc>
          <w:tcPr>
            <w:tcW w:w="12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September</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Október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December</w:t>
            </w:r>
          </w:p>
        </w:tc>
        <w:tc>
          <w:tcPr>
            <w:tcW w:w="127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Rok 2014</w:t>
            </w:r>
          </w:p>
        </w:tc>
      </w:tr>
      <w:tr w:rsidR="00986004" w:rsidRPr="004C5551" w:rsidTr="00B85283">
        <w:trPr>
          <w:trHeight w:val="278"/>
          <w:jc w:val="center"/>
        </w:trPr>
        <w:tc>
          <w:tcPr>
            <w:tcW w:w="2068" w:type="dxa"/>
            <w:tcBorders>
              <w:top w:val="single" w:sz="2" w:space="0" w:color="auto"/>
              <w:left w:val="single" w:sz="2" w:space="0" w:color="auto"/>
              <w:right w:val="single" w:sz="2" w:space="0" w:color="auto"/>
            </w:tcBorders>
            <w:noWrap/>
            <w:vAlign w:val="center"/>
          </w:tcPr>
          <w:p w:rsidR="00986004" w:rsidRPr="004C5551" w:rsidRDefault="00986004" w:rsidP="00B85283">
            <w:r w:rsidRPr="004C5551">
              <w:rPr>
                <w:szCs w:val="22"/>
              </w:rPr>
              <w:t>Nemocenské</w:t>
            </w:r>
          </w:p>
        </w:tc>
        <w:tc>
          <w:tcPr>
            <w:tcW w:w="1093"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20 319,0</w:t>
            </w:r>
          </w:p>
        </w:tc>
        <w:tc>
          <w:tcPr>
            <w:tcW w:w="1034"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20 044,1</w:t>
            </w:r>
          </w:p>
        </w:tc>
        <w:tc>
          <w:tcPr>
            <w:tcW w:w="1234"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19 452,6</w:t>
            </w:r>
          </w:p>
        </w:tc>
        <w:tc>
          <w:tcPr>
            <w:tcW w:w="1034"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18 861,0</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21 220,6</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21 305,9</w:t>
            </w:r>
          </w:p>
        </w:tc>
        <w:tc>
          <w:tcPr>
            <w:tcW w:w="1275" w:type="dxa"/>
            <w:tcBorders>
              <w:top w:val="single" w:sz="2" w:space="0" w:color="auto"/>
              <w:left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254 748,8</w:t>
            </w:r>
          </w:p>
        </w:tc>
      </w:tr>
      <w:tr w:rsidR="00986004" w:rsidRPr="004C5551" w:rsidTr="00B85283">
        <w:trPr>
          <w:trHeight w:val="278"/>
          <w:jc w:val="center"/>
        </w:trPr>
        <w:tc>
          <w:tcPr>
            <w:tcW w:w="2068" w:type="dxa"/>
            <w:tcBorders>
              <w:left w:val="single" w:sz="2" w:space="0" w:color="auto"/>
              <w:right w:val="single" w:sz="2" w:space="0" w:color="auto"/>
            </w:tcBorders>
            <w:noWrap/>
            <w:vAlign w:val="center"/>
          </w:tcPr>
          <w:p w:rsidR="00986004" w:rsidRPr="004C5551" w:rsidRDefault="00986004" w:rsidP="00B85283">
            <w:r w:rsidRPr="004C5551">
              <w:rPr>
                <w:szCs w:val="22"/>
              </w:rPr>
              <w:t>Ošetrovné</w:t>
            </w:r>
          </w:p>
        </w:tc>
        <w:tc>
          <w:tcPr>
            <w:tcW w:w="1093"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718,4</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603,0</w:t>
            </w:r>
          </w:p>
        </w:tc>
        <w:tc>
          <w:tcPr>
            <w:tcW w:w="12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551,6</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592,0</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918,5</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849,6</w:t>
            </w:r>
          </w:p>
        </w:tc>
        <w:tc>
          <w:tcPr>
            <w:tcW w:w="1275" w:type="dxa"/>
            <w:tcBorders>
              <w:left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8 721,8</w:t>
            </w:r>
          </w:p>
        </w:tc>
      </w:tr>
      <w:tr w:rsidR="00986004" w:rsidRPr="004C5551" w:rsidTr="00B85283">
        <w:trPr>
          <w:trHeight w:val="278"/>
          <w:jc w:val="center"/>
        </w:trPr>
        <w:tc>
          <w:tcPr>
            <w:tcW w:w="2068" w:type="dxa"/>
            <w:tcBorders>
              <w:left w:val="single" w:sz="2" w:space="0" w:color="auto"/>
              <w:right w:val="single" w:sz="2" w:space="0" w:color="auto"/>
            </w:tcBorders>
            <w:noWrap/>
            <w:vAlign w:val="center"/>
          </w:tcPr>
          <w:p w:rsidR="00986004" w:rsidRPr="004C5551" w:rsidRDefault="00986004" w:rsidP="00B85283">
            <w:r w:rsidRPr="004C5551">
              <w:rPr>
                <w:szCs w:val="22"/>
              </w:rPr>
              <w:t>Vyrovnávacia dávka</w:t>
            </w:r>
          </w:p>
        </w:tc>
        <w:tc>
          <w:tcPr>
            <w:tcW w:w="1093"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9 491,3</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10 043,3</w:t>
            </w:r>
          </w:p>
        </w:tc>
        <w:tc>
          <w:tcPr>
            <w:tcW w:w="12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10 374,5</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10 164,3</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10 451,7</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10 129,4</w:t>
            </w:r>
          </w:p>
        </w:tc>
        <w:tc>
          <w:tcPr>
            <w:tcW w:w="1275" w:type="dxa"/>
            <w:tcBorders>
              <w:left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117 269,5</w:t>
            </w:r>
          </w:p>
        </w:tc>
      </w:tr>
      <w:tr w:rsidR="00986004" w:rsidRPr="004C5551" w:rsidTr="00B85283">
        <w:trPr>
          <w:trHeight w:val="278"/>
          <w:jc w:val="center"/>
        </w:trPr>
        <w:tc>
          <w:tcPr>
            <w:tcW w:w="2068" w:type="dxa"/>
            <w:tcBorders>
              <w:left w:val="single" w:sz="2" w:space="0" w:color="auto"/>
              <w:right w:val="single" w:sz="2" w:space="0" w:color="auto"/>
            </w:tcBorders>
            <w:noWrap/>
            <w:vAlign w:val="center"/>
          </w:tcPr>
          <w:p w:rsidR="00986004" w:rsidRPr="004C5551" w:rsidRDefault="00986004" w:rsidP="00B85283">
            <w:r w:rsidRPr="004C5551">
              <w:rPr>
                <w:szCs w:val="22"/>
              </w:rPr>
              <w:t>Materské</w:t>
            </w:r>
          </w:p>
        </w:tc>
        <w:tc>
          <w:tcPr>
            <w:tcW w:w="1093"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7,3</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5,7</w:t>
            </w:r>
          </w:p>
        </w:tc>
        <w:tc>
          <w:tcPr>
            <w:tcW w:w="12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5,7</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6,3</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7,1</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6,7</w:t>
            </w:r>
          </w:p>
        </w:tc>
        <w:tc>
          <w:tcPr>
            <w:tcW w:w="1275" w:type="dxa"/>
            <w:tcBorders>
              <w:left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71,9</w:t>
            </w:r>
          </w:p>
        </w:tc>
      </w:tr>
      <w:tr w:rsidR="00986004" w:rsidRPr="004C5551" w:rsidTr="00B85283">
        <w:trPr>
          <w:trHeight w:val="278"/>
          <w:jc w:val="center"/>
        </w:trPr>
        <w:tc>
          <w:tcPr>
            <w:tcW w:w="2068" w:type="dxa"/>
            <w:tcBorders>
              <w:left w:val="single" w:sz="2" w:space="0" w:color="auto"/>
              <w:right w:val="single" w:sz="2" w:space="0" w:color="auto"/>
            </w:tcBorders>
            <w:noWrap/>
            <w:vAlign w:val="center"/>
          </w:tcPr>
          <w:p w:rsidR="00986004" w:rsidRPr="004C5551" w:rsidRDefault="00986004" w:rsidP="00B85283">
            <w:pPr>
              <w:rPr>
                <w:b/>
                <w:bCs/>
              </w:rPr>
            </w:pPr>
            <w:r w:rsidRPr="004C5551">
              <w:rPr>
                <w:b/>
                <w:bCs/>
                <w:szCs w:val="22"/>
              </w:rPr>
              <w:t>Spolu</w:t>
            </w:r>
          </w:p>
        </w:tc>
        <w:tc>
          <w:tcPr>
            <w:tcW w:w="1093"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30 536,0</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30 696,1</w:t>
            </w:r>
          </w:p>
        </w:tc>
        <w:tc>
          <w:tcPr>
            <w:tcW w:w="12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30 384,4</w:t>
            </w:r>
          </w:p>
        </w:tc>
        <w:tc>
          <w:tcPr>
            <w:tcW w:w="10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29 623,7</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32 597,9</w:t>
            </w:r>
          </w:p>
        </w:tc>
        <w:tc>
          <w:tcPr>
            <w:tcW w:w="1134" w:type="dxa"/>
            <w:tcBorders>
              <w:left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32 291,5</w:t>
            </w:r>
          </w:p>
        </w:tc>
        <w:tc>
          <w:tcPr>
            <w:tcW w:w="1275" w:type="dxa"/>
            <w:tcBorders>
              <w:left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380 812,0</w:t>
            </w:r>
          </w:p>
        </w:tc>
      </w:tr>
      <w:tr w:rsidR="00986004" w:rsidRPr="004C5551" w:rsidTr="00B85283">
        <w:trPr>
          <w:trHeight w:val="278"/>
          <w:jc w:val="center"/>
        </w:trPr>
        <w:tc>
          <w:tcPr>
            <w:tcW w:w="2068" w:type="dxa"/>
            <w:tcBorders>
              <w:left w:val="single" w:sz="2" w:space="0" w:color="auto"/>
              <w:bottom w:val="single" w:sz="2" w:space="0" w:color="auto"/>
              <w:right w:val="single" w:sz="2" w:space="0" w:color="auto"/>
            </w:tcBorders>
            <w:noWrap/>
            <w:vAlign w:val="center"/>
          </w:tcPr>
          <w:p w:rsidR="00986004" w:rsidRPr="004C5551" w:rsidRDefault="00986004" w:rsidP="00B85283">
            <w:r w:rsidRPr="004C5551">
              <w:rPr>
                <w:szCs w:val="22"/>
              </w:rPr>
              <w:t>zúčtovanie dávok §112, ods.9</w:t>
            </w:r>
          </w:p>
        </w:tc>
        <w:tc>
          <w:tcPr>
            <w:tcW w:w="1093"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0,0</w:t>
            </w:r>
          </w:p>
        </w:tc>
        <w:tc>
          <w:tcPr>
            <w:tcW w:w="10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0,0</w:t>
            </w:r>
          </w:p>
        </w:tc>
        <w:tc>
          <w:tcPr>
            <w:tcW w:w="12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-0,8</w:t>
            </w:r>
          </w:p>
        </w:tc>
        <w:tc>
          <w:tcPr>
            <w:tcW w:w="10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-0,3</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0,0</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0,0</w:t>
            </w:r>
          </w:p>
        </w:tc>
        <w:tc>
          <w:tcPr>
            <w:tcW w:w="1275" w:type="dxa"/>
            <w:tcBorders>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-2,2</w:t>
            </w:r>
          </w:p>
        </w:tc>
      </w:tr>
      <w:tr w:rsidR="00986004" w:rsidRPr="004C5551" w:rsidTr="00B85283">
        <w:trPr>
          <w:trHeight w:val="278"/>
          <w:jc w:val="center"/>
        </w:trPr>
        <w:tc>
          <w:tcPr>
            <w:tcW w:w="2068"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rPr>
                <w:b/>
                <w:bCs/>
              </w:rPr>
            </w:pPr>
            <w:r w:rsidRPr="004C5551">
              <w:rPr>
                <w:b/>
                <w:bCs/>
                <w:szCs w:val="22"/>
              </w:rPr>
              <w:t>Celkom výdavky ZFNP</w:t>
            </w:r>
          </w:p>
        </w:tc>
        <w:tc>
          <w:tcPr>
            <w:tcW w:w="1093"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30 536,0</w:t>
            </w:r>
          </w:p>
        </w:tc>
        <w:tc>
          <w:tcPr>
            <w:tcW w:w="10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30 836,9</w:t>
            </w:r>
          </w:p>
        </w:tc>
        <w:tc>
          <w:tcPr>
            <w:tcW w:w="12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30 253,4</w:t>
            </w:r>
          </w:p>
        </w:tc>
        <w:tc>
          <w:tcPr>
            <w:tcW w:w="10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29 617,2</w:t>
            </w:r>
          </w:p>
        </w:tc>
        <w:tc>
          <w:tcPr>
            <w:tcW w:w="11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32 597,0</w:t>
            </w:r>
          </w:p>
        </w:tc>
        <w:tc>
          <w:tcPr>
            <w:tcW w:w="1134"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sz w:val="18"/>
                <w:szCs w:val="18"/>
              </w:rPr>
            </w:pPr>
            <w:r w:rsidRPr="004C5551">
              <w:rPr>
                <w:sz w:val="18"/>
                <w:szCs w:val="18"/>
              </w:rPr>
              <w:t>32 290,3</w:t>
            </w:r>
          </w:p>
        </w:tc>
        <w:tc>
          <w:tcPr>
            <w:tcW w:w="1275"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72"/>
              <w:jc w:val="right"/>
              <w:rPr>
                <w:b/>
                <w:sz w:val="18"/>
                <w:szCs w:val="18"/>
              </w:rPr>
            </w:pPr>
            <w:r w:rsidRPr="004C5551">
              <w:rPr>
                <w:b/>
                <w:sz w:val="18"/>
                <w:szCs w:val="18"/>
              </w:rPr>
              <w:t>380 812,0</w:t>
            </w:r>
          </w:p>
        </w:tc>
      </w:tr>
    </w:tbl>
    <w:p w:rsidR="00986004" w:rsidRPr="004C5551" w:rsidRDefault="00986004" w:rsidP="00986004">
      <w:pPr>
        <w:pStyle w:val="zdroj"/>
        <w:rPr>
          <w:lang w:eastAsia="cs-CZ"/>
        </w:rPr>
      </w:pPr>
      <w:r w:rsidRPr="004C5551">
        <w:rPr>
          <w:lang w:eastAsia="cs-CZ"/>
        </w:rPr>
        <w:t xml:space="preserve">Zdroj: </w:t>
      </w:r>
      <w:r w:rsidRPr="004C5551">
        <w:t>Sociálna</w:t>
      </w:r>
      <w:r w:rsidRPr="004C5551">
        <w:rPr>
          <w:lang w:eastAsia="cs-CZ"/>
        </w:rPr>
        <w:t xml:space="preserve"> poisťovňa</w:t>
      </w:r>
    </w:p>
    <w:p w:rsidR="00986004" w:rsidRPr="004C5551" w:rsidRDefault="00986004" w:rsidP="00986004">
      <w:pPr>
        <w:pStyle w:val="zdroj"/>
        <w:rPr>
          <w:color w:val="auto"/>
          <w:lang w:eastAsia="cs-CZ"/>
        </w:rPr>
      </w:pPr>
    </w:p>
    <w:tbl>
      <w:tblPr>
        <w:tblW w:w="10036" w:type="dxa"/>
        <w:jc w:val="center"/>
        <w:tblLayout w:type="fixed"/>
        <w:tblCellMar>
          <w:left w:w="70" w:type="dxa"/>
          <w:right w:w="70" w:type="dxa"/>
        </w:tblCellMar>
        <w:tblLook w:val="00A0" w:firstRow="1" w:lastRow="0" w:firstColumn="1" w:lastColumn="0" w:noHBand="0" w:noVBand="0"/>
      </w:tblPr>
      <w:tblGrid>
        <w:gridCol w:w="2023"/>
        <w:gridCol w:w="1120"/>
        <w:gridCol w:w="1082"/>
        <w:gridCol w:w="1158"/>
        <w:gridCol w:w="1121"/>
        <w:gridCol w:w="1120"/>
        <w:gridCol w:w="1120"/>
        <w:gridCol w:w="1292"/>
      </w:tblGrid>
      <w:tr w:rsidR="00986004" w:rsidRPr="004C5551" w:rsidTr="00B85283">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Január</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Február</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Marec</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Apríl</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Máj</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Jún</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I. polrok 2014</w:t>
            </w:r>
          </w:p>
        </w:tc>
      </w:tr>
      <w:tr w:rsidR="00986004" w:rsidRPr="004C5551" w:rsidTr="00B85283">
        <w:trPr>
          <w:trHeight w:val="278"/>
          <w:jc w:val="center"/>
        </w:trPr>
        <w:tc>
          <w:tcPr>
            <w:tcW w:w="2023" w:type="dxa"/>
            <w:tcBorders>
              <w:top w:val="single" w:sz="2" w:space="0" w:color="auto"/>
              <w:left w:val="single" w:sz="2" w:space="0" w:color="auto"/>
              <w:right w:val="single" w:sz="2" w:space="0" w:color="auto"/>
            </w:tcBorders>
            <w:noWrap/>
            <w:vAlign w:val="center"/>
          </w:tcPr>
          <w:p w:rsidR="00986004" w:rsidRPr="004C5551" w:rsidRDefault="00986004" w:rsidP="00B85283">
            <w:r w:rsidRPr="004C5551">
              <w:rPr>
                <w:szCs w:val="22"/>
              </w:rPr>
              <w:t>Nemocenské</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102 631</w:t>
            </w:r>
          </w:p>
        </w:tc>
        <w:tc>
          <w:tcPr>
            <w:tcW w:w="1082"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108 836</w:t>
            </w:r>
          </w:p>
        </w:tc>
        <w:tc>
          <w:tcPr>
            <w:tcW w:w="1158"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113 406</w:t>
            </w:r>
          </w:p>
        </w:tc>
        <w:tc>
          <w:tcPr>
            <w:tcW w:w="1121"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110 974</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96 526</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95 170</w:t>
            </w:r>
          </w:p>
        </w:tc>
        <w:tc>
          <w:tcPr>
            <w:tcW w:w="1292"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627 543</w:t>
            </w:r>
          </w:p>
        </w:tc>
      </w:tr>
      <w:tr w:rsidR="00986004" w:rsidRPr="004C5551" w:rsidTr="00B85283">
        <w:trPr>
          <w:trHeight w:val="278"/>
          <w:jc w:val="center"/>
        </w:trPr>
        <w:tc>
          <w:tcPr>
            <w:tcW w:w="2023" w:type="dxa"/>
            <w:tcBorders>
              <w:top w:val="nil"/>
              <w:left w:val="single" w:sz="2" w:space="0" w:color="auto"/>
              <w:right w:val="single" w:sz="2" w:space="0" w:color="auto"/>
            </w:tcBorders>
            <w:noWrap/>
            <w:vAlign w:val="center"/>
          </w:tcPr>
          <w:p w:rsidR="00986004" w:rsidRPr="004C5551" w:rsidRDefault="00986004" w:rsidP="00B85283">
            <w:r w:rsidRPr="004C5551">
              <w:rPr>
                <w:szCs w:val="22"/>
              </w:rPr>
              <w:t>Ošetrovné</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10 496</w:t>
            </w:r>
          </w:p>
        </w:tc>
        <w:tc>
          <w:tcPr>
            <w:tcW w:w="1082"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7 536</w:t>
            </w:r>
          </w:p>
        </w:tc>
        <w:tc>
          <w:tcPr>
            <w:tcW w:w="1158"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10 571</w:t>
            </w:r>
          </w:p>
        </w:tc>
        <w:tc>
          <w:tcPr>
            <w:tcW w:w="1121"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10 852</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10 234</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8 991</w:t>
            </w:r>
          </w:p>
        </w:tc>
        <w:tc>
          <w:tcPr>
            <w:tcW w:w="1292"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58 680</w:t>
            </w:r>
          </w:p>
        </w:tc>
      </w:tr>
      <w:tr w:rsidR="00986004" w:rsidRPr="004C5551" w:rsidTr="00B85283">
        <w:trPr>
          <w:trHeight w:val="278"/>
          <w:jc w:val="center"/>
        </w:trPr>
        <w:tc>
          <w:tcPr>
            <w:tcW w:w="2023" w:type="dxa"/>
            <w:tcBorders>
              <w:top w:val="nil"/>
              <w:left w:val="single" w:sz="2" w:space="0" w:color="auto"/>
              <w:right w:val="single" w:sz="2" w:space="0" w:color="auto"/>
            </w:tcBorders>
            <w:noWrap/>
            <w:vAlign w:val="center"/>
          </w:tcPr>
          <w:p w:rsidR="00986004" w:rsidRPr="004C5551" w:rsidRDefault="00986004" w:rsidP="00B85283">
            <w:r w:rsidRPr="004C5551">
              <w:rPr>
                <w:szCs w:val="22"/>
              </w:rPr>
              <w:t>Vyrovnávacia dávka</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72</w:t>
            </w:r>
          </w:p>
        </w:tc>
        <w:tc>
          <w:tcPr>
            <w:tcW w:w="1082"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65</w:t>
            </w:r>
          </w:p>
        </w:tc>
        <w:tc>
          <w:tcPr>
            <w:tcW w:w="1158"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75</w:t>
            </w:r>
          </w:p>
        </w:tc>
        <w:tc>
          <w:tcPr>
            <w:tcW w:w="1121"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102</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126</w:t>
            </w:r>
          </w:p>
        </w:tc>
        <w:tc>
          <w:tcPr>
            <w:tcW w:w="1120"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105</w:t>
            </w:r>
          </w:p>
        </w:tc>
        <w:tc>
          <w:tcPr>
            <w:tcW w:w="1292" w:type="dxa"/>
            <w:tcBorders>
              <w:top w:val="nil"/>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545</w:t>
            </w:r>
          </w:p>
        </w:tc>
      </w:tr>
      <w:tr w:rsidR="00986004" w:rsidRPr="004C5551" w:rsidTr="00B85283">
        <w:trPr>
          <w:trHeight w:val="278"/>
          <w:jc w:val="center"/>
        </w:trPr>
        <w:tc>
          <w:tcPr>
            <w:tcW w:w="2023" w:type="dxa"/>
            <w:tcBorders>
              <w:top w:val="nil"/>
              <w:left w:val="single" w:sz="2" w:space="0" w:color="auto"/>
              <w:bottom w:val="single" w:sz="2" w:space="0" w:color="auto"/>
              <w:right w:val="single" w:sz="2" w:space="0" w:color="auto"/>
            </w:tcBorders>
            <w:noWrap/>
            <w:vAlign w:val="center"/>
          </w:tcPr>
          <w:p w:rsidR="00986004" w:rsidRPr="004C5551" w:rsidRDefault="00986004" w:rsidP="00B85283">
            <w:r w:rsidRPr="004C5551">
              <w:rPr>
                <w:szCs w:val="22"/>
              </w:rPr>
              <w:t>Materské</w:t>
            </w:r>
          </w:p>
        </w:tc>
        <w:tc>
          <w:tcPr>
            <w:tcW w:w="1120"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23 208</w:t>
            </w:r>
          </w:p>
        </w:tc>
        <w:tc>
          <w:tcPr>
            <w:tcW w:w="1082"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23 111</w:t>
            </w:r>
          </w:p>
        </w:tc>
        <w:tc>
          <w:tcPr>
            <w:tcW w:w="1158"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22 465</w:t>
            </w:r>
          </w:p>
        </w:tc>
        <w:tc>
          <w:tcPr>
            <w:tcW w:w="1121"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22 415</w:t>
            </w:r>
          </w:p>
        </w:tc>
        <w:tc>
          <w:tcPr>
            <w:tcW w:w="1120"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22 244</w:t>
            </w:r>
          </w:p>
        </w:tc>
        <w:tc>
          <w:tcPr>
            <w:tcW w:w="1120"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22 313</w:t>
            </w:r>
          </w:p>
        </w:tc>
        <w:tc>
          <w:tcPr>
            <w:tcW w:w="1292"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135 756</w:t>
            </w:r>
          </w:p>
        </w:tc>
      </w:tr>
      <w:tr w:rsidR="00986004" w:rsidRPr="004C5551" w:rsidTr="00B85283">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rPr>
                <w:b/>
                <w:bCs/>
              </w:rPr>
            </w:pPr>
            <w:r w:rsidRPr="004C5551">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136 407</w:t>
            </w:r>
          </w:p>
        </w:tc>
        <w:tc>
          <w:tcPr>
            <w:tcW w:w="1082"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139 548</w:t>
            </w:r>
          </w:p>
        </w:tc>
        <w:tc>
          <w:tcPr>
            <w:tcW w:w="1158"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146 517</w:t>
            </w:r>
          </w:p>
        </w:tc>
        <w:tc>
          <w:tcPr>
            <w:tcW w:w="1121"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144 343</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129 130</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126 579</w:t>
            </w:r>
          </w:p>
        </w:tc>
        <w:tc>
          <w:tcPr>
            <w:tcW w:w="1292"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sz w:val="18"/>
                <w:szCs w:val="18"/>
              </w:rPr>
            </w:pPr>
            <w:r w:rsidRPr="004C5551">
              <w:rPr>
                <w:b/>
                <w:sz w:val="18"/>
                <w:szCs w:val="18"/>
              </w:rPr>
              <w:t>822 524</w:t>
            </w:r>
          </w:p>
        </w:tc>
      </w:tr>
      <w:tr w:rsidR="00986004" w:rsidRPr="004C5551" w:rsidTr="00B85283">
        <w:trPr>
          <w:trHeight w:val="278"/>
          <w:jc w:val="center"/>
        </w:trPr>
        <w:tc>
          <w:tcPr>
            <w:tcW w:w="2023" w:type="dxa"/>
            <w:tcBorders>
              <w:top w:val="single" w:sz="2" w:space="0" w:color="auto"/>
              <w:left w:val="nil"/>
              <w:bottom w:val="single" w:sz="2" w:space="0" w:color="auto"/>
              <w:right w:val="nil"/>
            </w:tcBorders>
            <w:noWrap/>
            <w:vAlign w:val="center"/>
          </w:tcPr>
          <w:p w:rsidR="00986004" w:rsidRPr="004C5551" w:rsidRDefault="00986004" w:rsidP="00B85283"/>
        </w:tc>
        <w:tc>
          <w:tcPr>
            <w:tcW w:w="1120" w:type="dxa"/>
            <w:tcBorders>
              <w:top w:val="single" w:sz="2" w:space="0" w:color="auto"/>
              <w:left w:val="nil"/>
              <w:bottom w:val="single" w:sz="2" w:space="0" w:color="auto"/>
              <w:right w:val="nil"/>
            </w:tcBorders>
            <w:noWrap/>
            <w:vAlign w:val="center"/>
          </w:tcPr>
          <w:p w:rsidR="00986004" w:rsidRPr="004C5551" w:rsidRDefault="00986004" w:rsidP="00B85283"/>
        </w:tc>
        <w:tc>
          <w:tcPr>
            <w:tcW w:w="1082" w:type="dxa"/>
            <w:tcBorders>
              <w:top w:val="single" w:sz="2" w:space="0" w:color="auto"/>
              <w:left w:val="nil"/>
              <w:bottom w:val="single" w:sz="2" w:space="0" w:color="auto"/>
              <w:right w:val="nil"/>
            </w:tcBorders>
            <w:noWrap/>
            <w:vAlign w:val="center"/>
          </w:tcPr>
          <w:p w:rsidR="00986004" w:rsidRPr="004C5551" w:rsidRDefault="00986004" w:rsidP="00B85283"/>
        </w:tc>
        <w:tc>
          <w:tcPr>
            <w:tcW w:w="1158" w:type="dxa"/>
            <w:tcBorders>
              <w:top w:val="single" w:sz="2" w:space="0" w:color="auto"/>
              <w:left w:val="nil"/>
              <w:bottom w:val="single" w:sz="2" w:space="0" w:color="auto"/>
              <w:right w:val="nil"/>
            </w:tcBorders>
            <w:noWrap/>
            <w:vAlign w:val="center"/>
          </w:tcPr>
          <w:p w:rsidR="00986004" w:rsidRPr="004C5551" w:rsidRDefault="00986004" w:rsidP="00B85283"/>
        </w:tc>
        <w:tc>
          <w:tcPr>
            <w:tcW w:w="1121" w:type="dxa"/>
            <w:tcBorders>
              <w:top w:val="single" w:sz="2" w:space="0" w:color="auto"/>
              <w:left w:val="nil"/>
              <w:bottom w:val="single" w:sz="2" w:space="0" w:color="auto"/>
              <w:right w:val="nil"/>
            </w:tcBorders>
            <w:noWrap/>
            <w:vAlign w:val="center"/>
          </w:tcPr>
          <w:p w:rsidR="00986004" w:rsidRPr="004C5551" w:rsidRDefault="00986004" w:rsidP="00B85283"/>
        </w:tc>
        <w:tc>
          <w:tcPr>
            <w:tcW w:w="1120" w:type="dxa"/>
            <w:tcBorders>
              <w:top w:val="single" w:sz="2" w:space="0" w:color="auto"/>
              <w:left w:val="nil"/>
              <w:bottom w:val="single" w:sz="2" w:space="0" w:color="auto"/>
              <w:right w:val="nil"/>
            </w:tcBorders>
            <w:noWrap/>
            <w:vAlign w:val="center"/>
          </w:tcPr>
          <w:p w:rsidR="00986004" w:rsidRPr="004C5551" w:rsidRDefault="00986004" w:rsidP="00B85283"/>
        </w:tc>
        <w:tc>
          <w:tcPr>
            <w:tcW w:w="1120" w:type="dxa"/>
            <w:tcBorders>
              <w:top w:val="single" w:sz="2" w:space="0" w:color="auto"/>
              <w:left w:val="nil"/>
              <w:bottom w:val="single" w:sz="2" w:space="0" w:color="auto"/>
              <w:right w:val="nil"/>
            </w:tcBorders>
            <w:noWrap/>
            <w:vAlign w:val="center"/>
          </w:tcPr>
          <w:p w:rsidR="00986004" w:rsidRPr="004C5551" w:rsidRDefault="00986004" w:rsidP="00B85283"/>
        </w:tc>
        <w:tc>
          <w:tcPr>
            <w:tcW w:w="1292" w:type="dxa"/>
            <w:tcBorders>
              <w:top w:val="single" w:sz="2" w:space="0" w:color="auto"/>
              <w:left w:val="nil"/>
              <w:bottom w:val="single" w:sz="2" w:space="0" w:color="auto"/>
              <w:right w:val="nil"/>
            </w:tcBorders>
            <w:noWrap/>
            <w:vAlign w:val="center"/>
          </w:tcPr>
          <w:p w:rsidR="00986004" w:rsidRPr="004C5551" w:rsidRDefault="00986004" w:rsidP="00B85283"/>
        </w:tc>
      </w:tr>
      <w:tr w:rsidR="00986004" w:rsidRPr="004C5551" w:rsidTr="00B85283">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Júl</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August</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September</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Október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November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rPr>
            </w:pPr>
            <w:r w:rsidRPr="004C5551">
              <w:rPr>
                <w:b/>
                <w:szCs w:val="22"/>
              </w:rPr>
              <w:t>December</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Rok 2014</w:t>
            </w:r>
          </w:p>
        </w:tc>
      </w:tr>
      <w:tr w:rsidR="00986004" w:rsidRPr="004C5551" w:rsidTr="00B85283">
        <w:trPr>
          <w:trHeight w:val="278"/>
          <w:jc w:val="center"/>
        </w:trPr>
        <w:tc>
          <w:tcPr>
            <w:tcW w:w="2023" w:type="dxa"/>
            <w:tcBorders>
              <w:top w:val="single" w:sz="2" w:space="0" w:color="auto"/>
              <w:left w:val="single" w:sz="2" w:space="0" w:color="auto"/>
              <w:right w:val="single" w:sz="2" w:space="0" w:color="auto"/>
            </w:tcBorders>
            <w:noWrap/>
            <w:vAlign w:val="center"/>
          </w:tcPr>
          <w:p w:rsidR="00986004" w:rsidRPr="004C5551" w:rsidRDefault="00986004" w:rsidP="00B85283">
            <w:r w:rsidRPr="004C5551">
              <w:rPr>
                <w:szCs w:val="22"/>
              </w:rPr>
              <w:t>Nemocenské</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93 897</w:t>
            </w:r>
          </w:p>
        </w:tc>
        <w:tc>
          <w:tcPr>
            <w:tcW w:w="1082"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86 090</w:t>
            </w:r>
          </w:p>
        </w:tc>
        <w:tc>
          <w:tcPr>
            <w:tcW w:w="1158"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84 674</w:t>
            </w:r>
          </w:p>
        </w:tc>
        <w:tc>
          <w:tcPr>
            <w:tcW w:w="1121"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87 416</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100 512</w:t>
            </w:r>
          </w:p>
        </w:tc>
        <w:tc>
          <w:tcPr>
            <w:tcW w:w="1120"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100 418</w:t>
            </w:r>
          </w:p>
        </w:tc>
        <w:tc>
          <w:tcPr>
            <w:tcW w:w="1292" w:type="dxa"/>
            <w:tcBorders>
              <w:top w:val="single" w:sz="2" w:space="0" w:color="auto"/>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1 180 550</w:t>
            </w:r>
          </w:p>
        </w:tc>
      </w:tr>
      <w:tr w:rsidR="00986004" w:rsidRPr="004C5551" w:rsidTr="00B85283">
        <w:trPr>
          <w:trHeight w:val="278"/>
          <w:jc w:val="center"/>
        </w:trPr>
        <w:tc>
          <w:tcPr>
            <w:tcW w:w="2023" w:type="dxa"/>
            <w:tcBorders>
              <w:left w:val="single" w:sz="2" w:space="0" w:color="auto"/>
              <w:right w:val="single" w:sz="2" w:space="0" w:color="auto"/>
            </w:tcBorders>
            <w:noWrap/>
            <w:vAlign w:val="center"/>
          </w:tcPr>
          <w:p w:rsidR="00986004" w:rsidRPr="004C5551" w:rsidRDefault="00986004" w:rsidP="00B85283">
            <w:r w:rsidRPr="004C5551">
              <w:rPr>
                <w:szCs w:val="22"/>
              </w:rPr>
              <w:t>Ošetrovné</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9 091</w:t>
            </w:r>
          </w:p>
        </w:tc>
        <w:tc>
          <w:tcPr>
            <w:tcW w:w="1082"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7 153</w:t>
            </w:r>
          </w:p>
        </w:tc>
        <w:tc>
          <w:tcPr>
            <w:tcW w:w="1158"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6 465</w:t>
            </w:r>
          </w:p>
        </w:tc>
        <w:tc>
          <w:tcPr>
            <w:tcW w:w="1121"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7 699</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12 229</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11 147</w:t>
            </w:r>
          </w:p>
        </w:tc>
        <w:tc>
          <w:tcPr>
            <w:tcW w:w="1292"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112 464</w:t>
            </w:r>
          </w:p>
        </w:tc>
      </w:tr>
      <w:tr w:rsidR="00986004" w:rsidRPr="004C5551" w:rsidTr="00B85283">
        <w:trPr>
          <w:trHeight w:val="278"/>
          <w:jc w:val="center"/>
        </w:trPr>
        <w:tc>
          <w:tcPr>
            <w:tcW w:w="2023" w:type="dxa"/>
            <w:tcBorders>
              <w:left w:val="single" w:sz="2" w:space="0" w:color="auto"/>
              <w:right w:val="single" w:sz="2" w:space="0" w:color="auto"/>
            </w:tcBorders>
            <w:noWrap/>
            <w:vAlign w:val="center"/>
          </w:tcPr>
          <w:p w:rsidR="00986004" w:rsidRPr="004C5551" w:rsidRDefault="00986004" w:rsidP="00B85283">
            <w:r w:rsidRPr="004C5551">
              <w:rPr>
                <w:szCs w:val="22"/>
              </w:rPr>
              <w:t>Vyrovnávacia dávka</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113</w:t>
            </w:r>
          </w:p>
        </w:tc>
        <w:tc>
          <w:tcPr>
            <w:tcW w:w="1082"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101</w:t>
            </w:r>
          </w:p>
        </w:tc>
        <w:tc>
          <w:tcPr>
            <w:tcW w:w="1158"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99</w:t>
            </w:r>
          </w:p>
        </w:tc>
        <w:tc>
          <w:tcPr>
            <w:tcW w:w="1121"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115</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96</w:t>
            </w:r>
          </w:p>
        </w:tc>
        <w:tc>
          <w:tcPr>
            <w:tcW w:w="1120"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116</w:t>
            </w:r>
          </w:p>
        </w:tc>
        <w:tc>
          <w:tcPr>
            <w:tcW w:w="1292" w:type="dxa"/>
            <w:tcBorders>
              <w:left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1 185</w:t>
            </w:r>
          </w:p>
        </w:tc>
      </w:tr>
      <w:tr w:rsidR="00986004" w:rsidRPr="004C5551" w:rsidTr="00B85283">
        <w:trPr>
          <w:trHeight w:val="112"/>
          <w:jc w:val="center"/>
        </w:trPr>
        <w:tc>
          <w:tcPr>
            <w:tcW w:w="2023" w:type="dxa"/>
            <w:tcBorders>
              <w:left w:val="single" w:sz="2" w:space="0" w:color="auto"/>
              <w:bottom w:val="single" w:sz="2" w:space="0" w:color="auto"/>
              <w:right w:val="single" w:sz="2" w:space="0" w:color="auto"/>
            </w:tcBorders>
            <w:noWrap/>
            <w:vAlign w:val="center"/>
          </w:tcPr>
          <w:p w:rsidR="00986004" w:rsidRPr="004C5551" w:rsidRDefault="00986004" w:rsidP="00B85283">
            <w:r w:rsidRPr="004C5551">
              <w:rPr>
                <w:szCs w:val="22"/>
              </w:rPr>
              <w:t>Materské</w:t>
            </w:r>
          </w:p>
        </w:tc>
        <w:tc>
          <w:tcPr>
            <w:tcW w:w="1120"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22 681</w:t>
            </w:r>
          </w:p>
        </w:tc>
        <w:tc>
          <w:tcPr>
            <w:tcW w:w="1082"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23 241</w:t>
            </w:r>
          </w:p>
        </w:tc>
        <w:tc>
          <w:tcPr>
            <w:tcW w:w="1158"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23 810</w:t>
            </w:r>
          </w:p>
        </w:tc>
        <w:tc>
          <w:tcPr>
            <w:tcW w:w="1121"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24 108</w:t>
            </w:r>
          </w:p>
        </w:tc>
        <w:tc>
          <w:tcPr>
            <w:tcW w:w="1120"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23 961</w:t>
            </w:r>
          </w:p>
        </w:tc>
        <w:tc>
          <w:tcPr>
            <w:tcW w:w="1120"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24 031</w:t>
            </w:r>
          </w:p>
        </w:tc>
        <w:tc>
          <w:tcPr>
            <w:tcW w:w="1292"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sz w:val="18"/>
                <w:szCs w:val="18"/>
              </w:rPr>
            </w:pPr>
            <w:r w:rsidRPr="004C5551">
              <w:rPr>
                <w:sz w:val="18"/>
                <w:szCs w:val="18"/>
              </w:rPr>
              <w:t>277 588</w:t>
            </w:r>
          </w:p>
        </w:tc>
      </w:tr>
      <w:tr w:rsidR="00986004" w:rsidRPr="004C5551" w:rsidTr="00B85283">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rPr>
                <w:b/>
                <w:bCs/>
              </w:rPr>
            </w:pPr>
            <w:r w:rsidRPr="004C5551">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125 782</w:t>
            </w:r>
          </w:p>
        </w:tc>
        <w:tc>
          <w:tcPr>
            <w:tcW w:w="1082"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116 585</w:t>
            </w:r>
          </w:p>
        </w:tc>
        <w:tc>
          <w:tcPr>
            <w:tcW w:w="1158"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115 048</w:t>
            </w:r>
          </w:p>
        </w:tc>
        <w:tc>
          <w:tcPr>
            <w:tcW w:w="1121"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119 338</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136 798</w:t>
            </w:r>
          </w:p>
        </w:tc>
        <w:tc>
          <w:tcPr>
            <w:tcW w:w="112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135 712</w:t>
            </w:r>
          </w:p>
        </w:tc>
        <w:tc>
          <w:tcPr>
            <w:tcW w:w="1292"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160"/>
              <w:jc w:val="right"/>
              <w:rPr>
                <w:b/>
                <w:bCs/>
                <w:sz w:val="18"/>
                <w:szCs w:val="18"/>
              </w:rPr>
            </w:pPr>
            <w:r w:rsidRPr="004C5551">
              <w:rPr>
                <w:b/>
                <w:bCs/>
                <w:sz w:val="18"/>
                <w:szCs w:val="18"/>
              </w:rPr>
              <w:t>1 571 787</w:t>
            </w:r>
          </w:p>
        </w:tc>
      </w:tr>
    </w:tbl>
    <w:p w:rsidR="00986004" w:rsidRPr="004C5551" w:rsidRDefault="00986004" w:rsidP="00986004">
      <w:pPr>
        <w:pStyle w:val="zdroj"/>
        <w:rPr>
          <w:lang w:eastAsia="cs-CZ"/>
        </w:rPr>
      </w:pPr>
      <w:r w:rsidRPr="004C5551">
        <w:rPr>
          <w:lang w:eastAsia="cs-CZ"/>
        </w:rPr>
        <w:t>Zdroj: Sociálna poisťovňa</w:t>
      </w:r>
    </w:p>
    <w:p w:rsidR="00DA79C0" w:rsidRPr="004C5551" w:rsidRDefault="00DA79C0" w:rsidP="00DA79C0">
      <w:pPr>
        <w:jc w:val="left"/>
      </w:pPr>
      <w:r w:rsidRPr="004C5551">
        <w:br w:type="page"/>
      </w:r>
    </w:p>
    <w:tbl>
      <w:tblPr>
        <w:tblW w:w="9712" w:type="dxa"/>
        <w:jc w:val="center"/>
        <w:tblInd w:w="-320" w:type="dxa"/>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A0" w:firstRow="1" w:lastRow="0" w:firstColumn="1" w:lastColumn="0" w:noHBand="0" w:noVBand="0"/>
      </w:tblPr>
      <w:tblGrid>
        <w:gridCol w:w="2047"/>
        <w:gridCol w:w="993"/>
        <w:gridCol w:w="992"/>
        <w:gridCol w:w="160"/>
        <w:gridCol w:w="1126"/>
        <w:gridCol w:w="982"/>
        <w:gridCol w:w="170"/>
        <w:gridCol w:w="974"/>
        <w:gridCol w:w="1134"/>
        <w:gridCol w:w="1134"/>
      </w:tblGrid>
      <w:tr w:rsidR="00986004" w:rsidRPr="004C5551" w:rsidTr="00B85283">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spacing w:line="408" w:lineRule="auto"/>
              <w:jc w:val="center"/>
              <w:rPr>
                <w:b/>
              </w:rPr>
            </w:pPr>
            <w:r w:rsidRPr="004C5551">
              <w:rPr>
                <w:b/>
                <w:szCs w:val="22"/>
              </w:rPr>
              <w:t>Január</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spacing w:line="408" w:lineRule="auto"/>
              <w:jc w:val="center"/>
              <w:rPr>
                <w:b/>
              </w:rPr>
            </w:pPr>
            <w:r w:rsidRPr="004C5551">
              <w:rPr>
                <w:b/>
                <w:szCs w:val="22"/>
              </w:rPr>
              <w:t>Február</w:t>
            </w:r>
          </w:p>
        </w:tc>
        <w:tc>
          <w:tcPr>
            <w:tcW w:w="1126"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spacing w:line="408" w:lineRule="auto"/>
              <w:jc w:val="center"/>
              <w:rPr>
                <w:b/>
              </w:rPr>
            </w:pPr>
            <w:r w:rsidRPr="004C5551">
              <w:rPr>
                <w:b/>
                <w:szCs w:val="22"/>
              </w:rPr>
              <w:t>Marec</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spacing w:line="408" w:lineRule="auto"/>
              <w:jc w:val="center"/>
              <w:rPr>
                <w:b/>
              </w:rPr>
            </w:pPr>
            <w:r w:rsidRPr="004C5551">
              <w:rPr>
                <w:b/>
                <w:szCs w:val="22"/>
              </w:rPr>
              <w:t>Apríl</w:t>
            </w:r>
          </w:p>
        </w:tc>
        <w:tc>
          <w:tcPr>
            <w:tcW w:w="974"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spacing w:line="408" w:lineRule="auto"/>
              <w:jc w:val="center"/>
              <w:rPr>
                <w:b/>
              </w:rPr>
            </w:pPr>
            <w:r w:rsidRPr="004C5551">
              <w:rPr>
                <w:b/>
                <w:szCs w:val="22"/>
              </w:rPr>
              <w:t>Máj</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spacing w:line="408" w:lineRule="auto"/>
              <w:jc w:val="center"/>
              <w:rPr>
                <w:b/>
              </w:rPr>
            </w:pPr>
            <w:r w:rsidRPr="004C5551">
              <w:rPr>
                <w:b/>
                <w:szCs w:val="22"/>
              </w:rPr>
              <w:t>Jún</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I. polrok 2014</w:t>
            </w:r>
          </w:p>
        </w:tc>
      </w:tr>
      <w:tr w:rsidR="00986004" w:rsidRPr="004C5551" w:rsidTr="00B85283">
        <w:trPr>
          <w:trHeight w:val="276"/>
          <w:jc w:val="center"/>
        </w:trPr>
        <w:tc>
          <w:tcPr>
            <w:tcW w:w="2047" w:type="dxa"/>
            <w:tcBorders>
              <w:top w:val="single" w:sz="2" w:space="0" w:color="auto"/>
              <w:right w:val="single" w:sz="2" w:space="0" w:color="auto"/>
            </w:tcBorders>
            <w:noWrap/>
            <w:vAlign w:val="center"/>
          </w:tcPr>
          <w:p w:rsidR="00986004" w:rsidRPr="004C5551" w:rsidRDefault="00986004" w:rsidP="00B85283">
            <w:r w:rsidRPr="004C5551">
              <w:rPr>
                <w:szCs w:val="22"/>
              </w:rPr>
              <w:t>Nemocenské</w:t>
            </w:r>
          </w:p>
        </w:tc>
        <w:tc>
          <w:tcPr>
            <w:tcW w:w="993" w:type="dxa"/>
            <w:tcBorders>
              <w:top w:val="single" w:sz="2" w:space="0" w:color="auto"/>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214,7</w:t>
            </w:r>
          </w:p>
        </w:tc>
        <w:tc>
          <w:tcPr>
            <w:tcW w:w="1152" w:type="dxa"/>
            <w:gridSpan w:val="2"/>
            <w:tcBorders>
              <w:top w:val="single" w:sz="2" w:space="0" w:color="auto"/>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208,6</w:t>
            </w:r>
          </w:p>
        </w:tc>
        <w:tc>
          <w:tcPr>
            <w:tcW w:w="1126" w:type="dxa"/>
            <w:tcBorders>
              <w:top w:val="single" w:sz="2" w:space="0" w:color="auto"/>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198,5</w:t>
            </w:r>
          </w:p>
        </w:tc>
        <w:tc>
          <w:tcPr>
            <w:tcW w:w="1152" w:type="dxa"/>
            <w:gridSpan w:val="2"/>
            <w:tcBorders>
              <w:top w:val="single" w:sz="2" w:space="0" w:color="auto"/>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214,1</w:t>
            </w:r>
          </w:p>
        </w:tc>
        <w:tc>
          <w:tcPr>
            <w:tcW w:w="974" w:type="dxa"/>
            <w:tcBorders>
              <w:top w:val="single" w:sz="2" w:space="0" w:color="auto"/>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224,4</w:t>
            </w:r>
          </w:p>
        </w:tc>
        <w:tc>
          <w:tcPr>
            <w:tcW w:w="1134" w:type="dxa"/>
            <w:tcBorders>
              <w:top w:val="single" w:sz="2" w:space="0" w:color="auto"/>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224,5</w:t>
            </w:r>
          </w:p>
        </w:tc>
        <w:tc>
          <w:tcPr>
            <w:tcW w:w="1134" w:type="dxa"/>
            <w:tcBorders>
              <w:top w:val="single" w:sz="2" w:space="0" w:color="auto"/>
              <w:left w:val="single" w:sz="2" w:space="0" w:color="auto"/>
            </w:tcBorders>
            <w:noWrap/>
            <w:vAlign w:val="center"/>
          </w:tcPr>
          <w:p w:rsidR="00986004" w:rsidRPr="004C5551" w:rsidRDefault="00986004" w:rsidP="00B85283">
            <w:pPr>
              <w:ind w:right="113"/>
              <w:jc w:val="right"/>
              <w:rPr>
                <w:b/>
                <w:sz w:val="18"/>
                <w:szCs w:val="18"/>
              </w:rPr>
            </w:pPr>
            <w:r w:rsidRPr="004C5551">
              <w:rPr>
                <w:b/>
                <w:sz w:val="18"/>
                <w:szCs w:val="18"/>
              </w:rPr>
              <w:t>214,1</w:t>
            </w:r>
          </w:p>
        </w:tc>
      </w:tr>
      <w:tr w:rsidR="00986004" w:rsidRPr="004C5551" w:rsidTr="00B85283">
        <w:trPr>
          <w:trHeight w:val="276"/>
          <w:jc w:val="center"/>
        </w:trPr>
        <w:tc>
          <w:tcPr>
            <w:tcW w:w="2047" w:type="dxa"/>
            <w:tcBorders>
              <w:right w:val="single" w:sz="2" w:space="0" w:color="auto"/>
            </w:tcBorders>
            <w:noWrap/>
            <w:vAlign w:val="center"/>
          </w:tcPr>
          <w:p w:rsidR="00986004" w:rsidRPr="004C5551" w:rsidRDefault="00986004" w:rsidP="00B85283">
            <w:r w:rsidRPr="004C5551">
              <w:rPr>
                <w:szCs w:val="22"/>
              </w:rPr>
              <w:t>Ošetrovné</w:t>
            </w:r>
          </w:p>
        </w:tc>
        <w:tc>
          <w:tcPr>
            <w:tcW w:w="993" w:type="dxa"/>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73,8</w:t>
            </w:r>
          </w:p>
        </w:tc>
        <w:tc>
          <w:tcPr>
            <w:tcW w:w="1152" w:type="dxa"/>
            <w:gridSpan w:val="2"/>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78,3</w:t>
            </w:r>
          </w:p>
        </w:tc>
        <w:tc>
          <w:tcPr>
            <w:tcW w:w="1126" w:type="dxa"/>
            <w:tcBorders>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77,2</w:t>
            </w:r>
          </w:p>
        </w:tc>
        <w:tc>
          <w:tcPr>
            <w:tcW w:w="1152" w:type="dxa"/>
            <w:gridSpan w:val="2"/>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78,1</w:t>
            </w:r>
          </w:p>
        </w:tc>
        <w:tc>
          <w:tcPr>
            <w:tcW w:w="974" w:type="dxa"/>
            <w:tcBorders>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76,4</w:t>
            </w:r>
          </w:p>
        </w:tc>
        <w:tc>
          <w:tcPr>
            <w:tcW w:w="1134" w:type="dxa"/>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77,4</w:t>
            </w:r>
          </w:p>
        </w:tc>
        <w:tc>
          <w:tcPr>
            <w:tcW w:w="1134" w:type="dxa"/>
            <w:tcBorders>
              <w:left w:val="single" w:sz="2" w:space="0" w:color="auto"/>
            </w:tcBorders>
            <w:noWrap/>
            <w:vAlign w:val="center"/>
          </w:tcPr>
          <w:p w:rsidR="00986004" w:rsidRPr="004C5551" w:rsidRDefault="00986004" w:rsidP="00B85283">
            <w:pPr>
              <w:ind w:right="113"/>
              <w:jc w:val="right"/>
              <w:rPr>
                <w:b/>
                <w:sz w:val="18"/>
                <w:szCs w:val="18"/>
              </w:rPr>
            </w:pPr>
            <w:r w:rsidRPr="004C5551">
              <w:rPr>
                <w:b/>
                <w:sz w:val="18"/>
                <w:szCs w:val="18"/>
              </w:rPr>
              <w:t>76,9</w:t>
            </w:r>
          </w:p>
        </w:tc>
      </w:tr>
      <w:tr w:rsidR="00986004" w:rsidRPr="004C5551" w:rsidTr="00B85283">
        <w:trPr>
          <w:trHeight w:val="276"/>
          <w:jc w:val="center"/>
        </w:trPr>
        <w:tc>
          <w:tcPr>
            <w:tcW w:w="2047" w:type="dxa"/>
            <w:tcBorders>
              <w:right w:val="single" w:sz="2" w:space="0" w:color="auto"/>
            </w:tcBorders>
            <w:noWrap/>
            <w:vAlign w:val="center"/>
          </w:tcPr>
          <w:p w:rsidR="00986004" w:rsidRPr="004C5551" w:rsidRDefault="00986004" w:rsidP="00B85283">
            <w:r w:rsidRPr="004C5551">
              <w:rPr>
                <w:szCs w:val="22"/>
              </w:rPr>
              <w:t>Vyrovnávacia dávka</w:t>
            </w:r>
          </w:p>
        </w:tc>
        <w:tc>
          <w:tcPr>
            <w:tcW w:w="993" w:type="dxa"/>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56,4</w:t>
            </w:r>
          </w:p>
        </w:tc>
        <w:tc>
          <w:tcPr>
            <w:tcW w:w="1152" w:type="dxa"/>
            <w:gridSpan w:val="2"/>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51,5</w:t>
            </w:r>
          </w:p>
        </w:tc>
        <w:tc>
          <w:tcPr>
            <w:tcW w:w="1126" w:type="dxa"/>
            <w:tcBorders>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59,2</w:t>
            </w:r>
          </w:p>
        </w:tc>
        <w:tc>
          <w:tcPr>
            <w:tcW w:w="1152" w:type="dxa"/>
            <w:gridSpan w:val="2"/>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69,5</w:t>
            </w:r>
          </w:p>
        </w:tc>
        <w:tc>
          <w:tcPr>
            <w:tcW w:w="974" w:type="dxa"/>
            <w:tcBorders>
              <w:left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57,8</w:t>
            </w:r>
          </w:p>
        </w:tc>
        <w:tc>
          <w:tcPr>
            <w:tcW w:w="1134" w:type="dxa"/>
            <w:tcBorders>
              <w:left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66,4</w:t>
            </w:r>
          </w:p>
        </w:tc>
        <w:tc>
          <w:tcPr>
            <w:tcW w:w="1134" w:type="dxa"/>
            <w:tcBorders>
              <w:left w:val="single" w:sz="2" w:space="0" w:color="auto"/>
            </w:tcBorders>
            <w:noWrap/>
            <w:vAlign w:val="center"/>
          </w:tcPr>
          <w:p w:rsidR="00986004" w:rsidRPr="004C5551" w:rsidRDefault="00986004" w:rsidP="00B85283">
            <w:pPr>
              <w:ind w:right="113"/>
              <w:jc w:val="right"/>
              <w:rPr>
                <w:b/>
                <w:sz w:val="18"/>
                <w:szCs w:val="18"/>
              </w:rPr>
            </w:pPr>
            <w:r w:rsidRPr="004C5551">
              <w:rPr>
                <w:b/>
                <w:sz w:val="18"/>
                <w:szCs w:val="18"/>
              </w:rPr>
              <w:t>60,1</w:t>
            </w:r>
          </w:p>
        </w:tc>
      </w:tr>
      <w:tr w:rsidR="00986004" w:rsidRPr="004C5551" w:rsidTr="00B85283">
        <w:trPr>
          <w:trHeight w:val="276"/>
          <w:jc w:val="center"/>
        </w:trPr>
        <w:tc>
          <w:tcPr>
            <w:tcW w:w="2047" w:type="dxa"/>
            <w:tcBorders>
              <w:bottom w:val="single" w:sz="2" w:space="0" w:color="auto"/>
              <w:right w:val="single" w:sz="2" w:space="0" w:color="auto"/>
            </w:tcBorders>
            <w:noWrap/>
            <w:vAlign w:val="center"/>
          </w:tcPr>
          <w:p w:rsidR="00986004" w:rsidRPr="004C5551" w:rsidRDefault="00986004" w:rsidP="00B85283">
            <w:r w:rsidRPr="004C5551">
              <w:rPr>
                <w:szCs w:val="22"/>
              </w:rPr>
              <w:t>Materské</w:t>
            </w:r>
          </w:p>
        </w:tc>
        <w:tc>
          <w:tcPr>
            <w:tcW w:w="993"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430,2</w:t>
            </w:r>
          </w:p>
        </w:tc>
        <w:tc>
          <w:tcPr>
            <w:tcW w:w="1152" w:type="dxa"/>
            <w:gridSpan w:val="2"/>
            <w:tcBorders>
              <w:left w:val="single" w:sz="2" w:space="0" w:color="auto"/>
              <w:bottom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423,8</w:t>
            </w:r>
          </w:p>
        </w:tc>
        <w:tc>
          <w:tcPr>
            <w:tcW w:w="1126" w:type="dxa"/>
            <w:tcBorders>
              <w:left w:val="single" w:sz="2" w:space="0" w:color="auto"/>
              <w:bottom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389,2</w:t>
            </w:r>
          </w:p>
        </w:tc>
        <w:tc>
          <w:tcPr>
            <w:tcW w:w="1152" w:type="dxa"/>
            <w:gridSpan w:val="2"/>
            <w:tcBorders>
              <w:left w:val="single" w:sz="2" w:space="0" w:color="auto"/>
              <w:bottom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423,1</w:t>
            </w:r>
          </w:p>
        </w:tc>
        <w:tc>
          <w:tcPr>
            <w:tcW w:w="974" w:type="dxa"/>
            <w:tcBorders>
              <w:left w:val="single" w:sz="2" w:space="0" w:color="auto"/>
              <w:bottom w:val="single" w:sz="2" w:space="0" w:color="auto"/>
              <w:right w:val="single" w:sz="2" w:space="0" w:color="auto"/>
            </w:tcBorders>
            <w:vAlign w:val="center"/>
          </w:tcPr>
          <w:p w:rsidR="00986004" w:rsidRPr="004C5551" w:rsidRDefault="00986004" w:rsidP="00B85283">
            <w:pPr>
              <w:ind w:right="113"/>
              <w:jc w:val="right"/>
              <w:rPr>
                <w:sz w:val="18"/>
                <w:szCs w:val="18"/>
              </w:rPr>
            </w:pPr>
            <w:r w:rsidRPr="004C5551">
              <w:rPr>
                <w:sz w:val="18"/>
                <w:szCs w:val="18"/>
              </w:rPr>
              <w:t>410,9</w:t>
            </w:r>
          </w:p>
        </w:tc>
        <w:tc>
          <w:tcPr>
            <w:tcW w:w="1134" w:type="dxa"/>
            <w:tcBorders>
              <w:left w:val="single" w:sz="2" w:space="0" w:color="auto"/>
              <w:bottom w:val="single" w:sz="2" w:space="0" w:color="auto"/>
              <w:right w:val="single" w:sz="2" w:space="0" w:color="auto"/>
            </w:tcBorders>
            <w:noWrap/>
            <w:vAlign w:val="center"/>
          </w:tcPr>
          <w:p w:rsidR="00986004" w:rsidRPr="004C5551" w:rsidRDefault="00986004" w:rsidP="00B85283">
            <w:pPr>
              <w:ind w:right="113"/>
              <w:jc w:val="right"/>
              <w:rPr>
                <w:sz w:val="18"/>
                <w:szCs w:val="18"/>
              </w:rPr>
            </w:pPr>
            <w:r w:rsidRPr="004C5551">
              <w:rPr>
                <w:sz w:val="18"/>
                <w:szCs w:val="18"/>
              </w:rPr>
              <w:t>425,7</w:t>
            </w:r>
          </w:p>
        </w:tc>
        <w:tc>
          <w:tcPr>
            <w:tcW w:w="1134" w:type="dxa"/>
            <w:tcBorders>
              <w:left w:val="single" w:sz="2" w:space="0" w:color="auto"/>
              <w:bottom w:val="single" w:sz="2" w:space="0" w:color="auto"/>
            </w:tcBorders>
            <w:noWrap/>
            <w:vAlign w:val="center"/>
          </w:tcPr>
          <w:p w:rsidR="00986004" w:rsidRPr="004C5551" w:rsidRDefault="00986004" w:rsidP="00B85283">
            <w:pPr>
              <w:ind w:right="113"/>
              <w:jc w:val="right"/>
              <w:rPr>
                <w:b/>
                <w:sz w:val="18"/>
                <w:szCs w:val="18"/>
              </w:rPr>
            </w:pPr>
            <w:r w:rsidRPr="004C5551">
              <w:rPr>
                <w:b/>
                <w:sz w:val="18"/>
                <w:szCs w:val="18"/>
              </w:rPr>
              <w:t>417,1</w:t>
            </w:r>
          </w:p>
        </w:tc>
      </w:tr>
      <w:tr w:rsidR="00986004" w:rsidRPr="004C5551" w:rsidTr="00B85283">
        <w:trPr>
          <w:trHeight w:val="276"/>
          <w:jc w:val="center"/>
        </w:trPr>
        <w:tc>
          <w:tcPr>
            <w:tcW w:w="2047" w:type="dxa"/>
            <w:tcBorders>
              <w:top w:val="single" w:sz="2" w:space="0" w:color="auto"/>
              <w:left w:val="nil"/>
              <w:bottom w:val="single" w:sz="2" w:space="0" w:color="auto"/>
            </w:tcBorders>
            <w:noWrap/>
            <w:vAlign w:val="center"/>
          </w:tcPr>
          <w:p w:rsidR="00986004" w:rsidRPr="004C5551" w:rsidRDefault="00986004" w:rsidP="00B85283">
            <w:pPr>
              <w:spacing w:line="408" w:lineRule="auto"/>
            </w:pPr>
          </w:p>
        </w:tc>
        <w:tc>
          <w:tcPr>
            <w:tcW w:w="993" w:type="dxa"/>
            <w:tcBorders>
              <w:top w:val="single" w:sz="2" w:space="0" w:color="auto"/>
              <w:bottom w:val="single" w:sz="2" w:space="0" w:color="auto"/>
            </w:tcBorders>
            <w:noWrap/>
            <w:vAlign w:val="center"/>
          </w:tcPr>
          <w:p w:rsidR="00986004" w:rsidRPr="004C5551" w:rsidRDefault="00986004" w:rsidP="00B85283">
            <w:pPr>
              <w:spacing w:line="408" w:lineRule="auto"/>
              <w:jc w:val="center"/>
            </w:pPr>
          </w:p>
        </w:tc>
        <w:tc>
          <w:tcPr>
            <w:tcW w:w="992" w:type="dxa"/>
            <w:tcBorders>
              <w:top w:val="single" w:sz="2" w:space="0" w:color="auto"/>
              <w:bottom w:val="single" w:sz="2" w:space="0" w:color="auto"/>
            </w:tcBorders>
            <w:noWrap/>
            <w:vAlign w:val="center"/>
          </w:tcPr>
          <w:p w:rsidR="00986004" w:rsidRPr="004C5551" w:rsidRDefault="00986004" w:rsidP="00B85283">
            <w:pPr>
              <w:spacing w:line="408" w:lineRule="auto"/>
              <w:jc w:val="center"/>
            </w:pPr>
          </w:p>
        </w:tc>
        <w:tc>
          <w:tcPr>
            <w:tcW w:w="1286" w:type="dxa"/>
            <w:gridSpan w:val="2"/>
            <w:tcBorders>
              <w:top w:val="nil"/>
              <w:bottom w:val="single" w:sz="2" w:space="0" w:color="auto"/>
            </w:tcBorders>
            <w:noWrap/>
            <w:vAlign w:val="center"/>
          </w:tcPr>
          <w:p w:rsidR="00986004" w:rsidRPr="004C5551" w:rsidRDefault="00986004" w:rsidP="00B85283">
            <w:pPr>
              <w:spacing w:line="408" w:lineRule="auto"/>
              <w:jc w:val="center"/>
            </w:pPr>
          </w:p>
        </w:tc>
        <w:tc>
          <w:tcPr>
            <w:tcW w:w="982" w:type="dxa"/>
            <w:tcBorders>
              <w:top w:val="single" w:sz="2" w:space="0" w:color="auto"/>
              <w:bottom w:val="single" w:sz="2" w:space="0" w:color="auto"/>
            </w:tcBorders>
            <w:noWrap/>
            <w:vAlign w:val="center"/>
          </w:tcPr>
          <w:p w:rsidR="00986004" w:rsidRPr="004C5551" w:rsidRDefault="00986004" w:rsidP="00B85283">
            <w:pPr>
              <w:spacing w:line="408" w:lineRule="auto"/>
              <w:jc w:val="center"/>
            </w:pPr>
          </w:p>
        </w:tc>
        <w:tc>
          <w:tcPr>
            <w:tcW w:w="1144" w:type="dxa"/>
            <w:gridSpan w:val="2"/>
            <w:tcBorders>
              <w:top w:val="nil"/>
              <w:bottom w:val="single" w:sz="2" w:space="0" w:color="auto"/>
            </w:tcBorders>
            <w:noWrap/>
            <w:vAlign w:val="center"/>
          </w:tcPr>
          <w:p w:rsidR="00986004" w:rsidRPr="004C5551" w:rsidRDefault="00986004" w:rsidP="00B85283">
            <w:pPr>
              <w:spacing w:line="408" w:lineRule="auto"/>
              <w:jc w:val="center"/>
            </w:pPr>
          </w:p>
        </w:tc>
        <w:tc>
          <w:tcPr>
            <w:tcW w:w="1134" w:type="dxa"/>
            <w:tcBorders>
              <w:top w:val="single" w:sz="2" w:space="0" w:color="auto"/>
              <w:bottom w:val="single" w:sz="2" w:space="0" w:color="auto"/>
            </w:tcBorders>
            <w:noWrap/>
            <w:vAlign w:val="center"/>
          </w:tcPr>
          <w:p w:rsidR="00986004" w:rsidRPr="004C5551" w:rsidRDefault="00986004" w:rsidP="00B85283">
            <w:pPr>
              <w:spacing w:line="408" w:lineRule="auto"/>
              <w:jc w:val="center"/>
            </w:pPr>
          </w:p>
        </w:tc>
        <w:tc>
          <w:tcPr>
            <w:tcW w:w="1134" w:type="dxa"/>
            <w:tcBorders>
              <w:top w:val="single" w:sz="2" w:space="0" w:color="auto"/>
              <w:bottom w:val="single" w:sz="2" w:space="0" w:color="auto"/>
              <w:right w:val="nil"/>
            </w:tcBorders>
            <w:noWrap/>
            <w:vAlign w:val="center"/>
          </w:tcPr>
          <w:p w:rsidR="00986004" w:rsidRPr="004C5551" w:rsidRDefault="00986004" w:rsidP="00B85283">
            <w:pPr>
              <w:spacing w:line="408" w:lineRule="auto"/>
              <w:jc w:val="center"/>
            </w:pPr>
          </w:p>
        </w:tc>
      </w:tr>
      <w:tr w:rsidR="00986004" w:rsidRPr="004C5551" w:rsidTr="00B85283">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Júl</w:t>
            </w:r>
          </w:p>
        </w:tc>
        <w:tc>
          <w:tcPr>
            <w:tcW w:w="9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August</w:t>
            </w:r>
          </w:p>
        </w:tc>
        <w:tc>
          <w:tcPr>
            <w:tcW w:w="1286"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September</w:t>
            </w:r>
          </w:p>
        </w:tc>
        <w:tc>
          <w:tcPr>
            <w:tcW w:w="9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Október</w:t>
            </w:r>
          </w:p>
        </w:tc>
        <w:tc>
          <w:tcPr>
            <w:tcW w:w="1144"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keepNext/>
              <w:keepLines/>
              <w:jc w:val="center"/>
              <w:rPr>
                <w:b/>
              </w:rPr>
            </w:pPr>
            <w:r w:rsidRPr="004C5551">
              <w:rPr>
                <w:b/>
                <w:szCs w:val="22"/>
              </w:rPr>
              <w:t>December</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986004" w:rsidRPr="004C5551" w:rsidRDefault="00986004" w:rsidP="00B85283">
            <w:pPr>
              <w:keepNext/>
              <w:keepLines/>
              <w:jc w:val="center"/>
              <w:rPr>
                <w:b/>
                <w:bCs/>
              </w:rPr>
            </w:pPr>
            <w:r w:rsidRPr="004C5551">
              <w:rPr>
                <w:b/>
                <w:bCs/>
                <w:szCs w:val="22"/>
              </w:rPr>
              <w:t>Rok 2014</w:t>
            </w:r>
          </w:p>
        </w:tc>
      </w:tr>
      <w:tr w:rsidR="00986004" w:rsidRPr="004C5551" w:rsidTr="00B85283">
        <w:trPr>
          <w:trHeight w:val="276"/>
          <w:jc w:val="center"/>
        </w:trPr>
        <w:tc>
          <w:tcPr>
            <w:tcW w:w="2047" w:type="dxa"/>
            <w:tcBorders>
              <w:top w:val="single" w:sz="2" w:space="0" w:color="auto"/>
              <w:right w:val="single" w:sz="4" w:space="0" w:color="auto"/>
            </w:tcBorders>
            <w:noWrap/>
            <w:vAlign w:val="center"/>
          </w:tcPr>
          <w:p w:rsidR="00986004" w:rsidRPr="004C5551" w:rsidRDefault="00986004" w:rsidP="00B85283">
            <w:r w:rsidRPr="004C5551">
              <w:rPr>
                <w:szCs w:val="22"/>
              </w:rPr>
              <w:t>Nemocenské</w:t>
            </w:r>
          </w:p>
        </w:tc>
        <w:tc>
          <w:tcPr>
            <w:tcW w:w="993" w:type="dxa"/>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217,3</w:t>
            </w:r>
          </w:p>
        </w:tc>
        <w:tc>
          <w:tcPr>
            <w:tcW w:w="992" w:type="dxa"/>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234,1</w:t>
            </w:r>
          </w:p>
        </w:tc>
        <w:tc>
          <w:tcPr>
            <w:tcW w:w="1286" w:type="dxa"/>
            <w:gridSpan w:val="2"/>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230,2</w:t>
            </w:r>
          </w:p>
        </w:tc>
        <w:tc>
          <w:tcPr>
            <w:tcW w:w="982" w:type="dxa"/>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216,6</w:t>
            </w:r>
          </w:p>
        </w:tc>
        <w:tc>
          <w:tcPr>
            <w:tcW w:w="1144" w:type="dxa"/>
            <w:gridSpan w:val="2"/>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212,0</w:t>
            </w:r>
          </w:p>
        </w:tc>
        <w:tc>
          <w:tcPr>
            <w:tcW w:w="1134" w:type="dxa"/>
            <w:tcBorders>
              <w:top w:val="single" w:sz="2" w:space="0" w:color="auto"/>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213,2</w:t>
            </w:r>
          </w:p>
        </w:tc>
        <w:tc>
          <w:tcPr>
            <w:tcW w:w="1134" w:type="dxa"/>
            <w:tcBorders>
              <w:top w:val="single" w:sz="2" w:space="0" w:color="auto"/>
              <w:left w:val="single" w:sz="4" w:space="0" w:color="auto"/>
            </w:tcBorders>
            <w:noWrap/>
            <w:vAlign w:val="center"/>
          </w:tcPr>
          <w:p w:rsidR="00986004" w:rsidRPr="004C5551" w:rsidRDefault="00986004" w:rsidP="00B85283">
            <w:pPr>
              <w:ind w:right="113"/>
              <w:jc w:val="right"/>
              <w:rPr>
                <w:b/>
                <w:sz w:val="18"/>
                <w:szCs w:val="18"/>
              </w:rPr>
            </w:pPr>
            <w:r w:rsidRPr="004C5551">
              <w:rPr>
                <w:b/>
                <w:sz w:val="18"/>
                <w:szCs w:val="18"/>
              </w:rPr>
              <w:t>216,7</w:t>
            </w:r>
          </w:p>
        </w:tc>
      </w:tr>
      <w:tr w:rsidR="00986004" w:rsidRPr="004C5551" w:rsidTr="00B85283">
        <w:trPr>
          <w:trHeight w:val="276"/>
          <w:jc w:val="center"/>
        </w:trPr>
        <w:tc>
          <w:tcPr>
            <w:tcW w:w="2047" w:type="dxa"/>
            <w:tcBorders>
              <w:right w:val="single" w:sz="4" w:space="0" w:color="auto"/>
            </w:tcBorders>
            <w:noWrap/>
            <w:vAlign w:val="center"/>
          </w:tcPr>
          <w:p w:rsidR="00986004" w:rsidRPr="004C5551" w:rsidRDefault="00986004" w:rsidP="00B85283">
            <w:r w:rsidRPr="004C5551">
              <w:rPr>
                <w:szCs w:val="22"/>
              </w:rPr>
              <w:t>Ošetrovné</w:t>
            </w:r>
          </w:p>
        </w:tc>
        <w:tc>
          <w:tcPr>
            <w:tcW w:w="993"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79,5</w:t>
            </w:r>
          </w:p>
        </w:tc>
        <w:tc>
          <w:tcPr>
            <w:tcW w:w="992"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84,8</w:t>
            </w:r>
          </w:p>
        </w:tc>
        <w:tc>
          <w:tcPr>
            <w:tcW w:w="1286" w:type="dxa"/>
            <w:gridSpan w:val="2"/>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85,8</w:t>
            </w:r>
          </w:p>
        </w:tc>
        <w:tc>
          <w:tcPr>
            <w:tcW w:w="982"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77,2</w:t>
            </w:r>
          </w:p>
        </w:tc>
        <w:tc>
          <w:tcPr>
            <w:tcW w:w="1144" w:type="dxa"/>
            <w:gridSpan w:val="2"/>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75,4</w:t>
            </w:r>
          </w:p>
        </w:tc>
        <w:tc>
          <w:tcPr>
            <w:tcW w:w="1134"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76,6</w:t>
            </w:r>
          </w:p>
        </w:tc>
        <w:tc>
          <w:tcPr>
            <w:tcW w:w="1134" w:type="dxa"/>
            <w:tcBorders>
              <w:left w:val="single" w:sz="4" w:space="0" w:color="auto"/>
            </w:tcBorders>
            <w:noWrap/>
            <w:vAlign w:val="center"/>
          </w:tcPr>
          <w:p w:rsidR="00986004" w:rsidRPr="004C5551" w:rsidRDefault="00986004" w:rsidP="00B85283">
            <w:pPr>
              <w:ind w:right="113"/>
              <w:jc w:val="right"/>
              <w:rPr>
                <w:b/>
                <w:sz w:val="18"/>
                <w:szCs w:val="18"/>
              </w:rPr>
            </w:pPr>
            <w:r w:rsidRPr="004C5551">
              <w:rPr>
                <w:b/>
                <w:sz w:val="18"/>
                <w:szCs w:val="18"/>
              </w:rPr>
              <w:t>77,9</w:t>
            </w:r>
          </w:p>
        </w:tc>
      </w:tr>
      <w:tr w:rsidR="00986004" w:rsidRPr="004C5551" w:rsidTr="00B85283">
        <w:trPr>
          <w:trHeight w:val="276"/>
          <w:jc w:val="center"/>
        </w:trPr>
        <w:tc>
          <w:tcPr>
            <w:tcW w:w="2047" w:type="dxa"/>
            <w:tcBorders>
              <w:right w:val="single" w:sz="4" w:space="0" w:color="auto"/>
            </w:tcBorders>
            <w:noWrap/>
            <w:vAlign w:val="center"/>
          </w:tcPr>
          <w:p w:rsidR="00986004" w:rsidRPr="004C5551" w:rsidRDefault="00986004" w:rsidP="00B85283">
            <w:r w:rsidRPr="004C5551">
              <w:rPr>
                <w:szCs w:val="22"/>
              </w:rPr>
              <w:t>Vyrovnávacia dávka</w:t>
            </w:r>
          </w:p>
        </w:tc>
        <w:tc>
          <w:tcPr>
            <w:tcW w:w="993"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65,0</w:t>
            </w:r>
          </w:p>
        </w:tc>
        <w:tc>
          <w:tcPr>
            <w:tcW w:w="992"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56,8</w:t>
            </w:r>
          </w:p>
        </w:tc>
        <w:tc>
          <w:tcPr>
            <w:tcW w:w="1286" w:type="dxa"/>
            <w:gridSpan w:val="2"/>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57,1</w:t>
            </w:r>
          </w:p>
        </w:tc>
        <w:tc>
          <w:tcPr>
            <w:tcW w:w="982"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54,9</w:t>
            </w:r>
          </w:p>
        </w:tc>
        <w:tc>
          <w:tcPr>
            <w:tcW w:w="1144" w:type="dxa"/>
            <w:gridSpan w:val="2"/>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74,3</w:t>
            </w:r>
          </w:p>
        </w:tc>
        <w:tc>
          <w:tcPr>
            <w:tcW w:w="1134" w:type="dxa"/>
            <w:tcBorders>
              <w:left w:val="single" w:sz="4"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57,6</w:t>
            </w:r>
          </w:p>
        </w:tc>
        <w:tc>
          <w:tcPr>
            <w:tcW w:w="1134" w:type="dxa"/>
            <w:tcBorders>
              <w:left w:val="single" w:sz="4" w:space="0" w:color="auto"/>
            </w:tcBorders>
            <w:noWrap/>
            <w:vAlign w:val="center"/>
          </w:tcPr>
          <w:p w:rsidR="00986004" w:rsidRPr="004C5551" w:rsidRDefault="00986004" w:rsidP="00B85283">
            <w:pPr>
              <w:ind w:right="113"/>
              <w:jc w:val="right"/>
              <w:rPr>
                <w:b/>
                <w:sz w:val="18"/>
                <w:szCs w:val="18"/>
              </w:rPr>
            </w:pPr>
            <w:r w:rsidRPr="004C5551">
              <w:rPr>
                <w:b/>
                <w:sz w:val="18"/>
                <w:szCs w:val="18"/>
              </w:rPr>
              <w:t>60,8</w:t>
            </w:r>
          </w:p>
        </w:tc>
      </w:tr>
      <w:tr w:rsidR="00986004" w:rsidRPr="004C5551" w:rsidTr="00B85283">
        <w:trPr>
          <w:trHeight w:val="276"/>
          <w:jc w:val="center"/>
        </w:trPr>
        <w:tc>
          <w:tcPr>
            <w:tcW w:w="2047" w:type="dxa"/>
            <w:tcBorders>
              <w:bottom w:val="single" w:sz="2" w:space="0" w:color="auto"/>
              <w:right w:val="single" w:sz="4" w:space="0" w:color="auto"/>
            </w:tcBorders>
            <w:noWrap/>
            <w:vAlign w:val="center"/>
          </w:tcPr>
          <w:p w:rsidR="00986004" w:rsidRPr="004C5551" w:rsidRDefault="00986004" w:rsidP="00B85283">
            <w:r w:rsidRPr="004C5551">
              <w:rPr>
                <w:szCs w:val="22"/>
              </w:rPr>
              <w:t>Materské</w:t>
            </w:r>
          </w:p>
        </w:tc>
        <w:tc>
          <w:tcPr>
            <w:tcW w:w="993" w:type="dxa"/>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418,7</w:t>
            </w:r>
          </w:p>
        </w:tc>
        <w:tc>
          <w:tcPr>
            <w:tcW w:w="992" w:type="dxa"/>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432,5</w:t>
            </w:r>
          </w:p>
        </w:tc>
        <w:tc>
          <w:tcPr>
            <w:tcW w:w="1286" w:type="dxa"/>
            <w:gridSpan w:val="2"/>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435,2</w:t>
            </w:r>
          </w:p>
        </w:tc>
        <w:tc>
          <w:tcPr>
            <w:tcW w:w="982" w:type="dxa"/>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422,1</w:t>
            </w:r>
          </w:p>
        </w:tc>
        <w:tc>
          <w:tcPr>
            <w:tcW w:w="1144" w:type="dxa"/>
            <w:gridSpan w:val="2"/>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436,4</w:t>
            </w:r>
          </w:p>
        </w:tc>
        <w:tc>
          <w:tcPr>
            <w:tcW w:w="1134" w:type="dxa"/>
            <w:tcBorders>
              <w:left w:val="single" w:sz="4" w:space="0" w:color="auto"/>
              <w:bottom w:val="single" w:sz="2" w:space="0" w:color="auto"/>
              <w:right w:val="single" w:sz="4" w:space="0" w:color="auto"/>
            </w:tcBorders>
            <w:noWrap/>
            <w:vAlign w:val="center"/>
          </w:tcPr>
          <w:p w:rsidR="00986004" w:rsidRPr="004C5551" w:rsidRDefault="00986004" w:rsidP="00B85283">
            <w:pPr>
              <w:ind w:right="113"/>
              <w:jc w:val="right"/>
              <w:rPr>
                <w:sz w:val="18"/>
                <w:szCs w:val="18"/>
              </w:rPr>
            </w:pPr>
            <w:r w:rsidRPr="004C5551">
              <w:rPr>
                <w:sz w:val="18"/>
                <w:szCs w:val="18"/>
              </w:rPr>
              <w:t>422,0</w:t>
            </w:r>
          </w:p>
        </w:tc>
        <w:tc>
          <w:tcPr>
            <w:tcW w:w="1134" w:type="dxa"/>
            <w:tcBorders>
              <w:left w:val="single" w:sz="4" w:space="0" w:color="auto"/>
              <w:bottom w:val="single" w:sz="2" w:space="0" w:color="auto"/>
            </w:tcBorders>
            <w:noWrap/>
            <w:vAlign w:val="center"/>
          </w:tcPr>
          <w:p w:rsidR="00986004" w:rsidRPr="004C5551" w:rsidRDefault="00986004" w:rsidP="00B85283">
            <w:pPr>
              <w:ind w:right="113"/>
              <w:jc w:val="right"/>
              <w:rPr>
                <w:b/>
                <w:sz w:val="18"/>
                <w:szCs w:val="18"/>
              </w:rPr>
            </w:pPr>
            <w:r w:rsidRPr="004C5551">
              <w:rPr>
                <w:b/>
                <w:sz w:val="18"/>
                <w:szCs w:val="18"/>
              </w:rPr>
              <w:t>422,7</w:t>
            </w:r>
          </w:p>
        </w:tc>
      </w:tr>
    </w:tbl>
    <w:p w:rsidR="00986004" w:rsidRPr="004C5551" w:rsidRDefault="00986004" w:rsidP="00986004">
      <w:pPr>
        <w:pStyle w:val="zdroj"/>
      </w:pPr>
      <w:r w:rsidRPr="004C5551">
        <w:t>Zdroj: Sociálna poisťovňa</w:t>
      </w:r>
    </w:p>
    <w:p w:rsidR="00986004" w:rsidRPr="004C5551" w:rsidRDefault="00986004" w:rsidP="00986004">
      <w:pPr>
        <w:pStyle w:val="zdroj"/>
        <w:rPr>
          <w:color w:val="auto"/>
        </w:rPr>
      </w:pPr>
    </w:p>
    <w:p w:rsidR="00986004" w:rsidRPr="004C5551" w:rsidRDefault="00986004" w:rsidP="00986004">
      <w:pPr>
        <w:pStyle w:val="Nadpis7"/>
      </w:pPr>
      <w:bookmarkStart w:id="847" w:name="_Toc313879697"/>
      <w:r w:rsidRPr="004C5551">
        <w:t>Tabuľka 2 Počet poberateľov samostatne vyplácaných dôchodkov a v súbehu s vdovským, resp. vdoveckým dôchodkom k 31.12.201</w:t>
      </w:r>
      <w:bookmarkEnd w:id="847"/>
      <w:r w:rsidRPr="004C5551">
        <w:t>4</w:t>
      </w:r>
    </w:p>
    <w:tbl>
      <w:tblPr>
        <w:tblW w:w="8591" w:type="dxa"/>
        <w:jc w:val="center"/>
        <w:tblInd w:w="1009" w:type="dxa"/>
        <w:tblCellMar>
          <w:left w:w="70" w:type="dxa"/>
          <w:right w:w="70" w:type="dxa"/>
        </w:tblCellMar>
        <w:tblLook w:val="00A0" w:firstRow="1" w:lastRow="0" w:firstColumn="1" w:lastColumn="0" w:noHBand="0" w:noVBand="0"/>
      </w:tblPr>
      <w:tblGrid>
        <w:gridCol w:w="2605"/>
        <w:gridCol w:w="1985"/>
        <w:gridCol w:w="2101"/>
        <w:gridCol w:w="1900"/>
      </w:tblGrid>
      <w:tr w:rsidR="00986004" w:rsidRPr="004C5551" w:rsidTr="00B85283">
        <w:trPr>
          <w:trHeight w:val="315"/>
          <w:jc w:val="center"/>
        </w:trPr>
        <w:tc>
          <w:tcPr>
            <w:tcW w:w="260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rPr>
                <w:b/>
                <w:bCs/>
              </w:rPr>
            </w:pPr>
            <w:r w:rsidRPr="004C5551">
              <w:rPr>
                <w:b/>
                <w:bCs/>
                <w:szCs w:val="22"/>
              </w:rPr>
              <w:t>Druh dôchodku</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986004">
            <w:pPr>
              <w:jc w:val="center"/>
              <w:rPr>
                <w:b/>
                <w:bCs/>
              </w:rPr>
            </w:pPr>
            <w:r w:rsidRPr="004C5551">
              <w:rPr>
                <w:b/>
                <w:bCs/>
                <w:szCs w:val="22"/>
              </w:rPr>
              <w:t>Počet poberateľov sólo dôchodku (samostatne)</w:t>
            </w:r>
          </w:p>
        </w:tc>
        <w:tc>
          <w:tcPr>
            <w:tcW w:w="2101"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986004">
            <w:pPr>
              <w:jc w:val="center"/>
              <w:rPr>
                <w:b/>
                <w:bCs/>
              </w:rPr>
            </w:pPr>
            <w:r w:rsidRPr="004C5551">
              <w:rPr>
                <w:b/>
                <w:bCs/>
                <w:szCs w:val="22"/>
              </w:rPr>
              <w:t>Počet poberateľov dôchodkov vyplácaných v súbehu (s vdovským resp. vdoveckým)</w:t>
            </w:r>
          </w:p>
        </w:tc>
        <w:tc>
          <w:tcPr>
            <w:tcW w:w="1900"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986004" w:rsidRPr="004C5551" w:rsidRDefault="00986004" w:rsidP="00B85283">
            <w:pPr>
              <w:jc w:val="center"/>
              <w:rPr>
                <w:b/>
                <w:bCs/>
              </w:rPr>
            </w:pPr>
            <w:r w:rsidRPr="004C5551">
              <w:rPr>
                <w:b/>
                <w:bCs/>
                <w:szCs w:val="22"/>
              </w:rPr>
              <w:t>Spolu dôchodcov</w:t>
            </w:r>
          </w:p>
        </w:tc>
      </w:tr>
      <w:tr w:rsidR="00986004" w:rsidRPr="004C5551" w:rsidTr="00B85283">
        <w:trPr>
          <w:trHeight w:val="315"/>
          <w:jc w:val="center"/>
        </w:trPr>
        <w:tc>
          <w:tcPr>
            <w:tcW w:w="260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rPr>
                <w:b/>
                <w:bCs/>
              </w:rPr>
            </w:pPr>
          </w:p>
        </w:tc>
        <w:tc>
          <w:tcPr>
            <w:tcW w:w="198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rPr>
                <w:b/>
                <w:bCs/>
              </w:rPr>
            </w:pPr>
          </w:p>
        </w:tc>
        <w:tc>
          <w:tcPr>
            <w:tcW w:w="2101"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rPr>
                <w:b/>
                <w:bCs/>
              </w:rPr>
            </w:pPr>
          </w:p>
        </w:tc>
        <w:tc>
          <w:tcPr>
            <w:tcW w:w="1900"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986004" w:rsidRPr="004C5551" w:rsidRDefault="00986004" w:rsidP="00B85283">
            <w:pPr>
              <w:rPr>
                <w:b/>
                <w:bCs/>
              </w:rPr>
            </w:pPr>
          </w:p>
        </w:tc>
      </w:tr>
      <w:tr w:rsidR="00986004" w:rsidRPr="004C5551" w:rsidTr="00B85283">
        <w:trPr>
          <w:trHeight w:val="315"/>
          <w:jc w:val="center"/>
        </w:trPr>
        <w:tc>
          <w:tcPr>
            <w:tcW w:w="2605" w:type="dxa"/>
            <w:tcBorders>
              <w:top w:val="single" w:sz="2" w:space="0" w:color="auto"/>
              <w:left w:val="single" w:sz="2" w:space="0" w:color="auto"/>
              <w:right w:val="single" w:sz="2" w:space="0" w:color="auto"/>
            </w:tcBorders>
            <w:noWrap/>
            <w:vAlign w:val="center"/>
          </w:tcPr>
          <w:p w:rsidR="00986004" w:rsidRPr="004C5551" w:rsidRDefault="00986004" w:rsidP="00B85283">
            <w:pPr>
              <w:jc w:val="left"/>
            </w:pPr>
            <w:r w:rsidRPr="004C5551">
              <w:rPr>
                <w:szCs w:val="22"/>
              </w:rPr>
              <w:t>Starobný</w:t>
            </w:r>
          </w:p>
        </w:tc>
        <w:tc>
          <w:tcPr>
            <w:tcW w:w="1985" w:type="dxa"/>
            <w:tcBorders>
              <w:top w:val="single" w:sz="2" w:space="0" w:color="auto"/>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729 653</w:t>
            </w:r>
          </w:p>
        </w:tc>
        <w:tc>
          <w:tcPr>
            <w:tcW w:w="2101" w:type="dxa"/>
            <w:tcBorders>
              <w:top w:val="single" w:sz="2" w:space="0" w:color="auto"/>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289 162</w:t>
            </w:r>
          </w:p>
        </w:tc>
        <w:tc>
          <w:tcPr>
            <w:tcW w:w="1900" w:type="dxa"/>
            <w:tcBorders>
              <w:top w:val="single" w:sz="2" w:space="0" w:color="auto"/>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1 018 815</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Predčasný starobný</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20 537</w:t>
            </w:r>
          </w:p>
        </w:tc>
        <w:tc>
          <w:tcPr>
            <w:tcW w:w="2101"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811</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21 348</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Invalidný (vrátane 10 414 tzv. invalidov. z mladosti)</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235 956</w:t>
            </w:r>
          </w:p>
        </w:tc>
        <w:tc>
          <w:tcPr>
            <w:tcW w:w="2101"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7 467</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243 423</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Vdovský – sólo</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32 849</w:t>
            </w:r>
          </w:p>
        </w:tc>
        <w:tc>
          <w:tcPr>
            <w:tcW w:w="2101"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rFonts w:eastAsiaTheme="minorHAnsi"/>
                <w:sz w:val="20"/>
                <w:szCs w:val="20"/>
              </w:rPr>
              <w:t>x</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32 849</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Vdovecký- sólo</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5 657</w:t>
            </w:r>
          </w:p>
        </w:tc>
        <w:tc>
          <w:tcPr>
            <w:tcW w:w="2101"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rFonts w:eastAsiaTheme="minorHAnsi"/>
                <w:sz w:val="20"/>
                <w:szCs w:val="20"/>
              </w:rPr>
              <w:t>x</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5 657</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Sirotský</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24 625</w:t>
            </w:r>
          </w:p>
        </w:tc>
        <w:tc>
          <w:tcPr>
            <w:tcW w:w="2101"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rFonts w:eastAsiaTheme="minorHAnsi"/>
                <w:sz w:val="20"/>
                <w:szCs w:val="20"/>
              </w:rPr>
              <w:t>x</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24 625</w:t>
            </w:r>
          </w:p>
        </w:tc>
      </w:tr>
      <w:tr w:rsidR="00986004" w:rsidRPr="004C5551" w:rsidTr="00B85283">
        <w:trPr>
          <w:trHeight w:val="315"/>
          <w:jc w:val="center"/>
        </w:trPr>
        <w:tc>
          <w:tcPr>
            <w:tcW w:w="2605" w:type="dxa"/>
            <w:tcBorders>
              <w:top w:val="nil"/>
              <w:left w:val="single" w:sz="2" w:space="0" w:color="auto"/>
              <w:right w:val="single" w:sz="2" w:space="0" w:color="auto"/>
            </w:tcBorders>
            <w:noWrap/>
            <w:vAlign w:val="center"/>
          </w:tcPr>
          <w:p w:rsidR="00986004" w:rsidRPr="004C5551" w:rsidRDefault="00986004" w:rsidP="00B85283">
            <w:pPr>
              <w:jc w:val="left"/>
            </w:pPr>
            <w:r w:rsidRPr="004C5551">
              <w:rPr>
                <w:szCs w:val="22"/>
              </w:rPr>
              <w:t>Dôchodok manželky</w:t>
            </w:r>
          </w:p>
        </w:tc>
        <w:tc>
          <w:tcPr>
            <w:tcW w:w="1985"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669</w:t>
            </w:r>
          </w:p>
        </w:tc>
        <w:tc>
          <w:tcPr>
            <w:tcW w:w="2101" w:type="dxa"/>
            <w:tcBorders>
              <w:top w:val="nil"/>
              <w:left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rFonts w:eastAsiaTheme="minorHAnsi"/>
                <w:sz w:val="20"/>
                <w:szCs w:val="20"/>
              </w:rPr>
              <w:t>x</w:t>
            </w:r>
          </w:p>
        </w:tc>
        <w:tc>
          <w:tcPr>
            <w:tcW w:w="1900" w:type="dxa"/>
            <w:tcBorders>
              <w:top w:val="nil"/>
              <w:left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669</w:t>
            </w:r>
          </w:p>
        </w:tc>
      </w:tr>
      <w:tr w:rsidR="00986004" w:rsidRPr="004C5551" w:rsidTr="00B85283">
        <w:trPr>
          <w:trHeight w:val="315"/>
          <w:jc w:val="center"/>
        </w:trPr>
        <w:tc>
          <w:tcPr>
            <w:tcW w:w="2605"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jc w:val="left"/>
            </w:pPr>
            <w:r w:rsidRPr="004C5551">
              <w:rPr>
                <w:szCs w:val="22"/>
              </w:rPr>
              <w:t>Sociálny</w:t>
            </w:r>
          </w:p>
        </w:tc>
        <w:tc>
          <w:tcPr>
            <w:tcW w:w="1985"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sz w:val="20"/>
                <w:szCs w:val="20"/>
              </w:rPr>
              <w:t>1 976</w:t>
            </w:r>
          </w:p>
        </w:tc>
        <w:tc>
          <w:tcPr>
            <w:tcW w:w="2101"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spacing w:line="276" w:lineRule="auto"/>
              <w:ind w:right="365"/>
              <w:jc w:val="right"/>
              <w:rPr>
                <w:rFonts w:eastAsiaTheme="minorHAnsi"/>
                <w:sz w:val="20"/>
                <w:szCs w:val="20"/>
              </w:rPr>
            </w:pPr>
            <w:r w:rsidRPr="004C5551">
              <w:rPr>
                <w:rFonts w:eastAsiaTheme="minorHAnsi"/>
                <w:sz w:val="20"/>
                <w:szCs w:val="20"/>
              </w:rPr>
              <w:t>x</w:t>
            </w:r>
          </w:p>
        </w:tc>
        <w:tc>
          <w:tcPr>
            <w:tcW w:w="1900" w:type="dxa"/>
            <w:tcBorders>
              <w:top w:val="nil"/>
              <w:left w:val="single" w:sz="2" w:space="0" w:color="auto"/>
              <w:bottom w:val="single" w:sz="2" w:space="0" w:color="auto"/>
              <w:right w:val="single" w:sz="2" w:space="0" w:color="auto"/>
            </w:tcBorders>
            <w:noWrap/>
            <w:vAlign w:val="center"/>
          </w:tcPr>
          <w:p w:rsidR="00986004" w:rsidRPr="004C5551" w:rsidRDefault="00986004" w:rsidP="00B85283">
            <w:pPr>
              <w:ind w:right="365"/>
              <w:jc w:val="right"/>
              <w:rPr>
                <w:sz w:val="20"/>
                <w:szCs w:val="20"/>
              </w:rPr>
            </w:pPr>
            <w:r w:rsidRPr="004C5551">
              <w:rPr>
                <w:sz w:val="20"/>
                <w:szCs w:val="20"/>
              </w:rPr>
              <w:t>1 976</w:t>
            </w:r>
          </w:p>
        </w:tc>
      </w:tr>
      <w:tr w:rsidR="00986004" w:rsidRPr="004C5551" w:rsidTr="00B85283">
        <w:trPr>
          <w:trHeight w:val="315"/>
          <w:jc w:val="center"/>
        </w:trPr>
        <w:tc>
          <w:tcPr>
            <w:tcW w:w="2605"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jc w:val="left"/>
              <w:rPr>
                <w:b/>
                <w:bCs/>
              </w:rPr>
            </w:pPr>
            <w:r w:rsidRPr="004C5551">
              <w:rPr>
                <w:b/>
                <w:bCs/>
                <w:szCs w:val="22"/>
              </w:rPr>
              <w:t>ÚHRN</w:t>
            </w:r>
          </w:p>
        </w:tc>
        <w:tc>
          <w:tcPr>
            <w:tcW w:w="1985"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365"/>
              <w:jc w:val="right"/>
              <w:rPr>
                <w:b/>
                <w:sz w:val="20"/>
                <w:szCs w:val="20"/>
              </w:rPr>
            </w:pPr>
            <w:r w:rsidRPr="004C5551">
              <w:rPr>
                <w:b/>
                <w:sz w:val="20"/>
                <w:szCs w:val="20"/>
              </w:rPr>
              <w:t>1 051 922</w:t>
            </w:r>
          </w:p>
        </w:tc>
        <w:tc>
          <w:tcPr>
            <w:tcW w:w="2101"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365"/>
              <w:jc w:val="right"/>
              <w:rPr>
                <w:b/>
                <w:sz w:val="20"/>
                <w:szCs w:val="20"/>
              </w:rPr>
            </w:pPr>
            <w:r w:rsidRPr="004C5551">
              <w:rPr>
                <w:b/>
                <w:sz w:val="20"/>
                <w:szCs w:val="20"/>
              </w:rPr>
              <w:t>297 440</w:t>
            </w:r>
          </w:p>
        </w:tc>
        <w:tc>
          <w:tcPr>
            <w:tcW w:w="1900" w:type="dxa"/>
            <w:tcBorders>
              <w:top w:val="single" w:sz="2" w:space="0" w:color="auto"/>
              <w:left w:val="single" w:sz="2" w:space="0" w:color="auto"/>
              <w:bottom w:val="single" w:sz="2" w:space="0" w:color="auto"/>
              <w:right w:val="single" w:sz="2" w:space="0" w:color="auto"/>
            </w:tcBorders>
            <w:noWrap/>
            <w:vAlign w:val="center"/>
          </w:tcPr>
          <w:p w:rsidR="00986004" w:rsidRPr="004C5551" w:rsidRDefault="00986004" w:rsidP="00B85283">
            <w:pPr>
              <w:ind w:right="365"/>
              <w:jc w:val="right"/>
              <w:rPr>
                <w:b/>
                <w:sz w:val="20"/>
                <w:szCs w:val="20"/>
              </w:rPr>
            </w:pPr>
            <w:r w:rsidRPr="004C5551">
              <w:rPr>
                <w:b/>
                <w:sz w:val="20"/>
                <w:szCs w:val="20"/>
              </w:rPr>
              <w:t>1 349 362</w:t>
            </w:r>
          </w:p>
        </w:tc>
      </w:tr>
    </w:tbl>
    <w:p w:rsidR="00986004" w:rsidRPr="004C5551" w:rsidRDefault="00986004" w:rsidP="00986004">
      <w:pPr>
        <w:pStyle w:val="zdroj"/>
      </w:pPr>
      <w:r w:rsidRPr="004C5551">
        <w:t>Zdroj: Sociálna poisťovňa</w:t>
      </w:r>
    </w:p>
    <w:p w:rsidR="005C1F10" w:rsidRPr="004C5551" w:rsidRDefault="00986004" w:rsidP="005C1F10">
      <w:pPr>
        <w:jc w:val="left"/>
        <w:rPr>
          <w:i/>
          <w:sz w:val="20"/>
          <w:szCs w:val="20"/>
        </w:rPr>
      </w:pPr>
      <w:r w:rsidRPr="004C5551">
        <w:br w:type="page"/>
      </w:r>
    </w:p>
    <w:p w:rsidR="00DA79C0" w:rsidRPr="004C5551" w:rsidRDefault="00DA79C0" w:rsidP="00DA79C0">
      <w:pPr>
        <w:pStyle w:val="Nadpis7"/>
        <w:rPr>
          <w:i/>
        </w:rPr>
      </w:pPr>
      <w:bookmarkStart w:id="848" w:name="_Toc313879698"/>
      <w:r w:rsidRPr="004C5551">
        <w:t>Tabuľka 3 Počet poberateľov dôchodku a výška sólo dôchodkovej dávky podľa pohlavia</w:t>
      </w:r>
      <w:bookmarkEnd w:id="848"/>
    </w:p>
    <w:tbl>
      <w:tblPr>
        <w:tblW w:w="6374" w:type="dxa"/>
        <w:jc w:val="center"/>
        <w:tblInd w:w="1266" w:type="dxa"/>
        <w:tblBorders>
          <w:top w:val="single" w:sz="2" w:space="0" w:color="auto"/>
          <w:left w:val="single" w:sz="2" w:space="0" w:color="auto"/>
          <w:bottom w:val="single" w:sz="2" w:space="0" w:color="auto"/>
          <w:right w:val="single" w:sz="2" w:space="0" w:color="auto"/>
          <w:insideV w:val="single" w:sz="2" w:space="0" w:color="auto"/>
        </w:tblBorders>
        <w:tblCellMar>
          <w:left w:w="70" w:type="dxa"/>
          <w:right w:w="70" w:type="dxa"/>
        </w:tblCellMar>
        <w:tblLook w:val="00A0" w:firstRow="1" w:lastRow="0" w:firstColumn="1" w:lastColumn="0" w:noHBand="0" w:noVBand="0"/>
      </w:tblPr>
      <w:tblGrid>
        <w:gridCol w:w="2954"/>
        <w:gridCol w:w="1600"/>
        <w:gridCol w:w="1820"/>
      </w:tblGrid>
      <w:tr w:rsidR="00DA79C0" w:rsidRPr="004C5551" w:rsidTr="009509DB">
        <w:trPr>
          <w:trHeight w:val="545"/>
          <w:jc w:val="center"/>
        </w:trPr>
        <w:tc>
          <w:tcPr>
            <w:tcW w:w="2954"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DA79C0" w:rsidRPr="004C5551" w:rsidRDefault="00DA79C0" w:rsidP="00DA79C0">
            <w:pPr>
              <w:rPr>
                <w:b/>
                <w:bCs/>
              </w:rPr>
            </w:pPr>
            <w:r w:rsidRPr="004C5551">
              <w:rPr>
                <w:b/>
                <w:bCs/>
                <w:szCs w:val="22"/>
              </w:rPr>
              <w:t>Typ dôchodku</w:t>
            </w:r>
          </w:p>
        </w:tc>
        <w:tc>
          <w:tcPr>
            <w:tcW w:w="160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DA79C0" w:rsidRPr="004C5551" w:rsidRDefault="00DA79C0" w:rsidP="00DA79C0">
            <w:pPr>
              <w:jc w:val="center"/>
              <w:rPr>
                <w:b/>
                <w:bCs/>
              </w:rPr>
            </w:pPr>
            <w:r w:rsidRPr="004C5551">
              <w:rPr>
                <w:b/>
                <w:bCs/>
                <w:szCs w:val="22"/>
              </w:rPr>
              <w:t xml:space="preserve">Počet poberateľov k </w:t>
            </w:r>
            <w:r w:rsidRPr="004C5551">
              <w:rPr>
                <w:b/>
                <w:szCs w:val="22"/>
              </w:rPr>
              <w:t>31.12.2014</w:t>
            </w:r>
          </w:p>
        </w:tc>
        <w:tc>
          <w:tcPr>
            <w:tcW w:w="182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DA79C0" w:rsidRPr="004C5551" w:rsidRDefault="00DA79C0" w:rsidP="00DA79C0">
            <w:pPr>
              <w:jc w:val="center"/>
              <w:rPr>
                <w:b/>
                <w:bCs/>
              </w:rPr>
            </w:pPr>
            <w:r w:rsidRPr="004C5551">
              <w:rPr>
                <w:b/>
                <w:bCs/>
                <w:szCs w:val="22"/>
              </w:rPr>
              <w:t xml:space="preserve">Priemerná výška k </w:t>
            </w:r>
            <w:r w:rsidRPr="004C5551">
              <w:rPr>
                <w:b/>
                <w:szCs w:val="22"/>
              </w:rPr>
              <w:t>31.12.2014</w:t>
            </w:r>
          </w:p>
        </w:tc>
      </w:tr>
      <w:tr w:rsidR="00DA79C0" w:rsidRPr="004C5551" w:rsidTr="009509DB">
        <w:trPr>
          <w:trHeight w:val="255"/>
          <w:jc w:val="center"/>
        </w:trPr>
        <w:tc>
          <w:tcPr>
            <w:tcW w:w="2954" w:type="dxa"/>
            <w:tcBorders>
              <w:top w:val="single" w:sz="6" w:space="0" w:color="auto"/>
            </w:tcBorders>
            <w:noWrap/>
            <w:vAlign w:val="center"/>
          </w:tcPr>
          <w:p w:rsidR="00DA79C0" w:rsidRPr="004C5551" w:rsidRDefault="00DA79C0" w:rsidP="00DA79C0">
            <w:pPr>
              <w:jc w:val="left"/>
            </w:pPr>
            <w:r w:rsidRPr="004C5551">
              <w:rPr>
                <w:szCs w:val="22"/>
              </w:rPr>
              <w:t xml:space="preserve">Starobný </w:t>
            </w:r>
          </w:p>
        </w:tc>
        <w:tc>
          <w:tcPr>
            <w:tcW w:w="1600" w:type="dxa"/>
            <w:tcBorders>
              <w:top w:val="single" w:sz="6" w:space="0" w:color="auto"/>
            </w:tcBorders>
            <w:noWrap/>
            <w:vAlign w:val="center"/>
          </w:tcPr>
          <w:p w:rsidR="00DA79C0" w:rsidRPr="004C5551" w:rsidRDefault="00DA79C0" w:rsidP="00DA79C0">
            <w:pPr>
              <w:jc w:val="center"/>
              <w:rPr>
                <w:sz w:val="20"/>
                <w:szCs w:val="20"/>
              </w:rPr>
            </w:pPr>
            <w:r w:rsidRPr="004C5551">
              <w:rPr>
                <w:sz w:val="20"/>
                <w:szCs w:val="20"/>
              </w:rPr>
              <w:t>1 018 814</w:t>
            </w:r>
          </w:p>
        </w:tc>
        <w:tc>
          <w:tcPr>
            <w:tcW w:w="1820" w:type="dxa"/>
            <w:tcBorders>
              <w:top w:val="single" w:sz="6" w:space="0" w:color="auto"/>
            </w:tcBorders>
            <w:noWrap/>
            <w:vAlign w:val="center"/>
          </w:tcPr>
          <w:p w:rsidR="00DA79C0" w:rsidRPr="004C5551" w:rsidRDefault="00DA79C0" w:rsidP="00DA79C0">
            <w:pPr>
              <w:jc w:val="center"/>
            </w:pPr>
            <w:r w:rsidRPr="004C5551">
              <w:rPr>
                <w:szCs w:val="22"/>
              </w:rPr>
              <w:t>400,2</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muži</w:t>
            </w:r>
          </w:p>
        </w:tc>
        <w:tc>
          <w:tcPr>
            <w:tcW w:w="1600" w:type="dxa"/>
            <w:noWrap/>
            <w:vAlign w:val="center"/>
          </w:tcPr>
          <w:p w:rsidR="00DA79C0" w:rsidRPr="004C5551" w:rsidRDefault="00DA79C0" w:rsidP="00DA79C0">
            <w:pPr>
              <w:ind w:right="304"/>
              <w:jc w:val="right"/>
            </w:pPr>
            <w:r w:rsidRPr="004C5551">
              <w:rPr>
                <w:szCs w:val="22"/>
              </w:rPr>
              <w:t>379 546</w:t>
            </w:r>
          </w:p>
        </w:tc>
        <w:tc>
          <w:tcPr>
            <w:tcW w:w="1820" w:type="dxa"/>
            <w:noWrap/>
            <w:vAlign w:val="center"/>
          </w:tcPr>
          <w:p w:rsidR="00DA79C0" w:rsidRPr="004C5551" w:rsidRDefault="00DA79C0" w:rsidP="00DA79C0">
            <w:pPr>
              <w:jc w:val="center"/>
            </w:pPr>
            <w:r w:rsidRPr="004C5551">
              <w:rPr>
                <w:szCs w:val="22"/>
              </w:rPr>
              <w:t>449,2</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ženy</w:t>
            </w:r>
          </w:p>
        </w:tc>
        <w:tc>
          <w:tcPr>
            <w:tcW w:w="1600" w:type="dxa"/>
            <w:noWrap/>
            <w:vAlign w:val="center"/>
          </w:tcPr>
          <w:p w:rsidR="00DA79C0" w:rsidRPr="004C5551" w:rsidRDefault="00DA79C0" w:rsidP="00DA79C0">
            <w:pPr>
              <w:ind w:right="304"/>
              <w:jc w:val="right"/>
            </w:pPr>
            <w:r w:rsidRPr="004C5551">
              <w:rPr>
                <w:szCs w:val="22"/>
              </w:rPr>
              <w:t>639 268</w:t>
            </w:r>
          </w:p>
        </w:tc>
        <w:tc>
          <w:tcPr>
            <w:tcW w:w="1820" w:type="dxa"/>
            <w:noWrap/>
            <w:vAlign w:val="center"/>
          </w:tcPr>
          <w:p w:rsidR="00DA79C0" w:rsidRPr="004C5551" w:rsidRDefault="00DA79C0" w:rsidP="00DA79C0">
            <w:pPr>
              <w:jc w:val="center"/>
            </w:pPr>
            <w:r w:rsidRPr="004C5551">
              <w:rPr>
                <w:szCs w:val="22"/>
              </w:rPr>
              <w:t>356,1</w:t>
            </w:r>
          </w:p>
        </w:tc>
      </w:tr>
      <w:tr w:rsidR="00DA79C0" w:rsidRPr="004C5551" w:rsidTr="00DA79C0">
        <w:trPr>
          <w:trHeight w:val="255"/>
          <w:jc w:val="center"/>
        </w:trPr>
        <w:tc>
          <w:tcPr>
            <w:tcW w:w="2954" w:type="dxa"/>
            <w:noWrap/>
            <w:vAlign w:val="center"/>
          </w:tcPr>
          <w:p w:rsidR="00DA79C0" w:rsidRPr="004C5551" w:rsidRDefault="00DA79C0" w:rsidP="00DA79C0">
            <w:pPr>
              <w:jc w:val="left"/>
            </w:pPr>
            <w:r w:rsidRPr="004C5551">
              <w:rPr>
                <w:szCs w:val="22"/>
              </w:rPr>
              <w:t>Predčasný starobný</w:t>
            </w:r>
          </w:p>
        </w:tc>
        <w:tc>
          <w:tcPr>
            <w:tcW w:w="1600" w:type="dxa"/>
            <w:noWrap/>
            <w:vAlign w:val="center"/>
          </w:tcPr>
          <w:p w:rsidR="00DA79C0" w:rsidRPr="004C5551" w:rsidRDefault="00DA79C0" w:rsidP="00DA79C0">
            <w:pPr>
              <w:ind w:right="304"/>
              <w:jc w:val="right"/>
            </w:pPr>
            <w:r w:rsidRPr="004C5551">
              <w:rPr>
                <w:color w:val="000000"/>
                <w:szCs w:val="22"/>
              </w:rPr>
              <w:t>21 348</w:t>
            </w:r>
          </w:p>
        </w:tc>
        <w:tc>
          <w:tcPr>
            <w:tcW w:w="1820" w:type="dxa"/>
            <w:noWrap/>
            <w:vAlign w:val="center"/>
          </w:tcPr>
          <w:p w:rsidR="00DA79C0" w:rsidRPr="004C5551" w:rsidRDefault="00DA79C0" w:rsidP="00DA79C0">
            <w:pPr>
              <w:jc w:val="center"/>
            </w:pPr>
            <w:r w:rsidRPr="004C5551">
              <w:rPr>
                <w:szCs w:val="22"/>
              </w:rPr>
              <w:t>384,5</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muži</w:t>
            </w:r>
          </w:p>
        </w:tc>
        <w:tc>
          <w:tcPr>
            <w:tcW w:w="1600" w:type="dxa"/>
            <w:noWrap/>
            <w:vAlign w:val="center"/>
          </w:tcPr>
          <w:p w:rsidR="00DA79C0" w:rsidRPr="004C5551" w:rsidRDefault="00DA79C0" w:rsidP="00DA79C0">
            <w:pPr>
              <w:ind w:right="304"/>
              <w:jc w:val="right"/>
            </w:pPr>
            <w:r w:rsidRPr="004C5551">
              <w:rPr>
                <w:szCs w:val="22"/>
              </w:rPr>
              <w:t>14 715</w:t>
            </w:r>
          </w:p>
        </w:tc>
        <w:tc>
          <w:tcPr>
            <w:tcW w:w="1820" w:type="dxa"/>
            <w:noWrap/>
            <w:vAlign w:val="center"/>
          </w:tcPr>
          <w:p w:rsidR="00DA79C0" w:rsidRPr="004C5551" w:rsidRDefault="00DA79C0" w:rsidP="00DA79C0">
            <w:pPr>
              <w:jc w:val="center"/>
            </w:pPr>
            <w:r w:rsidRPr="004C5551">
              <w:rPr>
                <w:szCs w:val="22"/>
              </w:rPr>
              <w:t>405,1</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ženy</w:t>
            </w:r>
          </w:p>
        </w:tc>
        <w:tc>
          <w:tcPr>
            <w:tcW w:w="1600" w:type="dxa"/>
            <w:noWrap/>
            <w:vAlign w:val="center"/>
          </w:tcPr>
          <w:p w:rsidR="00DA79C0" w:rsidRPr="004C5551" w:rsidRDefault="00DA79C0" w:rsidP="00DA79C0">
            <w:pPr>
              <w:ind w:right="304"/>
              <w:jc w:val="right"/>
            </w:pPr>
            <w:r w:rsidRPr="004C5551">
              <w:rPr>
                <w:szCs w:val="22"/>
              </w:rPr>
              <w:t>6 633</w:t>
            </w:r>
          </w:p>
        </w:tc>
        <w:tc>
          <w:tcPr>
            <w:tcW w:w="1820" w:type="dxa"/>
            <w:noWrap/>
            <w:vAlign w:val="center"/>
          </w:tcPr>
          <w:p w:rsidR="00DA79C0" w:rsidRPr="004C5551" w:rsidRDefault="00DA79C0" w:rsidP="00DA79C0">
            <w:pPr>
              <w:jc w:val="center"/>
            </w:pPr>
            <w:r w:rsidRPr="004C5551">
              <w:rPr>
                <w:szCs w:val="22"/>
              </w:rPr>
              <w:t>336,3</w:t>
            </w:r>
          </w:p>
        </w:tc>
      </w:tr>
      <w:tr w:rsidR="00DA79C0" w:rsidRPr="004C5551" w:rsidTr="00DA79C0">
        <w:trPr>
          <w:trHeight w:val="255"/>
          <w:jc w:val="center"/>
        </w:trPr>
        <w:tc>
          <w:tcPr>
            <w:tcW w:w="2954" w:type="dxa"/>
            <w:noWrap/>
            <w:vAlign w:val="center"/>
          </w:tcPr>
          <w:p w:rsidR="00DA79C0" w:rsidRPr="004C5551" w:rsidRDefault="00DA79C0" w:rsidP="00DA79C0">
            <w:pPr>
              <w:jc w:val="left"/>
            </w:pPr>
            <w:r w:rsidRPr="004C5551">
              <w:rPr>
                <w:szCs w:val="22"/>
              </w:rPr>
              <w:t>Invalidný</w:t>
            </w:r>
          </w:p>
        </w:tc>
        <w:tc>
          <w:tcPr>
            <w:tcW w:w="1600" w:type="dxa"/>
            <w:noWrap/>
            <w:vAlign w:val="center"/>
          </w:tcPr>
          <w:p w:rsidR="00DA79C0" w:rsidRPr="004C5551" w:rsidRDefault="00DA79C0" w:rsidP="00DA79C0">
            <w:pPr>
              <w:ind w:right="304"/>
              <w:jc w:val="right"/>
            </w:pPr>
            <w:r w:rsidRPr="004C5551">
              <w:rPr>
                <w:color w:val="000000"/>
                <w:szCs w:val="22"/>
              </w:rPr>
              <w:t>233 009</w:t>
            </w:r>
          </w:p>
        </w:tc>
        <w:tc>
          <w:tcPr>
            <w:tcW w:w="1820" w:type="dxa"/>
            <w:noWrap/>
            <w:vAlign w:val="center"/>
          </w:tcPr>
          <w:p w:rsidR="00DA79C0" w:rsidRPr="004C5551" w:rsidRDefault="00DA79C0" w:rsidP="00DA79C0">
            <w:pPr>
              <w:jc w:val="center"/>
            </w:pPr>
            <w:r w:rsidRPr="004C5551">
              <w:rPr>
                <w:szCs w:val="22"/>
              </w:rPr>
              <w:t>266,7</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muži</w:t>
            </w:r>
          </w:p>
        </w:tc>
        <w:tc>
          <w:tcPr>
            <w:tcW w:w="1600" w:type="dxa"/>
            <w:noWrap/>
            <w:vAlign w:val="center"/>
          </w:tcPr>
          <w:p w:rsidR="00DA79C0" w:rsidRPr="004C5551" w:rsidRDefault="00DA79C0" w:rsidP="00DA79C0">
            <w:pPr>
              <w:ind w:right="304"/>
              <w:jc w:val="right"/>
            </w:pPr>
            <w:r w:rsidRPr="004C5551">
              <w:rPr>
                <w:szCs w:val="22"/>
              </w:rPr>
              <w:t>119 306</w:t>
            </w:r>
          </w:p>
        </w:tc>
        <w:tc>
          <w:tcPr>
            <w:tcW w:w="1820" w:type="dxa"/>
            <w:noWrap/>
            <w:vAlign w:val="center"/>
          </w:tcPr>
          <w:p w:rsidR="00DA79C0" w:rsidRPr="004C5551" w:rsidRDefault="00DA79C0" w:rsidP="00DA79C0">
            <w:pPr>
              <w:jc w:val="center"/>
            </w:pPr>
            <w:r w:rsidRPr="004C5551">
              <w:rPr>
                <w:szCs w:val="22"/>
              </w:rPr>
              <w:t>290,9</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ženy</w:t>
            </w:r>
          </w:p>
        </w:tc>
        <w:tc>
          <w:tcPr>
            <w:tcW w:w="1600" w:type="dxa"/>
            <w:noWrap/>
            <w:vAlign w:val="center"/>
          </w:tcPr>
          <w:p w:rsidR="00DA79C0" w:rsidRPr="004C5551" w:rsidRDefault="00DA79C0" w:rsidP="00DA79C0">
            <w:pPr>
              <w:ind w:right="304"/>
              <w:jc w:val="right"/>
            </w:pPr>
            <w:r w:rsidRPr="004C5551">
              <w:rPr>
                <w:szCs w:val="22"/>
              </w:rPr>
              <w:t>113 703</w:t>
            </w:r>
          </w:p>
        </w:tc>
        <w:tc>
          <w:tcPr>
            <w:tcW w:w="1820" w:type="dxa"/>
            <w:noWrap/>
            <w:vAlign w:val="center"/>
          </w:tcPr>
          <w:p w:rsidR="00DA79C0" w:rsidRPr="004C5551" w:rsidRDefault="00DA79C0" w:rsidP="00DA79C0">
            <w:pPr>
              <w:jc w:val="center"/>
            </w:pPr>
            <w:r w:rsidRPr="004C5551">
              <w:rPr>
                <w:szCs w:val="22"/>
              </w:rPr>
              <w:t>240,0</w:t>
            </w:r>
          </w:p>
        </w:tc>
      </w:tr>
      <w:tr w:rsidR="00DA79C0" w:rsidRPr="004C5551" w:rsidTr="00DA79C0">
        <w:trPr>
          <w:trHeight w:val="255"/>
          <w:jc w:val="center"/>
        </w:trPr>
        <w:tc>
          <w:tcPr>
            <w:tcW w:w="2954" w:type="dxa"/>
            <w:noWrap/>
            <w:vAlign w:val="center"/>
          </w:tcPr>
          <w:p w:rsidR="00DA79C0" w:rsidRPr="004C5551" w:rsidRDefault="00DA79C0" w:rsidP="00DA79C0">
            <w:pPr>
              <w:jc w:val="left"/>
            </w:pPr>
            <w:r w:rsidRPr="004C5551">
              <w:rPr>
                <w:szCs w:val="22"/>
              </w:rPr>
              <w:t>Vdovský (ženy) sólo</w:t>
            </w:r>
          </w:p>
        </w:tc>
        <w:tc>
          <w:tcPr>
            <w:tcW w:w="1600" w:type="dxa"/>
            <w:noWrap/>
            <w:vAlign w:val="center"/>
          </w:tcPr>
          <w:p w:rsidR="00DA79C0" w:rsidRPr="004C5551" w:rsidRDefault="00DA79C0" w:rsidP="00DA79C0">
            <w:pPr>
              <w:ind w:right="304"/>
              <w:jc w:val="right"/>
            </w:pPr>
            <w:r w:rsidRPr="004C5551">
              <w:rPr>
                <w:color w:val="000000"/>
                <w:szCs w:val="22"/>
              </w:rPr>
              <w:t>32 849</w:t>
            </w:r>
          </w:p>
        </w:tc>
        <w:tc>
          <w:tcPr>
            <w:tcW w:w="1820" w:type="dxa"/>
            <w:noWrap/>
            <w:vAlign w:val="center"/>
          </w:tcPr>
          <w:p w:rsidR="00DA79C0" w:rsidRPr="004C5551" w:rsidRDefault="00DA79C0" w:rsidP="00DA79C0">
            <w:pPr>
              <w:jc w:val="center"/>
            </w:pPr>
            <w:r w:rsidRPr="004C5551">
              <w:rPr>
                <w:szCs w:val="22"/>
              </w:rPr>
              <w:t>242,9</w:t>
            </w:r>
          </w:p>
        </w:tc>
      </w:tr>
      <w:tr w:rsidR="00DA79C0" w:rsidRPr="004C5551" w:rsidTr="00DA79C0">
        <w:trPr>
          <w:trHeight w:val="255"/>
          <w:jc w:val="center"/>
        </w:trPr>
        <w:tc>
          <w:tcPr>
            <w:tcW w:w="2954" w:type="dxa"/>
            <w:noWrap/>
            <w:vAlign w:val="center"/>
          </w:tcPr>
          <w:p w:rsidR="00DA79C0" w:rsidRPr="004C5551" w:rsidRDefault="00DA79C0" w:rsidP="00DA79C0">
            <w:pPr>
              <w:jc w:val="left"/>
            </w:pPr>
            <w:r w:rsidRPr="004C5551">
              <w:rPr>
                <w:szCs w:val="22"/>
              </w:rPr>
              <w:t>Vdovecký (muži) sólo</w:t>
            </w:r>
          </w:p>
        </w:tc>
        <w:tc>
          <w:tcPr>
            <w:tcW w:w="1600" w:type="dxa"/>
            <w:noWrap/>
            <w:vAlign w:val="center"/>
          </w:tcPr>
          <w:p w:rsidR="00DA79C0" w:rsidRPr="004C5551" w:rsidRDefault="00DA79C0" w:rsidP="00DA79C0">
            <w:pPr>
              <w:ind w:right="304"/>
              <w:jc w:val="right"/>
            </w:pPr>
            <w:r w:rsidRPr="004C5551">
              <w:rPr>
                <w:szCs w:val="22"/>
              </w:rPr>
              <w:t>5 657</w:t>
            </w:r>
          </w:p>
        </w:tc>
        <w:tc>
          <w:tcPr>
            <w:tcW w:w="1820" w:type="dxa"/>
            <w:noWrap/>
            <w:vAlign w:val="center"/>
          </w:tcPr>
          <w:p w:rsidR="00DA79C0" w:rsidRPr="004C5551" w:rsidRDefault="00DA79C0" w:rsidP="00DA79C0">
            <w:pPr>
              <w:jc w:val="center"/>
            </w:pPr>
            <w:r w:rsidRPr="004C5551">
              <w:rPr>
                <w:szCs w:val="22"/>
              </w:rPr>
              <w:t>186,8</w:t>
            </w:r>
          </w:p>
        </w:tc>
      </w:tr>
      <w:tr w:rsidR="00DA79C0" w:rsidRPr="004C5551" w:rsidTr="00DA79C0">
        <w:trPr>
          <w:trHeight w:val="255"/>
          <w:jc w:val="center"/>
        </w:trPr>
        <w:tc>
          <w:tcPr>
            <w:tcW w:w="2954" w:type="dxa"/>
            <w:noWrap/>
            <w:vAlign w:val="center"/>
          </w:tcPr>
          <w:p w:rsidR="00DA79C0" w:rsidRPr="004C5551" w:rsidRDefault="00DA79C0" w:rsidP="00DA79C0">
            <w:pPr>
              <w:jc w:val="left"/>
            </w:pPr>
            <w:r w:rsidRPr="004C5551">
              <w:rPr>
                <w:szCs w:val="22"/>
              </w:rPr>
              <w:t>Sirotský</w:t>
            </w:r>
          </w:p>
        </w:tc>
        <w:tc>
          <w:tcPr>
            <w:tcW w:w="1600" w:type="dxa"/>
            <w:noWrap/>
            <w:vAlign w:val="center"/>
          </w:tcPr>
          <w:p w:rsidR="00DA79C0" w:rsidRPr="004C5551" w:rsidRDefault="00DA79C0" w:rsidP="00DA79C0">
            <w:pPr>
              <w:ind w:right="304"/>
              <w:jc w:val="right"/>
            </w:pPr>
            <w:r w:rsidRPr="004C5551">
              <w:rPr>
                <w:color w:val="000000"/>
                <w:szCs w:val="22"/>
              </w:rPr>
              <w:t>24 625</w:t>
            </w:r>
          </w:p>
        </w:tc>
        <w:tc>
          <w:tcPr>
            <w:tcW w:w="1820" w:type="dxa"/>
            <w:noWrap/>
            <w:vAlign w:val="center"/>
          </w:tcPr>
          <w:p w:rsidR="00DA79C0" w:rsidRPr="004C5551" w:rsidRDefault="00DA79C0" w:rsidP="00DA79C0">
            <w:pPr>
              <w:jc w:val="center"/>
            </w:pPr>
            <w:r w:rsidRPr="004C5551">
              <w:rPr>
                <w:szCs w:val="22"/>
              </w:rPr>
              <w:t>131,3</w:t>
            </w:r>
          </w:p>
        </w:tc>
      </w:tr>
      <w:tr w:rsidR="00DA79C0" w:rsidRPr="004C5551" w:rsidTr="00DA79C0">
        <w:trPr>
          <w:trHeight w:val="255"/>
          <w:jc w:val="center"/>
        </w:trPr>
        <w:tc>
          <w:tcPr>
            <w:tcW w:w="2954" w:type="dxa"/>
            <w:noWrap/>
            <w:vAlign w:val="center"/>
          </w:tcPr>
          <w:p w:rsidR="00DA79C0" w:rsidRPr="004C5551" w:rsidRDefault="00DA79C0" w:rsidP="00DA79C0">
            <w:pPr>
              <w:ind w:left="113"/>
              <w:jc w:val="left"/>
            </w:pPr>
            <w:r w:rsidRPr="004C5551">
              <w:rPr>
                <w:szCs w:val="22"/>
              </w:rPr>
              <w:t>muži</w:t>
            </w:r>
          </w:p>
        </w:tc>
        <w:tc>
          <w:tcPr>
            <w:tcW w:w="1600" w:type="dxa"/>
            <w:noWrap/>
            <w:vAlign w:val="center"/>
          </w:tcPr>
          <w:p w:rsidR="00DA79C0" w:rsidRPr="004C5551" w:rsidRDefault="00DA79C0" w:rsidP="00DA79C0">
            <w:pPr>
              <w:ind w:right="304"/>
              <w:jc w:val="right"/>
            </w:pPr>
            <w:r w:rsidRPr="004C5551">
              <w:rPr>
                <w:szCs w:val="22"/>
              </w:rPr>
              <w:t>6 916</w:t>
            </w:r>
          </w:p>
        </w:tc>
        <w:tc>
          <w:tcPr>
            <w:tcW w:w="1820" w:type="dxa"/>
            <w:noWrap/>
            <w:vAlign w:val="center"/>
          </w:tcPr>
          <w:p w:rsidR="00DA79C0" w:rsidRPr="004C5551" w:rsidRDefault="00DA79C0" w:rsidP="00DA79C0">
            <w:pPr>
              <w:jc w:val="center"/>
            </w:pPr>
            <w:r w:rsidRPr="004C5551">
              <w:rPr>
                <w:szCs w:val="22"/>
              </w:rPr>
              <w:t>126,7</w:t>
            </w:r>
          </w:p>
        </w:tc>
      </w:tr>
      <w:tr w:rsidR="00DA79C0" w:rsidRPr="004C5551" w:rsidTr="00DA79C0">
        <w:trPr>
          <w:trHeight w:val="255"/>
          <w:jc w:val="center"/>
        </w:trPr>
        <w:tc>
          <w:tcPr>
            <w:tcW w:w="2954" w:type="dxa"/>
            <w:tcBorders>
              <w:bottom w:val="single" w:sz="2" w:space="0" w:color="auto"/>
            </w:tcBorders>
            <w:noWrap/>
            <w:vAlign w:val="center"/>
          </w:tcPr>
          <w:p w:rsidR="00DA79C0" w:rsidRPr="004C5551" w:rsidRDefault="00DA79C0" w:rsidP="00DA79C0">
            <w:pPr>
              <w:ind w:left="113"/>
              <w:jc w:val="left"/>
            </w:pPr>
            <w:r w:rsidRPr="004C5551">
              <w:rPr>
                <w:szCs w:val="22"/>
              </w:rPr>
              <w:t>ženy</w:t>
            </w:r>
          </w:p>
        </w:tc>
        <w:tc>
          <w:tcPr>
            <w:tcW w:w="1600" w:type="dxa"/>
            <w:tcBorders>
              <w:bottom w:val="single" w:sz="2" w:space="0" w:color="auto"/>
            </w:tcBorders>
            <w:noWrap/>
            <w:vAlign w:val="center"/>
          </w:tcPr>
          <w:p w:rsidR="00DA79C0" w:rsidRPr="004C5551" w:rsidRDefault="00DA79C0" w:rsidP="00DA79C0">
            <w:pPr>
              <w:ind w:right="304"/>
              <w:jc w:val="right"/>
            </w:pPr>
            <w:r w:rsidRPr="004C5551">
              <w:rPr>
                <w:szCs w:val="22"/>
              </w:rPr>
              <w:t>17 709</w:t>
            </w:r>
          </w:p>
        </w:tc>
        <w:tc>
          <w:tcPr>
            <w:tcW w:w="1820" w:type="dxa"/>
            <w:tcBorders>
              <w:bottom w:val="single" w:sz="2" w:space="0" w:color="auto"/>
            </w:tcBorders>
            <w:noWrap/>
            <w:vAlign w:val="center"/>
          </w:tcPr>
          <w:p w:rsidR="00DA79C0" w:rsidRPr="004C5551" w:rsidRDefault="00DA79C0" w:rsidP="00DA79C0">
            <w:pPr>
              <w:jc w:val="center"/>
            </w:pPr>
            <w:r w:rsidRPr="004C5551">
              <w:rPr>
                <w:szCs w:val="22"/>
              </w:rPr>
              <w:t>133,2</w:t>
            </w:r>
          </w:p>
        </w:tc>
      </w:tr>
      <w:tr w:rsidR="00DA79C0" w:rsidRPr="004C5551" w:rsidTr="00DA79C0">
        <w:trPr>
          <w:trHeight w:val="255"/>
          <w:jc w:val="center"/>
        </w:trPr>
        <w:tc>
          <w:tcPr>
            <w:tcW w:w="2954" w:type="dxa"/>
            <w:tcBorders>
              <w:top w:val="single" w:sz="2" w:space="0" w:color="auto"/>
              <w:bottom w:val="single" w:sz="2" w:space="0" w:color="auto"/>
            </w:tcBorders>
            <w:noWrap/>
            <w:vAlign w:val="center"/>
          </w:tcPr>
          <w:p w:rsidR="00DA79C0" w:rsidRPr="004C5551" w:rsidRDefault="00DA79C0" w:rsidP="00DA79C0">
            <w:pPr>
              <w:jc w:val="left"/>
              <w:rPr>
                <w:b/>
                <w:bCs/>
              </w:rPr>
            </w:pPr>
            <w:r w:rsidRPr="004C5551">
              <w:rPr>
                <w:b/>
                <w:bCs/>
                <w:szCs w:val="22"/>
              </w:rPr>
              <w:t>Spolu</w:t>
            </w:r>
          </w:p>
        </w:tc>
        <w:tc>
          <w:tcPr>
            <w:tcW w:w="1600" w:type="dxa"/>
            <w:tcBorders>
              <w:top w:val="single" w:sz="2" w:space="0" w:color="auto"/>
              <w:bottom w:val="single" w:sz="2" w:space="0" w:color="auto"/>
            </w:tcBorders>
            <w:noWrap/>
            <w:vAlign w:val="center"/>
          </w:tcPr>
          <w:p w:rsidR="00DA79C0" w:rsidRPr="004C5551" w:rsidRDefault="00DA79C0" w:rsidP="00DA79C0">
            <w:pPr>
              <w:ind w:right="304"/>
              <w:jc w:val="right"/>
              <w:rPr>
                <w:b/>
                <w:bCs/>
              </w:rPr>
            </w:pPr>
            <w:r w:rsidRPr="004C5551">
              <w:rPr>
                <w:b/>
                <w:color w:val="000000"/>
                <w:szCs w:val="22"/>
              </w:rPr>
              <w:t>1 336 302</w:t>
            </w:r>
          </w:p>
        </w:tc>
        <w:tc>
          <w:tcPr>
            <w:tcW w:w="1820" w:type="dxa"/>
            <w:tcBorders>
              <w:top w:val="single" w:sz="2" w:space="0" w:color="auto"/>
              <w:bottom w:val="single" w:sz="2" w:space="0" w:color="auto"/>
            </w:tcBorders>
            <w:noWrap/>
            <w:vAlign w:val="center"/>
          </w:tcPr>
          <w:p w:rsidR="00DA79C0" w:rsidRPr="004C5551" w:rsidRDefault="00DA79C0" w:rsidP="00DA79C0">
            <w:pPr>
              <w:jc w:val="center"/>
              <w:rPr>
                <w:b/>
                <w:bCs/>
              </w:rPr>
            </w:pPr>
            <w:r w:rsidRPr="004C5551">
              <w:rPr>
                <w:b/>
                <w:bCs/>
                <w:szCs w:val="22"/>
              </w:rPr>
              <w:t>x</w:t>
            </w:r>
          </w:p>
        </w:tc>
      </w:tr>
    </w:tbl>
    <w:p w:rsidR="00DA79C0" w:rsidRPr="004C5551" w:rsidRDefault="00DA79C0" w:rsidP="00DA79C0">
      <w:pPr>
        <w:pStyle w:val="zdroj"/>
      </w:pPr>
      <w:r w:rsidRPr="004C5551">
        <w:t>Zdroj: Sociálna poisťovňa</w:t>
      </w:r>
    </w:p>
    <w:p w:rsidR="005C1F10" w:rsidRPr="004C5551" w:rsidRDefault="005C1F10" w:rsidP="005C1F10">
      <w:pPr>
        <w:rPr>
          <w:i/>
          <w:sz w:val="20"/>
        </w:rPr>
      </w:pPr>
    </w:p>
    <w:p w:rsidR="00DA79C0" w:rsidRPr="004C5551" w:rsidRDefault="00DA79C0" w:rsidP="00DA79C0">
      <w:pPr>
        <w:pStyle w:val="Nadpis7"/>
        <w:rPr>
          <w:i/>
        </w:rPr>
      </w:pPr>
      <w:bookmarkStart w:id="849" w:name="_Toc313879699"/>
      <w:r w:rsidRPr="004C5551">
        <w:t>Tabuľka 4 Rozdelenie poberateľov podľa výšky dôchodkových dávok</w:t>
      </w:r>
      <w:bookmarkEnd w:id="849"/>
      <w:r w:rsidRPr="004C5551">
        <w:t xml:space="preserve"> k 31. 12. 2014</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1560"/>
        <w:gridCol w:w="1559"/>
        <w:gridCol w:w="1276"/>
        <w:gridCol w:w="1082"/>
        <w:gridCol w:w="1265"/>
        <w:gridCol w:w="1196"/>
      </w:tblGrid>
      <w:tr w:rsidR="00DA79C0" w:rsidRPr="004C5551" w:rsidTr="00960E97">
        <w:trPr>
          <w:trHeight w:val="271"/>
          <w:jc w:val="center"/>
        </w:trPr>
        <w:tc>
          <w:tcPr>
            <w:tcW w:w="1204" w:type="dxa"/>
            <w:vMerge w:val="restart"/>
            <w:shd w:val="clear" w:color="auto" w:fill="FF9999" w:themeFill="accent3" w:themeFillTint="66"/>
            <w:noWrap/>
            <w:vAlign w:val="center"/>
          </w:tcPr>
          <w:p w:rsidR="00DA79C0" w:rsidRPr="004C5551" w:rsidRDefault="00DA79C0" w:rsidP="00DA79C0">
            <w:pPr>
              <w:jc w:val="center"/>
              <w:rPr>
                <w:b/>
                <w:bCs/>
              </w:rPr>
            </w:pPr>
            <w:r w:rsidRPr="004C5551">
              <w:rPr>
                <w:b/>
                <w:bCs/>
                <w:szCs w:val="22"/>
              </w:rPr>
              <w:t>Výška dôchodku v </w:t>
            </w:r>
            <w:r w:rsidR="00AA0137" w:rsidRPr="004C5551">
              <w:rPr>
                <w:b/>
                <w:bCs/>
                <w:szCs w:val="22"/>
              </w:rPr>
              <w:t>€</w:t>
            </w:r>
          </w:p>
        </w:tc>
        <w:tc>
          <w:tcPr>
            <w:tcW w:w="7938" w:type="dxa"/>
            <w:gridSpan w:val="6"/>
            <w:shd w:val="clear" w:color="auto" w:fill="FF9999" w:themeFill="accent3" w:themeFillTint="66"/>
            <w:noWrap/>
            <w:vAlign w:val="center"/>
          </w:tcPr>
          <w:p w:rsidR="00DA79C0" w:rsidRPr="004C5551" w:rsidRDefault="00DA79C0" w:rsidP="00DA79C0">
            <w:pPr>
              <w:keepNext/>
              <w:keepLines/>
              <w:jc w:val="center"/>
              <w:rPr>
                <w:b/>
                <w:bCs/>
              </w:rPr>
            </w:pPr>
            <w:r w:rsidRPr="004C5551">
              <w:rPr>
                <w:b/>
                <w:bCs/>
                <w:szCs w:val="22"/>
              </w:rPr>
              <w:t>Počet poberateľov dôchodku : M+Ž spolu</w:t>
            </w:r>
          </w:p>
        </w:tc>
      </w:tr>
      <w:tr w:rsidR="00DA79C0" w:rsidRPr="004C5551" w:rsidTr="00960E97">
        <w:trPr>
          <w:trHeight w:val="1104"/>
          <w:jc w:val="center"/>
        </w:trPr>
        <w:tc>
          <w:tcPr>
            <w:tcW w:w="1204" w:type="dxa"/>
            <w:vMerge/>
            <w:shd w:val="clear" w:color="auto" w:fill="FF9999" w:themeFill="accent3" w:themeFillTint="66"/>
            <w:vAlign w:val="center"/>
          </w:tcPr>
          <w:p w:rsidR="00DA79C0" w:rsidRPr="004C5551" w:rsidRDefault="00DA79C0" w:rsidP="00DA79C0">
            <w:pPr>
              <w:keepNext/>
              <w:keepLines/>
              <w:jc w:val="center"/>
              <w:rPr>
                <w:b/>
                <w:bCs/>
              </w:rPr>
            </w:pPr>
          </w:p>
        </w:tc>
        <w:tc>
          <w:tcPr>
            <w:tcW w:w="1560" w:type="dxa"/>
            <w:shd w:val="clear" w:color="auto" w:fill="FF9999" w:themeFill="accent3" w:themeFillTint="66"/>
            <w:noWrap/>
            <w:vAlign w:val="center"/>
          </w:tcPr>
          <w:p w:rsidR="00DA79C0" w:rsidRPr="004C5551" w:rsidRDefault="00DA79C0" w:rsidP="00DA79C0">
            <w:pPr>
              <w:keepNext/>
              <w:keepLines/>
              <w:jc w:val="center"/>
              <w:rPr>
                <w:b/>
                <w:bCs/>
              </w:rPr>
            </w:pPr>
            <w:r w:rsidRPr="004C5551">
              <w:rPr>
                <w:b/>
                <w:bCs/>
                <w:szCs w:val="22"/>
              </w:rPr>
              <w:t>Starobný sólo + starobný vyplácaný v súbehu s vdovským a vdoveckým</w:t>
            </w:r>
          </w:p>
        </w:tc>
        <w:tc>
          <w:tcPr>
            <w:tcW w:w="1559" w:type="dxa"/>
            <w:shd w:val="clear" w:color="auto" w:fill="FF9999" w:themeFill="accent3" w:themeFillTint="66"/>
            <w:noWrap/>
            <w:vAlign w:val="center"/>
          </w:tcPr>
          <w:p w:rsidR="00DA79C0" w:rsidRPr="004C5551" w:rsidRDefault="00DA79C0" w:rsidP="00DA79C0">
            <w:pPr>
              <w:keepNext/>
              <w:keepLines/>
              <w:jc w:val="center"/>
              <w:rPr>
                <w:b/>
                <w:bCs/>
              </w:rPr>
            </w:pPr>
            <w:r w:rsidRPr="004C5551">
              <w:rPr>
                <w:b/>
                <w:bCs/>
                <w:szCs w:val="22"/>
              </w:rPr>
              <w:t>Predčasný starobný sólo + vyplácaný predčasný starobný v súbehu s vdovským a vdoveckým</w:t>
            </w:r>
          </w:p>
        </w:tc>
        <w:tc>
          <w:tcPr>
            <w:tcW w:w="1276" w:type="dxa"/>
            <w:shd w:val="clear" w:color="auto" w:fill="FF9999" w:themeFill="accent3" w:themeFillTint="66"/>
            <w:noWrap/>
            <w:vAlign w:val="center"/>
          </w:tcPr>
          <w:p w:rsidR="00DA79C0" w:rsidRPr="004C5551" w:rsidRDefault="00DA79C0" w:rsidP="00DA79C0">
            <w:pPr>
              <w:keepNext/>
              <w:keepLines/>
              <w:jc w:val="center"/>
              <w:rPr>
                <w:b/>
                <w:bCs/>
              </w:rPr>
            </w:pPr>
            <w:r w:rsidRPr="004C5551">
              <w:rPr>
                <w:b/>
                <w:bCs/>
                <w:szCs w:val="22"/>
              </w:rPr>
              <w:t>Invalidný sólo* + invalidný v súbehu s vdovským a vdoveckým</w:t>
            </w:r>
          </w:p>
        </w:tc>
        <w:tc>
          <w:tcPr>
            <w:tcW w:w="1082" w:type="dxa"/>
            <w:shd w:val="clear" w:color="auto" w:fill="FF9999" w:themeFill="accent3" w:themeFillTint="66"/>
            <w:noWrap/>
            <w:vAlign w:val="center"/>
          </w:tcPr>
          <w:p w:rsidR="00DA79C0" w:rsidRPr="004C5551" w:rsidRDefault="00DA79C0" w:rsidP="00DA79C0">
            <w:pPr>
              <w:keepNext/>
              <w:keepLines/>
              <w:jc w:val="center"/>
              <w:rPr>
                <w:b/>
                <w:bCs/>
              </w:rPr>
            </w:pPr>
            <w:proofErr w:type="spellStart"/>
            <w:r w:rsidRPr="004C5551">
              <w:rPr>
                <w:b/>
                <w:bCs/>
                <w:szCs w:val="22"/>
              </w:rPr>
              <w:t>Vdovský-sólo</w:t>
            </w:r>
            <w:proofErr w:type="spellEnd"/>
          </w:p>
        </w:tc>
        <w:tc>
          <w:tcPr>
            <w:tcW w:w="1265" w:type="dxa"/>
            <w:shd w:val="clear" w:color="auto" w:fill="FF9999" w:themeFill="accent3" w:themeFillTint="66"/>
            <w:noWrap/>
            <w:vAlign w:val="center"/>
          </w:tcPr>
          <w:p w:rsidR="00DA79C0" w:rsidRPr="004C5551" w:rsidRDefault="00DA79C0" w:rsidP="00DA79C0">
            <w:pPr>
              <w:keepNext/>
              <w:keepLines/>
              <w:jc w:val="center"/>
              <w:rPr>
                <w:b/>
                <w:bCs/>
              </w:rPr>
            </w:pPr>
            <w:proofErr w:type="spellStart"/>
            <w:r w:rsidRPr="004C5551">
              <w:rPr>
                <w:b/>
                <w:bCs/>
                <w:szCs w:val="22"/>
              </w:rPr>
              <w:t>Vdovecký-sólo</w:t>
            </w:r>
            <w:proofErr w:type="spellEnd"/>
          </w:p>
        </w:tc>
        <w:tc>
          <w:tcPr>
            <w:tcW w:w="1196" w:type="dxa"/>
            <w:shd w:val="clear" w:color="auto" w:fill="FF9999" w:themeFill="accent3" w:themeFillTint="66"/>
            <w:noWrap/>
            <w:vAlign w:val="center"/>
          </w:tcPr>
          <w:p w:rsidR="00DA79C0" w:rsidRPr="004C5551" w:rsidRDefault="00DA79C0" w:rsidP="00DA79C0">
            <w:pPr>
              <w:keepNext/>
              <w:keepLines/>
              <w:jc w:val="center"/>
              <w:rPr>
                <w:b/>
                <w:bCs/>
              </w:rPr>
            </w:pPr>
            <w:r w:rsidRPr="004C5551">
              <w:rPr>
                <w:b/>
                <w:bCs/>
                <w:szCs w:val="22"/>
              </w:rPr>
              <w:t>Sirotský</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do 130</w:t>
            </w:r>
          </w:p>
        </w:tc>
        <w:tc>
          <w:tcPr>
            <w:tcW w:w="1560" w:type="dxa"/>
            <w:noWrap/>
            <w:vAlign w:val="center"/>
          </w:tcPr>
          <w:p w:rsidR="00DA79C0" w:rsidRPr="004C5551" w:rsidRDefault="00DA79C0" w:rsidP="009509DB">
            <w:pPr>
              <w:ind w:right="249"/>
              <w:jc w:val="right"/>
              <w:rPr>
                <w:sz w:val="20"/>
                <w:szCs w:val="20"/>
              </w:rPr>
            </w:pPr>
            <w:r w:rsidRPr="004C5551">
              <w:rPr>
                <w:sz w:val="20"/>
                <w:szCs w:val="20"/>
              </w:rPr>
              <w:t>9 174</w:t>
            </w:r>
          </w:p>
        </w:tc>
        <w:tc>
          <w:tcPr>
            <w:tcW w:w="1559" w:type="dxa"/>
            <w:noWrap/>
            <w:vAlign w:val="bottom"/>
          </w:tcPr>
          <w:p w:rsidR="00DA79C0" w:rsidRPr="004C5551" w:rsidRDefault="00DA79C0" w:rsidP="009509DB">
            <w:pPr>
              <w:ind w:right="249"/>
              <w:jc w:val="right"/>
              <w:rPr>
                <w:sz w:val="20"/>
                <w:szCs w:val="20"/>
              </w:rPr>
            </w:pPr>
            <w:r w:rsidRPr="004C5551">
              <w:rPr>
                <w:sz w:val="20"/>
                <w:szCs w:val="20"/>
              </w:rPr>
              <w:t>55</w:t>
            </w:r>
          </w:p>
        </w:tc>
        <w:tc>
          <w:tcPr>
            <w:tcW w:w="1276" w:type="dxa"/>
            <w:noWrap/>
            <w:vAlign w:val="bottom"/>
          </w:tcPr>
          <w:p w:rsidR="00DA79C0" w:rsidRPr="004C5551" w:rsidRDefault="00DA79C0" w:rsidP="009509DB">
            <w:pPr>
              <w:ind w:right="249"/>
              <w:jc w:val="right"/>
              <w:rPr>
                <w:sz w:val="20"/>
                <w:szCs w:val="20"/>
              </w:rPr>
            </w:pPr>
            <w:r w:rsidRPr="004C5551">
              <w:rPr>
                <w:sz w:val="20"/>
                <w:szCs w:val="20"/>
              </w:rPr>
              <w:t>17 793</w:t>
            </w:r>
          </w:p>
        </w:tc>
        <w:tc>
          <w:tcPr>
            <w:tcW w:w="1082" w:type="dxa"/>
            <w:noWrap/>
            <w:vAlign w:val="bottom"/>
          </w:tcPr>
          <w:p w:rsidR="00DA79C0" w:rsidRPr="004C5551" w:rsidRDefault="00DA79C0" w:rsidP="009509DB">
            <w:pPr>
              <w:ind w:right="249"/>
              <w:jc w:val="right"/>
              <w:rPr>
                <w:sz w:val="20"/>
                <w:szCs w:val="20"/>
              </w:rPr>
            </w:pPr>
            <w:r w:rsidRPr="004C5551">
              <w:rPr>
                <w:sz w:val="20"/>
                <w:szCs w:val="20"/>
              </w:rPr>
              <w:t>1 291</w:t>
            </w:r>
          </w:p>
        </w:tc>
        <w:tc>
          <w:tcPr>
            <w:tcW w:w="1265" w:type="dxa"/>
            <w:noWrap/>
            <w:vAlign w:val="bottom"/>
          </w:tcPr>
          <w:p w:rsidR="00DA79C0" w:rsidRPr="004C5551" w:rsidRDefault="00DA79C0" w:rsidP="009509DB">
            <w:pPr>
              <w:ind w:right="249"/>
              <w:jc w:val="right"/>
              <w:rPr>
                <w:sz w:val="20"/>
                <w:szCs w:val="20"/>
              </w:rPr>
            </w:pPr>
            <w:r w:rsidRPr="004C5551">
              <w:rPr>
                <w:sz w:val="20"/>
                <w:szCs w:val="20"/>
              </w:rPr>
              <w:t>795</w:t>
            </w:r>
          </w:p>
        </w:tc>
        <w:tc>
          <w:tcPr>
            <w:tcW w:w="1196" w:type="dxa"/>
            <w:noWrap/>
            <w:vAlign w:val="bottom"/>
          </w:tcPr>
          <w:p w:rsidR="00DA79C0" w:rsidRPr="004C5551" w:rsidRDefault="00DA79C0" w:rsidP="009509DB">
            <w:pPr>
              <w:ind w:right="249"/>
              <w:jc w:val="right"/>
              <w:rPr>
                <w:sz w:val="20"/>
                <w:szCs w:val="20"/>
              </w:rPr>
            </w:pPr>
            <w:r w:rsidRPr="004C5551">
              <w:rPr>
                <w:sz w:val="20"/>
                <w:szCs w:val="20"/>
              </w:rPr>
              <w:t>12 674</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130,1 – 200</w:t>
            </w:r>
          </w:p>
        </w:tc>
        <w:tc>
          <w:tcPr>
            <w:tcW w:w="1560" w:type="dxa"/>
            <w:noWrap/>
            <w:vAlign w:val="center"/>
          </w:tcPr>
          <w:p w:rsidR="00DA79C0" w:rsidRPr="004C5551" w:rsidRDefault="00DA79C0" w:rsidP="009509DB">
            <w:pPr>
              <w:ind w:right="249"/>
              <w:jc w:val="right"/>
              <w:rPr>
                <w:sz w:val="20"/>
                <w:szCs w:val="20"/>
              </w:rPr>
            </w:pPr>
            <w:r w:rsidRPr="004C5551">
              <w:rPr>
                <w:sz w:val="20"/>
                <w:szCs w:val="20"/>
              </w:rPr>
              <w:t>16 842</w:t>
            </w:r>
          </w:p>
        </w:tc>
        <w:tc>
          <w:tcPr>
            <w:tcW w:w="1559" w:type="dxa"/>
            <w:noWrap/>
            <w:vAlign w:val="bottom"/>
          </w:tcPr>
          <w:p w:rsidR="00DA79C0" w:rsidRPr="004C5551" w:rsidRDefault="00DA79C0" w:rsidP="009509DB">
            <w:pPr>
              <w:ind w:right="249"/>
              <w:jc w:val="right"/>
              <w:rPr>
                <w:sz w:val="20"/>
                <w:szCs w:val="20"/>
              </w:rPr>
            </w:pPr>
            <w:r w:rsidRPr="004C5551">
              <w:rPr>
                <w:sz w:val="20"/>
                <w:szCs w:val="20"/>
              </w:rPr>
              <w:t>69</w:t>
            </w:r>
          </w:p>
        </w:tc>
        <w:tc>
          <w:tcPr>
            <w:tcW w:w="1276" w:type="dxa"/>
            <w:noWrap/>
            <w:vAlign w:val="bottom"/>
          </w:tcPr>
          <w:p w:rsidR="00DA79C0" w:rsidRPr="004C5551" w:rsidRDefault="00DA79C0" w:rsidP="009509DB">
            <w:pPr>
              <w:ind w:right="249"/>
              <w:jc w:val="right"/>
              <w:rPr>
                <w:sz w:val="20"/>
                <w:szCs w:val="20"/>
              </w:rPr>
            </w:pPr>
            <w:r w:rsidRPr="004C5551">
              <w:rPr>
                <w:sz w:val="20"/>
                <w:szCs w:val="20"/>
              </w:rPr>
              <w:t>63 613</w:t>
            </w:r>
          </w:p>
        </w:tc>
        <w:tc>
          <w:tcPr>
            <w:tcW w:w="1082" w:type="dxa"/>
            <w:noWrap/>
            <w:vAlign w:val="bottom"/>
          </w:tcPr>
          <w:p w:rsidR="00DA79C0" w:rsidRPr="004C5551" w:rsidRDefault="00DA79C0" w:rsidP="009509DB">
            <w:pPr>
              <w:ind w:right="249"/>
              <w:jc w:val="right"/>
              <w:rPr>
                <w:sz w:val="20"/>
                <w:szCs w:val="20"/>
              </w:rPr>
            </w:pPr>
            <w:r w:rsidRPr="004C5551">
              <w:rPr>
                <w:sz w:val="20"/>
                <w:szCs w:val="20"/>
              </w:rPr>
              <w:t>4 724</w:t>
            </w:r>
          </w:p>
        </w:tc>
        <w:tc>
          <w:tcPr>
            <w:tcW w:w="1265" w:type="dxa"/>
            <w:noWrap/>
            <w:vAlign w:val="bottom"/>
          </w:tcPr>
          <w:p w:rsidR="00DA79C0" w:rsidRPr="004C5551" w:rsidRDefault="00DA79C0" w:rsidP="009509DB">
            <w:pPr>
              <w:ind w:right="249"/>
              <w:jc w:val="right"/>
              <w:rPr>
                <w:sz w:val="20"/>
                <w:szCs w:val="20"/>
              </w:rPr>
            </w:pPr>
            <w:r w:rsidRPr="004C5551">
              <w:rPr>
                <w:sz w:val="20"/>
                <w:szCs w:val="20"/>
              </w:rPr>
              <w:t>2 747</w:t>
            </w:r>
          </w:p>
        </w:tc>
        <w:tc>
          <w:tcPr>
            <w:tcW w:w="1196" w:type="dxa"/>
            <w:noWrap/>
            <w:vAlign w:val="bottom"/>
          </w:tcPr>
          <w:p w:rsidR="00DA79C0" w:rsidRPr="004C5551" w:rsidRDefault="00DA79C0" w:rsidP="009509DB">
            <w:pPr>
              <w:ind w:right="249"/>
              <w:jc w:val="right"/>
              <w:rPr>
                <w:sz w:val="20"/>
                <w:szCs w:val="20"/>
              </w:rPr>
            </w:pPr>
            <w:r w:rsidRPr="004C5551">
              <w:rPr>
                <w:sz w:val="20"/>
                <w:szCs w:val="20"/>
              </w:rPr>
              <w:t>9 531</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200,1 – 265</w:t>
            </w:r>
          </w:p>
        </w:tc>
        <w:tc>
          <w:tcPr>
            <w:tcW w:w="1560" w:type="dxa"/>
            <w:noWrap/>
            <w:vAlign w:val="center"/>
          </w:tcPr>
          <w:p w:rsidR="00DA79C0" w:rsidRPr="004C5551" w:rsidRDefault="00DA79C0" w:rsidP="009509DB">
            <w:pPr>
              <w:ind w:right="249"/>
              <w:jc w:val="right"/>
              <w:rPr>
                <w:sz w:val="20"/>
                <w:szCs w:val="20"/>
              </w:rPr>
            </w:pPr>
            <w:r w:rsidRPr="004C5551">
              <w:rPr>
                <w:sz w:val="20"/>
                <w:szCs w:val="20"/>
              </w:rPr>
              <w:t>40 242</w:t>
            </w:r>
          </w:p>
        </w:tc>
        <w:tc>
          <w:tcPr>
            <w:tcW w:w="1559" w:type="dxa"/>
            <w:noWrap/>
            <w:vAlign w:val="bottom"/>
          </w:tcPr>
          <w:p w:rsidR="00DA79C0" w:rsidRPr="004C5551" w:rsidRDefault="00DA79C0" w:rsidP="009509DB">
            <w:pPr>
              <w:ind w:right="249"/>
              <w:jc w:val="right"/>
              <w:rPr>
                <w:sz w:val="20"/>
                <w:szCs w:val="20"/>
              </w:rPr>
            </w:pPr>
            <w:r w:rsidRPr="004C5551">
              <w:rPr>
                <w:sz w:val="20"/>
                <w:szCs w:val="20"/>
              </w:rPr>
              <w:t>2 058</w:t>
            </w:r>
          </w:p>
        </w:tc>
        <w:tc>
          <w:tcPr>
            <w:tcW w:w="1276" w:type="dxa"/>
            <w:noWrap/>
            <w:vAlign w:val="bottom"/>
          </w:tcPr>
          <w:p w:rsidR="00DA79C0" w:rsidRPr="004C5551" w:rsidRDefault="00DA79C0" w:rsidP="009509DB">
            <w:pPr>
              <w:ind w:right="249"/>
              <w:jc w:val="right"/>
              <w:rPr>
                <w:sz w:val="20"/>
                <w:szCs w:val="20"/>
              </w:rPr>
            </w:pPr>
            <w:r w:rsidRPr="004C5551">
              <w:rPr>
                <w:sz w:val="20"/>
                <w:szCs w:val="20"/>
              </w:rPr>
              <w:t>39 757</w:t>
            </w:r>
          </w:p>
        </w:tc>
        <w:tc>
          <w:tcPr>
            <w:tcW w:w="1082" w:type="dxa"/>
            <w:noWrap/>
            <w:vAlign w:val="bottom"/>
          </w:tcPr>
          <w:p w:rsidR="00DA79C0" w:rsidRPr="004C5551" w:rsidRDefault="00DA79C0" w:rsidP="009509DB">
            <w:pPr>
              <w:ind w:right="249"/>
              <w:jc w:val="right"/>
              <w:rPr>
                <w:sz w:val="20"/>
                <w:szCs w:val="20"/>
              </w:rPr>
            </w:pPr>
            <w:r w:rsidRPr="004C5551">
              <w:rPr>
                <w:sz w:val="20"/>
                <w:szCs w:val="20"/>
              </w:rPr>
              <w:t>18 161</w:t>
            </w:r>
          </w:p>
        </w:tc>
        <w:tc>
          <w:tcPr>
            <w:tcW w:w="1265" w:type="dxa"/>
            <w:noWrap/>
            <w:vAlign w:val="bottom"/>
          </w:tcPr>
          <w:p w:rsidR="00DA79C0" w:rsidRPr="004C5551" w:rsidRDefault="00DA79C0" w:rsidP="009509DB">
            <w:pPr>
              <w:ind w:right="249"/>
              <w:jc w:val="right"/>
              <w:rPr>
                <w:sz w:val="20"/>
                <w:szCs w:val="20"/>
              </w:rPr>
            </w:pPr>
            <w:r w:rsidRPr="004C5551">
              <w:rPr>
                <w:sz w:val="20"/>
                <w:szCs w:val="20"/>
              </w:rPr>
              <w:t>1 592</w:t>
            </w:r>
          </w:p>
        </w:tc>
        <w:tc>
          <w:tcPr>
            <w:tcW w:w="1196" w:type="dxa"/>
            <w:noWrap/>
            <w:vAlign w:val="bottom"/>
          </w:tcPr>
          <w:p w:rsidR="00DA79C0" w:rsidRPr="004C5551" w:rsidRDefault="00DA79C0" w:rsidP="009509DB">
            <w:pPr>
              <w:ind w:right="249"/>
              <w:jc w:val="right"/>
              <w:rPr>
                <w:sz w:val="20"/>
                <w:szCs w:val="20"/>
              </w:rPr>
            </w:pPr>
            <w:r w:rsidRPr="004C5551">
              <w:rPr>
                <w:sz w:val="20"/>
                <w:szCs w:val="20"/>
              </w:rPr>
              <w:t>1 615</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 xml:space="preserve">265,1 </w:t>
            </w:r>
            <w:r w:rsidR="00F80174" w:rsidRPr="004C5551">
              <w:rPr>
                <w:bCs/>
                <w:sz w:val="20"/>
                <w:szCs w:val="16"/>
              </w:rPr>
              <w:t>–</w:t>
            </w:r>
            <w:r w:rsidRPr="004C5551">
              <w:rPr>
                <w:szCs w:val="22"/>
              </w:rPr>
              <w:t xml:space="preserve"> 325</w:t>
            </w:r>
          </w:p>
        </w:tc>
        <w:tc>
          <w:tcPr>
            <w:tcW w:w="1560" w:type="dxa"/>
            <w:noWrap/>
            <w:vAlign w:val="center"/>
          </w:tcPr>
          <w:p w:rsidR="00DA79C0" w:rsidRPr="004C5551" w:rsidRDefault="00DA79C0" w:rsidP="009509DB">
            <w:pPr>
              <w:ind w:right="249"/>
              <w:jc w:val="right"/>
              <w:rPr>
                <w:sz w:val="20"/>
                <w:szCs w:val="20"/>
              </w:rPr>
            </w:pPr>
            <w:r w:rsidRPr="004C5551">
              <w:rPr>
                <w:sz w:val="20"/>
                <w:szCs w:val="20"/>
              </w:rPr>
              <w:t>147 166</w:t>
            </w:r>
          </w:p>
        </w:tc>
        <w:tc>
          <w:tcPr>
            <w:tcW w:w="1559" w:type="dxa"/>
            <w:noWrap/>
            <w:vAlign w:val="bottom"/>
          </w:tcPr>
          <w:p w:rsidR="00DA79C0" w:rsidRPr="004C5551" w:rsidRDefault="00DA79C0" w:rsidP="009509DB">
            <w:pPr>
              <w:ind w:right="249"/>
              <w:jc w:val="right"/>
              <w:rPr>
                <w:sz w:val="20"/>
                <w:szCs w:val="20"/>
              </w:rPr>
            </w:pPr>
            <w:r w:rsidRPr="004C5551">
              <w:rPr>
                <w:sz w:val="20"/>
                <w:szCs w:val="20"/>
              </w:rPr>
              <w:t>5 359</w:t>
            </w:r>
          </w:p>
        </w:tc>
        <w:tc>
          <w:tcPr>
            <w:tcW w:w="1276" w:type="dxa"/>
            <w:noWrap/>
            <w:vAlign w:val="bottom"/>
          </w:tcPr>
          <w:p w:rsidR="00DA79C0" w:rsidRPr="004C5551" w:rsidRDefault="00DA79C0" w:rsidP="009509DB">
            <w:pPr>
              <w:ind w:right="249"/>
              <w:jc w:val="right"/>
              <w:rPr>
                <w:sz w:val="20"/>
                <w:szCs w:val="20"/>
              </w:rPr>
            </w:pPr>
            <w:r w:rsidRPr="004C5551">
              <w:rPr>
                <w:sz w:val="20"/>
                <w:szCs w:val="20"/>
              </w:rPr>
              <w:t>54 683</w:t>
            </w:r>
          </w:p>
        </w:tc>
        <w:tc>
          <w:tcPr>
            <w:tcW w:w="1082" w:type="dxa"/>
            <w:noWrap/>
            <w:vAlign w:val="bottom"/>
          </w:tcPr>
          <w:p w:rsidR="00DA79C0" w:rsidRPr="004C5551" w:rsidRDefault="00DA79C0" w:rsidP="009509DB">
            <w:pPr>
              <w:ind w:right="249"/>
              <w:jc w:val="right"/>
              <w:rPr>
                <w:sz w:val="20"/>
                <w:szCs w:val="20"/>
              </w:rPr>
            </w:pPr>
            <w:r w:rsidRPr="004C5551">
              <w:rPr>
                <w:sz w:val="20"/>
                <w:szCs w:val="20"/>
              </w:rPr>
              <w:t>5 675</w:t>
            </w:r>
          </w:p>
        </w:tc>
        <w:tc>
          <w:tcPr>
            <w:tcW w:w="1265" w:type="dxa"/>
            <w:noWrap/>
            <w:vAlign w:val="bottom"/>
          </w:tcPr>
          <w:p w:rsidR="00DA79C0" w:rsidRPr="004C5551" w:rsidRDefault="00DA79C0" w:rsidP="009509DB">
            <w:pPr>
              <w:ind w:right="249"/>
              <w:jc w:val="right"/>
              <w:rPr>
                <w:sz w:val="20"/>
                <w:szCs w:val="20"/>
              </w:rPr>
            </w:pPr>
            <w:r w:rsidRPr="004C5551">
              <w:rPr>
                <w:sz w:val="20"/>
                <w:szCs w:val="20"/>
              </w:rPr>
              <w:t>376</w:t>
            </w:r>
          </w:p>
        </w:tc>
        <w:tc>
          <w:tcPr>
            <w:tcW w:w="1196" w:type="dxa"/>
            <w:noWrap/>
            <w:vAlign w:val="bottom"/>
          </w:tcPr>
          <w:p w:rsidR="00DA79C0" w:rsidRPr="004C5551" w:rsidRDefault="00DA79C0" w:rsidP="009509DB">
            <w:pPr>
              <w:ind w:right="249"/>
              <w:jc w:val="right"/>
              <w:rPr>
                <w:sz w:val="20"/>
                <w:szCs w:val="20"/>
              </w:rPr>
            </w:pPr>
            <w:r w:rsidRPr="004C5551">
              <w:rPr>
                <w:sz w:val="20"/>
                <w:szCs w:val="20"/>
              </w:rPr>
              <w:t>525</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 xml:space="preserve">325,1 </w:t>
            </w:r>
            <w:r w:rsidR="00F80174" w:rsidRPr="004C5551">
              <w:rPr>
                <w:bCs/>
                <w:sz w:val="20"/>
                <w:szCs w:val="16"/>
              </w:rPr>
              <w:t>–</w:t>
            </w:r>
            <w:r w:rsidRPr="004C5551">
              <w:rPr>
                <w:szCs w:val="22"/>
              </w:rPr>
              <w:t xml:space="preserve"> 425</w:t>
            </w:r>
          </w:p>
        </w:tc>
        <w:tc>
          <w:tcPr>
            <w:tcW w:w="1560" w:type="dxa"/>
            <w:noWrap/>
            <w:vAlign w:val="center"/>
          </w:tcPr>
          <w:p w:rsidR="00DA79C0" w:rsidRPr="004C5551" w:rsidRDefault="00DA79C0" w:rsidP="009509DB">
            <w:pPr>
              <w:ind w:right="249"/>
              <w:jc w:val="right"/>
              <w:rPr>
                <w:sz w:val="20"/>
                <w:szCs w:val="20"/>
              </w:rPr>
            </w:pPr>
            <w:r w:rsidRPr="004C5551">
              <w:rPr>
                <w:sz w:val="20"/>
                <w:szCs w:val="20"/>
              </w:rPr>
              <w:t>404 111</w:t>
            </w:r>
          </w:p>
        </w:tc>
        <w:tc>
          <w:tcPr>
            <w:tcW w:w="1559" w:type="dxa"/>
            <w:noWrap/>
            <w:vAlign w:val="bottom"/>
          </w:tcPr>
          <w:p w:rsidR="00DA79C0" w:rsidRPr="004C5551" w:rsidRDefault="00DA79C0" w:rsidP="009509DB">
            <w:pPr>
              <w:ind w:right="249"/>
              <w:jc w:val="right"/>
              <w:rPr>
                <w:sz w:val="20"/>
                <w:szCs w:val="20"/>
              </w:rPr>
            </w:pPr>
            <w:r w:rsidRPr="004C5551">
              <w:rPr>
                <w:sz w:val="20"/>
                <w:szCs w:val="20"/>
              </w:rPr>
              <w:t>7 396</w:t>
            </w:r>
          </w:p>
        </w:tc>
        <w:tc>
          <w:tcPr>
            <w:tcW w:w="1276" w:type="dxa"/>
            <w:noWrap/>
            <w:vAlign w:val="bottom"/>
          </w:tcPr>
          <w:p w:rsidR="00DA79C0" w:rsidRPr="004C5551" w:rsidRDefault="00DA79C0" w:rsidP="009509DB">
            <w:pPr>
              <w:ind w:right="249"/>
              <w:jc w:val="right"/>
              <w:rPr>
                <w:sz w:val="20"/>
                <w:szCs w:val="20"/>
              </w:rPr>
            </w:pPr>
            <w:r w:rsidRPr="004C5551">
              <w:rPr>
                <w:sz w:val="20"/>
                <w:szCs w:val="20"/>
              </w:rPr>
              <w:t>46 857</w:t>
            </w:r>
          </w:p>
        </w:tc>
        <w:tc>
          <w:tcPr>
            <w:tcW w:w="1082" w:type="dxa"/>
            <w:noWrap/>
            <w:vAlign w:val="bottom"/>
          </w:tcPr>
          <w:p w:rsidR="00DA79C0" w:rsidRPr="004C5551" w:rsidRDefault="00DA79C0" w:rsidP="009509DB">
            <w:pPr>
              <w:ind w:right="249"/>
              <w:jc w:val="right"/>
              <w:rPr>
                <w:sz w:val="20"/>
                <w:szCs w:val="20"/>
              </w:rPr>
            </w:pPr>
            <w:r w:rsidRPr="004C5551">
              <w:rPr>
                <w:sz w:val="20"/>
                <w:szCs w:val="20"/>
              </w:rPr>
              <w:t>2 427</w:t>
            </w:r>
          </w:p>
        </w:tc>
        <w:tc>
          <w:tcPr>
            <w:tcW w:w="1265" w:type="dxa"/>
            <w:noWrap/>
            <w:vAlign w:val="bottom"/>
          </w:tcPr>
          <w:p w:rsidR="00DA79C0" w:rsidRPr="004C5551" w:rsidRDefault="00DA79C0" w:rsidP="009509DB">
            <w:pPr>
              <w:ind w:right="249"/>
              <w:jc w:val="right"/>
              <w:rPr>
                <w:sz w:val="20"/>
                <w:szCs w:val="20"/>
              </w:rPr>
            </w:pPr>
            <w:r w:rsidRPr="004C5551">
              <w:rPr>
                <w:sz w:val="20"/>
                <w:szCs w:val="20"/>
              </w:rPr>
              <w:t>124</w:t>
            </w:r>
          </w:p>
        </w:tc>
        <w:tc>
          <w:tcPr>
            <w:tcW w:w="1196" w:type="dxa"/>
            <w:noWrap/>
            <w:vAlign w:val="bottom"/>
          </w:tcPr>
          <w:p w:rsidR="00DA79C0" w:rsidRPr="004C5551" w:rsidRDefault="00DA79C0" w:rsidP="009509DB">
            <w:pPr>
              <w:ind w:right="249"/>
              <w:jc w:val="right"/>
              <w:rPr>
                <w:sz w:val="20"/>
                <w:szCs w:val="20"/>
              </w:rPr>
            </w:pPr>
            <w:r w:rsidRPr="004C5551">
              <w:rPr>
                <w:sz w:val="20"/>
                <w:szCs w:val="20"/>
              </w:rPr>
              <w:t>214</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 xml:space="preserve">425,1 </w:t>
            </w:r>
            <w:r w:rsidR="00F80174" w:rsidRPr="004C5551">
              <w:rPr>
                <w:bCs/>
                <w:sz w:val="20"/>
                <w:szCs w:val="16"/>
              </w:rPr>
              <w:t>–</w:t>
            </w:r>
            <w:r w:rsidRPr="004C5551">
              <w:rPr>
                <w:szCs w:val="22"/>
              </w:rPr>
              <w:t xml:space="preserve"> 530</w:t>
            </w:r>
          </w:p>
        </w:tc>
        <w:tc>
          <w:tcPr>
            <w:tcW w:w="1560" w:type="dxa"/>
            <w:noWrap/>
            <w:vAlign w:val="center"/>
          </w:tcPr>
          <w:p w:rsidR="00DA79C0" w:rsidRPr="004C5551" w:rsidRDefault="00DA79C0" w:rsidP="009509DB">
            <w:pPr>
              <w:ind w:right="249"/>
              <w:jc w:val="right"/>
              <w:rPr>
                <w:sz w:val="20"/>
                <w:szCs w:val="20"/>
              </w:rPr>
            </w:pPr>
            <w:r w:rsidRPr="004C5551">
              <w:rPr>
                <w:sz w:val="20"/>
                <w:szCs w:val="20"/>
              </w:rPr>
              <w:t>269 726</w:t>
            </w:r>
          </w:p>
        </w:tc>
        <w:tc>
          <w:tcPr>
            <w:tcW w:w="1559" w:type="dxa"/>
            <w:noWrap/>
            <w:vAlign w:val="bottom"/>
          </w:tcPr>
          <w:p w:rsidR="00DA79C0" w:rsidRPr="004C5551" w:rsidRDefault="00DA79C0" w:rsidP="009509DB">
            <w:pPr>
              <w:ind w:right="249"/>
              <w:jc w:val="right"/>
              <w:rPr>
                <w:sz w:val="20"/>
                <w:szCs w:val="20"/>
              </w:rPr>
            </w:pPr>
            <w:r w:rsidRPr="004C5551">
              <w:rPr>
                <w:sz w:val="20"/>
                <w:szCs w:val="20"/>
              </w:rPr>
              <w:t>3 821</w:t>
            </w:r>
          </w:p>
        </w:tc>
        <w:tc>
          <w:tcPr>
            <w:tcW w:w="1276" w:type="dxa"/>
            <w:noWrap/>
            <w:vAlign w:val="bottom"/>
          </w:tcPr>
          <w:p w:rsidR="00DA79C0" w:rsidRPr="004C5551" w:rsidRDefault="00DA79C0" w:rsidP="009509DB">
            <w:pPr>
              <w:ind w:right="249"/>
              <w:jc w:val="right"/>
              <w:rPr>
                <w:sz w:val="20"/>
                <w:szCs w:val="20"/>
              </w:rPr>
            </w:pPr>
            <w:r w:rsidRPr="004C5551">
              <w:rPr>
                <w:sz w:val="20"/>
                <w:szCs w:val="20"/>
              </w:rPr>
              <w:t>13 850</w:t>
            </w:r>
          </w:p>
        </w:tc>
        <w:tc>
          <w:tcPr>
            <w:tcW w:w="1082" w:type="dxa"/>
            <w:noWrap/>
            <w:vAlign w:val="bottom"/>
          </w:tcPr>
          <w:p w:rsidR="00DA79C0" w:rsidRPr="004C5551" w:rsidRDefault="00DA79C0" w:rsidP="009509DB">
            <w:pPr>
              <w:ind w:right="249"/>
              <w:jc w:val="right"/>
              <w:rPr>
                <w:sz w:val="20"/>
                <w:szCs w:val="20"/>
              </w:rPr>
            </w:pPr>
            <w:r w:rsidRPr="004C5551">
              <w:rPr>
                <w:sz w:val="20"/>
                <w:szCs w:val="20"/>
              </w:rPr>
              <w:t>468</w:t>
            </w:r>
          </w:p>
        </w:tc>
        <w:tc>
          <w:tcPr>
            <w:tcW w:w="1265" w:type="dxa"/>
            <w:noWrap/>
            <w:vAlign w:val="bottom"/>
          </w:tcPr>
          <w:p w:rsidR="00DA79C0" w:rsidRPr="004C5551" w:rsidRDefault="00DA79C0" w:rsidP="009509DB">
            <w:pPr>
              <w:ind w:right="249"/>
              <w:jc w:val="right"/>
              <w:rPr>
                <w:sz w:val="20"/>
                <w:szCs w:val="20"/>
              </w:rPr>
            </w:pPr>
            <w:r w:rsidRPr="004C5551">
              <w:rPr>
                <w:sz w:val="20"/>
                <w:szCs w:val="20"/>
              </w:rPr>
              <w:t>20</w:t>
            </w:r>
          </w:p>
        </w:tc>
        <w:tc>
          <w:tcPr>
            <w:tcW w:w="1196" w:type="dxa"/>
            <w:noWrap/>
            <w:vAlign w:val="bottom"/>
          </w:tcPr>
          <w:p w:rsidR="00DA79C0" w:rsidRPr="004C5551" w:rsidRDefault="00DA79C0" w:rsidP="009509DB">
            <w:pPr>
              <w:ind w:right="249"/>
              <w:jc w:val="right"/>
              <w:rPr>
                <w:sz w:val="20"/>
                <w:szCs w:val="20"/>
              </w:rPr>
            </w:pPr>
            <w:r w:rsidRPr="004C5551">
              <w:rPr>
                <w:sz w:val="20"/>
                <w:szCs w:val="20"/>
              </w:rPr>
              <w:t>40</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 xml:space="preserve">530,1 </w:t>
            </w:r>
            <w:r w:rsidR="00F80174" w:rsidRPr="004C5551">
              <w:rPr>
                <w:bCs/>
                <w:sz w:val="20"/>
                <w:szCs w:val="16"/>
              </w:rPr>
              <w:t>–</w:t>
            </w:r>
            <w:r w:rsidRPr="004C5551">
              <w:rPr>
                <w:szCs w:val="22"/>
              </w:rPr>
              <w:t xml:space="preserve"> 665</w:t>
            </w:r>
          </w:p>
        </w:tc>
        <w:tc>
          <w:tcPr>
            <w:tcW w:w="1560" w:type="dxa"/>
            <w:noWrap/>
            <w:vAlign w:val="center"/>
          </w:tcPr>
          <w:p w:rsidR="00DA79C0" w:rsidRPr="004C5551" w:rsidRDefault="00DA79C0" w:rsidP="009509DB">
            <w:pPr>
              <w:ind w:right="249"/>
              <w:jc w:val="right"/>
              <w:rPr>
                <w:sz w:val="20"/>
                <w:szCs w:val="20"/>
              </w:rPr>
            </w:pPr>
            <w:r w:rsidRPr="004C5551">
              <w:rPr>
                <w:sz w:val="20"/>
                <w:szCs w:val="20"/>
              </w:rPr>
              <w:t>92 195</w:t>
            </w:r>
          </w:p>
        </w:tc>
        <w:tc>
          <w:tcPr>
            <w:tcW w:w="1559" w:type="dxa"/>
            <w:noWrap/>
            <w:vAlign w:val="bottom"/>
          </w:tcPr>
          <w:p w:rsidR="00DA79C0" w:rsidRPr="004C5551" w:rsidRDefault="00DA79C0" w:rsidP="009509DB">
            <w:pPr>
              <w:ind w:right="249"/>
              <w:jc w:val="right"/>
              <w:rPr>
                <w:sz w:val="20"/>
                <w:szCs w:val="20"/>
              </w:rPr>
            </w:pPr>
            <w:r w:rsidRPr="004C5551">
              <w:rPr>
                <w:sz w:val="20"/>
                <w:szCs w:val="20"/>
              </w:rPr>
              <w:t>1 922</w:t>
            </w:r>
          </w:p>
        </w:tc>
        <w:tc>
          <w:tcPr>
            <w:tcW w:w="1276" w:type="dxa"/>
            <w:noWrap/>
            <w:vAlign w:val="bottom"/>
          </w:tcPr>
          <w:p w:rsidR="00DA79C0" w:rsidRPr="004C5551" w:rsidRDefault="00DA79C0" w:rsidP="009509DB">
            <w:pPr>
              <w:ind w:right="249"/>
              <w:jc w:val="right"/>
              <w:rPr>
                <w:sz w:val="20"/>
                <w:szCs w:val="20"/>
              </w:rPr>
            </w:pPr>
            <w:r w:rsidRPr="004C5551">
              <w:rPr>
                <w:sz w:val="20"/>
                <w:szCs w:val="20"/>
              </w:rPr>
              <w:t>5 131</w:t>
            </w:r>
          </w:p>
        </w:tc>
        <w:tc>
          <w:tcPr>
            <w:tcW w:w="1082" w:type="dxa"/>
            <w:noWrap/>
            <w:vAlign w:val="bottom"/>
          </w:tcPr>
          <w:p w:rsidR="00DA79C0" w:rsidRPr="004C5551" w:rsidRDefault="00DA79C0" w:rsidP="009509DB">
            <w:pPr>
              <w:ind w:right="249"/>
              <w:jc w:val="right"/>
              <w:rPr>
                <w:sz w:val="20"/>
                <w:szCs w:val="20"/>
              </w:rPr>
            </w:pPr>
            <w:r w:rsidRPr="004C5551">
              <w:rPr>
                <w:sz w:val="20"/>
                <w:szCs w:val="20"/>
              </w:rPr>
              <w:t>96</w:t>
            </w:r>
          </w:p>
        </w:tc>
        <w:tc>
          <w:tcPr>
            <w:tcW w:w="1265" w:type="dxa"/>
            <w:noWrap/>
            <w:vAlign w:val="bottom"/>
          </w:tcPr>
          <w:p w:rsidR="00DA79C0" w:rsidRPr="004C5551" w:rsidRDefault="00DA79C0" w:rsidP="009509DB">
            <w:pPr>
              <w:ind w:right="249"/>
              <w:jc w:val="right"/>
              <w:rPr>
                <w:sz w:val="20"/>
                <w:szCs w:val="20"/>
              </w:rPr>
            </w:pPr>
            <w:r w:rsidRPr="004C5551">
              <w:rPr>
                <w:sz w:val="20"/>
                <w:szCs w:val="20"/>
              </w:rPr>
              <w:t>2</w:t>
            </w:r>
          </w:p>
        </w:tc>
        <w:tc>
          <w:tcPr>
            <w:tcW w:w="1196" w:type="dxa"/>
            <w:noWrap/>
            <w:vAlign w:val="bottom"/>
          </w:tcPr>
          <w:p w:rsidR="00DA79C0" w:rsidRPr="004C5551" w:rsidRDefault="00DA79C0" w:rsidP="009509DB">
            <w:pPr>
              <w:ind w:right="249"/>
              <w:jc w:val="right"/>
              <w:rPr>
                <w:sz w:val="20"/>
                <w:szCs w:val="20"/>
              </w:rPr>
            </w:pPr>
            <w:r w:rsidRPr="004C5551">
              <w:rPr>
                <w:sz w:val="20"/>
                <w:szCs w:val="20"/>
              </w:rPr>
              <w:t>26</w:t>
            </w:r>
          </w:p>
        </w:tc>
      </w:tr>
      <w:tr w:rsidR="00DA79C0" w:rsidRPr="004C5551" w:rsidTr="00960E97">
        <w:trPr>
          <w:trHeight w:val="271"/>
          <w:jc w:val="center"/>
        </w:trPr>
        <w:tc>
          <w:tcPr>
            <w:tcW w:w="1204" w:type="dxa"/>
            <w:noWrap/>
            <w:vAlign w:val="center"/>
          </w:tcPr>
          <w:p w:rsidR="00DA79C0" w:rsidRPr="004C5551" w:rsidRDefault="00DA79C0" w:rsidP="00DA79C0">
            <w:pPr>
              <w:jc w:val="left"/>
            </w:pPr>
            <w:r w:rsidRPr="004C5551">
              <w:rPr>
                <w:szCs w:val="22"/>
              </w:rPr>
              <w:t>nad 665,1</w:t>
            </w:r>
          </w:p>
        </w:tc>
        <w:tc>
          <w:tcPr>
            <w:tcW w:w="1560" w:type="dxa"/>
            <w:noWrap/>
            <w:vAlign w:val="center"/>
          </w:tcPr>
          <w:p w:rsidR="00DA79C0" w:rsidRPr="004C5551" w:rsidRDefault="00DA79C0" w:rsidP="009509DB">
            <w:pPr>
              <w:ind w:right="249"/>
              <w:jc w:val="right"/>
              <w:rPr>
                <w:sz w:val="20"/>
                <w:szCs w:val="20"/>
              </w:rPr>
            </w:pPr>
            <w:r w:rsidRPr="004C5551">
              <w:rPr>
                <w:sz w:val="20"/>
                <w:szCs w:val="20"/>
              </w:rPr>
              <w:t>39 359</w:t>
            </w:r>
          </w:p>
        </w:tc>
        <w:tc>
          <w:tcPr>
            <w:tcW w:w="1559" w:type="dxa"/>
            <w:noWrap/>
            <w:vAlign w:val="bottom"/>
          </w:tcPr>
          <w:p w:rsidR="00DA79C0" w:rsidRPr="004C5551" w:rsidRDefault="00DA79C0" w:rsidP="009509DB">
            <w:pPr>
              <w:ind w:right="249"/>
              <w:jc w:val="right"/>
              <w:rPr>
                <w:sz w:val="20"/>
                <w:szCs w:val="20"/>
              </w:rPr>
            </w:pPr>
            <w:r w:rsidRPr="004C5551">
              <w:rPr>
                <w:sz w:val="20"/>
                <w:szCs w:val="20"/>
              </w:rPr>
              <w:t>668</w:t>
            </w:r>
          </w:p>
        </w:tc>
        <w:tc>
          <w:tcPr>
            <w:tcW w:w="1276" w:type="dxa"/>
            <w:noWrap/>
            <w:vAlign w:val="bottom"/>
          </w:tcPr>
          <w:p w:rsidR="00DA79C0" w:rsidRPr="004C5551" w:rsidRDefault="00DA79C0" w:rsidP="009509DB">
            <w:pPr>
              <w:ind w:right="249"/>
              <w:jc w:val="right"/>
              <w:rPr>
                <w:sz w:val="20"/>
                <w:szCs w:val="20"/>
              </w:rPr>
            </w:pPr>
            <w:r w:rsidRPr="004C5551">
              <w:rPr>
                <w:sz w:val="20"/>
                <w:szCs w:val="20"/>
              </w:rPr>
              <w:t>1 739</w:t>
            </w:r>
          </w:p>
        </w:tc>
        <w:tc>
          <w:tcPr>
            <w:tcW w:w="1082" w:type="dxa"/>
            <w:noWrap/>
            <w:vAlign w:val="bottom"/>
          </w:tcPr>
          <w:p w:rsidR="00DA79C0" w:rsidRPr="004C5551" w:rsidRDefault="00DA79C0" w:rsidP="009509DB">
            <w:pPr>
              <w:ind w:right="249"/>
              <w:jc w:val="right"/>
              <w:rPr>
                <w:sz w:val="20"/>
                <w:szCs w:val="20"/>
              </w:rPr>
            </w:pPr>
            <w:r w:rsidRPr="004C5551">
              <w:rPr>
                <w:sz w:val="20"/>
                <w:szCs w:val="20"/>
              </w:rPr>
              <w:t>7</w:t>
            </w:r>
          </w:p>
        </w:tc>
        <w:tc>
          <w:tcPr>
            <w:tcW w:w="1265" w:type="dxa"/>
            <w:noWrap/>
            <w:vAlign w:val="bottom"/>
          </w:tcPr>
          <w:p w:rsidR="00DA79C0" w:rsidRPr="004C5551" w:rsidRDefault="00DA79C0" w:rsidP="009509DB">
            <w:pPr>
              <w:ind w:right="249"/>
              <w:jc w:val="right"/>
              <w:rPr>
                <w:sz w:val="20"/>
                <w:szCs w:val="20"/>
              </w:rPr>
            </w:pPr>
            <w:r w:rsidRPr="004C5551">
              <w:rPr>
                <w:sz w:val="20"/>
                <w:szCs w:val="20"/>
              </w:rPr>
              <w:t>1</w:t>
            </w:r>
          </w:p>
        </w:tc>
        <w:tc>
          <w:tcPr>
            <w:tcW w:w="1196" w:type="dxa"/>
            <w:noWrap/>
            <w:vAlign w:val="bottom"/>
          </w:tcPr>
          <w:p w:rsidR="00DA79C0" w:rsidRPr="004C5551" w:rsidRDefault="00DA79C0" w:rsidP="009509DB">
            <w:pPr>
              <w:ind w:right="249"/>
              <w:jc w:val="right"/>
              <w:rPr>
                <w:sz w:val="20"/>
                <w:szCs w:val="20"/>
              </w:rPr>
            </w:pPr>
            <w:r w:rsidRPr="004C5551">
              <w:rPr>
                <w:sz w:val="20"/>
                <w:szCs w:val="20"/>
              </w:rPr>
              <w:t>0</w:t>
            </w:r>
          </w:p>
        </w:tc>
      </w:tr>
      <w:tr w:rsidR="00DA79C0" w:rsidRPr="004C5551" w:rsidTr="00960E97">
        <w:trPr>
          <w:trHeight w:val="271"/>
          <w:jc w:val="center"/>
        </w:trPr>
        <w:tc>
          <w:tcPr>
            <w:tcW w:w="1204" w:type="dxa"/>
            <w:noWrap/>
            <w:vAlign w:val="center"/>
          </w:tcPr>
          <w:p w:rsidR="00DA79C0" w:rsidRPr="004C5551" w:rsidRDefault="00DA79C0" w:rsidP="00DA79C0">
            <w:pPr>
              <w:jc w:val="left"/>
              <w:rPr>
                <w:b/>
                <w:bCs/>
              </w:rPr>
            </w:pPr>
            <w:r w:rsidRPr="004C5551">
              <w:rPr>
                <w:b/>
                <w:bCs/>
                <w:szCs w:val="22"/>
              </w:rPr>
              <w:t>Spolu</w:t>
            </w:r>
          </w:p>
        </w:tc>
        <w:tc>
          <w:tcPr>
            <w:tcW w:w="1560" w:type="dxa"/>
            <w:noWrap/>
            <w:vAlign w:val="center"/>
          </w:tcPr>
          <w:p w:rsidR="00DA79C0" w:rsidRPr="004C5551" w:rsidRDefault="00DA79C0" w:rsidP="009509DB">
            <w:pPr>
              <w:keepNext/>
              <w:tabs>
                <w:tab w:val="left" w:pos="1420"/>
              </w:tabs>
              <w:spacing w:line="276" w:lineRule="auto"/>
              <w:ind w:right="249"/>
              <w:jc w:val="right"/>
              <w:rPr>
                <w:rFonts w:ascii="Calibri" w:eastAsiaTheme="minorHAnsi" w:hAnsi="Calibri"/>
                <w:b/>
                <w:bCs/>
              </w:rPr>
            </w:pPr>
            <w:r w:rsidRPr="004C5551">
              <w:rPr>
                <w:b/>
                <w:color w:val="000000"/>
                <w:szCs w:val="22"/>
              </w:rPr>
              <w:t>1 018 815</w:t>
            </w:r>
          </w:p>
        </w:tc>
        <w:tc>
          <w:tcPr>
            <w:tcW w:w="1559" w:type="dxa"/>
            <w:noWrap/>
            <w:vAlign w:val="center"/>
          </w:tcPr>
          <w:p w:rsidR="00DA79C0" w:rsidRPr="004C5551" w:rsidRDefault="00DA79C0" w:rsidP="009509DB">
            <w:pPr>
              <w:keepNext/>
              <w:tabs>
                <w:tab w:val="left" w:pos="1420"/>
              </w:tabs>
              <w:spacing w:line="276" w:lineRule="auto"/>
              <w:ind w:right="249"/>
              <w:jc w:val="right"/>
              <w:rPr>
                <w:rFonts w:ascii="Calibri" w:eastAsiaTheme="minorHAnsi" w:hAnsi="Calibri"/>
                <w:b/>
                <w:bCs/>
              </w:rPr>
            </w:pPr>
            <w:r w:rsidRPr="004C5551">
              <w:rPr>
                <w:b/>
                <w:color w:val="000000"/>
                <w:szCs w:val="22"/>
              </w:rPr>
              <w:t>21 348</w:t>
            </w:r>
          </w:p>
        </w:tc>
        <w:tc>
          <w:tcPr>
            <w:tcW w:w="1276" w:type="dxa"/>
            <w:noWrap/>
            <w:vAlign w:val="center"/>
          </w:tcPr>
          <w:p w:rsidR="00DA79C0" w:rsidRPr="004C5551" w:rsidRDefault="00DA79C0" w:rsidP="00960E97">
            <w:pPr>
              <w:keepNext/>
              <w:tabs>
                <w:tab w:val="left" w:pos="1420"/>
              </w:tabs>
              <w:spacing w:line="276" w:lineRule="auto"/>
              <w:ind w:right="249"/>
              <w:jc w:val="right"/>
              <w:rPr>
                <w:b/>
                <w:color w:val="000000"/>
                <w:szCs w:val="22"/>
              </w:rPr>
            </w:pPr>
            <w:r w:rsidRPr="004C5551">
              <w:rPr>
                <w:b/>
                <w:color w:val="000000"/>
                <w:szCs w:val="22"/>
              </w:rPr>
              <w:t>243 423</w:t>
            </w:r>
          </w:p>
        </w:tc>
        <w:tc>
          <w:tcPr>
            <w:tcW w:w="1082" w:type="dxa"/>
            <w:noWrap/>
            <w:vAlign w:val="center"/>
          </w:tcPr>
          <w:p w:rsidR="00DA79C0" w:rsidRPr="004C5551" w:rsidRDefault="00DA79C0" w:rsidP="009509DB">
            <w:pPr>
              <w:keepNext/>
              <w:spacing w:line="276" w:lineRule="auto"/>
              <w:ind w:right="249"/>
              <w:jc w:val="right"/>
              <w:rPr>
                <w:rFonts w:ascii="Calibri" w:eastAsiaTheme="minorHAnsi" w:hAnsi="Calibri"/>
                <w:b/>
                <w:bCs/>
              </w:rPr>
            </w:pPr>
            <w:r w:rsidRPr="004C5551">
              <w:rPr>
                <w:b/>
                <w:bCs/>
              </w:rPr>
              <w:t>32 849</w:t>
            </w:r>
          </w:p>
        </w:tc>
        <w:tc>
          <w:tcPr>
            <w:tcW w:w="1265" w:type="dxa"/>
            <w:noWrap/>
            <w:vAlign w:val="center"/>
          </w:tcPr>
          <w:p w:rsidR="00DA79C0" w:rsidRPr="004C5551" w:rsidRDefault="00DA79C0" w:rsidP="009509DB">
            <w:pPr>
              <w:keepNext/>
              <w:tabs>
                <w:tab w:val="left" w:pos="1081"/>
              </w:tabs>
              <w:spacing w:line="276" w:lineRule="auto"/>
              <w:ind w:right="249"/>
              <w:jc w:val="right"/>
              <w:rPr>
                <w:rFonts w:ascii="Calibri" w:eastAsiaTheme="minorHAnsi" w:hAnsi="Calibri"/>
                <w:b/>
                <w:bCs/>
              </w:rPr>
            </w:pPr>
            <w:r w:rsidRPr="004C5551">
              <w:rPr>
                <w:b/>
                <w:bCs/>
              </w:rPr>
              <w:t>5 657</w:t>
            </w:r>
          </w:p>
        </w:tc>
        <w:tc>
          <w:tcPr>
            <w:tcW w:w="1196" w:type="dxa"/>
            <w:noWrap/>
            <w:vAlign w:val="center"/>
          </w:tcPr>
          <w:p w:rsidR="00DA79C0" w:rsidRPr="004C5551" w:rsidRDefault="00DA79C0" w:rsidP="009509DB">
            <w:pPr>
              <w:keepNext/>
              <w:spacing w:line="276" w:lineRule="auto"/>
              <w:ind w:right="249"/>
              <w:jc w:val="right"/>
              <w:rPr>
                <w:rFonts w:ascii="Calibri" w:eastAsiaTheme="minorHAnsi" w:hAnsi="Calibri"/>
                <w:b/>
                <w:bCs/>
              </w:rPr>
            </w:pPr>
            <w:r w:rsidRPr="004C5551">
              <w:rPr>
                <w:b/>
                <w:bCs/>
              </w:rPr>
              <w:t>24 625</w:t>
            </w:r>
          </w:p>
        </w:tc>
      </w:tr>
    </w:tbl>
    <w:p w:rsidR="00DA79C0" w:rsidRPr="004C5551" w:rsidRDefault="00DA79C0" w:rsidP="00DA79C0">
      <w:pPr>
        <w:pStyle w:val="zdroj"/>
        <w:spacing w:after="0"/>
        <w:ind w:firstLine="570"/>
      </w:pPr>
      <w:r w:rsidRPr="004C5551">
        <w:t>Zdroj: Sociálna poisťovňa</w:t>
      </w:r>
    </w:p>
    <w:p w:rsidR="00DA79C0" w:rsidRPr="004C5551" w:rsidRDefault="00DA79C0" w:rsidP="00DA79C0">
      <w:pPr>
        <w:pStyle w:val="zdroj"/>
        <w:spacing w:before="0"/>
        <w:ind w:firstLine="570"/>
      </w:pPr>
      <w:r w:rsidRPr="004C5551">
        <w:t xml:space="preserve">* vrátane tzv. invalidných dôchodkov z mladosti </w:t>
      </w:r>
    </w:p>
    <w:p w:rsidR="005C1F10" w:rsidRPr="004C5551" w:rsidRDefault="005C1F10" w:rsidP="005C1F10">
      <w:pPr>
        <w:jc w:val="left"/>
        <w:rPr>
          <w:sz w:val="20"/>
        </w:rPr>
      </w:pPr>
      <w:r w:rsidRPr="004C5551">
        <w:rPr>
          <w:sz w:val="20"/>
        </w:rPr>
        <w:br w:type="page"/>
      </w:r>
    </w:p>
    <w:p w:rsidR="00E631C1" w:rsidRPr="004C5551" w:rsidRDefault="00E631C1" w:rsidP="00E631C1">
      <w:pPr>
        <w:pStyle w:val="Nadpis7"/>
      </w:pPr>
      <w:bookmarkStart w:id="850" w:name="_Toc313879700"/>
      <w:r w:rsidRPr="004C5551">
        <w:t>Tabuľka 5 Prehľad výdavkov na dôchodkové dávky k </w:t>
      </w:r>
      <w:r w:rsidR="00460DEB" w:rsidRPr="004C5551">
        <w:t>31. 12. 201</w:t>
      </w:r>
      <w:bookmarkEnd w:id="850"/>
      <w:r w:rsidR="00460DEB" w:rsidRPr="004C5551">
        <w:t>4</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20"/>
        <w:gridCol w:w="1600"/>
        <w:gridCol w:w="1820"/>
        <w:gridCol w:w="1900"/>
      </w:tblGrid>
      <w:tr w:rsidR="00E631C1" w:rsidRPr="004C5551" w:rsidTr="00960E97">
        <w:trPr>
          <w:trHeight w:val="660"/>
          <w:jc w:val="center"/>
        </w:trPr>
        <w:tc>
          <w:tcPr>
            <w:tcW w:w="4220" w:type="dxa"/>
            <w:shd w:val="clear" w:color="auto" w:fill="FF9999" w:themeFill="accent3" w:themeFillTint="66"/>
            <w:noWrap/>
            <w:vAlign w:val="center"/>
          </w:tcPr>
          <w:p w:rsidR="00E631C1" w:rsidRPr="004C5551" w:rsidRDefault="00E631C1" w:rsidP="0013667E">
            <w:r w:rsidRPr="004C5551">
              <w:rPr>
                <w:szCs w:val="22"/>
              </w:rPr>
              <w:t> </w:t>
            </w:r>
          </w:p>
        </w:tc>
        <w:tc>
          <w:tcPr>
            <w:tcW w:w="1600" w:type="dxa"/>
            <w:shd w:val="clear" w:color="auto" w:fill="FF9999" w:themeFill="accent3" w:themeFillTint="66"/>
            <w:vAlign w:val="center"/>
          </w:tcPr>
          <w:p w:rsidR="00E631C1" w:rsidRPr="004C5551" w:rsidRDefault="00E631C1" w:rsidP="0013667E">
            <w:pPr>
              <w:jc w:val="center"/>
              <w:rPr>
                <w:b/>
                <w:bCs/>
              </w:rPr>
            </w:pPr>
            <w:r w:rsidRPr="004C5551">
              <w:rPr>
                <w:b/>
                <w:bCs/>
                <w:szCs w:val="22"/>
              </w:rPr>
              <w:t>Základný fond starobného poistenia (ZFSP)</w:t>
            </w:r>
          </w:p>
          <w:p w:rsidR="00E631C1" w:rsidRPr="004C5551" w:rsidRDefault="00E631C1" w:rsidP="0013667E">
            <w:pPr>
              <w:jc w:val="center"/>
              <w:rPr>
                <w:b/>
                <w:bCs/>
              </w:rPr>
            </w:pPr>
            <w:r w:rsidRPr="004C5551">
              <w:rPr>
                <w:b/>
                <w:bCs/>
                <w:szCs w:val="22"/>
              </w:rPr>
              <w:t xml:space="preserve">v tis. </w:t>
            </w:r>
            <w:r w:rsidR="00AA0137" w:rsidRPr="004C5551">
              <w:rPr>
                <w:b/>
                <w:bCs/>
                <w:szCs w:val="22"/>
              </w:rPr>
              <w:t>€</w:t>
            </w:r>
          </w:p>
        </w:tc>
        <w:tc>
          <w:tcPr>
            <w:tcW w:w="1820" w:type="dxa"/>
            <w:shd w:val="clear" w:color="auto" w:fill="FF9999" w:themeFill="accent3" w:themeFillTint="66"/>
            <w:vAlign w:val="center"/>
          </w:tcPr>
          <w:p w:rsidR="00E631C1" w:rsidRPr="004C5551" w:rsidRDefault="00E631C1" w:rsidP="0013667E">
            <w:pPr>
              <w:jc w:val="center"/>
              <w:rPr>
                <w:b/>
                <w:bCs/>
              </w:rPr>
            </w:pPr>
            <w:r w:rsidRPr="004C5551">
              <w:rPr>
                <w:b/>
                <w:bCs/>
                <w:szCs w:val="22"/>
              </w:rPr>
              <w:t>Základný fond invalidného poistenia (ZFIP)</w:t>
            </w:r>
          </w:p>
          <w:p w:rsidR="00E631C1" w:rsidRPr="004C5551" w:rsidRDefault="00E631C1" w:rsidP="0013667E">
            <w:pPr>
              <w:jc w:val="center"/>
              <w:rPr>
                <w:b/>
                <w:bCs/>
              </w:rPr>
            </w:pPr>
            <w:r w:rsidRPr="004C5551">
              <w:rPr>
                <w:b/>
                <w:bCs/>
                <w:szCs w:val="22"/>
              </w:rPr>
              <w:t xml:space="preserve">v tis. </w:t>
            </w:r>
            <w:r w:rsidR="00AA0137" w:rsidRPr="004C5551">
              <w:rPr>
                <w:b/>
                <w:bCs/>
                <w:szCs w:val="22"/>
              </w:rPr>
              <w:t>€</w:t>
            </w:r>
          </w:p>
        </w:tc>
        <w:tc>
          <w:tcPr>
            <w:tcW w:w="1900" w:type="dxa"/>
            <w:shd w:val="clear" w:color="auto" w:fill="FF9999" w:themeFill="accent3" w:themeFillTint="66"/>
            <w:noWrap/>
            <w:vAlign w:val="center"/>
          </w:tcPr>
          <w:p w:rsidR="00E631C1" w:rsidRPr="004C5551" w:rsidRDefault="00E631C1" w:rsidP="0013667E">
            <w:pPr>
              <w:jc w:val="center"/>
              <w:rPr>
                <w:b/>
                <w:bCs/>
              </w:rPr>
            </w:pPr>
            <w:r w:rsidRPr="004C5551">
              <w:rPr>
                <w:b/>
                <w:bCs/>
                <w:szCs w:val="22"/>
              </w:rPr>
              <w:t>Spolu</w:t>
            </w:r>
          </w:p>
        </w:tc>
      </w:tr>
      <w:tr w:rsidR="00E631C1" w:rsidRPr="004C5551" w:rsidTr="00960E97">
        <w:trPr>
          <w:trHeight w:val="270"/>
          <w:jc w:val="center"/>
        </w:trPr>
        <w:tc>
          <w:tcPr>
            <w:tcW w:w="4220" w:type="dxa"/>
            <w:noWrap/>
            <w:vAlign w:val="center"/>
          </w:tcPr>
          <w:p w:rsidR="00E631C1" w:rsidRPr="004C5551" w:rsidRDefault="00E631C1" w:rsidP="0013667E">
            <w:pPr>
              <w:rPr>
                <w:b/>
                <w:bCs/>
                <w:i/>
                <w:iCs/>
              </w:rPr>
            </w:pPr>
            <w:r w:rsidRPr="004C5551">
              <w:rPr>
                <w:b/>
                <w:bCs/>
                <w:i/>
                <w:iCs/>
                <w:szCs w:val="22"/>
              </w:rPr>
              <w:t>Druh dôchodku</w:t>
            </w:r>
          </w:p>
        </w:tc>
        <w:tc>
          <w:tcPr>
            <w:tcW w:w="1600" w:type="dxa"/>
            <w:noWrap/>
            <w:vAlign w:val="center"/>
          </w:tcPr>
          <w:p w:rsidR="00E631C1" w:rsidRPr="004C5551" w:rsidRDefault="00E631C1" w:rsidP="0013667E">
            <w:pPr>
              <w:jc w:val="center"/>
            </w:pPr>
            <w:r w:rsidRPr="004C5551">
              <w:rPr>
                <w:szCs w:val="22"/>
              </w:rPr>
              <w:t>Výdavky</w:t>
            </w:r>
          </w:p>
        </w:tc>
        <w:tc>
          <w:tcPr>
            <w:tcW w:w="1820" w:type="dxa"/>
            <w:noWrap/>
            <w:vAlign w:val="center"/>
          </w:tcPr>
          <w:p w:rsidR="00E631C1" w:rsidRPr="004C5551" w:rsidRDefault="00E631C1" w:rsidP="0013667E">
            <w:pPr>
              <w:jc w:val="center"/>
            </w:pPr>
            <w:r w:rsidRPr="004C5551">
              <w:rPr>
                <w:szCs w:val="22"/>
              </w:rPr>
              <w:t>Výdavky</w:t>
            </w:r>
          </w:p>
        </w:tc>
        <w:tc>
          <w:tcPr>
            <w:tcW w:w="1900" w:type="dxa"/>
            <w:noWrap/>
            <w:vAlign w:val="center"/>
          </w:tcPr>
          <w:p w:rsidR="00E631C1" w:rsidRPr="004C5551" w:rsidRDefault="00E631C1" w:rsidP="0013667E">
            <w:pPr>
              <w:jc w:val="center"/>
            </w:pPr>
            <w:r w:rsidRPr="004C5551">
              <w:rPr>
                <w:szCs w:val="22"/>
              </w:rPr>
              <w:t>Výdavky</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Starobný</w:t>
            </w:r>
          </w:p>
        </w:tc>
        <w:tc>
          <w:tcPr>
            <w:tcW w:w="1600" w:type="dxa"/>
            <w:noWrap/>
            <w:vAlign w:val="bottom"/>
          </w:tcPr>
          <w:p w:rsidR="00E631C1" w:rsidRPr="004C5551" w:rsidRDefault="00E631C1" w:rsidP="009509DB">
            <w:pPr>
              <w:ind w:right="129"/>
              <w:jc w:val="right"/>
            </w:pPr>
            <w:r w:rsidRPr="004C5551">
              <w:rPr>
                <w:szCs w:val="22"/>
              </w:rPr>
              <w:t>4 722 099</w:t>
            </w:r>
          </w:p>
        </w:tc>
        <w:tc>
          <w:tcPr>
            <w:tcW w:w="1820" w:type="dxa"/>
            <w:noWrap/>
            <w:vAlign w:val="bottom"/>
          </w:tcPr>
          <w:p w:rsidR="00E631C1" w:rsidRPr="004C5551" w:rsidRDefault="00E631C1" w:rsidP="009509DB">
            <w:pPr>
              <w:ind w:right="129"/>
              <w:jc w:val="center"/>
              <w:rPr>
                <w:rFonts w:eastAsiaTheme="minorHAnsi"/>
              </w:rPr>
            </w:pPr>
            <w:r w:rsidRPr="004C5551">
              <w:rPr>
                <w:szCs w:val="22"/>
              </w:rPr>
              <w:t>x</w:t>
            </w:r>
          </w:p>
        </w:tc>
        <w:tc>
          <w:tcPr>
            <w:tcW w:w="1900" w:type="dxa"/>
            <w:noWrap/>
            <w:vAlign w:val="bottom"/>
          </w:tcPr>
          <w:p w:rsidR="00E631C1" w:rsidRPr="004C5551" w:rsidRDefault="00E631C1" w:rsidP="004A5701">
            <w:pPr>
              <w:ind w:right="129"/>
              <w:jc w:val="right"/>
              <w:rPr>
                <w:color w:val="000000"/>
              </w:rPr>
            </w:pPr>
            <w:r w:rsidRPr="004C5551">
              <w:rPr>
                <w:color w:val="000000"/>
                <w:szCs w:val="22"/>
              </w:rPr>
              <w:t>4 722</w:t>
            </w:r>
            <w:r w:rsidR="004A5701" w:rsidRPr="004C5551">
              <w:rPr>
                <w:color w:val="000000"/>
                <w:szCs w:val="22"/>
              </w:rPr>
              <w:t> </w:t>
            </w:r>
            <w:r w:rsidRPr="004C5551">
              <w:rPr>
                <w:color w:val="000000"/>
                <w:szCs w:val="22"/>
              </w:rPr>
              <w:t>099</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Predčasný starobný</w:t>
            </w:r>
          </w:p>
        </w:tc>
        <w:tc>
          <w:tcPr>
            <w:tcW w:w="1600" w:type="dxa"/>
            <w:noWrap/>
            <w:vAlign w:val="bottom"/>
          </w:tcPr>
          <w:p w:rsidR="00E631C1" w:rsidRPr="004C5551" w:rsidRDefault="00E631C1" w:rsidP="009509DB">
            <w:pPr>
              <w:ind w:right="129"/>
              <w:jc w:val="right"/>
            </w:pPr>
            <w:r w:rsidRPr="004C5551">
              <w:rPr>
                <w:szCs w:val="22"/>
              </w:rPr>
              <w:t>102 890</w:t>
            </w:r>
          </w:p>
        </w:tc>
        <w:tc>
          <w:tcPr>
            <w:tcW w:w="1820" w:type="dxa"/>
            <w:noWrap/>
            <w:vAlign w:val="bottom"/>
          </w:tcPr>
          <w:p w:rsidR="00E631C1" w:rsidRPr="004C5551" w:rsidRDefault="00E631C1" w:rsidP="009509DB">
            <w:pPr>
              <w:ind w:right="129"/>
              <w:jc w:val="center"/>
              <w:rPr>
                <w:rFonts w:eastAsiaTheme="minorHAnsi"/>
              </w:rPr>
            </w:pPr>
            <w:r w:rsidRPr="004C5551">
              <w:rPr>
                <w:szCs w:val="22"/>
              </w:rPr>
              <w:t>x</w:t>
            </w:r>
          </w:p>
        </w:tc>
        <w:tc>
          <w:tcPr>
            <w:tcW w:w="1900" w:type="dxa"/>
            <w:noWrap/>
            <w:vAlign w:val="bottom"/>
          </w:tcPr>
          <w:p w:rsidR="00E631C1" w:rsidRPr="004C5551" w:rsidRDefault="00E631C1" w:rsidP="004A5701">
            <w:pPr>
              <w:ind w:right="129"/>
              <w:jc w:val="right"/>
              <w:rPr>
                <w:color w:val="000000"/>
              </w:rPr>
            </w:pPr>
            <w:r w:rsidRPr="004C5551">
              <w:rPr>
                <w:color w:val="000000"/>
                <w:szCs w:val="22"/>
              </w:rPr>
              <w:t>102 890</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Invalidný</w:t>
            </w:r>
          </w:p>
        </w:tc>
        <w:tc>
          <w:tcPr>
            <w:tcW w:w="1600" w:type="dxa"/>
            <w:noWrap/>
            <w:vAlign w:val="bottom"/>
          </w:tcPr>
          <w:p w:rsidR="00E631C1" w:rsidRPr="004C5551" w:rsidRDefault="00E631C1" w:rsidP="009509DB">
            <w:pPr>
              <w:ind w:right="129"/>
              <w:jc w:val="center"/>
              <w:rPr>
                <w:rFonts w:eastAsiaTheme="minorHAnsi"/>
              </w:rPr>
            </w:pPr>
            <w:r w:rsidRPr="004C5551">
              <w:rPr>
                <w:szCs w:val="22"/>
              </w:rPr>
              <w:t>x</w:t>
            </w:r>
          </w:p>
        </w:tc>
        <w:tc>
          <w:tcPr>
            <w:tcW w:w="1820" w:type="dxa"/>
            <w:noWrap/>
            <w:vAlign w:val="bottom"/>
          </w:tcPr>
          <w:p w:rsidR="00E631C1" w:rsidRPr="004C5551" w:rsidRDefault="00E631C1" w:rsidP="009509DB">
            <w:pPr>
              <w:ind w:right="129"/>
              <w:jc w:val="right"/>
            </w:pPr>
            <w:r w:rsidRPr="004C5551">
              <w:rPr>
                <w:szCs w:val="22"/>
              </w:rPr>
              <w:t>756 985</w:t>
            </w:r>
          </w:p>
        </w:tc>
        <w:tc>
          <w:tcPr>
            <w:tcW w:w="1900" w:type="dxa"/>
            <w:noWrap/>
            <w:vAlign w:val="bottom"/>
          </w:tcPr>
          <w:p w:rsidR="00E631C1" w:rsidRPr="004C5551" w:rsidRDefault="00E631C1" w:rsidP="004A5701">
            <w:pPr>
              <w:ind w:right="129"/>
              <w:jc w:val="right"/>
              <w:rPr>
                <w:color w:val="000000"/>
              </w:rPr>
            </w:pPr>
            <w:r w:rsidRPr="004C5551">
              <w:rPr>
                <w:color w:val="000000"/>
                <w:szCs w:val="22"/>
              </w:rPr>
              <w:t>756 985</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Vdovský</w:t>
            </w:r>
          </w:p>
        </w:tc>
        <w:tc>
          <w:tcPr>
            <w:tcW w:w="1600" w:type="dxa"/>
            <w:noWrap/>
            <w:vAlign w:val="bottom"/>
          </w:tcPr>
          <w:p w:rsidR="00E631C1" w:rsidRPr="004C5551" w:rsidRDefault="00E631C1" w:rsidP="009509DB">
            <w:pPr>
              <w:ind w:right="129"/>
              <w:jc w:val="right"/>
            </w:pPr>
            <w:r w:rsidRPr="004C5551">
              <w:rPr>
                <w:szCs w:val="22"/>
              </w:rPr>
              <w:t>458 833</w:t>
            </w:r>
          </w:p>
        </w:tc>
        <w:tc>
          <w:tcPr>
            <w:tcW w:w="1820" w:type="dxa"/>
            <w:noWrap/>
            <w:vAlign w:val="bottom"/>
          </w:tcPr>
          <w:p w:rsidR="00E631C1" w:rsidRPr="004C5551" w:rsidRDefault="00E631C1" w:rsidP="009509DB">
            <w:pPr>
              <w:ind w:right="129"/>
              <w:jc w:val="right"/>
            </w:pPr>
            <w:r w:rsidRPr="004C5551">
              <w:rPr>
                <w:szCs w:val="22"/>
              </w:rPr>
              <w:t>104 112</w:t>
            </w:r>
          </w:p>
        </w:tc>
        <w:tc>
          <w:tcPr>
            <w:tcW w:w="1900" w:type="dxa"/>
            <w:noWrap/>
            <w:vAlign w:val="bottom"/>
          </w:tcPr>
          <w:p w:rsidR="00E631C1" w:rsidRPr="004C5551" w:rsidRDefault="00E631C1" w:rsidP="004A5701">
            <w:pPr>
              <w:ind w:right="129"/>
              <w:jc w:val="right"/>
              <w:rPr>
                <w:color w:val="000000"/>
              </w:rPr>
            </w:pPr>
            <w:r w:rsidRPr="004C5551">
              <w:rPr>
                <w:color w:val="000000"/>
                <w:szCs w:val="22"/>
              </w:rPr>
              <w:t>562 945</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Vdovecký </w:t>
            </w:r>
          </w:p>
        </w:tc>
        <w:tc>
          <w:tcPr>
            <w:tcW w:w="1600" w:type="dxa"/>
            <w:noWrap/>
            <w:vAlign w:val="bottom"/>
          </w:tcPr>
          <w:p w:rsidR="00E631C1" w:rsidRPr="004C5551" w:rsidRDefault="00E631C1" w:rsidP="009509DB">
            <w:pPr>
              <w:ind w:right="129"/>
              <w:jc w:val="right"/>
            </w:pPr>
            <w:r w:rsidRPr="004C5551">
              <w:rPr>
                <w:szCs w:val="22"/>
              </w:rPr>
              <w:t>40 903</w:t>
            </w:r>
          </w:p>
        </w:tc>
        <w:tc>
          <w:tcPr>
            <w:tcW w:w="1820" w:type="dxa"/>
            <w:noWrap/>
            <w:vAlign w:val="bottom"/>
          </w:tcPr>
          <w:p w:rsidR="00E631C1" w:rsidRPr="004C5551" w:rsidRDefault="00E631C1" w:rsidP="009509DB">
            <w:pPr>
              <w:ind w:right="129"/>
              <w:jc w:val="right"/>
            </w:pPr>
            <w:r w:rsidRPr="004C5551">
              <w:rPr>
                <w:szCs w:val="22"/>
              </w:rPr>
              <w:t>13 323</w:t>
            </w:r>
          </w:p>
        </w:tc>
        <w:tc>
          <w:tcPr>
            <w:tcW w:w="1900" w:type="dxa"/>
            <w:noWrap/>
            <w:vAlign w:val="bottom"/>
          </w:tcPr>
          <w:p w:rsidR="00E631C1" w:rsidRPr="004C5551" w:rsidRDefault="00E631C1" w:rsidP="004A5701">
            <w:pPr>
              <w:ind w:right="129"/>
              <w:jc w:val="right"/>
              <w:rPr>
                <w:color w:val="000000"/>
              </w:rPr>
            </w:pPr>
            <w:r w:rsidRPr="004C5551">
              <w:rPr>
                <w:color w:val="000000"/>
                <w:szCs w:val="22"/>
              </w:rPr>
              <w:t>54 226</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Sirotský</w:t>
            </w:r>
          </w:p>
        </w:tc>
        <w:tc>
          <w:tcPr>
            <w:tcW w:w="1600" w:type="dxa"/>
            <w:noWrap/>
            <w:vAlign w:val="bottom"/>
          </w:tcPr>
          <w:p w:rsidR="00E631C1" w:rsidRPr="004C5551" w:rsidRDefault="00E631C1" w:rsidP="009509DB">
            <w:pPr>
              <w:ind w:right="129"/>
              <w:jc w:val="right"/>
            </w:pPr>
            <w:r w:rsidRPr="004C5551">
              <w:rPr>
                <w:szCs w:val="22"/>
              </w:rPr>
              <w:t>2 449</w:t>
            </w:r>
          </w:p>
        </w:tc>
        <w:tc>
          <w:tcPr>
            <w:tcW w:w="1820" w:type="dxa"/>
            <w:noWrap/>
            <w:vAlign w:val="bottom"/>
          </w:tcPr>
          <w:p w:rsidR="00E631C1" w:rsidRPr="004C5551" w:rsidRDefault="00E631C1" w:rsidP="009509DB">
            <w:pPr>
              <w:ind w:right="129"/>
              <w:jc w:val="right"/>
            </w:pPr>
            <w:r w:rsidRPr="004C5551">
              <w:rPr>
                <w:szCs w:val="22"/>
              </w:rPr>
              <w:t>39 268</w:t>
            </w:r>
          </w:p>
        </w:tc>
        <w:tc>
          <w:tcPr>
            <w:tcW w:w="1900" w:type="dxa"/>
            <w:noWrap/>
            <w:vAlign w:val="bottom"/>
          </w:tcPr>
          <w:p w:rsidR="00E631C1" w:rsidRPr="004C5551" w:rsidRDefault="00E631C1" w:rsidP="004A5701">
            <w:pPr>
              <w:ind w:right="129"/>
              <w:jc w:val="right"/>
              <w:rPr>
                <w:color w:val="000000"/>
              </w:rPr>
            </w:pPr>
            <w:r w:rsidRPr="004C5551">
              <w:rPr>
                <w:color w:val="000000"/>
                <w:szCs w:val="22"/>
              </w:rPr>
              <w:t>41 717</w:t>
            </w:r>
          </w:p>
        </w:tc>
      </w:tr>
      <w:tr w:rsidR="00E631C1" w:rsidRPr="004C5551" w:rsidTr="00960E97">
        <w:trPr>
          <w:trHeight w:val="270"/>
          <w:jc w:val="center"/>
        </w:trPr>
        <w:tc>
          <w:tcPr>
            <w:tcW w:w="4220" w:type="dxa"/>
            <w:noWrap/>
            <w:vAlign w:val="center"/>
          </w:tcPr>
          <w:p w:rsidR="00E631C1" w:rsidRPr="004C5551" w:rsidRDefault="00E631C1" w:rsidP="0013667E">
            <w:pPr>
              <w:rPr>
                <w:b/>
                <w:bCs/>
              </w:rPr>
            </w:pPr>
            <w:r w:rsidRPr="004C5551">
              <w:rPr>
                <w:b/>
                <w:bCs/>
                <w:szCs w:val="22"/>
              </w:rPr>
              <w:t>Spolu</w:t>
            </w:r>
          </w:p>
        </w:tc>
        <w:tc>
          <w:tcPr>
            <w:tcW w:w="1600" w:type="dxa"/>
            <w:noWrap/>
            <w:vAlign w:val="bottom"/>
          </w:tcPr>
          <w:p w:rsidR="00E631C1" w:rsidRPr="004C5551" w:rsidRDefault="00E631C1" w:rsidP="009509DB">
            <w:pPr>
              <w:ind w:right="129"/>
              <w:jc w:val="right"/>
              <w:rPr>
                <w:b/>
                <w:color w:val="000000"/>
              </w:rPr>
            </w:pPr>
            <w:r w:rsidRPr="004C5551">
              <w:rPr>
                <w:b/>
                <w:color w:val="000000"/>
                <w:szCs w:val="22"/>
              </w:rPr>
              <w:t>5 327 174</w:t>
            </w:r>
          </w:p>
        </w:tc>
        <w:tc>
          <w:tcPr>
            <w:tcW w:w="1820" w:type="dxa"/>
            <w:noWrap/>
            <w:vAlign w:val="bottom"/>
          </w:tcPr>
          <w:p w:rsidR="00E631C1" w:rsidRPr="004C5551" w:rsidRDefault="00E631C1" w:rsidP="009509DB">
            <w:pPr>
              <w:ind w:right="129"/>
              <w:jc w:val="right"/>
              <w:rPr>
                <w:b/>
                <w:color w:val="000000"/>
              </w:rPr>
            </w:pPr>
            <w:r w:rsidRPr="004C5551">
              <w:rPr>
                <w:b/>
                <w:color w:val="000000"/>
                <w:szCs w:val="22"/>
              </w:rPr>
              <w:t>913 688</w:t>
            </w:r>
          </w:p>
        </w:tc>
        <w:tc>
          <w:tcPr>
            <w:tcW w:w="1900" w:type="dxa"/>
            <w:noWrap/>
            <w:vAlign w:val="bottom"/>
          </w:tcPr>
          <w:p w:rsidR="00E631C1" w:rsidRPr="004C5551" w:rsidRDefault="00E631C1" w:rsidP="004A5701">
            <w:pPr>
              <w:ind w:right="129"/>
              <w:jc w:val="right"/>
              <w:rPr>
                <w:color w:val="000000"/>
              </w:rPr>
            </w:pPr>
            <w:r w:rsidRPr="004C5551">
              <w:rPr>
                <w:color w:val="000000"/>
                <w:szCs w:val="22"/>
              </w:rPr>
              <w:t>6 240 862</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zúčtovanie dávok §112,odst. 9 461/2003 Z. z.</w:t>
            </w:r>
          </w:p>
        </w:tc>
        <w:tc>
          <w:tcPr>
            <w:tcW w:w="1600" w:type="dxa"/>
            <w:noWrap/>
            <w:vAlign w:val="bottom"/>
          </w:tcPr>
          <w:p w:rsidR="00E631C1" w:rsidRPr="004C5551" w:rsidRDefault="00E631C1" w:rsidP="009509DB">
            <w:pPr>
              <w:ind w:right="129"/>
              <w:jc w:val="right"/>
              <w:rPr>
                <w:rFonts w:eastAsiaTheme="minorHAnsi"/>
              </w:rPr>
            </w:pPr>
            <w:r w:rsidRPr="004C5551">
              <w:rPr>
                <w:szCs w:val="22"/>
              </w:rPr>
              <w:t>922</w:t>
            </w:r>
          </w:p>
        </w:tc>
        <w:tc>
          <w:tcPr>
            <w:tcW w:w="1820" w:type="dxa"/>
            <w:noWrap/>
            <w:vAlign w:val="bottom"/>
          </w:tcPr>
          <w:p w:rsidR="00E631C1" w:rsidRPr="004C5551" w:rsidRDefault="00E631C1" w:rsidP="009509DB">
            <w:pPr>
              <w:ind w:right="129"/>
              <w:jc w:val="right"/>
              <w:rPr>
                <w:rFonts w:eastAsiaTheme="minorHAnsi"/>
              </w:rPr>
            </w:pPr>
            <w:r w:rsidRPr="004C5551">
              <w:rPr>
                <w:szCs w:val="22"/>
              </w:rPr>
              <w:t>226</w:t>
            </w:r>
          </w:p>
        </w:tc>
        <w:tc>
          <w:tcPr>
            <w:tcW w:w="1900" w:type="dxa"/>
            <w:noWrap/>
            <w:vAlign w:val="bottom"/>
          </w:tcPr>
          <w:p w:rsidR="00E631C1" w:rsidRPr="004C5551" w:rsidRDefault="00E631C1" w:rsidP="004A5701">
            <w:pPr>
              <w:ind w:right="129"/>
              <w:jc w:val="right"/>
              <w:rPr>
                <w:color w:val="000000"/>
              </w:rPr>
            </w:pPr>
            <w:r w:rsidRPr="004C5551">
              <w:rPr>
                <w:color w:val="000000"/>
                <w:szCs w:val="22"/>
              </w:rPr>
              <w:t>1 148</w:t>
            </w:r>
          </w:p>
        </w:tc>
      </w:tr>
      <w:tr w:rsidR="00E631C1" w:rsidRPr="004C5551" w:rsidTr="00960E97">
        <w:trPr>
          <w:trHeight w:val="270"/>
          <w:jc w:val="center"/>
        </w:trPr>
        <w:tc>
          <w:tcPr>
            <w:tcW w:w="4220" w:type="dxa"/>
            <w:noWrap/>
            <w:vAlign w:val="center"/>
          </w:tcPr>
          <w:p w:rsidR="00E631C1" w:rsidRPr="004C5551" w:rsidRDefault="00E631C1" w:rsidP="0013667E">
            <w:pPr>
              <w:rPr>
                <w:b/>
                <w:bCs/>
              </w:rPr>
            </w:pPr>
            <w:r w:rsidRPr="004C5551">
              <w:rPr>
                <w:b/>
                <w:bCs/>
                <w:szCs w:val="22"/>
              </w:rPr>
              <w:t>úhrn</w:t>
            </w:r>
          </w:p>
        </w:tc>
        <w:tc>
          <w:tcPr>
            <w:tcW w:w="1600" w:type="dxa"/>
            <w:noWrap/>
            <w:vAlign w:val="bottom"/>
          </w:tcPr>
          <w:p w:rsidR="00E631C1" w:rsidRPr="004C5551" w:rsidRDefault="00E631C1" w:rsidP="009509DB">
            <w:pPr>
              <w:ind w:right="129"/>
              <w:jc w:val="right"/>
              <w:rPr>
                <w:b/>
              </w:rPr>
            </w:pPr>
            <w:r w:rsidRPr="004C5551">
              <w:rPr>
                <w:b/>
                <w:szCs w:val="22"/>
              </w:rPr>
              <w:t>5 328 096</w:t>
            </w:r>
          </w:p>
        </w:tc>
        <w:tc>
          <w:tcPr>
            <w:tcW w:w="1820" w:type="dxa"/>
            <w:noWrap/>
            <w:vAlign w:val="bottom"/>
          </w:tcPr>
          <w:p w:rsidR="00E631C1" w:rsidRPr="004C5551" w:rsidRDefault="00E631C1" w:rsidP="009509DB">
            <w:pPr>
              <w:ind w:right="129"/>
              <w:jc w:val="right"/>
              <w:rPr>
                <w:b/>
              </w:rPr>
            </w:pPr>
            <w:r w:rsidRPr="004C5551">
              <w:rPr>
                <w:b/>
                <w:szCs w:val="22"/>
              </w:rPr>
              <w:t>913 914</w:t>
            </w:r>
          </w:p>
        </w:tc>
        <w:tc>
          <w:tcPr>
            <w:tcW w:w="1900" w:type="dxa"/>
            <w:noWrap/>
            <w:vAlign w:val="bottom"/>
          </w:tcPr>
          <w:p w:rsidR="00E631C1" w:rsidRPr="004C5551" w:rsidRDefault="00E631C1" w:rsidP="004A5701">
            <w:pPr>
              <w:ind w:right="129"/>
              <w:jc w:val="right"/>
              <w:rPr>
                <w:b/>
                <w:color w:val="000000"/>
              </w:rPr>
            </w:pPr>
            <w:r w:rsidRPr="004C5551">
              <w:rPr>
                <w:b/>
                <w:color w:val="000000"/>
                <w:szCs w:val="22"/>
              </w:rPr>
              <w:t>6 242 010</w:t>
            </w:r>
          </w:p>
        </w:tc>
      </w:tr>
      <w:tr w:rsidR="00E631C1" w:rsidRPr="004C5551" w:rsidTr="00960E97">
        <w:trPr>
          <w:trHeight w:val="270"/>
          <w:jc w:val="center"/>
        </w:trPr>
        <w:tc>
          <w:tcPr>
            <w:tcW w:w="4220" w:type="dxa"/>
            <w:noWrap/>
            <w:vAlign w:val="center"/>
          </w:tcPr>
          <w:p w:rsidR="00E631C1" w:rsidRPr="004C5551" w:rsidRDefault="00E631C1" w:rsidP="0013667E">
            <w:pPr>
              <w:rPr>
                <w:b/>
                <w:bCs/>
                <w:i/>
                <w:iCs/>
              </w:rPr>
            </w:pPr>
            <w:r w:rsidRPr="004C5551">
              <w:rPr>
                <w:b/>
                <w:bCs/>
                <w:i/>
                <w:iCs/>
                <w:szCs w:val="22"/>
              </w:rPr>
              <w:t>Štátom hradené dávky</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spacing w:line="276" w:lineRule="auto"/>
              <w:ind w:right="129"/>
              <w:jc w:val="right"/>
              <w:rPr>
                <w:rFonts w:ascii="Calibri" w:eastAsiaTheme="minorHAnsi" w:hAnsi="Calibri"/>
                <w:b/>
                <w:bCs/>
              </w:rPr>
            </w:pP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dôchodok manželky</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223</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sociálny dôchodok</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5 608</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zvýšenie pre bezvládnosť</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4 523</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zvýšenie z dôvodu JZP</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54</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zvýšenie dôchodku za odboj, rehabilitáciu a deportáciu</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6 439</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príplatok k dôchodku polit. väzňov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rPr>
                <w:rFonts w:ascii="Calibri" w:eastAsiaTheme="minorHAnsi" w:hAnsi="Calibri"/>
              </w:rPr>
            </w:pPr>
            <w:r w:rsidRPr="004C5551">
              <w:t>2 533</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príspevok k dôchodku účasti národného boja za oslobodenie a vdovám a vdovcom po týchto osobách</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pPr>
            <w:r w:rsidRPr="004C5551">
              <w:t>1 339</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jednorazový finančný príspevok politickým väzňom podľa zákona č.462/2002 Z.</w:t>
            </w:r>
            <w:r w:rsidR="008D4AC2" w:rsidRPr="004C5551">
              <w:rPr>
                <w:szCs w:val="22"/>
              </w:rPr>
              <w:t> </w:t>
            </w:r>
            <w:r w:rsidRPr="004C5551">
              <w:rPr>
                <w:szCs w:val="22"/>
              </w:rPr>
              <w:t>z.</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E631C1" w:rsidP="009509DB">
            <w:pPr>
              <w:ind w:right="129"/>
              <w:jc w:val="right"/>
            </w:pPr>
            <w:r w:rsidRPr="004C5551">
              <w:t>9</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príplatok za štátnu službu</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460DEB" w:rsidP="009509DB">
            <w:pPr>
              <w:ind w:right="129"/>
              <w:jc w:val="right"/>
              <w:rPr>
                <w:rFonts w:eastAsiaTheme="minorHAnsi"/>
              </w:rPr>
            </w:pPr>
            <w:r w:rsidRPr="004C5551">
              <w:t>367</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invalidný dôchodok z mladosti</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center"/>
          </w:tcPr>
          <w:p w:rsidR="00E631C1" w:rsidRPr="004C5551" w:rsidRDefault="00460DEB" w:rsidP="009509DB">
            <w:pPr>
              <w:ind w:right="129"/>
              <w:jc w:val="right"/>
              <w:rPr>
                <w:rFonts w:eastAsiaTheme="minorHAnsi"/>
              </w:rPr>
            </w:pPr>
            <w:r w:rsidRPr="004C5551">
              <w:t>31 670</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vianočný príspevok – </w:t>
            </w:r>
            <w:proofErr w:type="spellStart"/>
            <w:r w:rsidRPr="004C5551">
              <w:rPr>
                <w:szCs w:val="22"/>
              </w:rPr>
              <w:t>dopl</w:t>
            </w:r>
            <w:proofErr w:type="spellEnd"/>
            <w:r w:rsidRPr="004C5551">
              <w:rPr>
                <w:szCs w:val="22"/>
              </w:rPr>
              <w:t xml:space="preserve">. rok 2006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0</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vianočný príspevok – </w:t>
            </w:r>
            <w:proofErr w:type="spellStart"/>
            <w:r w:rsidRPr="004C5551">
              <w:rPr>
                <w:szCs w:val="22"/>
              </w:rPr>
              <w:t>dopl</w:t>
            </w:r>
            <w:proofErr w:type="spellEnd"/>
            <w:r w:rsidRPr="004C5551">
              <w:rPr>
                <w:szCs w:val="22"/>
              </w:rPr>
              <w:t xml:space="preserve">. rok 2007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1</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vianočný príspevok – </w:t>
            </w:r>
            <w:proofErr w:type="spellStart"/>
            <w:r w:rsidRPr="004C5551">
              <w:rPr>
                <w:szCs w:val="22"/>
              </w:rPr>
              <w:t>dopl</w:t>
            </w:r>
            <w:proofErr w:type="spellEnd"/>
            <w:r w:rsidRPr="004C5551">
              <w:rPr>
                <w:szCs w:val="22"/>
              </w:rPr>
              <w:t xml:space="preserve">. rok 2008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1</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vianočný príspevok – </w:t>
            </w:r>
            <w:proofErr w:type="spellStart"/>
            <w:r w:rsidRPr="004C5551">
              <w:rPr>
                <w:szCs w:val="22"/>
              </w:rPr>
              <w:t>dopl</w:t>
            </w:r>
            <w:proofErr w:type="spellEnd"/>
            <w:r w:rsidRPr="004C5551">
              <w:rPr>
                <w:szCs w:val="22"/>
              </w:rPr>
              <w:t xml:space="preserve">. rok 2009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3</w:t>
            </w:r>
          </w:p>
        </w:tc>
      </w:tr>
      <w:tr w:rsidR="00E631C1" w:rsidRPr="004C5551" w:rsidTr="00960E97">
        <w:trPr>
          <w:trHeight w:val="270"/>
          <w:jc w:val="center"/>
        </w:trPr>
        <w:tc>
          <w:tcPr>
            <w:tcW w:w="4220" w:type="dxa"/>
            <w:noWrap/>
            <w:vAlign w:val="center"/>
          </w:tcPr>
          <w:p w:rsidR="00E631C1" w:rsidRPr="004C5551" w:rsidRDefault="00E631C1" w:rsidP="0013667E">
            <w:pPr>
              <w:rPr>
                <w:bCs/>
              </w:rPr>
            </w:pPr>
            <w:r w:rsidRPr="004C5551">
              <w:rPr>
                <w:szCs w:val="22"/>
              </w:rPr>
              <w:t xml:space="preserve">vianočný príspevok – </w:t>
            </w:r>
            <w:proofErr w:type="spellStart"/>
            <w:r w:rsidRPr="004C5551">
              <w:rPr>
                <w:szCs w:val="22"/>
              </w:rPr>
              <w:t>dopl</w:t>
            </w:r>
            <w:proofErr w:type="spellEnd"/>
            <w:r w:rsidRPr="004C5551">
              <w:rPr>
                <w:szCs w:val="22"/>
              </w:rPr>
              <w:t xml:space="preserve">. rok 2010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334</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 xml:space="preserve">vianočný príspevok – </w:t>
            </w:r>
            <w:proofErr w:type="spellStart"/>
            <w:r w:rsidRPr="004C5551">
              <w:rPr>
                <w:szCs w:val="22"/>
              </w:rPr>
              <w:t>dopl</w:t>
            </w:r>
            <w:proofErr w:type="spellEnd"/>
            <w:r w:rsidRPr="004C5551">
              <w:rPr>
                <w:szCs w:val="22"/>
              </w:rPr>
              <w:t xml:space="preserve">. rok 2011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523</w:t>
            </w:r>
          </w:p>
        </w:tc>
      </w:tr>
      <w:tr w:rsidR="00986004" w:rsidRPr="004C5551" w:rsidTr="00960E97">
        <w:trPr>
          <w:trHeight w:val="270"/>
          <w:jc w:val="center"/>
        </w:trPr>
        <w:tc>
          <w:tcPr>
            <w:tcW w:w="4220" w:type="dxa"/>
            <w:noWrap/>
            <w:vAlign w:val="center"/>
          </w:tcPr>
          <w:p w:rsidR="00986004" w:rsidRPr="004C5551" w:rsidRDefault="00986004" w:rsidP="00B85283">
            <w:r w:rsidRPr="004C5551">
              <w:rPr>
                <w:szCs w:val="22"/>
              </w:rPr>
              <w:t xml:space="preserve">vianočný príspevok – </w:t>
            </w:r>
            <w:proofErr w:type="spellStart"/>
            <w:r w:rsidRPr="004C5551">
              <w:rPr>
                <w:szCs w:val="22"/>
              </w:rPr>
              <w:t>dopl</w:t>
            </w:r>
            <w:proofErr w:type="spellEnd"/>
            <w:r w:rsidRPr="004C5551">
              <w:rPr>
                <w:szCs w:val="22"/>
              </w:rPr>
              <w:t>. rok 2012</w:t>
            </w:r>
          </w:p>
        </w:tc>
        <w:tc>
          <w:tcPr>
            <w:tcW w:w="1600" w:type="dxa"/>
            <w:noWrap/>
            <w:vAlign w:val="center"/>
          </w:tcPr>
          <w:p w:rsidR="00986004" w:rsidRPr="004C5551" w:rsidRDefault="00986004" w:rsidP="009509DB">
            <w:pPr>
              <w:spacing w:line="276" w:lineRule="auto"/>
              <w:ind w:right="129"/>
              <w:jc w:val="right"/>
              <w:rPr>
                <w:rFonts w:ascii="Calibri" w:eastAsiaTheme="minorHAnsi" w:hAnsi="Calibri"/>
              </w:rPr>
            </w:pPr>
          </w:p>
        </w:tc>
        <w:tc>
          <w:tcPr>
            <w:tcW w:w="1820" w:type="dxa"/>
            <w:noWrap/>
            <w:vAlign w:val="center"/>
          </w:tcPr>
          <w:p w:rsidR="00986004" w:rsidRPr="004C5551" w:rsidRDefault="00986004" w:rsidP="009509DB">
            <w:pPr>
              <w:spacing w:line="276" w:lineRule="auto"/>
              <w:ind w:right="129"/>
              <w:jc w:val="right"/>
              <w:rPr>
                <w:rFonts w:ascii="Calibri" w:eastAsiaTheme="minorHAnsi" w:hAnsi="Calibri"/>
              </w:rPr>
            </w:pPr>
          </w:p>
        </w:tc>
        <w:tc>
          <w:tcPr>
            <w:tcW w:w="1900" w:type="dxa"/>
            <w:noWrap/>
            <w:vAlign w:val="bottom"/>
          </w:tcPr>
          <w:p w:rsidR="00986004" w:rsidRPr="004C5551" w:rsidRDefault="00986004" w:rsidP="009509DB">
            <w:pPr>
              <w:ind w:right="129"/>
              <w:jc w:val="right"/>
              <w:rPr>
                <w:sz w:val="20"/>
                <w:szCs w:val="20"/>
              </w:rPr>
            </w:pPr>
            <w:r w:rsidRPr="004C5551">
              <w:rPr>
                <w:sz w:val="20"/>
                <w:szCs w:val="20"/>
              </w:rPr>
              <w:t>641</w:t>
            </w:r>
          </w:p>
        </w:tc>
      </w:tr>
      <w:tr w:rsidR="00986004" w:rsidRPr="004C5551" w:rsidTr="00960E97">
        <w:trPr>
          <w:trHeight w:val="270"/>
          <w:jc w:val="center"/>
        </w:trPr>
        <w:tc>
          <w:tcPr>
            <w:tcW w:w="4220" w:type="dxa"/>
            <w:noWrap/>
            <w:vAlign w:val="center"/>
          </w:tcPr>
          <w:p w:rsidR="00986004" w:rsidRPr="004C5551" w:rsidRDefault="00986004" w:rsidP="00B85283">
            <w:r w:rsidRPr="004C5551">
              <w:rPr>
                <w:szCs w:val="22"/>
              </w:rPr>
              <w:t xml:space="preserve">vianočný príspevok – </w:t>
            </w:r>
            <w:proofErr w:type="spellStart"/>
            <w:r w:rsidRPr="004C5551">
              <w:rPr>
                <w:szCs w:val="22"/>
              </w:rPr>
              <w:t>dopl</w:t>
            </w:r>
            <w:proofErr w:type="spellEnd"/>
            <w:r w:rsidRPr="004C5551">
              <w:rPr>
                <w:szCs w:val="22"/>
              </w:rPr>
              <w:t>. rok 2013</w:t>
            </w:r>
          </w:p>
        </w:tc>
        <w:tc>
          <w:tcPr>
            <w:tcW w:w="1600" w:type="dxa"/>
            <w:noWrap/>
            <w:vAlign w:val="center"/>
          </w:tcPr>
          <w:p w:rsidR="00986004" w:rsidRPr="004C5551" w:rsidRDefault="00986004" w:rsidP="009509DB">
            <w:pPr>
              <w:spacing w:line="276" w:lineRule="auto"/>
              <w:ind w:right="129"/>
              <w:jc w:val="right"/>
              <w:rPr>
                <w:rFonts w:ascii="Calibri" w:eastAsiaTheme="minorHAnsi" w:hAnsi="Calibri"/>
              </w:rPr>
            </w:pPr>
          </w:p>
        </w:tc>
        <w:tc>
          <w:tcPr>
            <w:tcW w:w="1820" w:type="dxa"/>
            <w:noWrap/>
            <w:vAlign w:val="center"/>
          </w:tcPr>
          <w:p w:rsidR="00986004" w:rsidRPr="004C5551" w:rsidRDefault="00986004" w:rsidP="009509DB">
            <w:pPr>
              <w:spacing w:line="276" w:lineRule="auto"/>
              <w:ind w:right="129"/>
              <w:jc w:val="right"/>
              <w:rPr>
                <w:rFonts w:ascii="Calibri" w:eastAsiaTheme="minorHAnsi" w:hAnsi="Calibri"/>
              </w:rPr>
            </w:pPr>
          </w:p>
        </w:tc>
        <w:tc>
          <w:tcPr>
            <w:tcW w:w="1900" w:type="dxa"/>
            <w:noWrap/>
            <w:vAlign w:val="bottom"/>
          </w:tcPr>
          <w:p w:rsidR="00986004" w:rsidRPr="004C5551" w:rsidRDefault="00986004" w:rsidP="009509DB">
            <w:pPr>
              <w:ind w:right="129"/>
              <w:jc w:val="right"/>
              <w:rPr>
                <w:sz w:val="20"/>
                <w:szCs w:val="20"/>
              </w:rPr>
            </w:pPr>
            <w:r w:rsidRPr="004C5551">
              <w:rPr>
                <w:sz w:val="20"/>
                <w:szCs w:val="20"/>
              </w:rPr>
              <w:t>1 978</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vianočný príspevok – rok 2014</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78 192</w:t>
            </w:r>
          </w:p>
        </w:tc>
      </w:tr>
      <w:tr w:rsidR="00E631C1" w:rsidRPr="004C5551" w:rsidTr="00960E97">
        <w:trPr>
          <w:trHeight w:val="270"/>
          <w:jc w:val="center"/>
        </w:trPr>
        <w:tc>
          <w:tcPr>
            <w:tcW w:w="4220" w:type="dxa"/>
            <w:noWrap/>
            <w:vAlign w:val="center"/>
          </w:tcPr>
          <w:p w:rsidR="00E631C1" w:rsidRPr="004C5551" w:rsidRDefault="00E631C1" w:rsidP="0013667E">
            <w:r w:rsidRPr="004C5551">
              <w:rPr>
                <w:szCs w:val="22"/>
              </w:rPr>
              <w:t>vianočný príspevok – spolu vyplatené 2014</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sz w:val="20"/>
                <w:szCs w:val="20"/>
              </w:rPr>
              <w:t>81 673</w:t>
            </w:r>
          </w:p>
        </w:tc>
      </w:tr>
      <w:tr w:rsidR="00E631C1" w:rsidRPr="004C5551" w:rsidTr="00960E97">
        <w:trPr>
          <w:trHeight w:val="270"/>
          <w:jc w:val="center"/>
        </w:trPr>
        <w:tc>
          <w:tcPr>
            <w:tcW w:w="4220" w:type="dxa"/>
            <w:noWrap/>
            <w:vAlign w:val="center"/>
          </w:tcPr>
          <w:p w:rsidR="00E631C1" w:rsidRPr="004C5551" w:rsidRDefault="00E631C1" w:rsidP="0013667E">
            <w:pPr>
              <w:rPr>
                <w:b/>
                <w:bCs/>
              </w:rPr>
            </w:pPr>
            <w:r w:rsidRPr="004C5551">
              <w:rPr>
                <w:b/>
                <w:bCs/>
                <w:szCs w:val="22"/>
              </w:rPr>
              <w:t>Spolu</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sz w:val="20"/>
                <w:szCs w:val="20"/>
              </w:rPr>
            </w:pPr>
            <w:r w:rsidRPr="004C5551">
              <w:rPr>
                <w:b/>
                <w:bCs/>
                <w:sz w:val="20"/>
                <w:szCs w:val="20"/>
              </w:rPr>
              <w:t>134 438</w:t>
            </w:r>
          </w:p>
        </w:tc>
      </w:tr>
      <w:tr w:rsidR="00E631C1" w:rsidRPr="004C5551" w:rsidTr="00960E97">
        <w:trPr>
          <w:trHeight w:val="270"/>
          <w:jc w:val="center"/>
        </w:trPr>
        <w:tc>
          <w:tcPr>
            <w:tcW w:w="4220" w:type="dxa"/>
            <w:noWrap/>
            <w:vAlign w:val="center"/>
          </w:tcPr>
          <w:p w:rsidR="00E631C1" w:rsidRPr="004C5551" w:rsidRDefault="00E631C1" w:rsidP="0013667E">
            <w:pPr>
              <w:rPr>
                <w:b/>
                <w:bCs/>
              </w:rPr>
            </w:pPr>
            <w:r w:rsidRPr="004C5551">
              <w:rPr>
                <w:b/>
                <w:bCs/>
                <w:szCs w:val="22"/>
              </w:rPr>
              <w:t>Celkový úhrn *)</w:t>
            </w:r>
          </w:p>
        </w:tc>
        <w:tc>
          <w:tcPr>
            <w:tcW w:w="160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820" w:type="dxa"/>
            <w:noWrap/>
            <w:vAlign w:val="center"/>
          </w:tcPr>
          <w:p w:rsidR="00E631C1" w:rsidRPr="004C5551" w:rsidRDefault="00E631C1" w:rsidP="009509DB">
            <w:pPr>
              <w:spacing w:line="276" w:lineRule="auto"/>
              <w:ind w:right="129"/>
              <w:jc w:val="right"/>
              <w:rPr>
                <w:rFonts w:ascii="Calibri" w:eastAsiaTheme="minorHAnsi" w:hAnsi="Calibri"/>
              </w:rPr>
            </w:pPr>
          </w:p>
        </w:tc>
        <w:tc>
          <w:tcPr>
            <w:tcW w:w="1900" w:type="dxa"/>
            <w:noWrap/>
            <w:vAlign w:val="bottom"/>
          </w:tcPr>
          <w:p w:rsidR="00E631C1" w:rsidRPr="004C5551" w:rsidRDefault="00460DEB" w:rsidP="009509DB">
            <w:pPr>
              <w:ind w:right="129"/>
              <w:jc w:val="right"/>
              <w:rPr>
                <w:b/>
                <w:bCs/>
                <w:sz w:val="20"/>
                <w:szCs w:val="20"/>
              </w:rPr>
            </w:pPr>
            <w:r w:rsidRPr="004C5551">
              <w:rPr>
                <w:b/>
                <w:bCs/>
                <w:sz w:val="20"/>
                <w:szCs w:val="20"/>
              </w:rPr>
              <w:t>6 376 448</w:t>
            </w:r>
          </w:p>
        </w:tc>
      </w:tr>
    </w:tbl>
    <w:p w:rsidR="00E631C1" w:rsidRPr="004C5551" w:rsidRDefault="00E631C1" w:rsidP="00E631C1">
      <w:pPr>
        <w:pStyle w:val="zdroj"/>
        <w:ind w:firstLine="0"/>
        <w:rPr>
          <w:color w:val="auto"/>
        </w:rPr>
      </w:pPr>
      <w:r w:rsidRPr="004C5551">
        <w:rPr>
          <w:color w:val="auto"/>
        </w:rPr>
        <w:t>Zdroj: Sociálna poisťovňa</w:t>
      </w:r>
    </w:p>
    <w:p w:rsidR="005C1F10" w:rsidRPr="004C5551" w:rsidRDefault="005C1F10" w:rsidP="005C1F10">
      <w:pPr>
        <w:jc w:val="left"/>
        <w:rPr>
          <w:rFonts w:ascii="Times New Roman Bold" w:hAnsi="Times New Roman Bold"/>
          <w:b/>
          <w:bCs/>
          <w:iCs/>
          <w:szCs w:val="22"/>
          <w:lang w:eastAsia="cs-CZ"/>
        </w:rPr>
      </w:pPr>
      <w:r w:rsidRPr="004C5551">
        <w:br w:type="page"/>
      </w:r>
    </w:p>
    <w:p w:rsidR="005C1F10" w:rsidRPr="004C5551" w:rsidRDefault="005C1F10" w:rsidP="005C1F10">
      <w:pPr>
        <w:pStyle w:val="Nadpis7"/>
        <w:spacing w:after="0"/>
      </w:pPr>
      <w:r w:rsidRPr="004C5551">
        <w:t>Tabuľka 6 Výdavky základného fondu úrazového poistenia (ZFÚP) v roku 201</w:t>
      </w:r>
      <w:r w:rsidR="00E631C1" w:rsidRPr="004C5551">
        <w:t>4</w:t>
      </w:r>
    </w:p>
    <w:p w:rsidR="005C1F10" w:rsidRPr="004C5551" w:rsidRDefault="005C1F10" w:rsidP="005C1F10">
      <w:pPr>
        <w:ind w:right="-426"/>
        <w:jc w:val="right"/>
        <w:rPr>
          <w:sz w:val="20"/>
          <w:szCs w:val="20"/>
          <w:lang w:eastAsia="cs-CZ"/>
        </w:rPr>
      </w:pPr>
      <w:r w:rsidRPr="004C5551">
        <w:rPr>
          <w:sz w:val="20"/>
          <w:szCs w:val="20"/>
        </w:rPr>
        <w:t xml:space="preserve">v tis. </w:t>
      </w:r>
      <w:r w:rsidR="00AA0137" w:rsidRPr="004C5551">
        <w:rPr>
          <w:sz w:val="20"/>
          <w:szCs w:val="20"/>
        </w:rPr>
        <w:t>€</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E631C1" w:rsidRPr="004C5551" w:rsidTr="00960E97">
        <w:trPr>
          <w:trHeight w:val="271"/>
          <w:jc w:val="center"/>
        </w:trPr>
        <w:tc>
          <w:tcPr>
            <w:tcW w:w="1255" w:type="pct"/>
            <w:shd w:val="clear" w:color="auto" w:fill="FF9999" w:themeFill="accent3" w:themeFillTint="66"/>
            <w:noWrap/>
            <w:vAlign w:val="center"/>
          </w:tcPr>
          <w:p w:rsidR="00E631C1" w:rsidRPr="004C5551" w:rsidRDefault="00E631C1" w:rsidP="0013667E">
            <w:pPr>
              <w:rPr>
                <w:b/>
                <w:bCs/>
                <w:sz w:val="19"/>
                <w:szCs w:val="19"/>
              </w:rPr>
            </w:pPr>
            <w:r w:rsidRPr="004C5551">
              <w:rPr>
                <w:b/>
                <w:sz w:val="19"/>
                <w:szCs w:val="19"/>
              </w:rPr>
              <w:t>Dávka podľa druhu</w:t>
            </w:r>
          </w:p>
        </w:tc>
        <w:tc>
          <w:tcPr>
            <w:tcW w:w="439"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Január</w:t>
            </w:r>
          </w:p>
        </w:tc>
        <w:tc>
          <w:tcPr>
            <w:tcW w:w="512"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Február</w:t>
            </w:r>
          </w:p>
        </w:tc>
        <w:tc>
          <w:tcPr>
            <w:tcW w:w="587"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Marec</w:t>
            </w:r>
          </w:p>
        </w:tc>
        <w:tc>
          <w:tcPr>
            <w:tcW w:w="513"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Apríl</w:t>
            </w:r>
          </w:p>
        </w:tc>
        <w:tc>
          <w:tcPr>
            <w:tcW w:w="586"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Máj</w:t>
            </w:r>
          </w:p>
        </w:tc>
        <w:tc>
          <w:tcPr>
            <w:tcW w:w="586"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Jún</w:t>
            </w:r>
          </w:p>
        </w:tc>
        <w:tc>
          <w:tcPr>
            <w:tcW w:w="521" w:type="pct"/>
            <w:shd w:val="clear" w:color="auto" w:fill="FF9999" w:themeFill="accent3" w:themeFillTint="66"/>
            <w:noWrap/>
            <w:vAlign w:val="center"/>
          </w:tcPr>
          <w:p w:rsidR="00E631C1" w:rsidRPr="004C5551" w:rsidRDefault="00E631C1" w:rsidP="0013667E">
            <w:pPr>
              <w:keepLines/>
              <w:jc w:val="center"/>
              <w:rPr>
                <w:b/>
                <w:bCs/>
                <w:sz w:val="19"/>
                <w:szCs w:val="19"/>
              </w:rPr>
            </w:pPr>
            <w:r w:rsidRPr="004C5551">
              <w:rPr>
                <w:b/>
                <w:bCs/>
                <w:sz w:val="19"/>
                <w:szCs w:val="19"/>
              </w:rPr>
              <w:t>I. polrok 2014</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úrazový príplatok</w:t>
            </w:r>
          </w:p>
        </w:tc>
        <w:tc>
          <w:tcPr>
            <w:tcW w:w="439" w:type="pct"/>
            <w:noWrap/>
            <w:vAlign w:val="center"/>
          </w:tcPr>
          <w:p w:rsidR="00E631C1" w:rsidRPr="004C5551" w:rsidRDefault="00E631C1" w:rsidP="00F80174">
            <w:pPr>
              <w:jc w:val="right"/>
              <w:rPr>
                <w:sz w:val="19"/>
                <w:szCs w:val="19"/>
              </w:rPr>
            </w:pPr>
            <w:r w:rsidRPr="004C5551">
              <w:rPr>
                <w:sz w:val="19"/>
                <w:szCs w:val="19"/>
              </w:rPr>
              <w:t>300</w:t>
            </w:r>
          </w:p>
        </w:tc>
        <w:tc>
          <w:tcPr>
            <w:tcW w:w="512" w:type="pct"/>
            <w:noWrap/>
            <w:vAlign w:val="center"/>
          </w:tcPr>
          <w:p w:rsidR="00E631C1" w:rsidRPr="004C5551" w:rsidRDefault="00E631C1" w:rsidP="00F80174">
            <w:pPr>
              <w:jc w:val="right"/>
              <w:rPr>
                <w:sz w:val="19"/>
                <w:szCs w:val="19"/>
              </w:rPr>
            </w:pPr>
            <w:r w:rsidRPr="004C5551">
              <w:rPr>
                <w:sz w:val="19"/>
                <w:szCs w:val="19"/>
              </w:rPr>
              <w:t>267</w:t>
            </w:r>
          </w:p>
        </w:tc>
        <w:tc>
          <w:tcPr>
            <w:tcW w:w="587" w:type="pct"/>
            <w:noWrap/>
            <w:vAlign w:val="center"/>
          </w:tcPr>
          <w:p w:rsidR="00E631C1" w:rsidRPr="004C5551" w:rsidRDefault="00E631C1" w:rsidP="00F80174">
            <w:pPr>
              <w:jc w:val="right"/>
              <w:rPr>
                <w:sz w:val="19"/>
                <w:szCs w:val="19"/>
              </w:rPr>
            </w:pPr>
            <w:r w:rsidRPr="004C5551">
              <w:rPr>
                <w:sz w:val="19"/>
                <w:szCs w:val="19"/>
              </w:rPr>
              <w:t>290</w:t>
            </w:r>
          </w:p>
        </w:tc>
        <w:tc>
          <w:tcPr>
            <w:tcW w:w="513" w:type="pct"/>
            <w:noWrap/>
            <w:vAlign w:val="center"/>
          </w:tcPr>
          <w:p w:rsidR="00E631C1" w:rsidRPr="004C5551" w:rsidRDefault="00E631C1" w:rsidP="00F80174">
            <w:pPr>
              <w:jc w:val="right"/>
              <w:rPr>
                <w:sz w:val="19"/>
                <w:szCs w:val="19"/>
              </w:rPr>
            </w:pPr>
            <w:r w:rsidRPr="004C5551">
              <w:rPr>
                <w:sz w:val="19"/>
                <w:szCs w:val="19"/>
              </w:rPr>
              <w:t>295</w:t>
            </w:r>
          </w:p>
        </w:tc>
        <w:tc>
          <w:tcPr>
            <w:tcW w:w="586" w:type="pct"/>
            <w:noWrap/>
            <w:vAlign w:val="center"/>
          </w:tcPr>
          <w:p w:rsidR="00E631C1" w:rsidRPr="004C5551" w:rsidRDefault="00E631C1" w:rsidP="00F80174">
            <w:pPr>
              <w:jc w:val="right"/>
              <w:rPr>
                <w:sz w:val="19"/>
                <w:szCs w:val="19"/>
              </w:rPr>
            </w:pPr>
            <w:r w:rsidRPr="004C5551">
              <w:rPr>
                <w:sz w:val="19"/>
                <w:szCs w:val="19"/>
              </w:rPr>
              <w:t>308</w:t>
            </w:r>
          </w:p>
        </w:tc>
        <w:tc>
          <w:tcPr>
            <w:tcW w:w="586" w:type="pct"/>
            <w:noWrap/>
            <w:vAlign w:val="center"/>
          </w:tcPr>
          <w:p w:rsidR="00E631C1" w:rsidRPr="004C5551" w:rsidRDefault="00E631C1" w:rsidP="00F80174">
            <w:pPr>
              <w:jc w:val="right"/>
              <w:rPr>
                <w:sz w:val="19"/>
                <w:szCs w:val="19"/>
              </w:rPr>
            </w:pPr>
            <w:r w:rsidRPr="004C5551">
              <w:rPr>
                <w:sz w:val="19"/>
                <w:szCs w:val="19"/>
              </w:rPr>
              <w:t>307</w:t>
            </w:r>
          </w:p>
        </w:tc>
        <w:tc>
          <w:tcPr>
            <w:tcW w:w="521" w:type="pct"/>
            <w:noWrap/>
            <w:vAlign w:val="center"/>
          </w:tcPr>
          <w:p w:rsidR="00E631C1" w:rsidRPr="004C5551" w:rsidRDefault="00E631C1" w:rsidP="00F80174">
            <w:pPr>
              <w:jc w:val="right"/>
              <w:rPr>
                <w:b/>
                <w:sz w:val="19"/>
                <w:szCs w:val="19"/>
              </w:rPr>
            </w:pPr>
            <w:r w:rsidRPr="004C5551">
              <w:rPr>
                <w:b/>
                <w:sz w:val="19"/>
                <w:szCs w:val="19"/>
              </w:rPr>
              <w:t>1 768</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úrazová renta</w:t>
            </w:r>
          </w:p>
        </w:tc>
        <w:tc>
          <w:tcPr>
            <w:tcW w:w="439" w:type="pct"/>
            <w:noWrap/>
            <w:vAlign w:val="center"/>
          </w:tcPr>
          <w:p w:rsidR="00E631C1" w:rsidRPr="004C5551" w:rsidRDefault="00E631C1" w:rsidP="00F80174">
            <w:pPr>
              <w:jc w:val="right"/>
              <w:rPr>
                <w:sz w:val="19"/>
                <w:szCs w:val="19"/>
              </w:rPr>
            </w:pPr>
            <w:r w:rsidRPr="004C5551">
              <w:rPr>
                <w:sz w:val="19"/>
                <w:szCs w:val="19"/>
              </w:rPr>
              <w:t>2 042</w:t>
            </w:r>
          </w:p>
        </w:tc>
        <w:tc>
          <w:tcPr>
            <w:tcW w:w="512" w:type="pct"/>
            <w:noWrap/>
            <w:vAlign w:val="center"/>
          </w:tcPr>
          <w:p w:rsidR="00E631C1" w:rsidRPr="004C5551" w:rsidRDefault="00E631C1" w:rsidP="00F80174">
            <w:pPr>
              <w:jc w:val="right"/>
              <w:rPr>
                <w:sz w:val="19"/>
                <w:szCs w:val="19"/>
              </w:rPr>
            </w:pPr>
            <w:r w:rsidRPr="004C5551">
              <w:rPr>
                <w:sz w:val="19"/>
                <w:szCs w:val="19"/>
              </w:rPr>
              <w:t>2 009</w:t>
            </w:r>
          </w:p>
        </w:tc>
        <w:tc>
          <w:tcPr>
            <w:tcW w:w="587" w:type="pct"/>
            <w:noWrap/>
            <w:vAlign w:val="center"/>
          </w:tcPr>
          <w:p w:rsidR="00E631C1" w:rsidRPr="004C5551" w:rsidRDefault="00E631C1" w:rsidP="00F80174">
            <w:pPr>
              <w:jc w:val="right"/>
              <w:rPr>
                <w:sz w:val="19"/>
                <w:szCs w:val="19"/>
              </w:rPr>
            </w:pPr>
            <w:r w:rsidRPr="004C5551">
              <w:rPr>
                <w:sz w:val="19"/>
                <w:szCs w:val="19"/>
              </w:rPr>
              <w:t>1 957</w:t>
            </w:r>
          </w:p>
        </w:tc>
        <w:tc>
          <w:tcPr>
            <w:tcW w:w="513" w:type="pct"/>
            <w:noWrap/>
            <w:vAlign w:val="center"/>
          </w:tcPr>
          <w:p w:rsidR="00E631C1" w:rsidRPr="004C5551" w:rsidRDefault="00E631C1" w:rsidP="00F80174">
            <w:pPr>
              <w:jc w:val="right"/>
              <w:rPr>
                <w:sz w:val="19"/>
                <w:szCs w:val="19"/>
              </w:rPr>
            </w:pPr>
            <w:r w:rsidRPr="004C5551">
              <w:rPr>
                <w:sz w:val="19"/>
                <w:szCs w:val="19"/>
              </w:rPr>
              <w:t>2 013</w:t>
            </w:r>
          </w:p>
        </w:tc>
        <w:tc>
          <w:tcPr>
            <w:tcW w:w="586" w:type="pct"/>
            <w:noWrap/>
            <w:vAlign w:val="center"/>
          </w:tcPr>
          <w:p w:rsidR="00E631C1" w:rsidRPr="004C5551" w:rsidRDefault="00E631C1" w:rsidP="00F80174">
            <w:pPr>
              <w:jc w:val="right"/>
              <w:rPr>
                <w:sz w:val="19"/>
                <w:szCs w:val="19"/>
              </w:rPr>
            </w:pPr>
            <w:r w:rsidRPr="004C5551">
              <w:rPr>
                <w:sz w:val="19"/>
                <w:szCs w:val="19"/>
              </w:rPr>
              <w:t>2 025</w:t>
            </w:r>
          </w:p>
        </w:tc>
        <w:tc>
          <w:tcPr>
            <w:tcW w:w="586" w:type="pct"/>
            <w:noWrap/>
            <w:vAlign w:val="center"/>
          </w:tcPr>
          <w:p w:rsidR="00E631C1" w:rsidRPr="004C5551" w:rsidRDefault="00E631C1" w:rsidP="00F80174">
            <w:pPr>
              <w:jc w:val="right"/>
              <w:rPr>
                <w:sz w:val="19"/>
                <w:szCs w:val="19"/>
              </w:rPr>
            </w:pPr>
            <w:r w:rsidRPr="004C5551">
              <w:rPr>
                <w:sz w:val="19"/>
                <w:szCs w:val="19"/>
              </w:rPr>
              <w:t>1 966</w:t>
            </w:r>
          </w:p>
        </w:tc>
        <w:tc>
          <w:tcPr>
            <w:tcW w:w="521" w:type="pct"/>
            <w:noWrap/>
            <w:vAlign w:val="center"/>
          </w:tcPr>
          <w:p w:rsidR="00E631C1" w:rsidRPr="004C5551" w:rsidRDefault="00E631C1" w:rsidP="00F80174">
            <w:pPr>
              <w:jc w:val="right"/>
              <w:rPr>
                <w:b/>
                <w:sz w:val="19"/>
                <w:szCs w:val="19"/>
              </w:rPr>
            </w:pPr>
            <w:r w:rsidRPr="004C5551">
              <w:rPr>
                <w:b/>
                <w:sz w:val="19"/>
                <w:szCs w:val="19"/>
              </w:rPr>
              <w:t>12 013</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jednorazové vyrovnanie</w:t>
            </w:r>
          </w:p>
        </w:tc>
        <w:tc>
          <w:tcPr>
            <w:tcW w:w="439" w:type="pct"/>
            <w:noWrap/>
            <w:vAlign w:val="center"/>
          </w:tcPr>
          <w:p w:rsidR="00E631C1" w:rsidRPr="004C5551" w:rsidRDefault="00E631C1" w:rsidP="00F80174">
            <w:pPr>
              <w:jc w:val="right"/>
              <w:rPr>
                <w:sz w:val="19"/>
                <w:szCs w:val="19"/>
              </w:rPr>
            </w:pPr>
            <w:r w:rsidRPr="004C5551">
              <w:rPr>
                <w:sz w:val="19"/>
                <w:szCs w:val="19"/>
              </w:rPr>
              <w:t>21</w:t>
            </w:r>
          </w:p>
        </w:tc>
        <w:tc>
          <w:tcPr>
            <w:tcW w:w="512" w:type="pct"/>
            <w:noWrap/>
            <w:vAlign w:val="center"/>
          </w:tcPr>
          <w:p w:rsidR="00E631C1" w:rsidRPr="004C5551" w:rsidRDefault="00E631C1" w:rsidP="00F80174">
            <w:pPr>
              <w:jc w:val="right"/>
              <w:rPr>
                <w:sz w:val="19"/>
                <w:szCs w:val="19"/>
              </w:rPr>
            </w:pPr>
            <w:r w:rsidRPr="004C5551">
              <w:rPr>
                <w:sz w:val="19"/>
                <w:szCs w:val="19"/>
              </w:rPr>
              <w:t>9</w:t>
            </w:r>
          </w:p>
        </w:tc>
        <w:tc>
          <w:tcPr>
            <w:tcW w:w="587" w:type="pct"/>
            <w:noWrap/>
            <w:vAlign w:val="center"/>
          </w:tcPr>
          <w:p w:rsidR="00E631C1" w:rsidRPr="004C5551" w:rsidRDefault="00E631C1" w:rsidP="00F80174">
            <w:pPr>
              <w:jc w:val="right"/>
              <w:rPr>
                <w:sz w:val="19"/>
                <w:szCs w:val="19"/>
              </w:rPr>
            </w:pPr>
            <w:r w:rsidRPr="004C5551">
              <w:rPr>
                <w:sz w:val="19"/>
                <w:szCs w:val="19"/>
              </w:rPr>
              <w:t>6</w:t>
            </w:r>
          </w:p>
        </w:tc>
        <w:tc>
          <w:tcPr>
            <w:tcW w:w="513" w:type="pct"/>
            <w:noWrap/>
            <w:vAlign w:val="center"/>
          </w:tcPr>
          <w:p w:rsidR="00E631C1" w:rsidRPr="004C5551" w:rsidRDefault="00E631C1" w:rsidP="00F80174">
            <w:pPr>
              <w:jc w:val="right"/>
              <w:rPr>
                <w:sz w:val="19"/>
                <w:szCs w:val="19"/>
              </w:rPr>
            </w:pPr>
            <w:r w:rsidRPr="004C5551">
              <w:rPr>
                <w:sz w:val="19"/>
                <w:szCs w:val="19"/>
              </w:rPr>
              <w:t>22</w:t>
            </w:r>
          </w:p>
        </w:tc>
        <w:tc>
          <w:tcPr>
            <w:tcW w:w="586" w:type="pct"/>
            <w:noWrap/>
            <w:vAlign w:val="center"/>
          </w:tcPr>
          <w:p w:rsidR="00E631C1" w:rsidRPr="004C5551" w:rsidRDefault="00E631C1" w:rsidP="00F80174">
            <w:pPr>
              <w:jc w:val="right"/>
              <w:rPr>
                <w:sz w:val="19"/>
                <w:szCs w:val="19"/>
              </w:rPr>
            </w:pPr>
            <w:r w:rsidRPr="004C5551">
              <w:rPr>
                <w:sz w:val="19"/>
                <w:szCs w:val="19"/>
              </w:rPr>
              <w:t>14</w:t>
            </w:r>
          </w:p>
        </w:tc>
        <w:tc>
          <w:tcPr>
            <w:tcW w:w="586" w:type="pct"/>
            <w:noWrap/>
            <w:vAlign w:val="center"/>
          </w:tcPr>
          <w:p w:rsidR="00E631C1" w:rsidRPr="004C5551" w:rsidRDefault="00E631C1" w:rsidP="00F80174">
            <w:pPr>
              <w:jc w:val="right"/>
              <w:rPr>
                <w:sz w:val="19"/>
                <w:szCs w:val="19"/>
              </w:rPr>
            </w:pPr>
            <w:r w:rsidRPr="004C5551">
              <w:rPr>
                <w:sz w:val="19"/>
                <w:szCs w:val="19"/>
              </w:rPr>
              <w:t>36</w:t>
            </w:r>
          </w:p>
        </w:tc>
        <w:tc>
          <w:tcPr>
            <w:tcW w:w="521" w:type="pct"/>
            <w:noWrap/>
            <w:vAlign w:val="center"/>
          </w:tcPr>
          <w:p w:rsidR="00E631C1" w:rsidRPr="004C5551" w:rsidRDefault="00E631C1" w:rsidP="00F80174">
            <w:pPr>
              <w:jc w:val="right"/>
              <w:rPr>
                <w:b/>
                <w:sz w:val="19"/>
                <w:szCs w:val="19"/>
              </w:rPr>
            </w:pPr>
            <w:r w:rsidRPr="004C5551">
              <w:rPr>
                <w:b/>
                <w:sz w:val="19"/>
                <w:szCs w:val="19"/>
              </w:rPr>
              <w:t>109</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pozostalostná úrazová renta</w:t>
            </w:r>
          </w:p>
        </w:tc>
        <w:tc>
          <w:tcPr>
            <w:tcW w:w="439" w:type="pct"/>
            <w:noWrap/>
            <w:vAlign w:val="center"/>
          </w:tcPr>
          <w:p w:rsidR="00E631C1" w:rsidRPr="004C5551" w:rsidRDefault="00E631C1" w:rsidP="00F80174">
            <w:pPr>
              <w:jc w:val="right"/>
              <w:rPr>
                <w:sz w:val="19"/>
                <w:szCs w:val="19"/>
              </w:rPr>
            </w:pPr>
            <w:r w:rsidRPr="004C5551">
              <w:rPr>
                <w:sz w:val="19"/>
                <w:szCs w:val="19"/>
              </w:rPr>
              <w:t>27</w:t>
            </w:r>
          </w:p>
        </w:tc>
        <w:tc>
          <w:tcPr>
            <w:tcW w:w="512" w:type="pct"/>
            <w:noWrap/>
            <w:vAlign w:val="center"/>
          </w:tcPr>
          <w:p w:rsidR="00E631C1" w:rsidRPr="004C5551" w:rsidRDefault="00E631C1" w:rsidP="00F80174">
            <w:pPr>
              <w:jc w:val="right"/>
              <w:rPr>
                <w:sz w:val="19"/>
                <w:szCs w:val="19"/>
              </w:rPr>
            </w:pPr>
            <w:r w:rsidRPr="004C5551">
              <w:rPr>
                <w:sz w:val="19"/>
                <w:szCs w:val="19"/>
              </w:rPr>
              <w:t>27</w:t>
            </w:r>
          </w:p>
        </w:tc>
        <w:tc>
          <w:tcPr>
            <w:tcW w:w="587" w:type="pct"/>
            <w:noWrap/>
            <w:vAlign w:val="center"/>
          </w:tcPr>
          <w:p w:rsidR="00E631C1" w:rsidRPr="004C5551" w:rsidRDefault="00E631C1" w:rsidP="00F80174">
            <w:pPr>
              <w:jc w:val="right"/>
              <w:rPr>
                <w:sz w:val="19"/>
                <w:szCs w:val="19"/>
              </w:rPr>
            </w:pPr>
            <w:r w:rsidRPr="004C5551">
              <w:rPr>
                <w:sz w:val="19"/>
                <w:szCs w:val="19"/>
              </w:rPr>
              <w:t>27</w:t>
            </w:r>
          </w:p>
        </w:tc>
        <w:tc>
          <w:tcPr>
            <w:tcW w:w="513" w:type="pct"/>
            <w:noWrap/>
            <w:vAlign w:val="center"/>
          </w:tcPr>
          <w:p w:rsidR="00E631C1" w:rsidRPr="004C5551" w:rsidRDefault="00E631C1" w:rsidP="00F80174">
            <w:pPr>
              <w:jc w:val="right"/>
              <w:rPr>
                <w:sz w:val="19"/>
                <w:szCs w:val="19"/>
              </w:rPr>
            </w:pPr>
            <w:r w:rsidRPr="004C5551">
              <w:rPr>
                <w:sz w:val="19"/>
                <w:szCs w:val="19"/>
              </w:rPr>
              <w:t>27</w:t>
            </w:r>
          </w:p>
        </w:tc>
        <w:tc>
          <w:tcPr>
            <w:tcW w:w="586" w:type="pct"/>
            <w:noWrap/>
            <w:vAlign w:val="center"/>
          </w:tcPr>
          <w:p w:rsidR="00E631C1" w:rsidRPr="004C5551" w:rsidRDefault="00E631C1" w:rsidP="00F80174">
            <w:pPr>
              <w:jc w:val="right"/>
              <w:rPr>
                <w:sz w:val="19"/>
                <w:szCs w:val="19"/>
              </w:rPr>
            </w:pPr>
            <w:r w:rsidRPr="004C5551">
              <w:rPr>
                <w:sz w:val="19"/>
                <w:szCs w:val="19"/>
              </w:rPr>
              <w:t>27</w:t>
            </w:r>
          </w:p>
        </w:tc>
        <w:tc>
          <w:tcPr>
            <w:tcW w:w="586" w:type="pct"/>
            <w:noWrap/>
            <w:vAlign w:val="center"/>
          </w:tcPr>
          <w:p w:rsidR="00E631C1" w:rsidRPr="004C5551" w:rsidRDefault="00E631C1" w:rsidP="00F80174">
            <w:pPr>
              <w:jc w:val="right"/>
              <w:rPr>
                <w:sz w:val="19"/>
                <w:szCs w:val="19"/>
              </w:rPr>
            </w:pPr>
            <w:r w:rsidRPr="004C5551">
              <w:rPr>
                <w:sz w:val="19"/>
                <w:szCs w:val="19"/>
              </w:rPr>
              <w:t>27</w:t>
            </w:r>
          </w:p>
        </w:tc>
        <w:tc>
          <w:tcPr>
            <w:tcW w:w="521" w:type="pct"/>
            <w:noWrap/>
            <w:vAlign w:val="center"/>
          </w:tcPr>
          <w:p w:rsidR="00E631C1" w:rsidRPr="004C5551" w:rsidRDefault="00E631C1" w:rsidP="00F80174">
            <w:pPr>
              <w:jc w:val="right"/>
              <w:rPr>
                <w:b/>
                <w:sz w:val="19"/>
                <w:szCs w:val="19"/>
              </w:rPr>
            </w:pPr>
            <w:r w:rsidRPr="004C5551">
              <w:rPr>
                <w:b/>
                <w:sz w:val="19"/>
                <w:szCs w:val="19"/>
              </w:rPr>
              <w:t>164</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jednorazové odškodnenie</w:t>
            </w:r>
          </w:p>
        </w:tc>
        <w:tc>
          <w:tcPr>
            <w:tcW w:w="439" w:type="pct"/>
            <w:noWrap/>
            <w:vAlign w:val="center"/>
          </w:tcPr>
          <w:p w:rsidR="00E631C1" w:rsidRPr="004C5551" w:rsidRDefault="00E631C1" w:rsidP="00F80174">
            <w:pPr>
              <w:jc w:val="right"/>
              <w:rPr>
                <w:sz w:val="19"/>
                <w:szCs w:val="19"/>
              </w:rPr>
            </w:pPr>
            <w:r w:rsidRPr="004C5551">
              <w:rPr>
                <w:sz w:val="19"/>
                <w:szCs w:val="19"/>
              </w:rPr>
              <w:t>44</w:t>
            </w:r>
          </w:p>
        </w:tc>
        <w:tc>
          <w:tcPr>
            <w:tcW w:w="512" w:type="pct"/>
            <w:noWrap/>
            <w:vAlign w:val="center"/>
          </w:tcPr>
          <w:p w:rsidR="00E631C1" w:rsidRPr="004C5551" w:rsidRDefault="00E631C1" w:rsidP="00F80174">
            <w:pPr>
              <w:jc w:val="right"/>
              <w:rPr>
                <w:sz w:val="19"/>
                <w:szCs w:val="19"/>
              </w:rPr>
            </w:pPr>
            <w:r w:rsidRPr="004C5551">
              <w:rPr>
                <w:sz w:val="19"/>
                <w:szCs w:val="19"/>
              </w:rPr>
              <w:t>83</w:t>
            </w:r>
          </w:p>
        </w:tc>
        <w:tc>
          <w:tcPr>
            <w:tcW w:w="587" w:type="pct"/>
            <w:noWrap/>
            <w:vAlign w:val="center"/>
          </w:tcPr>
          <w:p w:rsidR="00E631C1" w:rsidRPr="004C5551" w:rsidRDefault="00E631C1" w:rsidP="00F80174">
            <w:pPr>
              <w:jc w:val="right"/>
              <w:rPr>
                <w:sz w:val="19"/>
                <w:szCs w:val="19"/>
              </w:rPr>
            </w:pPr>
            <w:r w:rsidRPr="004C5551">
              <w:rPr>
                <w:sz w:val="19"/>
                <w:szCs w:val="19"/>
              </w:rPr>
              <w:t>103</w:t>
            </w:r>
          </w:p>
        </w:tc>
        <w:tc>
          <w:tcPr>
            <w:tcW w:w="513" w:type="pct"/>
            <w:noWrap/>
            <w:vAlign w:val="center"/>
          </w:tcPr>
          <w:p w:rsidR="00E631C1" w:rsidRPr="004C5551" w:rsidRDefault="00E631C1" w:rsidP="00F80174">
            <w:pPr>
              <w:jc w:val="right"/>
              <w:rPr>
                <w:sz w:val="19"/>
                <w:szCs w:val="19"/>
              </w:rPr>
            </w:pPr>
            <w:r w:rsidRPr="004C5551">
              <w:rPr>
                <w:sz w:val="19"/>
                <w:szCs w:val="19"/>
              </w:rPr>
              <w:t>158</w:t>
            </w:r>
          </w:p>
        </w:tc>
        <w:tc>
          <w:tcPr>
            <w:tcW w:w="586" w:type="pct"/>
            <w:noWrap/>
            <w:vAlign w:val="center"/>
          </w:tcPr>
          <w:p w:rsidR="00E631C1" w:rsidRPr="004C5551" w:rsidRDefault="00E631C1" w:rsidP="00F80174">
            <w:pPr>
              <w:jc w:val="right"/>
              <w:rPr>
                <w:sz w:val="19"/>
                <w:szCs w:val="19"/>
              </w:rPr>
            </w:pPr>
            <w:r w:rsidRPr="004C5551">
              <w:rPr>
                <w:sz w:val="19"/>
                <w:szCs w:val="19"/>
              </w:rPr>
              <w:t>71</w:t>
            </w:r>
          </w:p>
        </w:tc>
        <w:tc>
          <w:tcPr>
            <w:tcW w:w="586" w:type="pct"/>
            <w:noWrap/>
            <w:vAlign w:val="center"/>
          </w:tcPr>
          <w:p w:rsidR="00E631C1" w:rsidRPr="004C5551" w:rsidRDefault="00E631C1" w:rsidP="00F80174">
            <w:pPr>
              <w:jc w:val="right"/>
              <w:rPr>
                <w:sz w:val="19"/>
                <w:szCs w:val="19"/>
              </w:rPr>
            </w:pPr>
            <w:r w:rsidRPr="004C5551">
              <w:rPr>
                <w:sz w:val="19"/>
                <w:szCs w:val="19"/>
              </w:rPr>
              <w:t>142</w:t>
            </w:r>
          </w:p>
        </w:tc>
        <w:tc>
          <w:tcPr>
            <w:tcW w:w="521" w:type="pct"/>
            <w:noWrap/>
            <w:vAlign w:val="center"/>
          </w:tcPr>
          <w:p w:rsidR="00E631C1" w:rsidRPr="004C5551" w:rsidRDefault="00E631C1" w:rsidP="00F80174">
            <w:pPr>
              <w:jc w:val="right"/>
              <w:rPr>
                <w:b/>
                <w:sz w:val="19"/>
                <w:szCs w:val="19"/>
              </w:rPr>
            </w:pPr>
            <w:r w:rsidRPr="004C5551">
              <w:rPr>
                <w:b/>
                <w:sz w:val="19"/>
                <w:szCs w:val="19"/>
              </w:rPr>
              <w:t>601</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pracovná rehabilitácia a rehabilitačné</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0</w:t>
            </w:r>
          </w:p>
        </w:tc>
        <w:tc>
          <w:tcPr>
            <w:tcW w:w="587" w:type="pct"/>
            <w:noWrap/>
            <w:vAlign w:val="center"/>
          </w:tcPr>
          <w:p w:rsidR="00E631C1" w:rsidRPr="004C5551" w:rsidRDefault="00E631C1" w:rsidP="00F80174">
            <w:pPr>
              <w:jc w:val="right"/>
              <w:rPr>
                <w:sz w:val="19"/>
                <w:szCs w:val="19"/>
              </w:rPr>
            </w:pPr>
            <w:r w:rsidRPr="004C5551">
              <w:rPr>
                <w:sz w:val="19"/>
                <w:szCs w:val="19"/>
              </w:rPr>
              <w:t>0</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21" w:type="pct"/>
            <w:noWrap/>
            <w:vAlign w:val="center"/>
          </w:tcPr>
          <w:p w:rsidR="00E631C1" w:rsidRPr="004C5551" w:rsidRDefault="00E631C1" w:rsidP="00F80174">
            <w:pPr>
              <w:jc w:val="right"/>
              <w:rPr>
                <w:b/>
                <w:sz w:val="19"/>
                <w:szCs w:val="19"/>
              </w:rPr>
            </w:pPr>
            <w:r w:rsidRPr="004C5551">
              <w:rPr>
                <w:b/>
                <w:sz w:val="19"/>
                <w:szCs w:val="19"/>
              </w:rPr>
              <w:t>0</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rekvalifikácia a rekvalifikačné</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0</w:t>
            </w:r>
          </w:p>
        </w:tc>
        <w:tc>
          <w:tcPr>
            <w:tcW w:w="587" w:type="pct"/>
            <w:noWrap/>
            <w:vAlign w:val="center"/>
          </w:tcPr>
          <w:p w:rsidR="00E631C1" w:rsidRPr="004C5551" w:rsidRDefault="00E631C1" w:rsidP="00F80174">
            <w:pPr>
              <w:jc w:val="right"/>
              <w:rPr>
                <w:sz w:val="19"/>
                <w:szCs w:val="19"/>
              </w:rPr>
            </w:pPr>
            <w:r w:rsidRPr="004C5551">
              <w:rPr>
                <w:sz w:val="19"/>
                <w:szCs w:val="19"/>
              </w:rPr>
              <w:t>0</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21" w:type="pct"/>
            <w:noWrap/>
            <w:vAlign w:val="center"/>
          </w:tcPr>
          <w:p w:rsidR="00E631C1" w:rsidRPr="004C5551" w:rsidRDefault="00E631C1" w:rsidP="00F80174">
            <w:pPr>
              <w:jc w:val="right"/>
              <w:rPr>
                <w:b/>
                <w:sz w:val="19"/>
                <w:szCs w:val="19"/>
              </w:rPr>
            </w:pPr>
            <w:r w:rsidRPr="004C5551">
              <w:rPr>
                <w:b/>
                <w:sz w:val="19"/>
                <w:szCs w:val="19"/>
              </w:rPr>
              <w:t>0</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za bolesť a náhrada za</w:t>
            </w:r>
            <w:r w:rsidR="00175240">
              <w:rPr>
                <w:sz w:val="19"/>
                <w:szCs w:val="19"/>
              </w:rPr>
              <w:t> </w:t>
            </w:r>
            <w:r w:rsidRPr="004C5551">
              <w:rPr>
                <w:sz w:val="19"/>
                <w:szCs w:val="19"/>
              </w:rPr>
              <w:t>sťaženie spoločenského uplatnenia</w:t>
            </w:r>
          </w:p>
        </w:tc>
        <w:tc>
          <w:tcPr>
            <w:tcW w:w="439" w:type="pct"/>
            <w:noWrap/>
            <w:vAlign w:val="center"/>
          </w:tcPr>
          <w:p w:rsidR="00E631C1" w:rsidRPr="004C5551" w:rsidRDefault="00E631C1" w:rsidP="00F80174">
            <w:pPr>
              <w:jc w:val="right"/>
              <w:rPr>
                <w:sz w:val="19"/>
                <w:szCs w:val="19"/>
              </w:rPr>
            </w:pPr>
            <w:r w:rsidRPr="004C5551">
              <w:rPr>
                <w:sz w:val="19"/>
                <w:szCs w:val="19"/>
              </w:rPr>
              <w:t>1 037</w:t>
            </w:r>
          </w:p>
        </w:tc>
        <w:tc>
          <w:tcPr>
            <w:tcW w:w="512" w:type="pct"/>
            <w:noWrap/>
            <w:vAlign w:val="center"/>
          </w:tcPr>
          <w:p w:rsidR="00E631C1" w:rsidRPr="004C5551" w:rsidRDefault="00E631C1" w:rsidP="00F80174">
            <w:pPr>
              <w:jc w:val="right"/>
              <w:rPr>
                <w:sz w:val="19"/>
                <w:szCs w:val="19"/>
              </w:rPr>
            </w:pPr>
            <w:r w:rsidRPr="004C5551">
              <w:rPr>
                <w:sz w:val="19"/>
                <w:szCs w:val="19"/>
              </w:rPr>
              <w:t>855</w:t>
            </w:r>
          </w:p>
        </w:tc>
        <w:tc>
          <w:tcPr>
            <w:tcW w:w="587" w:type="pct"/>
            <w:noWrap/>
            <w:vAlign w:val="center"/>
          </w:tcPr>
          <w:p w:rsidR="00E631C1" w:rsidRPr="004C5551" w:rsidRDefault="00E631C1" w:rsidP="00F80174">
            <w:pPr>
              <w:jc w:val="right"/>
              <w:rPr>
                <w:sz w:val="19"/>
                <w:szCs w:val="19"/>
              </w:rPr>
            </w:pPr>
            <w:r w:rsidRPr="004C5551">
              <w:rPr>
                <w:sz w:val="19"/>
                <w:szCs w:val="19"/>
              </w:rPr>
              <w:t>874</w:t>
            </w:r>
          </w:p>
        </w:tc>
        <w:tc>
          <w:tcPr>
            <w:tcW w:w="513" w:type="pct"/>
            <w:noWrap/>
            <w:vAlign w:val="center"/>
          </w:tcPr>
          <w:p w:rsidR="00E631C1" w:rsidRPr="004C5551" w:rsidRDefault="00E631C1" w:rsidP="00F80174">
            <w:pPr>
              <w:jc w:val="right"/>
              <w:rPr>
                <w:sz w:val="19"/>
                <w:szCs w:val="19"/>
              </w:rPr>
            </w:pPr>
            <w:r w:rsidRPr="004C5551">
              <w:rPr>
                <w:sz w:val="19"/>
                <w:szCs w:val="19"/>
              </w:rPr>
              <w:t>1 088</w:t>
            </w:r>
          </w:p>
        </w:tc>
        <w:tc>
          <w:tcPr>
            <w:tcW w:w="586" w:type="pct"/>
            <w:noWrap/>
            <w:vAlign w:val="center"/>
          </w:tcPr>
          <w:p w:rsidR="00E631C1" w:rsidRPr="004C5551" w:rsidRDefault="00E631C1" w:rsidP="00F80174">
            <w:pPr>
              <w:jc w:val="right"/>
              <w:rPr>
                <w:sz w:val="19"/>
                <w:szCs w:val="19"/>
              </w:rPr>
            </w:pPr>
            <w:r w:rsidRPr="004C5551">
              <w:rPr>
                <w:sz w:val="19"/>
                <w:szCs w:val="19"/>
              </w:rPr>
              <w:t>1 124</w:t>
            </w:r>
          </w:p>
        </w:tc>
        <w:tc>
          <w:tcPr>
            <w:tcW w:w="586" w:type="pct"/>
            <w:noWrap/>
            <w:vAlign w:val="center"/>
          </w:tcPr>
          <w:p w:rsidR="00E631C1" w:rsidRPr="004C5551" w:rsidRDefault="00E631C1" w:rsidP="00F80174">
            <w:pPr>
              <w:jc w:val="right"/>
              <w:rPr>
                <w:sz w:val="19"/>
                <w:szCs w:val="19"/>
              </w:rPr>
            </w:pPr>
            <w:r w:rsidRPr="004C5551">
              <w:rPr>
                <w:sz w:val="19"/>
                <w:szCs w:val="19"/>
              </w:rPr>
              <w:t>1 319</w:t>
            </w:r>
          </w:p>
        </w:tc>
        <w:tc>
          <w:tcPr>
            <w:tcW w:w="521" w:type="pct"/>
            <w:noWrap/>
            <w:vAlign w:val="center"/>
          </w:tcPr>
          <w:p w:rsidR="00E631C1" w:rsidRPr="004C5551" w:rsidRDefault="00E631C1" w:rsidP="00F80174">
            <w:pPr>
              <w:jc w:val="right"/>
              <w:rPr>
                <w:b/>
                <w:sz w:val="19"/>
                <w:szCs w:val="19"/>
              </w:rPr>
            </w:pPr>
            <w:r w:rsidRPr="004C5551">
              <w:rPr>
                <w:b/>
                <w:sz w:val="19"/>
                <w:szCs w:val="19"/>
              </w:rPr>
              <w:t>6 297</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nákladov spojených s</w:t>
            </w:r>
            <w:r w:rsidR="00175240">
              <w:rPr>
                <w:sz w:val="19"/>
                <w:szCs w:val="19"/>
              </w:rPr>
              <w:t> </w:t>
            </w:r>
            <w:r w:rsidRPr="004C5551">
              <w:rPr>
                <w:sz w:val="19"/>
                <w:szCs w:val="19"/>
              </w:rPr>
              <w:t>liečením</w:t>
            </w:r>
          </w:p>
        </w:tc>
        <w:tc>
          <w:tcPr>
            <w:tcW w:w="439" w:type="pct"/>
            <w:noWrap/>
            <w:vAlign w:val="center"/>
          </w:tcPr>
          <w:p w:rsidR="00E631C1" w:rsidRPr="004C5551" w:rsidRDefault="00E631C1" w:rsidP="00F80174">
            <w:pPr>
              <w:jc w:val="right"/>
              <w:rPr>
                <w:sz w:val="19"/>
                <w:szCs w:val="19"/>
              </w:rPr>
            </w:pPr>
            <w:r w:rsidRPr="004C5551">
              <w:rPr>
                <w:sz w:val="19"/>
                <w:szCs w:val="19"/>
              </w:rPr>
              <w:t>13</w:t>
            </w:r>
          </w:p>
        </w:tc>
        <w:tc>
          <w:tcPr>
            <w:tcW w:w="512" w:type="pct"/>
            <w:noWrap/>
            <w:vAlign w:val="center"/>
          </w:tcPr>
          <w:p w:rsidR="00E631C1" w:rsidRPr="004C5551" w:rsidRDefault="00E631C1" w:rsidP="00F80174">
            <w:pPr>
              <w:jc w:val="right"/>
              <w:rPr>
                <w:sz w:val="19"/>
                <w:szCs w:val="19"/>
              </w:rPr>
            </w:pPr>
            <w:r w:rsidRPr="004C5551">
              <w:rPr>
                <w:sz w:val="19"/>
                <w:szCs w:val="19"/>
              </w:rPr>
              <w:t>7</w:t>
            </w:r>
          </w:p>
        </w:tc>
        <w:tc>
          <w:tcPr>
            <w:tcW w:w="587" w:type="pct"/>
            <w:noWrap/>
            <w:vAlign w:val="center"/>
          </w:tcPr>
          <w:p w:rsidR="00E631C1" w:rsidRPr="004C5551" w:rsidRDefault="00E631C1" w:rsidP="00F80174">
            <w:pPr>
              <w:jc w:val="right"/>
              <w:rPr>
                <w:sz w:val="19"/>
                <w:szCs w:val="19"/>
              </w:rPr>
            </w:pPr>
            <w:r w:rsidRPr="004C5551">
              <w:rPr>
                <w:sz w:val="19"/>
                <w:szCs w:val="19"/>
              </w:rPr>
              <w:t>7</w:t>
            </w:r>
          </w:p>
        </w:tc>
        <w:tc>
          <w:tcPr>
            <w:tcW w:w="513" w:type="pct"/>
            <w:noWrap/>
            <w:vAlign w:val="center"/>
          </w:tcPr>
          <w:p w:rsidR="00E631C1" w:rsidRPr="004C5551" w:rsidRDefault="00E631C1" w:rsidP="00F80174">
            <w:pPr>
              <w:jc w:val="right"/>
              <w:rPr>
                <w:sz w:val="19"/>
                <w:szCs w:val="19"/>
              </w:rPr>
            </w:pPr>
            <w:r w:rsidRPr="004C5551">
              <w:rPr>
                <w:sz w:val="19"/>
                <w:szCs w:val="19"/>
              </w:rPr>
              <w:t>12</w:t>
            </w:r>
          </w:p>
        </w:tc>
        <w:tc>
          <w:tcPr>
            <w:tcW w:w="586" w:type="pct"/>
            <w:noWrap/>
            <w:vAlign w:val="center"/>
          </w:tcPr>
          <w:p w:rsidR="00E631C1" w:rsidRPr="004C5551" w:rsidRDefault="00E631C1" w:rsidP="00F80174">
            <w:pPr>
              <w:jc w:val="right"/>
              <w:rPr>
                <w:sz w:val="19"/>
                <w:szCs w:val="19"/>
              </w:rPr>
            </w:pPr>
            <w:r w:rsidRPr="004C5551">
              <w:rPr>
                <w:sz w:val="19"/>
                <w:szCs w:val="19"/>
              </w:rPr>
              <w:t>8</w:t>
            </w:r>
          </w:p>
        </w:tc>
        <w:tc>
          <w:tcPr>
            <w:tcW w:w="586" w:type="pct"/>
            <w:noWrap/>
            <w:vAlign w:val="center"/>
          </w:tcPr>
          <w:p w:rsidR="00E631C1" w:rsidRPr="004C5551" w:rsidRDefault="00E631C1" w:rsidP="00F80174">
            <w:pPr>
              <w:jc w:val="right"/>
              <w:rPr>
                <w:sz w:val="19"/>
                <w:szCs w:val="19"/>
              </w:rPr>
            </w:pPr>
            <w:r w:rsidRPr="004C5551">
              <w:rPr>
                <w:sz w:val="19"/>
                <w:szCs w:val="19"/>
              </w:rPr>
              <w:t>7</w:t>
            </w:r>
          </w:p>
        </w:tc>
        <w:tc>
          <w:tcPr>
            <w:tcW w:w="521" w:type="pct"/>
            <w:noWrap/>
            <w:vAlign w:val="center"/>
          </w:tcPr>
          <w:p w:rsidR="00E631C1" w:rsidRPr="004C5551" w:rsidRDefault="00E631C1" w:rsidP="00F80174">
            <w:pPr>
              <w:jc w:val="right"/>
              <w:rPr>
                <w:b/>
                <w:sz w:val="19"/>
                <w:szCs w:val="19"/>
              </w:rPr>
            </w:pPr>
            <w:r w:rsidRPr="004C5551">
              <w:rPr>
                <w:b/>
                <w:sz w:val="19"/>
                <w:szCs w:val="19"/>
              </w:rPr>
              <w:t>54</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nákladov spojených s</w:t>
            </w:r>
            <w:r w:rsidR="00175240">
              <w:rPr>
                <w:sz w:val="19"/>
                <w:szCs w:val="19"/>
              </w:rPr>
              <w:t> </w:t>
            </w:r>
            <w:r w:rsidRPr="004C5551">
              <w:rPr>
                <w:sz w:val="19"/>
                <w:szCs w:val="19"/>
              </w:rPr>
              <w:t>pohrebom</w:t>
            </w:r>
          </w:p>
        </w:tc>
        <w:tc>
          <w:tcPr>
            <w:tcW w:w="439" w:type="pct"/>
            <w:noWrap/>
            <w:vAlign w:val="center"/>
          </w:tcPr>
          <w:p w:rsidR="00E631C1" w:rsidRPr="004C5551" w:rsidRDefault="00E631C1" w:rsidP="00F80174">
            <w:pPr>
              <w:jc w:val="right"/>
              <w:rPr>
                <w:sz w:val="19"/>
                <w:szCs w:val="19"/>
              </w:rPr>
            </w:pPr>
            <w:r w:rsidRPr="004C5551">
              <w:rPr>
                <w:sz w:val="19"/>
                <w:szCs w:val="19"/>
              </w:rPr>
              <w:t>6</w:t>
            </w:r>
          </w:p>
        </w:tc>
        <w:tc>
          <w:tcPr>
            <w:tcW w:w="512" w:type="pct"/>
            <w:noWrap/>
            <w:vAlign w:val="center"/>
          </w:tcPr>
          <w:p w:rsidR="00E631C1" w:rsidRPr="004C5551" w:rsidRDefault="00E631C1" w:rsidP="00F80174">
            <w:pPr>
              <w:jc w:val="right"/>
              <w:rPr>
                <w:sz w:val="19"/>
                <w:szCs w:val="19"/>
              </w:rPr>
            </w:pPr>
            <w:r w:rsidRPr="004C5551">
              <w:rPr>
                <w:sz w:val="19"/>
                <w:szCs w:val="19"/>
              </w:rPr>
              <w:t>2</w:t>
            </w:r>
          </w:p>
        </w:tc>
        <w:tc>
          <w:tcPr>
            <w:tcW w:w="587" w:type="pct"/>
            <w:noWrap/>
            <w:vAlign w:val="center"/>
          </w:tcPr>
          <w:p w:rsidR="00E631C1" w:rsidRPr="004C5551" w:rsidRDefault="00E631C1" w:rsidP="00F80174">
            <w:pPr>
              <w:jc w:val="right"/>
              <w:rPr>
                <w:sz w:val="19"/>
                <w:szCs w:val="19"/>
              </w:rPr>
            </w:pPr>
            <w:r w:rsidRPr="004C5551">
              <w:rPr>
                <w:sz w:val="19"/>
                <w:szCs w:val="19"/>
              </w:rPr>
              <w:t>3</w:t>
            </w:r>
          </w:p>
        </w:tc>
        <w:tc>
          <w:tcPr>
            <w:tcW w:w="513" w:type="pct"/>
            <w:noWrap/>
            <w:vAlign w:val="center"/>
          </w:tcPr>
          <w:p w:rsidR="00E631C1" w:rsidRPr="004C5551" w:rsidRDefault="00E631C1" w:rsidP="00F80174">
            <w:pPr>
              <w:jc w:val="right"/>
              <w:rPr>
                <w:sz w:val="19"/>
                <w:szCs w:val="19"/>
              </w:rPr>
            </w:pPr>
            <w:r w:rsidRPr="004C5551">
              <w:rPr>
                <w:sz w:val="19"/>
                <w:szCs w:val="19"/>
              </w:rPr>
              <w:t>7</w:t>
            </w:r>
          </w:p>
        </w:tc>
        <w:tc>
          <w:tcPr>
            <w:tcW w:w="586" w:type="pct"/>
            <w:noWrap/>
            <w:vAlign w:val="center"/>
          </w:tcPr>
          <w:p w:rsidR="00E631C1" w:rsidRPr="004C5551" w:rsidRDefault="00E631C1" w:rsidP="00F80174">
            <w:pPr>
              <w:jc w:val="right"/>
              <w:rPr>
                <w:sz w:val="19"/>
                <w:szCs w:val="19"/>
              </w:rPr>
            </w:pPr>
            <w:r w:rsidRPr="004C5551">
              <w:rPr>
                <w:sz w:val="19"/>
                <w:szCs w:val="19"/>
              </w:rPr>
              <w:t>7</w:t>
            </w:r>
          </w:p>
        </w:tc>
        <w:tc>
          <w:tcPr>
            <w:tcW w:w="586" w:type="pct"/>
            <w:noWrap/>
            <w:vAlign w:val="center"/>
          </w:tcPr>
          <w:p w:rsidR="00E631C1" w:rsidRPr="004C5551" w:rsidRDefault="00E631C1" w:rsidP="00F80174">
            <w:pPr>
              <w:jc w:val="right"/>
              <w:rPr>
                <w:sz w:val="19"/>
                <w:szCs w:val="19"/>
              </w:rPr>
            </w:pPr>
            <w:r w:rsidRPr="004C5551">
              <w:rPr>
                <w:sz w:val="19"/>
                <w:szCs w:val="19"/>
              </w:rPr>
              <w:t>4</w:t>
            </w:r>
          </w:p>
        </w:tc>
        <w:tc>
          <w:tcPr>
            <w:tcW w:w="521" w:type="pct"/>
            <w:noWrap/>
            <w:vAlign w:val="center"/>
          </w:tcPr>
          <w:p w:rsidR="00E631C1" w:rsidRPr="004C5551" w:rsidRDefault="00E631C1" w:rsidP="00F80174">
            <w:pPr>
              <w:jc w:val="right"/>
              <w:rPr>
                <w:b/>
                <w:sz w:val="19"/>
                <w:szCs w:val="19"/>
              </w:rPr>
            </w:pPr>
            <w:r w:rsidRPr="004C5551">
              <w:rPr>
                <w:b/>
                <w:sz w:val="19"/>
                <w:szCs w:val="19"/>
              </w:rPr>
              <w:t>30</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výplata poistných plnení z</w:t>
            </w:r>
            <w:r w:rsidR="00175240">
              <w:rPr>
                <w:sz w:val="19"/>
                <w:szCs w:val="19"/>
              </w:rPr>
              <w:t> </w:t>
            </w:r>
            <w:r w:rsidRPr="004C5551">
              <w:rPr>
                <w:sz w:val="19"/>
                <w:szCs w:val="19"/>
              </w:rPr>
              <w:t>minulých rokov</w:t>
            </w:r>
          </w:p>
        </w:tc>
        <w:tc>
          <w:tcPr>
            <w:tcW w:w="439" w:type="pct"/>
            <w:noWrap/>
            <w:vAlign w:val="center"/>
          </w:tcPr>
          <w:p w:rsidR="00E631C1" w:rsidRPr="004C5551" w:rsidRDefault="00E631C1" w:rsidP="00F80174">
            <w:pPr>
              <w:jc w:val="right"/>
              <w:rPr>
                <w:sz w:val="19"/>
                <w:szCs w:val="19"/>
              </w:rPr>
            </w:pPr>
            <w:r w:rsidRPr="004C5551">
              <w:rPr>
                <w:sz w:val="19"/>
                <w:szCs w:val="19"/>
              </w:rPr>
              <w:t>300</w:t>
            </w:r>
          </w:p>
        </w:tc>
        <w:tc>
          <w:tcPr>
            <w:tcW w:w="512" w:type="pct"/>
            <w:noWrap/>
            <w:vAlign w:val="center"/>
          </w:tcPr>
          <w:p w:rsidR="00E631C1" w:rsidRPr="004C5551" w:rsidRDefault="00E631C1" w:rsidP="00F80174">
            <w:pPr>
              <w:jc w:val="right"/>
              <w:rPr>
                <w:sz w:val="19"/>
                <w:szCs w:val="19"/>
              </w:rPr>
            </w:pPr>
            <w:r w:rsidRPr="004C5551">
              <w:rPr>
                <w:sz w:val="19"/>
                <w:szCs w:val="19"/>
              </w:rPr>
              <w:t>267</w:t>
            </w:r>
          </w:p>
        </w:tc>
        <w:tc>
          <w:tcPr>
            <w:tcW w:w="587" w:type="pct"/>
            <w:noWrap/>
            <w:vAlign w:val="center"/>
          </w:tcPr>
          <w:p w:rsidR="00E631C1" w:rsidRPr="004C5551" w:rsidRDefault="00E631C1" w:rsidP="00F80174">
            <w:pPr>
              <w:jc w:val="right"/>
              <w:rPr>
                <w:sz w:val="19"/>
                <w:szCs w:val="19"/>
              </w:rPr>
            </w:pPr>
            <w:r w:rsidRPr="004C5551">
              <w:rPr>
                <w:sz w:val="19"/>
                <w:szCs w:val="19"/>
              </w:rPr>
              <w:t>290</w:t>
            </w:r>
          </w:p>
        </w:tc>
        <w:tc>
          <w:tcPr>
            <w:tcW w:w="513" w:type="pct"/>
            <w:noWrap/>
            <w:vAlign w:val="center"/>
          </w:tcPr>
          <w:p w:rsidR="00E631C1" w:rsidRPr="004C5551" w:rsidRDefault="00E631C1" w:rsidP="00F80174">
            <w:pPr>
              <w:jc w:val="right"/>
              <w:rPr>
                <w:sz w:val="19"/>
                <w:szCs w:val="19"/>
              </w:rPr>
            </w:pPr>
            <w:r w:rsidRPr="004C5551">
              <w:rPr>
                <w:sz w:val="19"/>
                <w:szCs w:val="19"/>
              </w:rPr>
              <w:t>295</w:t>
            </w:r>
          </w:p>
        </w:tc>
        <w:tc>
          <w:tcPr>
            <w:tcW w:w="586" w:type="pct"/>
            <w:noWrap/>
            <w:vAlign w:val="center"/>
          </w:tcPr>
          <w:p w:rsidR="00E631C1" w:rsidRPr="004C5551" w:rsidRDefault="00E631C1" w:rsidP="00F80174">
            <w:pPr>
              <w:jc w:val="right"/>
              <w:rPr>
                <w:sz w:val="19"/>
                <w:szCs w:val="19"/>
              </w:rPr>
            </w:pPr>
            <w:r w:rsidRPr="004C5551">
              <w:rPr>
                <w:sz w:val="19"/>
                <w:szCs w:val="19"/>
              </w:rPr>
              <w:t>308</w:t>
            </w:r>
          </w:p>
        </w:tc>
        <w:tc>
          <w:tcPr>
            <w:tcW w:w="586" w:type="pct"/>
            <w:noWrap/>
            <w:vAlign w:val="center"/>
          </w:tcPr>
          <w:p w:rsidR="00E631C1" w:rsidRPr="004C5551" w:rsidRDefault="00E631C1" w:rsidP="00F80174">
            <w:pPr>
              <w:jc w:val="right"/>
              <w:rPr>
                <w:sz w:val="19"/>
                <w:szCs w:val="19"/>
              </w:rPr>
            </w:pPr>
            <w:r w:rsidRPr="004C5551">
              <w:rPr>
                <w:sz w:val="19"/>
                <w:szCs w:val="19"/>
              </w:rPr>
              <w:t>307</w:t>
            </w:r>
          </w:p>
        </w:tc>
        <w:tc>
          <w:tcPr>
            <w:tcW w:w="521" w:type="pct"/>
            <w:noWrap/>
            <w:vAlign w:val="center"/>
          </w:tcPr>
          <w:p w:rsidR="00E631C1" w:rsidRPr="004C5551" w:rsidRDefault="00E631C1" w:rsidP="00F80174">
            <w:pPr>
              <w:jc w:val="right"/>
              <w:rPr>
                <w:b/>
                <w:sz w:val="19"/>
                <w:szCs w:val="19"/>
              </w:rPr>
            </w:pPr>
            <w:r w:rsidRPr="004C5551">
              <w:rPr>
                <w:b/>
                <w:sz w:val="19"/>
                <w:szCs w:val="19"/>
              </w:rPr>
              <w:t>68</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zúčtovanie dávok podľa §112, ods.8</w:t>
            </w:r>
          </w:p>
        </w:tc>
        <w:tc>
          <w:tcPr>
            <w:tcW w:w="439" w:type="pct"/>
            <w:noWrap/>
            <w:vAlign w:val="center"/>
          </w:tcPr>
          <w:p w:rsidR="00E631C1" w:rsidRPr="004C5551" w:rsidRDefault="00E631C1" w:rsidP="00F80174">
            <w:pPr>
              <w:jc w:val="right"/>
              <w:rPr>
                <w:sz w:val="19"/>
                <w:szCs w:val="19"/>
              </w:rPr>
            </w:pPr>
            <w:r w:rsidRPr="004C5551">
              <w:rPr>
                <w:sz w:val="19"/>
                <w:szCs w:val="19"/>
              </w:rPr>
              <w:t>-5</w:t>
            </w:r>
          </w:p>
        </w:tc>
        <w:tc>
          <w:tcPr>
            <w:tcW w:w="512" w:type="pct"/>
            <w:noWrap/>
            <w:vAlign w:val="center"/>
          </w:tcPr>
          <w:p w:rsidR="00E631C1" w:rsidRPr="004C5551" w:rsidRDefault="00E631C1" w:rsidP="00F80174">
            <w:pPr>
              <w:jc w:val="right"/>
              <w:rPr>
                <w:sz w:val="19"/>
                <w:szCs w:val="19"/>
              </w:rPr>
            </w:pPr>
            <w:r w:rsidRPr="004C5551">
              <w:rPr>
                <w:sz w:val="19"/>
                <w:szCs w:val="19"/>
              </w:rPr>
              <w:t>-1</w:t>
            </w:r>
          </w:p>
        </w:tc>
        <w:tc>
          <w:tcPr>
            <w:tcW w:w="587" w:type="pct"/>
            <w:noWrap/>
            <w:vAlign w:val="center"/>
          </w:tcPr>
          <w:p w:rsidR="00E631C1" w:rsidRPr="004C5551" w:rsidRDefault="00E631C1" w:rsidP="00F80174">
            <w:pPr>
              <w:jc w:val="right"/>
              <w:rPr>
                <w:sz w:val="19"/>
                <w:szCs w:val="19"/>
              </w:rPr>
            </w:pPr>
            <w:r w:rsidRPr="004C5551">
              <w:rPr>
                <w:sz w:val="19"/>
                <w:szCs w:val="19"/>
              </w:rPr>
              <w:t>-25</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-48</w:t>
            </w:r>
          </w:p>
        </w:tc>
        <w:tc>
          <w:tcPr>
            <w:tcW w:w="586" w:type="pct"/>
            <w:noWrap/>
            <w:vAlign w:val="center"/>
          </w:tcPr>
          <w:p w:rsidR="00E631C1" w:rsidRPr="004C5551" w:rsidRDefault="00E631C1" w:rsidP="00F80174">
            <w:pPr>
              <w:jc w:val="right"/>
              <w:rPr>
                <w:sz w:val="19"/>
                <w:szCs w:val="19"/>
              </w:rPr>
            </w:pPr>
            <w:r w:rsidRPr="004C5551">
              <w:rPr>
                <w:sz w:val="19"/>
                <w:szCs w:val="19"/>
              </w:rPr>
              <w:t>-10</w:t>
            </w:r>
          </w:p>
        </w:tc>
        <w:tc>
          <w:tcPr>
            <w:tcW w:w="521" w:type="pct"/>
            <w:noWrap/>
            <w:vAlign w:val="center"/>
          </w:tcPr>
          <w:p w:rsidR="00E631C1" w:rsidRPr="004C5551" w:rsidRDefault="00E631C1" w:rsidP="00F80174">
            <w:pPr>
              <w:jc w:val="right"/>
              <w:rPr>
                <w:b/>
                <w:sz w:val="19"/>
                <w:szCs w:val="19"/>
              </w:rPr>
            </w:pPr>
            <w:r w:rsidRPr="004C5551">
              <w:rPr>
                <w:b/>
                <w:sz w:val="19"/>
                <w:szCs w:val="19"/>
              </w:rPr>
              <w:t>-89</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Spolu</w:t>
            </w:r>
          </w:p>
        </w:tc>
        <w:tc>
          <w:tcPr>
            <w:tcW w:w="439" w:type="pct"/>
            <w:noWrap/>
            <w:vAlign w:val="center"/>
          </w:tcPr>
          <w:p w:rsidR="00E631C1" w:rsidRPr="004C5551" w:rsidRDefault="00E631C1" w:rsidP="00F80174">
            <w:pPr>
              <w:jc w:val="right"/>
              <w:rPr>
                <w:b/>
                <w:sz w:val="19"/>
                <w:szCs w:val="19"/>
              </w:rPr>
            </w:pPr>
            <w:r w:rsidRPr="004C5551">
              <w:rPr>
                <w:b/>
                <w:sz w:val="19"/>
                <w:szCs w:val="19"/>
              </w:rPr>
              <w:t>3 491</w:t>
            </w:r>
          </w:p>
        </w:tc>
        <w:tc>
          <w:tcPr>
            <w:tcW w:w="512" w:type="pct"/>
            <w:noWrap/>
            <w:vAlign w:val="center"/>
          </w:tcPr>
          <w:p w:rsidR="00E631C1" w:rsidRPr="004C5551" w:rsidRDefault="00E631C1" w:rsidP="00F80174">
            <w:pPr>
              <w:jc w:val="right"/>
              <w:rPr>
                <w:b/>
                <w:sz w:val="19"/>
                <w:szCs w:val="19"/>
              </w:rPr>
            </w:pPr>
            <w:r w:rsidRPr="004C5551">
              <w:rPr>
                <w:b/>
                <w:sz w:val="19"/>
                <w:szCs w:val="19"/>
              </w:rPr>
              <w:t>3 273</w:t>
            </w:r>
          </w:p>
        </w:tc>
        <w:tc>
          <w:tcPr>
            <w:tcW w:w="587" w:type="pct"/>
            <w:noWrap/>
            <w:vAlign w:val="center"/>
          </w:tcPr>
          <w:p w:rsidR="00E631C1" w:rsidRPr="004C5551" w:rsidRDefault="00E631C1" w:rsidP="00F80174">
            <w:pPr>
              <w:jc w:val="right"/>
              <w:rPr>
                <w:b/>
                <w:sz w:val="19"/>
                <w:szCs w:val="19"/>
              </w:rPr>
            </w:pPr>
            <w:r w:rsidRPr="004C5551">
              <w:rPr>
                <w:b/>
                <w:sz w:val="19"/>
                <w:szCs w:val="19"/>
              </w:rPr>
              <w:t>3 295</w:t>
            </w:r>
          </w:p>
        </w:tc>
        <w:tc>
          <w:tcPr>
            <w:tcW w:w="513" w:type="pct"/>
            <w:noWrap/>
            <w:vAlign w:val="center"/>
          </w:tcPr>
          <w:p w:rsidR="00E631C1" w:rsidRPr="004C5551" w:rsidRDefault="00E631C1" w:rsidP="00F80174">
            <w:pPr>
              <w:jc w:val="right"/>
              <w:rPr>
                <w:b/>
                <w:sz w:val="19"/>
                <w:szCs w:val="19"/>
              </w:rPr>
            </w:pPr>
            <w:r w:rsidRPr="004C5551">
              <w:rPr>
                <w:b/>
                <w:sz w:val="19"/>
                <w:szCs w:val="19"/>
              </w:rPr>
              <w:t>3 623</w:t>
            </w:r>
          </w:p>
        </w:tc>
        <w:tc>
          <w:tcPr>
            <w:tcW w:w="586" w:type="pct"/>
            <w:noWrap/>
            <w:vAlign w:val="center"/>
          </w:tcPr>
          <w:p w:rsidR="00E631C1" w:rsidRPr="004C5551" w:rsidRDefault="00E631C1" w:rsidP="00F80174">
            <w:pPr>
              <w:jc w:val="right"/>
              <w:rPr>
                <w:b/>
                <w:sz w:val="19"/>
                <w:szCs w:val="19"/>
              </w:rPr>
            </w:pPr>
            <w:r w:rsidRPr="004C5551">
              <w:rPr>
                <w:b/>
                <w:sz w:val="19"/>
                <w:szCs w:val="19"/>
              </w:rPr>
              <w:t>3 584</w:t>
            </w:r>
          </w:p>
        </w:tc>
        <w:tc>
          <w:tcPr>
            <w:tcW w:w="586" w:type="pct"/>
            <w:noWrap/>
            <w:vAlign w:val="center"/>
          </w:tcPr>
          <w:p w:rsidR="00E631C1" w:rsidRPr="004C5551" w:rsidRDefault="00E631C1" w:rsidP="00F80174">
            <w:pPr>
              <w:jc w:val="right"/>
              <w:rPr>
                <w:b/>
                <w:sz w:val="19"/>
                <w:szCs w:val="19"/>
              </w:rPr>
            </w:pPr>
            <w:r w:rsidRPr="004C5551">
              <w:rPr>
                <w:b/>
                <w:sz w:val="19"/>
                <w:szCs w:val="19"/>
              </w:rPr>
              <w:t>3 837</w:t>
            </w:r>
          </w:p>
        </w:tc>
        <w:tc>
          <w:tcPr>
            <w:tcW w:w="521" w:type="pct"/>
            <w:noWrap/>
            <w:vAlign w:val="center"/>
          </w:tcPr>
          <w:p w:rsidR="00E631C1" w:rsidRPr="004C5551" w:rsidRDefault="00E631C1" w:rsidP="00F80174">
            <w:pPr>
              <w:jc w:val="right"/>
              <w:rPr>
                <w:b/>
                <w:sz w:val="19"/>
                <w:szCs w:val="19"/>
              </w:rPr>
            </w:pPr>
            <w:r w:rsidRPr="004C5551">
              <w:rPr>
                <w:b/>
                <w:sz w:val="19"/>
                <w:szCs w:val="19"/>
              </w:rPr>
              <w:t>21 103</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18</w:t>
            </w:r>
            <w:r w:rsidR="009425AA" w:rsidRPr="004C5551">
              <w:rPr>
                <w:sz w:val="19"/>
                <w:szCs w:val="19"/>
              </w:rPr>
              <w:t> %</w:t>
            </w:r>
            <w:r w:rsidRPr="004C5551">
              <w:rPr>
                <w:sz w:val="19"/>
                <w:szCs w:val="19"/>
              </w:rPr>
              <w:t xml:space="preserve"> prevod finančných prostriedkov do ZFSP za</w:t>
            </w:r>
            <w:r w:rsidR="00175240">
              <w:rPr>
                <w:sz w:val="19"/>
                <w:szCs w:val="19"/>
              </w:rPr>
              <w:t> </w:t>
            </w:r>
            <w:r w:rsidRPr="004C5551">
              <w:rPr>
                <w:sz w:val="19"/>
                <w:szCs w:val="19"/>
              </w:rPr>
              <w:t>poberanie úrazovej renty</w:t>
            </w:r>
          </w:p>
        </w:tc>
        <w:tc>
          <w:tcPr>
            <w:tcW w:w="439" w:type="pct"/>
            <w:noWrap/>
            <w:vAlign w:val="center"/>
          </w:tcPr>
          <w:p w:rsidR="00E631C1" w:rsidRPr="004C5551" w:rsidRDefault="00E631C1" w:rsidP="00F80174">
            <w:pPr>
              <w:jc w:val="right"/>
              <w:rPr>
                <w:b/>
                <w:sz w:val="19"/>
                <w:szCs w:val="19"/>
              </w:rPr>
            </w:pPr>
            <w:r w:rsidRPr="004C5551">
              <w:rPr>
                <w:b/>
                <w:sz w:val="19"/>
                <w:szCs w:val="19"/>
              </w:rPr>
              <w:t>196</w:t>
            </w:r>
          </w:p>
        </w:tc>
        <w:tc>
          <w:tcPr>
            <w:tcW w:w="512" w:type="pct"/>
            <w:noWrap/>
            <w:vAlign w:val="center"/>
          </w:tcPr>
          <w:p w:rsidR="00E631C1" w:rsidRPr="004C5551" w:rsidRDefault="00E631C1" w:rsidP="00F80174">
            <w:pPr>
              <w:jc w:val="right"/>
              <w:rPr>
                <w:b/>
                <w:sz w:val="19"/>
                <w:szCs w:val="19"/>
              </w:rPr>
            </w:pPr>
            <w:r w:rsidRPr="004C5551">
              <w:rPr>
                <w:b/>
                <w:sz w:val="19"/>
                <w:szCs w:val="19"/>
              </w:rPr>
              <w:t>230</w:t>
            </w:r>
          </w:p>
        </w:tc>
        <w:tc>
          <w:tcPr>
            <w:tcW w:w="587" w:type="pct"/>
            <w:noWrap/>
            <w:vAlign w:val="center"/>
          </w:tcPr>
          <w:p w:rsidR="00E631C1" w:rsidRPr="004C5551" w:rsidRDefault="00E631C1" w:rsidP="00F80174">
            <w:pPr>
              <w:jc w:val="right"/>
              <w:rPr>
                <w:b/>
                <w:sz w:val="19"/>
                <w:szCs w:val="19"/>
              </w:rPr>
            </w:pPr>
            <w:r w:rsidRPr="004C5551">
              <w:rPr>
                <w:b/>
                <w:sz w:val="19"/>
                <w:szCs w:val="19"/>
              </w:rPr>
              <w:t>217</w:t>
            </w:r>
          </w:p>
        </w:tc>
        <w:tc>
          <w:tcPr>
            <w:tcW w:w="513" w:type="pct"/>
            <w:noWrap/>
            <w:vAlign w:val="center"/>
          </w:tcPr>
          <w:p w:rsidR="00E631C1" w:rsidRPr="004C5551" w:rsidRDefault="00E631C1" w:rsidP="00F80174">
            <w:pPr>
              <w:jc w:val="right"/>
              <w:rPr>
                <w:b/>
                <w:sz w:val="19"/>
                <w:szCs w:val="19"/>
              </w:rPr>
            </w:pPr>
            <w:r w:rsidRPr="004C5551">
              <w:rPr>
                <w:b/>
                <w:sz w:val="19"/>
                <w:szCs w:val="19"/>
              </w:rPr>
              <w:t>220</w:t>
            </w:r>
          </w:p>
        </w:tc>
        <w:tc>
          <w:tcPr>
            <w:tcW w:w="586" w:type="pct"/>
            <w:noWrap/>
            <w:vAlign w:val="center"/>
          </w:tcPr>
          <w:p w:rsidR="00E631C1" w:rsidRPr="004C5551" w:rsidRDefault="00E631C1" w:rsidP="00F80174">
            <w:pPr>
              <w:jc w:val="right"/>
              <w:rPr>
                <w:b/>
                <w:sz w:val="19"/>
                <w:szCs w:val="19"/>
              </w:rPr>
            </w:pPr>
            <w:r w:rsidRPr="004C5551">
              <w:rPr>
                <w:b/>
                <w:sz w:val="19"/>
                <w:szCs w:val="19"/>
              </w:rPr>
              <w:t>215</w:t>
            </w:r>
          </w:p>
        </w:tc>
        <w:tc>
          <w:tcPr>
            <w:tcW w:w="586" w:type="pct"/>
            <w:noWrap/>
            <w:vAlign w:val="center"/>
          </w:tcPr>
          <w:p w:rsidR="00E631C1" w:rsidRPr="004C5551" w:rsidRDefault="00E631C1" w:rsidP="00F80174">
            <w:pPr>
              <w:jc w:val="right"/>
              <w:rPr>
                <w:b/>
                <w:sz w:val="19"/>
                <w:szCs w:val="19"/>
              </w:rPr>
            </w:pPr>
            <w:r w:rsidRPr="004C5551">
              <w:rPr>
                <w:b/>
                <w:sz w:val="19"/>
                <w:szCs w:val="19"/>
              </w:rPr>
              <w:t>233</w:t>
            </w:r>
          </w:p>
        </w:tc>
        <w:tc>
          <w:tcPr>
            <w:tcW w:w="521" w:type="pct"/>
            <w:noWrap/>
            <w:vAlign w:val="center"/>
          </w:tcPr>
          <w:p w:rsidR="00E631C1" w:rsidRPr="004C5551" w:rsidRDefault="00E631C1" w:rsidP="00F80174">
            <w:pPr>
              <w:jc w:val="right"/>
              <w:rPr>
                <w:b/>
                <w:sz w:val="19"/>
                <w:szCs w:val="19"/>
              </w:rPr>
            </w:pPr>
            <w:r w:rsidRPr="004C5551">
              <w:rPr>
                <w:b/>
                <w:sz w:val="19"/>
                <w:szCs w:val="19"/>
              </w:rPr>
              <w:t>1 311</w:t>
            </w:r>
          </w:p>
        </w:tc>
      </w:tr>
      <w:tr w:rsidR="00E631C1" w:rsidRPr="004C5551" w:rsidTr="00960E97">
        <w:trPr>
          <w:trHeight w:val="271"/>
          <w:jc w:val="center"/>
        </w:trPr>
        <w:tc>
          <w:tcPr>
            <w:tcW w:w="1255" w:type="pct"/>
            <w:noWrap/>
            <w:vAlign w:val="center"/>
          </w:tcPr>
          <w:p w:rsidR="00E631C1" w:rsidRPr="004C5551" w:rsidRDefault="00E631C1" w:rsidP="00175240">
            <w:pPr>
              <w:jc w:val="left"/>
              <w:rPr>
                <w:b/>
                <w:bCs/>
                <w:sz w:val="19"/>
                <w:szCs w:val="19"/>
              </w:rPr>
            </w:pPr>
            <w:r w:rsidRPr="004C5551">
              <w:rPr>
                <w:b/>
                <w:sz w:val="19"/>
                <w:szCs w:val="19"/>
              </w:rPr>
              <w:t>Celkom</w:t>
            </w:r>
            <w:r w:rsidRPr="004C5551">
              <w:rPr>
                <w:b/>
                <w:bCs/>
                <w:sz w:val="19"/>
                <w:szCs w:val="19"/>
              </w:rPr>
              <w:t xml:space="preserve"> výdavky ZFÚP</w:t>
            </w:r>
          </w:p>
        </w:tc>
        <w:tc>
          <w:tcPr>
            <w:tcW w:w="439" w:type="pct"/>
            <w:noWrap/>
            <w:vAlign w:val="center"/>
          </w:tcPr>
          <w:p w:rsidR="00E631C1" w:rsidRPr="004C5551" w:rsidRDefault="00E631C1" w:rsidP="00F80174">
            <w:pPr>
              <w:jc w:val="right"/>
              <w:rPr>
                <w:b/>
                <w:sz w:val="19"/>
                <w:szCs w:val="19"/>
              </w:rPr>
            </w:pPr>
            <w:r w:rsidRPr="004C5551">
              <w:rPr>
                <w:b/>
                <w:sz w:val="19"/>
                <w:szCs w:val="19"/>
              </w:rPr>
              <w:t>3 683</w:t>
            </w:r>
          </w:p>
        </w:tc>
        <w:tc>
          <w:tcPr>
            <w:tcW w:w="512" w:type="pct"/>
            <w:noWrap/>
            <w:vAlign w:val="center"/>
          </w:tcPr>
          <w:p w:rsidR="00E631C1" w:rsidRPr="004C5551" w:rsidRDefault="00E631C1" w:rsidP="00F80174">
            <w:pPr>
              <w:jc w:val="right"/>
              <w:rPr>
                <w:b/>
                <w:sz w:val="19"/>
                <w:szCs w:val="19"/>
              </w:rPr>
            </w:pPr>
            <w:r w:rsidRPr="004C5551">
              <w:rPr>
                <w:b/>
                <w:sz w:val="19"/>
                <w:szCs w:val="19"/>
              </w:rPr>
              <w:t>3 502</w:t>
            </w:r>
          </w:p>
        </w:tc>
        <w:tc>
          <w:tcPr>
            <w:tcW w:w="587" w:type="pct"/>
            <w:noWrap/>
            <w:vAlign w:val="center"/>
          </w:tcPr>
          <w:p w:rsidR="00E631C1" w:rsidRPr="004C5551" w:rsidRDefault="00E631C1" w:rsidP="00F80174">
            <w:pPr>
              <w:jc w:val="right"/>
              <w:rPr>
                <w:b/>
                <w:sz w:val="19"/>
                <w:szCs w:val="19"/>
              </w:rPr>
            </w:pPr>
            <w:r w:rsidRPr="004C5551">
              <w:rPr>
                <w:b/>
                <w:sz w:val="19"/>
                <w:szCs w:val="19"/>
              </w:rPr>
              <w:t>3 487</w:t>
            </w:r>
          </w:p>
        </w:tc>
        <w:tc>
          <w:tcPr>
            <w:tcW w:w="513" w:type="pct"/>
            <w:noWrap/>
            <w:vAlign w:val="center"/>
          </w:tcPr>
          <w:p w:rsidR="00E631C1" w:rsidRPr="004C5551" w:rsidRDefault="00E631C1" w:rsidP="00F80174">
            <w:pPr>
              <w:jc w:val="right"/>
              <w:rPr>
                <w:b/>
                <w:sz w:val="19"/>
                <w:szCs w:val="19"/>
              </w:rPr>
            </w:pPr>
            <w:r w:rsidRPr="004C5551">
              <w:rPr>
                <w:b/>
                <w:sz w:val="19"/>
                <w:szCs w:val="19"/>
              </w:rPr>
              <w:t>3 843</w:t>
            </w:r>
          </w:p>
        </w:tc>
        <w:tc>
          <w:tcPr>
            <w:tcW w:w="586" w:type="pct"/>
            <w:noWrap/>
            <w:vAlign w:val="center"/>
          </w:tcPr>
          <w:p w:rsidR="00E631C1" w:rsidRPr="004C5551" w:rsidRDefault="00E631C1" w:rsidP="00F80174">
            <w:pPr>
              <w:jc w:val="right"/>
              <w:rPr>
                <w:b/>
                <w:sz w:val="19"/>
                <w:szCs w:val="19"/>
              </w:rPr>
            </w:pPr>
            <w:r w:rsidRPr="004C5551">
              <w:rPr>
                <w:b/>
                <w:sz w:val="19"/>
                <w:szCs w:val="19"/>
              </w:rPr>
              <w:t>3 751</w:t>
            </w:r>
          </w:p>
        </w:tc>
        <w:tc>
          <w:tcPr>
            <w:tcW w:w="586" w:type="pct"/>
            <w:noWrap/>
            <w:vAlign w:val="center"/>
          </w:tcPr>
          <w:p w:rsidR="00E631C1" w:rsidRPr="004C5551" w:rsidRDefault="00E631C1" w:rsidP="00F80174">
            <w:pPr>
              <w:jc w:val="right"/>
              <w:rPr>
                <w:b/>
                <w:sz w:val="19"/>
                <w:szCs w:val="19"/>
              </w:rPr>
            </w:pPr>
            <w:r w:rsidRPr="004C5551">
              <w:rPr>
                <w:b/>
                <w:sz w:val="19"/>
                <w:szCs w:val="19"/>
              </w:rPr>
              <w:t>4 061</w:t>
            </w:r>
          </w:p>
        </w:tc>
        <w:tc>
          <w:tcPr>
            <w:tcW w:w="521" w:type="pct"/>
            <w:noWrap/>
            <w:vAlign w:val="center"/>
          </w:tcPr>
          <w:p w:rsidR="00E631C1" w:rsidRPr="004C5551" w:rsidRDefault="00E631C1" w:rsidP="00F80174">
            <w:pPr>
              <w:jc w:val="right"/>
              <w:rPr>
                <w:b/>
                <w:sz w:val="19"/>
                <w:szCs w:val="19"/>
              </w:rPr>
            </w:pPr>
            <w:r w:rsidRPr="004C5551">
              <w:rPr>
                <w:b/>
                <w:sz w:val="19"/>
                <w:szCs w:val="19"/>
              </w:rPr>
              <w:t>22 326</w:t>
            </w:r>
          </w:p>
        </w:tc>
      </w:tr>
      <w:tr w:rsidR="00E631C1" w:rsidRPr="004C5551" w:rsidTr="00960E97">
        <w:trPr>
          <w:trHeight w:hRule="exact" w:val="170"/>
          <w:jc w:val="center"/>
        </w:trPr>
        <w:tc>
          <w:tcPr>
            <w:tcW w:w="1255" w:type="pct"/>
            <w:noWrap/>
            <w:vAlign w:val="bottom"/>
          </w:tcPr>
          <w:p w:rsidR="00E631C1" w:rsidRPr="004C5551" w:rsidRDefault="00E631C1" w:rsidP="00175240">
            <w:pPr>
              <w:jc w:val="left"/>
              <w:rPr>
                <w:sz w:val="19"/>
                <w:szCs w:val="19"/>
              </w:rPr>
            </w:pPr>
          </w:p>
        </w:tc>
        <w:tc>
          <w:tcPr>
            <w:tcW w:w="439" w:type="pct"/>
            <w:noWrap/>
            <w:vAlign w:val="bottom"/>
          </w:tcPr>
          <w:p w:rsidR="00E631C1" w:rsidRPr="004C5551" w:rsidRDefault="00E631C1" w:rsidP="0013667E">
            <w:pPr>
              <w:keepLines/>
              <w:rPr>
                <w:sz w:val="19"/>
                <w:szCs w:val="19"/>
              </w:rPr>
            </w:pPr>
          </w:p>
        </w:tc>
        <w:tc>
          <w:tcPr>
            <w:tcW w:w="512" w:type="pct"/>
            <w:noWrap/>
            <w:vAlign w:val="bottom"/>
          </w:tcPr>
          <w:p w:rsidR="00E631C1" w:rsidRPr="004C5551" w:rsidRDefault="00E631C1" w:rsidP="0013667E">
            <w:pPr>
              <w:keepLines/>
              <w:rPr>
                <w:sz w:val="19"/>
                <w:szCs w:val="19"/>
              </w:rPr>
            </w:pPr>
          </w:p>
        </w:tc>
        <w:tc>
          <w:tcPr>
            <w:tcW w:w="587" w:type="pct"/>
            <w:noWrap/>
            <w:vAlign w:val="bottom"/>
          </w:tcPr>
          <w:p w:rsidR="00E631C1" w:rsidRPr="004C5551" w:rsidRDefault="00E631C1" w:rsidP="0013667E">
            <w:pPr>
              <w:keepLines/>
              <w:rPr>
                <w:sz w:val="19"/>
                <w:szCs w:val="19"/>
              </w:rPr>
            </w:pPr>
          </w:p>
        </w:tc>
        <w:tc>
          <w:tcPr>
            <w:tcW w:w="513" w:type="pct"/>
            <w:noWrap/>
            <w:vAlign w:val="bottom"/>
          </w:tcPr>
          <w:p w:rsidR="00E631C1" w:rsidRPr="004C5551" w:rsidRDefault="00E631C1" w:rsidP="0013667E">
            <w:pPr>
              <w:keepLines/>
              <w:rPr>
                <w:sz w:val="19"/>
                <w:szCs w:val="19"/>
              </w:rPr>
            </w:pPr>
          </w:p>
        </w:tc>
        <w:tc>
          <w:tcPr>
            <w:tcW w:w="586" w:type="pct"/>
            <w:noWrap/>
            <w:vAlign w:val="bottom"/>
          </w:tcPr>
          <w:p w:rsidR="00E631C1" w:rsidRPr="004C5551" w:rsidRDefault="00E631C1" w:rsidP="0013667E">
            <w:pPr>
              <w:keepLines/>
              <w:rPr>
                <w:sz w:val="19"/>
                <w:szCs w:val="19"/>
              </w:rPr>
            </w:pPr>
          </w:p>
        </w:tc>
        <w:tc>
          <w:tcPr>
            <w:tcW w:w="586" w:type="pct"/>
            <w:noWrap/>
            <w:vAlign w:val="bottom"/>
          </w:tcPr>
          <w:p w:rsidR="00E631C1" w:rsidRPr="004C5551" w:rsidRDefault="00E631C1" w:rsidP="0013667E">
            <w:pPr>
              <w:keepLines/>
              <w:rPr>
                <w:sz w:val="19"/>
                <w:szCs w:val="19"/>
              </w:rPr>
            </w:pPr>
          </w:p>
        </w:tc>
        <w:tc>
          <w:tcPr>
            <w:tcW w:w="521" w:type="pct"/>
            <w:noWrap/>
            <w:vAlign w:val="bottom"/>
          </w:tcPr>
          <w:p w:rsidR="00E631C1" w:rsidRPr="004C5551" w:rsidRDefault="00E631C1" w:rsidP="0013667E">
            <w:pPr>
              <w:keepLines/>
              <w:rPr>
                <w:sz w:val="19"/>
                <w:szCs w:val="19"/>
              </w:rPr>
            </w:pPr>
          </w:p>
        </w:tc>
      </w:tr>
      <w:tr w:rsidR="00E631C1" w:rsidRPr="004C5551" w:rsidTr="00960E97">
        <w:trPr>
          <w:trHeight w:val="271"/>
          <w:jc w:val="center"/>
        </w:trPr>
        <w:tc>
          <w:tcPr>
            <w:tcW w:w="1255" w:type="pct"/>
            <w:shd w:val="clear" w:color="auto" w:fill="FF9999" w:themeFill="accent3" w:themeFillTint="66"/>
            <w:noWrap/>
            <w:vAlign w:val="center"/>
          </w:tcPr>
          <w:p w:rsidR="00E631C1" w:rsidRPr="004C5551" w:rsidRDefault="00E631C1" w:rsidP="0013667E">
            <w:pPr>
              <w:rPr>
                <w:b/>
                <w:bCs/>
                <w:sz w:val="19"/>
                <w:szCs w:val="19"/>
              </w:rPr>
            </w:pPr>
            <w:r w:rsidRPr="004C5551">
              <w:rPr>
                <w:b/>
                <w:bCs/>
                <w:sz w:val="19"/>
                <w:szCs w:val="19"/>
              </w:rPr>
              <w:t>Dávka podľa druhu</w:t>
            </w:r>
          </w:p>
        </w:tc>
        <w:tc>
          <w:tcPr>
            <w:tcW w:w="439"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Júl</w:t>
            </w:r>
          </w:p>
        </w:tc>
        <w:tc>
          <w:tcPr>
            <w:tcW w:w="512"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August</w:t>
            </w:r>
          </w:p>
        </w:tc>
        <w:tc>
          <w:tcPr>
            <w:tcW w:w="587"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September</w:t>
            </w:r>
          </w:p>
        </w:tc>
        <w:tc>
          <w:tcPr>
            <w:tcW w:w="513"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Október</w:t>
            </w:r>
          </w:p>
        </w:tc>
        <w:tc>
          <w:tcPr>
            <w:tcW w:w="586"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November</w:t>
            </w:r>
          </w:p>
        </w:tc>
        <w:tc>
          <w:tcPr>
            <w:tcW w:w="586" w:type="pct"/>
            <w:shd w:val="clear" w:color="auto" w:fill="FF9999" w:themeFill="accent3" w:themeFillTint="66"/>
            <w:noWrap/>
            <w:vAlign w:val="center"/>
          </w:tcPr>
          <w:p w:rsidR="00E631C1" w:rsidRPr="004C5551" w:rsidRDefault="00E631C1" w:rsidP="0013667E">
            <w:pPr>
              <w:keepLines/>
              <w:jc w:val="center"/>
              <w:rPr>
                <w:b/>
                <w:sz w:val="19"/>
                <w:szCs w:val="19"/>
              </w:rPr>
            </w:pPr>
            <w:r w:rsidRPr="004C5551">
              <w:rPr>
                <w:b/>
                <w:sz w:val="19"/>
                <w:szCs w:val="19"/>
              </w:rPr>
              <w:t>December</w:t>
            </w:r>
          </w:p>
        </w:tc>
        <w:tc>
          <w:tcPr>
            <w:tcW w:w="521" w:type="pct"/>
            <w:shd w:val="clear" w:color="auto" w:fill="FF9999" w:themeFill="accent3" w:themeFillTint="66"/>
            <w:noWrap/>
            <w:vAlign w:val="center"/>
          </w:tcPr>
          <w:p w:rsidR="00E631C1" w:rsidRPr="004C5551" w:rsidRDefault="00E631C1" w:rsidP="0013667E">
            <w:pPr>
              <w:keepLines/>
              <w:jc w:val="center"/>
              <w:rPr>
                <w:b/>
                <w:bCs/>
                <w:sz w:val="19"/>
                <w:szCs w:val="19"/>
              </w:rPr>
            </w:pPr>
            <w:r w:rsidRPr="004C5551">
              <w:rPr>
                <w:b/>
                <w:bCs/>
                <w:sz w:val="19"/>
                <w:szCs w:val="19"/>
              </w:rPr>
              <w:t>Rok 2014</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úrazový príplatok</w:t>
            </w:r>
          </w:p>
        </w:tc>
        <w:tc>
          <w:tcPr>
            <w:tcW w:w="439" w:type="pct"/>
            <w:noWrap/>
            <w:vAlign w:val="center"/>
          </w:tcPr>
          <w:p w:rsidR="00E631C1" w:rsidRPr="004C5551" w:rsidRDefault="00E631C1" w:rsidP="00F80174">
            <w:pPr>
              <w:jc w:val="right"/>
              <w:rPr>
                <w:sz w:val="19"/>
                <w:szCs w:val="19"/>
              </w:rPr>
            </w:pPr>
            <w:r w:rsidRPr="004C5551">
              <w:rPr>
                <w:sz w:val="19"/>
                <w:szCs w:val="19"/>
              </w:rPr>
              <w:t>288</w:t>
            </w:r>
          </w:p>
        </w:tc>
        <w:tc>
          <w:tcPr>
            <w:tcW w:w="512" w:type="pct"/>
            <w:noWrap/>
            <w:vAlign w:val="center"/>
          </w:tcPr>
          <w:p w:rsidR="00E631C1" w:rsidRPr="004C5551" w:rsidRDefault="00E631C1" w:rsidP="00F80174">
            <w:pPr>
              <w:jc w:val="right"/>
              <w:rPr>
                <w:sz w:val="19"/>
                <w:szCs w:val="19"/>
              </w:rPr>
            </w:pPr>
            <w:r w:rsidRPr="004C5551">
              <w:rPr>
                <w:sz w:val="19"/>
                <w:szCs w:val="19"/>
              </w:rPr>
              <w:t>278</w:t>
            </w:r>
          </w:p>
        </w:tc>
        <w:tc>
          <w:tcPr>
            <w:tcW w:w="587" w:type="pct"/>
            <w:noWrap/>
            <w:vAlign w:val="center"/>
          </w:tcPr>
          <w:p w:rsidR="00E631C1" w:rsidRPr="004C5551" w:rsidRDefault="00E631C1" w:rsidP="00F80174">
            <w:pPr>
              <w:jc w:val="right"/>
              <w:rPr>
                <w:sz w:val="19"/>
                <w:szCs w:val="19"/>
              </w:rPr>
            </w:pPr>
            <w:r w:rsidRPr="004C5551">
              <w:rPr>
                <w:sz w:val="19"/>
                <w:szCs w:val="19"/>
              </w:rPr>
              <w:t>268</w:t>
            </w:r>
          </w:p>
        </w:tc>
        <w:tc>
          <w:tcPr>
            <w:tcW w:w="513" w:type="pct"/>
            <w:noWrap/>
            <w:vAlign w:val="center"/>
          </w:tcPr>
          <w:p w:rsidR="00E631C1" w:rsidRPr="004C5551" w:rsidRDefault="00E631C1" w:rsidP="00F80174">
            <w:pPr>
              <w:jc w:val="right"/>
              <w:rPr>
                <w:sz w:val="19"/>
                <w:szCs w:val="19"/>
              </w:rPr>
            </w:pPr>
            <w:r w:rsidRPr="004C5551">
              <w:rPr>
                <w:sz w:val="19"/>
                <w:szCs w:val="19"/>
              </w:rPr>
              <w:t>272</w:t>
            </w:r>
          </w:p>
        </w:tc>
        <w:tc>
          <w:tcPr>
            <w:tcW w:w="586" w:type="pct"/>
            <w:noWrap/>
            <w:vAlign w:val="center"/>
          </w:tcPr>
          <w:p w:rsidR="00E631C1" w:rsidRPr="004C5551" w:rsidRDefault="00E631C1" w:rsidP="00F80174">
            <w:pPr>
              <w:jc w:val="right"/>
              <w:rPr>
                <w:sz w:val="19"/>
                <w:szCs w:val="19"/>
              </w:rPr>
            </w:pPr>
            <w:r w:rsidRPr="004C5551">
              <w:rPr>
                <w:sz w:val="19"/>
                <w:szCs w:val="19"/>
              </w:rPr>
              <w:t>304</w:t>
            </w:r>
          </w:p>
        </w:tc>
        <w:tc>
          <w:tcPr>
            <w:tcW w:w="586" w:type="pct"/>
            <w:noWrap/>
            <w:vAlign w:val="center"/>
          </w:tcPr>
          <w:p w:rsidR="00E631C1" w:rsidRPr="004C5551" w:rsidRDefault="00E631C1" w:rsidP="00F80174">
            <w:pPr>
              <w:jc w:val="right"/>
              <w:rPr>
                <w:sz w:val="19"/>
                <w:szCs w:val="19"/>
              </w:rPr>
            </w:pPr>
            <w:r w:rsidRPr="004C5551">
              <w:rPr>
                <w:sz w:val="19"/>
                <w:szCs w:val="19"/>
              </w:rPr>
              <w:t>332</w:t>
            </w:r>
          </w:p>
        </w:tc>
        <w:tc>
          <w:tcPr>
            <w:tcW w:w="521" w:type="pct"/>
            <w:noWrap/>
            <w:vAlign w:val="center"/>
          </w:tcPr>
          <w:p w:rsidR="00E631C1" w:rsidRPr="004C5551" w:rsidRDefault="00E631C1" w:rsidP="00F80174">
            <w:pPr>
              <w:jc w:val="right"/>
              <w:rPr>
                <w:b/>
                <w:sz w:val="19"/>
                <w:szCs w:val="19"/>
              </w:rPr>
            </w:pPr>
            <w:r w:rsidRPr="004C5551">
              <w:rPr>
                <w:b/>
                <w:sz w:val="19"/>
                <w:szCs w:val="19"/>
              </w:rPr>
              <w:t>3 509</w:t>
            </w:r>
          </w:p>
        </w:tc>
      </w:tr>
      <w:tr w:rsidR="00E631C1" w:rsidRPr="004C5551" w:rsidTr="00960E97">
        <w:trPr>
          <w:trHeight w:val="271"/>
          <w:jc w:val="center"/>
        </w:trPr>
        <w:tc>
          <w:tcPr>
            <w:tcW w:w="1255" w:type="pct"/>
            <w:noWrap/>
            <w:vAlign w:val="center"/>
          </w:tcPr>
          <w:p w:rsidR="00E631C1" w:rsidRPr="004C5551" w:rsidRDefault="00E631C1" w:rsidP="00175240">
            <w:pPr>
              <w:jc w:val="left"/>
              <w:rPr>
                <w:sz w:val="19"/>
                <w:szCs w:val="19"/>
              </w:rPr>
            </w:pPr>
            <w:r w:rsidRPr="004C5551">
              <w:rPr>
                <w:sz w:val="19"/>
                <w:szCs w:val="19"/>
              </w:rPr>
              <w:t>úrazová renta</w:t>
            </w:r>
          </w:p>
        </w:tc>
        <w:tc>
          <w:tcPr>
            <w:tcW w:w="439" w:type="pct"/>
            <w:noWrap/>
            <w:vAlign w:val="center"/>
          </w:tcPr>
          <w:p w:rsidR="00E631C1" w:rsidRPr="004C5551" w:rsidRDefault="00E631C1" w:rsidP="00F80174">
            <w:pPr>
              <w:jc w:val="right"/>
              <w:rPr>
                <w:sz w:val="19"/>
                <w:szCs w:val="19"/>
              </w:rPr>
            </w:pPr>
            <w:r w:rsidRPr="004C5551">
              <w:rPr>
                <w:sz w:val="19"/>
                <w:szCs w:val="19"/>
              </w:rPr>
              <w:t>1 949</w:t>
            </w:r>
          </w:p>
        </w:tc>
        <w:tc>
          <w:tcPr>
            <w:tcW w:w="512" w:type="pct"/>
            <w:noWrap/>
            <w:vAlign w:val="center"/>
          </w:tcPr>
          <w:p w:rsidR="00E631C1" w:rsidRPr="004C5551" w:rsidRDefault="00E631C1" w:rsidP="00F80174">
            <w:pPr>
              <w:jc w:val="right"/>
              <w:rPr>
                <w:sz w:val="19"/>
                <w:szCs w:val="19"/>
              </w:rPr>
            </w:pPr>
            <w:r w:rsidRPr="004C5551">
              <w:rPr>
                <w:sz w:val="19"/>
                <w:szCs w:val="19"/>
              </w:rPr>
              <w:t>1 935</w:t>
            </w:r>
          </w:p>
        </w:tc>
        <w:tc>
          <w:tcPr>
            <w:tcW w:w="587" w:type="pct"/>
            <w:noWrap/>
            <w:vAlign w:val="center"/>
          </w:tcPr>
          <w:p w:rsidR="00E631C1" w:rsidRPr="004C5551" w:rsidRDefault="00E631C1" w:rsidP="00F80174">
            <w:pPr>
              <w:jc w:val="right"/>
              <w:rPr>
                <w:sz w:val="19"/>
                <w:szCs w:val="19"/>
              </w:rPr>
            </w:pPr>
            <w:r w:rsidRPr="004C5551">
              <w:rPr>
                <w:sz w:val="19"/>
                <w:szCs w:val="19"/>
              </w:rPr>
              <w:t>1 932</w:t>
            </w:r>
          </w:p>
        </w:tc>
        <w:tc>
          <w:tcPr>
            <w:tcW w:w="513" w:type="pct"/>
            <w:noWrap/>
            <w:vAlign w:val="center"/>
          </w:tcPr>
          <w:p w:rsidR="00E631C1" w:rsidRPr="004C5551" w:rsidRDefault="00E631C1" w:rsidP="00F80174">
            <w:pPr>
              <w:jc w:val="right"/>
              <w:rPr>
                <w:sz w:val="19"/>
                <w:szCs w:val="19"/>
              </w:rPr>
            </w:pPr>
            <w:r w:rsidRPr="004C5551">
              <w:rPr>
                <w:sz w:val="19"/>
                <w:szCs w:val="19"/>
              </w:rPr>
              <w:t>1 976</w:t>
            </w:r>
          </w:p>
        </w:tc>
        <w:tc>
          <w:tcPr>
            <w:tcW w:w="586" w:type="pct"/>
            <w:noWrap/>
            <w:vAlign w:val="center"/>
          </w:tcPr>
          <w:p w:rsidR="00E631C1" w:rsidRPr="004C5551" w:rsidRDefault="00E631C1" w:rsidP="00F80174">
            <w:pPr>
              <w:jc w:val="right"/>
              <w:rPr>
                <w:sz w:val="19"/>
                <w:szCs w:val="19"/>
              </w:rPr>
            </w:pPr>
            <w:r w:rsidRPr="004C5551">
              <w:rPr>
                <w:sz w:val="19"/>
                <w:szCs w:val="19"/>
              </w:rPr>
              <w:t>2 032</w:t>
            </w:r>
          </w:p>
        </w:tc>
        <w:tc>
          <w:tcPr>
            <w:tcW w:w="586" w:type="pct"/>
            <w:noWrap/>
            <w:vAlign w:val="center"/>
          </w:tcPr>
          <w:p w:rsidR="00E631C1" w:rsidRPr="004C5551" w:rsidRDefault="00E631C1" w:rsidP="00F80174">
            <w:pPr>
              <w:jc w:val="right"/>
              <w:rPr>
                <w:sz w:val="19"/>
                <w:szCs w:val="19"/>
              </w:rPr>
            </w:pPr>
            <w:r w:rsidRPr="004C5551">
              <w:rPr>
                <w:sz w:val="19"/>
                <w:szCs w:val="19"/>
              </w:rPr>
              <w:t>2 026</w:t>
            </w:r>
          </w:p>
        </w:tc>
        <w:tc>
          <w:tcPr>
            <w:tcW w:w="521" w:type="pct"/>
            <w:noWrap/>
            <w:vAlign w:val="center"/>
          </w:tcPr>
          <w:p w:rsidR="00E631C1" w:rsidRPr="004C5551" w:rsidRDefault="00E631C1" w:rsidP="00F80174">
            <w:pPr>
              <w:jc w:val="right"/>
              <w:rPr>
                <w:b/>
                <w:sz w:val="19"/>
                <w:szCs w:val="19"/>
              </w:rPr>
            </w:pPr>
            <w:r w:rsidRPr="004C5551">
              <w:rPr>
                <w:b/>
                <w:sz w:val="19"/>
                <w:szCs w:val="19"/>
              </w:rPr>
              <w:t>23 862</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jednorazové vyrovnanie</w:t>
            </w:r>
          </w:p>
        </w:tc>
        <w:tc>
          <w:tcPr>
            <w:tcW w:w="439" w:type="pct"/>
            <w:noWrap/>
            <w:vAlign w:val="center"/>
          </w:tcPr>
          <w:p w:rsidR="00E631C1" w:rsidRPr="004C5551" w:rsidRDefault="00E631C1" w:rsidP="00F80174">
            <w:pPr>
              <w:jc w:val="right"/>
              <w:rPr>
                <w:sz w:val="19"/>
                <w:szCs w:val="19"/>
              </w:rPr>
            </w:pPr>
            <w:r w:rsidRPr="004C5551">
              <w:rPr>
                <w:sz w:val="19"/>
                <w:szCs w:val="19"/>
              </w:rPr>
              <w:t>14</w:t>
            </w:r>
          </w:p>
        </w:tc>
        <w:tc>
          <w:tcPr>
            <w:tcW w:w="512" w:type="pct"/>
            <w:noWrap/>
            <w:vAlign w:val="center"/>
          </w:tcPr>
          <w:p w:rsidR="00E631C1" w:rsidRPr="004C5551" w:rsidRDefault="00E631C1" w:rsidP="00F80174">
            <w:pPr>
              <w:jc w:val="right"/>
              <w:rPr>
                <w:sz w:val="19"/>
                <w:szCs w:val="19"/>
              </w:rPr>
            </w:pPr>
            <w:r w:rsidRPr="004C5551">
              <w:rPr>
                <w:sz w:val="19"/>
                <w:szCs w:val="19"/>
              </w:rPr>
              <w:t>13</w:t>
            </w:r>
          </w:p>
        </w:tc>
        <w:tc>
          <w:tcPr>
            <w:tcW w:w="587" w:type="pct"/>
            <w:noWrap/>
            <w:vAlign w:val="center"/>
          </w:tcPr>
          <w:p w:rsidR="00E631C1" w:rsidRPr="004C5551" w:rsidRDefault="00E631C1" w:rsidP="00F80174">
            <w:pPr>
              <w:jc w:val="right"/>
              <w:rPr>
                <w:sz w:val="19"/>
                <w:szCs w:val="19"/>
              </w:rPr>
            </w:pPr>
            <w:r w:rsidRPr="004C5551">
              <w:rPr>
                <w:sz w:val="19"/>
                <w:szCs w:val="19"/>
              </w:rPr>
              <w:t>8</w:t>
            </w:r>
          </w:p>
        </w:tc>
        <w:tc>
          <w:tcPr>
            <w:tcW w:w="513" w:type="pct"/>
            <w:noWrap/>
            <w:vAlign w:val="center"/>
          </w:tcPr>
          <w:p w:rsidR="00E631C1" w:rsidRPr="004C5551" w:rsidRDefault="00E631C1" w:rsidP="00F80174">
            <w:pPr>
              <w:jc w:val="right"/>
              <w:rPr>
                <w:sz w:val="19"/>
                <w:szCs w:val="19"/>
              </w:rPr>
            </w:pPr>
            <w:r w:rsidRPr="004C5551">
              <w:rPr>
                <w:sz w:val="19"/>
                <w:szCs w:val="19"/>
              </w:rPr>
              <w:t>9</w:t>
            </w:r>
          </w:p>
        </w:tc>
        <w:tc>
          <w:tcPr>
            <w:tcW w:w="586" w:type="pct"/>
            <w:noWrap/>
            <w:vAlign w:val="center"/>
          </w:tcPr>
          <w:p w:rsidR="00E631C1" w:rsidRPr="004C5551" w:rsidRDefault="00E631C1" w:rsidP="00F80174">
            <w:pPr>
              <w:jc w:val="right"/>
              <w:rPr>
                <w:sz w:val="19"/>
                <w:szCs w:val="19"/>
              </w:rPr>
            </w:pPr>
            <w:r w:rsidRPr="004C5551">
              <w:rPr>
                <w:sz w:val="19"/>
                <w:szCs w:val="19"/>
              </w:rPr>
              <w:t>15</w:t>
            </w:r>
          </w:p>
        </w:tc>
        <w:tc>
          <w:tcPr>
            <w:tcW w:w="586" w:type="pct"/>
            <w:noWrap/>
            <w:vAlign w:val="center"/>
          </w:tcPr>
          <w:p w:rsidR="00E631C1" w:rsidRPr="004C5551" w:rsidRDefault="00E631C1" w:rsidP="00F80174">
            <w:pPr>
              <w:jc w:val="right"/>
              <w:rPr>
                <w:sz w:val="19"/>
                <w:szCs w:val="19"/>
              </w:rPr>
            </w:pPr>
            <w:r w:rsidRPr="004C5551">
              <w:rPr>
                <w:sz w:val="19"/>
                <w:szCs w:val="19"/>
              </w:rPr>
              <w:t>5</w:t>
            </w:r>
          </w:p>
        </w:tc>
        <w:tc>
          <w:tcPr>
            <w:tcW w:w="521" w:type="pct"/>
            <w:noWrap/>
            <w:vAlign w:val="center"/>
          </w:tcPr>
          <w:p w:rsidR="00E631C1" w:rsidRPr="004C5551" w:rsidRDefault="00E631C1" w:rsidP="00F80174">
            <w:pPr>
              <w:jc w:val="right"/>
              <w:rPr>
                <w:b/>
                <w:sz w:val="19"/>
                <w:szCs w:val="19"/>
              </w:rPr>
            </w:pPr>
            <w:r w:rsidRPr="004C5551">
              <w:rPr>
                <w:b/>
                <w:sz w:val="19"/>
                <w:szCs w:val="19"/>
              </w:rPr>
              <w:t>173</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pozostalostná úrazová renta</w:t>
            </w:r>
          </w:p>
        </w:tc>
        <w:tc>
          <w:tcPr>
            <w:tcW w:w="439" w:type="pct"/>
            <w:noWrap/>
            <w:vAlign w:val="center"/>
          </w:tcPr>
          <w:p w:rsidR="00E631C1" w:rsidRPr="004C5551" w:rsidRDefault="00E631C1" w:rsidP="00F80174">
            <w:pPr>
              <w:jc w:val="right"/>
              <w:rPr>
                <w:sz w:val="19"/>
                <w:szCs w:val="19"/>
              </w:rPr>
            </w:pPr>
            <w:r w:rsidRPr="004C5551">
              <w:rPr>
                <w:sz w:val="19"/>
                <w:szCs w:val="19"/>
              </w:rPr>
              <w:t>27</w:t>
            </w:r>
          </w:p>
        </w:tc>
        <w:tc>
          <w:tcPr>
            <w:tcW w:w="512" w:type="pct"/>
            <w:noWrap/>
            <w:vAlign w:val="center"/>
          </w:tcPr>
          <w:p w:rsidR="00E631C1" w:rsidRPr="004C5551" w:rsidRDefault="00E631C1" w:rsidP="00F80174">
            <w:pPr>
              <w:jc w:val="right"/>
              <w:rPr>
                <w:sz w:val="19"/>
                <w:szCs w:val="19"/>
              </w:rPr>
            </w:pPr>
            <w:r w:rsidRPr="004C5551">
              <w:rPr>
                <w:sz w:val="19"/>
                <w:szCs w:val="19"/>
              </w:rPr>
              <w:t>27</w:t>
            </w:r>
          </w:p>
        </w:tc>
        <w:tc>
          <w:tcPr>
            <w:tcW w:w="587" w:type="pct"/>
            <w:noWrap/>
            <w:vAlign w:val="center"/>
          </w:tcPr>
          <w:p w:rsidR="00E631C1" w:rsidRPr="004C5551" w:rsidRDefault="00E631C1" w:rsidP="00F80174">
            <w:pPr>
              <w:jc w:val="right"/>
              <w:rPr>
                <w:sz w:val="19"/>
                <w:szCs w:val="19"/>
              </w:rPr>
            </w:pPr>
            <w:r w:rsidRPr="004C5551">
              <w:rPr>
                <w:sz w:val="19"/>
                <w:szCs w:val="19"/>
              </w:rPr>
              <w:t>25</w:t>
            </w:r>
          </w:p>
        </w:tc>
        <w:tc>
          <w:tcPr>
            <w:tcW w:w="513" w:type="pct"/>
            <w:noWrap/>
            <w:vAlign w:val="center"/>
          </w:tcPr>
          <w:p w:rsidR="00E631C1" w:rsidRPr="004C5551" w:rsidRDefault="00E631C1" w:rsidP="00F80174">
            <w:pPr>
              <w:jc w:val="right"/>
              <w:rPr>
                <w:sz w:val="19"/>
                <w:szCs w:val="19"/>
              </w:rPr>
            </w:pPr>
            <w:r w:rsidRPr="004C5551">
              <w:rPr>
                <w:sz w:val="19"/>
                <w:szCs w:val="19"/>
              </w:rPr>
              <w:t>28</w:t>
            </w:r>
          </w:p>
        </w:tc>
        <w:tc>
          <w:tcPr>
            <w:tcW w:w="586" w:type="pct"/>
            <w:noWrap/>
            <w:vAlign w:val="center"/>
          </w:tcPr>
          <w:p w:rsidR="00E631C1" w:rsidRPr="004C5551" w:rsidRDefault="00E631C1" w:rsidP="00F80174">
            <w:pPr>
              <w:jc w:val="right"/>
              <w:rPr>
                <w:sz w:val="19"/>
                <w:szCs w:val="19"/>
              </w:rPr>
            </w:pPr>
            <w:r w:rsidRPr="004C5551">
              <w:rPr>
                <w:sz w:val="19"/>
                <w:szCs w:val="19"/>
              </w:rPr>
              <w:t>27</w:t>
            </w:r>
          </w:p>
        </w:tc>
        <w:tc>
          <w:tcPr>
            <w:tcW w:w="586" w:type="pct"/>
            <w:noWrap/>
            <w:vAlign w:val="center"/>
          </w:tcPr>
          <w:p w:rsidR="00E631C1" w:rsidRPr="004C5551" w:rsidRDefault="00E631C1" w:rsidP="00F80174">
            <w:pPr>
              <w:jc w:val="right"/>
              <w:rPr>
                <w:sz w:val="19"/>
                <w:szCs w:val="19"/>
              </w:rPr>
            </w:pPr>
            <w:r w:rsidRPr="004C5551">
              <w:rPr>
                <w:sz w:val="19"/>
                <w:szCs w:val="19"/>
              </w:rPr>
              <w:t>27</w:t>
            </w:r>
          </w:p>
        </w:tc>
        <w:tc>
          <w:tcPr>
            <w:tcW w:w="521" w:type="pct"/>
            <w:noWrap/>
            <w:vAlign w:val="center"/>
          </w:tcPr>
          <w:p w:rsidR="00E631C1" w:rsidRPr="004C5551" w:rsidRDefault="00E631C1" w:rsidP="00F80174">
            <w:pPr>
              <w:jc w:val="right"/>
              <w:rPr>
                <w:b/>
                <w:sz w:val="19"/>
                <w:szCs w:val="19"/>
              </w:rPr>
            </w:pPr>
            <w:r w:rsidRPr="004C5551">
              <w:rPr>
                <w:b/>
                <w:sz w:val="19"/>
                <w:szCs w:val="19"/>
              </w:rPr>
              <w:t>324</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jednorazové odškodnenie</w:t>
            </w:r>
          </w:p>
        </w:tc>
        <w:tc>
          <w:tcPr>
            <w:tcW w:w="439" w:type="pct"/>
            <w:noWrap/>
            <w:vAlign w:val="center"/>
          </w:tcPr>
          <w:p w:rsidR="00E631C1" w:rsidRPr="004C5551" w:rsidRDefault="00E631C1" w:rsidP="00F80174">
            <w:pPr>
              <w:jc w:val="right"/>
              <w:rPr>
                <w:sz w:val="19"/>
                <w:szCs w:val="19"/>
              </w:rPr>
            </w:pPr>
            <w:r w:rsidRPr="004C5551">
              <w:rPr>
                <w:sz w:val="19"/>
                <w:szCs w:val="19"/>
              </w:rPr>
              <w:t>32</w:t>
            </w:r>
          </w:p>
        </w:tc>
        <w:tc>
          <w:tcPr>
            <w:tcW w:w="512" w:type="pct"/>
            <w:noWrap/>
            <w:vAlign w:val="center"/>
          </w:tcPr>
          <w:p w:rsidR="00E631C1" w:rsidRPr="004C5551" w:rsidRDefault="00E631C1" w:rsidP="00F80174">
            <w:pPr>
              <w:jc w:val="right"/>
              <w:rPr>
                <w:sz w:val="19"/>
                <w:szCs w:val="19"/>
              </w:rPr>
            </w:pPr>
            <w:r w:rsidRPr="004C5551">
              <w:rPr>
                <w:sz w:val="19"/>
                <w:szCs w:val="19"/>
              </w:rPr>
              <w:t>64</w:t>
            </w:r>
          </w:p>
        </w:tc>
        <w:tc>
          <w:tcPr>
            <w:tcW w:w="587" w:type="pct"/>
            <w:noWrap/>
            <w:vAlign w:val="center"/>
          </w:tcPr>
          <w:p w:rsidR="00E631C1" w:rsidRPr="004C5551" w:rsidRDefault="00E631C1" w:rsidP="00F80174">
            <w:pPr>
              <w:jc w:val="right"/>
              <w:rPr>
                <w:sz w:val="19"/>
                <w:szCs w:val="19"/>
              </w:rPr>
            </w:pPr>
            <w:r w:rsidRPr="004C5551">
              <w:rPr>
                <w:sz w:val="19"/>
                <w:szCs w:val="19"/>
              </w:rPr>
              <w:t>51</w:t>
            </w:r>
          </w:p>
        </w:tc>
        <w:tc>
          <w:tcPr>
            <w:tcW w:w="513" w:type="pct"/>
            <w:noWrap/>
            <w:vAlign w:val="center"/>
          </w:tcPr>
          <w:p w:rsidR="00E631C1" w:rsidRPr="004C5551" w:rsidRDefault="00E631C1" w:rsidP="00F80174">
            <w:pPr>
              <w:jc w:val="right"/>
              <w:rPr>
                <w:sz w:val="19"/>
                <w:szCs w:val="19"/>
              </w:rPr>
            </w:pPr>
            <w:r w:rsidRPr="004C5551">
              <w:rPr>
                <w:sz w:val="19"/>
                <w:szCs w:val="19"/>
              </w:rPr>
              <w:t>43</w:t>
            </w:r>
          </w:p>
        </w:tc>
        <w:tc>
          <w:tcPr>
            <w:tcW w:w="586" w:type="pct"/>
            <w:noWrap/>
            <w:vAlign w:val="center"/>
          </w:tcPr>
          <w:p w:rsidR="00E631C1" w:rsidRPr="004C5551" w:rsidRDefault="00E631C1" w:rsidP="00F80174">
            <w:pPr>
              <w:jc w:val="right"/>
              <w:rPr>
                <w:sz w:val="19"/>
                <w:szCs w:val="19"/>
              </w:rPr>
            </w:pPr>
            <w:r w:rsidRPr="004C5551">
              <w:rPr>
                <w:sz w:val="19"/>
                <w:szCs w:val="19"/>
              </w:rPr>
              <w:t>51</w:t>
            </w:r>
          </w:p>
        </w:tc>
        <w:tc>
          <w:tcPr>
            <w:tcW w:w="586" w:type="pct"/>
            <w:noWrap/>
            <w:vAlign w:val="center"/>
          </w:tcPr>
          <w:p w:rsidR="00E631C1" w:rsidRPr="004C5551" w:rsidRDefault="00E631C1" w:rsidP="00F80174">
            <w:pPr>
              <w:jc w:val="right"/>
              <w:rPr>
                <w:sz w:val="19"/>
                <w:szCs w:val="19"/>
              </w:rPr>
            </w:pPr>
            <w:r w:rsidRPr="004C5551">
              <w:rPr>
                <w:sz w:val="19"/>
                <w:szCs w:val="19"/>
              </w:rPr>
              <w:t>60</w:t>
            </w:r>
          </w:p>
        </w:tc>
        <w:tc>
          <w:tcPr>
            <w:tcW w:w="521" w:type="pct"/>
            <w:noWrap/>
            <w:vAlign w:val="center"/>
          </w:tcPr>
          <w:p w:rsidR="00E631C1" w:rsidRPr="004C5551" w:rsidRDefault="00E631C1" w:rsidP="00F80174">
            <w:pPr>
              <w:jc w:val="right"/>
              <w:rPr>
                <w:b/>
                <w:sz w:val="19"/>
                <w:szCs w:val="19"/>
              </w:rPr>
            </w:pPr>
            <w:r w:rsidRPr="004C5551">
              <w:rPr>
                <w:b/>
                <w:sz w:val="19"/>
                <w:szCs w:val="19"/>
              </w:rPr>
              <w:t>901</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pracovná rehabilitácia a rehabilitačné</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0</w:t>
            </w:r>
          </w:p>
        </w:tc>
        <w:tc>
          <w:tcPr>
            <w:tcW w:w="587" w:type="pct"/>
            <w:noWrap/>
            <w:vAlign w:val="center"/>
          </w:tcPr>
          <w:p w:rsidR="00E631C1" w:rsidRPr="004C5551" w:rsidRDefault="00E631C1" w:rsidP="00F80174">
            <w:pPr>
              <w:jc w:val="right"/>
              <w:rPr>
                <w:sz w:val="19"/>
                <w:szCs w:val="19"/>
              </w:rPr>
            </w:pPr>
            <w:r w:rsidRPr="004C5551">
              <w:rPr>
                <w:sz w:val="19"/>
                <w:szCs w:val="19"/>
              </w:rPr>
              <w:t>0</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21" w:type="pct"/>
            <w:noWrap/>
            <w:vAlign w:val="center"/>
          </w:tcPr>
          <w:p w:rsidR="00E631C1" w:rsidRPr="004C5551" w:rsidRDefault="00E631C1" w:rsidP="00F80174">
            <w:pPr>
              <w:jc w:val="right"/>
              <w:rPr>
                <w:b/>
                <w:sz w:val="19"/>
                <w:szCs w:val="19"/>
              </w:rPr>
            </w:pPr>
            <w:r w:rsidRPr="004C5551">
              <w:rPr>
                <w:b/>
                <w:sz w:val="19"/>
                <w:szCs w:val="19"/>
              </w:rPr>
              <w:t>0</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rekvalifikácia a rekvalifikačné</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0</w:t>
            </w:r>
          </w:p>
        </w:tc>
        <w:tc>
          <w:tcPr>
            <w:tcW w:w="587" w:type="pct"/>
            <w:noWrap/>
            <w:vAlign w:val="center"/>
          </w:tcPr>
          <w:p w:rsidR="00E631C1" w:rsidRPr="004C5551" w:rsidRDefault="00E631C1" w:rsidP="00F80174">
            <w:pPr>
              <w:jc w:val="right"/>
              <w:rPr>
                <w:sz w:val="19"/>
                <w:szCs w:val="19"/>
              </w:rPr>
            </w:pPr>
            <w:r w:rsidRPr="004C5551">
              <w:rPr>
                <w:sz w:val="19"/>
                <w:szCs w:val="19"/>
              </w:rPr>
              <w:t>0</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21" w:type="pct"/>
            <w:noWrap/>
            <w:vAlign w:val="center"/>
          </w:tcPr>
          <w:p w:rsidR="00E631C1" w:rsidRPr="004C5551" w:rsidRDefault="00E631C1" w:rsidP="00F80174">
            <w:pPr>
              <w:jc w:val="right"/>
              <w:rPr>
                <w:b/>
                <w:sz w:val="19"/>
                <w:szCs w:val="19"/>
              </w:rPr>
            </w:pPr>
            <w:r w:rsidRPr="004C5551">
              <w:rPr>
                <w:b/>
                <w:sz w:val="19"/>
                <w:szCs w:val="19"/>
              </w:rPr>
              <w:t>0</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za bolesť a náhrada za</w:t>
            </w:r>
            <w:r w:rsidR="00175240">
              <w:rPr>
                <w:sz w:val="19"/>
                <w:szCs w:val="19"/>
              </w:rPr>
              <w:t> </w:t>
            </w:r>
            <w:r w:rsidRPr="004C5551">
              <w:rPr>
                <w:sz w:val="19"/>
                <w:szCs w:val="19"/>
              </w:rPr>
              <w:t>sťaženie spoločenského uplatnenia</w:t>
            </w:r>
          </w:p>
        </w:tc>
        <w:tc>
          <w:tcPr>
            <w:tcW w:w="439" w:type="pct"/>
            <w:noWrap/>
            <w:vAlign w:val="center"/>
          </w:tcPr>
          <w:p w:rsidR="00E631C1" w:rsidRPr="004C5551" w:rsidRDefault="00E631C1" w:rsidP="00F80174">
            <w:pPr>
              <w:jc w:val="right"/>
              <w:rPr>
                <w:sz w:val="19"/>
                <w:szCs w:val="19"/>
              </w:rPr>
            </w:pPr>
            <w:r w:rsidRPr="004C5551">
              <w:rPr>
                <w:sz w:val="19"/>
                <w:szCs w:val="19"/>
              </w:rPr>
              <w:t>1 150</w:t>
            </w:r>
          </w:p>
        </w:tc>
        <w:tc>
          <w:tcPr>
            <w:tcW w:w="512" w:type="pct"/>
            <w:noWrap/>
            <w:vAlign w:val="center"/>
          </w:tcPr>
          <w:p w:rsidR="00E631C1" w:rsidRPr="004C5551" w:rsidRDefault="00E631C1" w:rsidP="00F80174">
            <w:pPr>
              <w:jc w:val="right"/>
              <w:rPr>
                <w:sz w:val="19"/>
                <w:szCs w:val="19"/>
              </w:rPr>
            </w:pPr>
            <w:r w:rsidRPr="004C5551">
              <w:rPr>
                <w:sz w:val="19"/>
                <w:szCs w:val="19"/>
              </w:rPr>
              <w:t>964</w:t>
            </w:r>
          </w:p>
        </w:tc>
        <w:tc>
          <w:tcPr>
            <w:tcW w:w="587" w:type="pct"/>
            <w:noWrap/>
            <w:vAlign w:val="center"/>
          </w:tcPr>
          <w:p w:rsidR="00E631C1" w:rsidRPr="004C5551" w:rsidRDefault="00E631C1" w:rsidP="00F80174">
            <w:pPr>
              <w:jc w:val="right"/>
              <w:rPr>
                <w:sz w:val="19"/>
                <w:szCs w:val="19"/>
              </w:rPr>
            </w:pPr>
            <w:r w:rsidRPr="004C5551">
              <w:rPr>
                <w:sz w:val="19"/>
                <w:szCs w:val="19"/>
              </w:rPr>
              <w:t>883</w:t>
            </w:r>
          </w:p>
        </w:tc>
        <w:tc>
          <w:tcPr>
            <w:tcW w:w="513" w:type="pct"/>
            <w:noWrap/>
            <w:vAlign w:val="center"/>
          </w:tcPr>
          <w:p w:rsidR="00E631C1" w:rsidRPr="004C5551" w:rsidRDefault="00E631C1" w:rsidP="00F80174">
            <w:pPr>
              <w:jc w:val="right"/>
              <w:rPr>
                <w:sz w:val="19"/>
                <w:szCs w:val="19"/>
              </w:rPr>
            </w:pPr>
            <w:r w:rsidRPr="004C5551">
              <w:rPr>
                <w:sz w:val="19"/>
                <w:szCs w:val="19"/>
              </w:rPr>
              <w:t>1 066</w:t>
            </w:r>
          </w:p>
        </w:tc>
        <w:tc>
          <w:tcPr>
            <w:tcW w:w="586" w:type="pct"/>
            <w:noWrap/>
            <w:vAlign w:val="center"/>
          </w:tcPr>
          <w:p w:rsidR="00E631C1" w:rsidRPr="004C5551" w:rsidRDefault="00E631C1" w:rsidP="00F80174">
            <w:pPr>
              <w:jc w:val="right"/>
              <w:rPr>
                <w:sz w:val="19"/>
                <w:szCs w:val="19"/>
              </w:rPr>
            </w:pPr>
            <w:r w:rsidRPr="004C5551">
              <w:rPr>
                <w:sz w:val="19"/>
                <w:szCs w:val="19"/>
              </w:rPr>
              <w:t>1 440</w:t>
            </w:r>
          </w:p>
        </w:tc>
        <w:tc>
          <w:tcPr>
            <w:tcW w:w="586" w:type="pct"/>
            <w:noWrap/>
            <w:vAlign w:val="center"/>
          </w:tcPr>
          <w:p w:rsidR="00E631C1" w:rsidRPr="004C5551" w:rsidRDefault="00E631C1" w:rsidP="00F80174">
            <w:pPr>
              <w:jc w:val="right"/>
              <w:rPr>
                <w:sz w:val="19"/>
                <w:szCs w:val="19"/>
              </w:rPr>
            </w:pPr>
            <w:r w:rsidRPr="004C5551">
              <w:rPr>
                <w:sz w:val="19"/>
                <w:szCs w:val="19"/>
              </w:rPr>
              <w:t>1 205</w:t>
            </w:r>
          </w:p>
        </w:tc>
        <w:tc>
          <w:tcPr>
            <w:tcW w:w="521" w:type="pct"/>
            <w:noWrap/>
            <w:vAlign w:val="center"/>
          </w:tcPr>
          <w:p w:rsidR="00E631C1" w:rsidRPr="004C5551" w:rsidRDefault="00E631C1" w:rsidP="00F80174">
            <w:pPr>
              <w:jc w:val="right"/>
              <w:rPr>
                <w:b/>
                <w:sz w:val="19"/>
                <w:szCs w:val="19"/>
              </w:rPr>
            </w:pPr>
            <w:r w:rsidRPr="004C5551">
              <w:rPr>
                <w:b/>
                <w:sz w:val="19"/>
                <w:szCs w:val="19"/>
              </w:rPr>
              <w:t>13 005</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nákladov spojených s</w:t>
            </w:r>
            <w:r w:rsidR="00175240">
              <w:rPr>
                <w:sz w:val="19"/>
                <w:szCs w:val="19"/>
              </w:rPr>
              <w:t> </w:t>
            </w:r>
            <w:r w:rsidRPr="004C5551">
              <w:rPr>
                <w:sz w:val="19"/>
                <w:szCs w:val="19"/>
              </w:rPr>
              <w:t>liečením</w:t>
            </w:r>
          </w:p>
        </w:tc>
        <w:tc>
          <w:tcPr>
            <w:tcW w:w="439" w:type="pct"/>
            <w:noWrap/>
            <w:vAlign w:val="center"/>
          </w:tcPr>
          <w:p w:rsidR="00E631C1" w:rsidRPr="004C5551" w:rsidRDefault="00E631C1" w:rsidP="00F80174">
            <w:pPr>
              <w:jc w:val="right"/>
              <w:rPr>
                <w:sz w:val="19"/>
                <w:szCs w:val="19"/>
              </w:rPr>
            </w:pPr>
            <w:r w:rsidRPr="004C5551">
              <w:rPr>
                <w:sz w:val="19"/>
                <w:szCs w:val="19"/>
              </w:rPr>
              <w:t>11</w:t>
            </w:r>
          </w:p>
        </w:tc>
        <w:tc>
          <w:tcPr>
            <w:tcW w:w="512" w:type="pct"/>
            <w:noWrap/>
            <w:vAlign w:val="center"/>
          </w:tcPr>
          <w:p w:rsidR="00E631C1" w:rsidRPr="004C5551" w:rsidRDefault="00E631C1" w:rsidP="00F80174">
            <w:pPr>
              <w:jc w:val="right"/>
              <w:rPr>
                <w:sz w:val="19"/>
                <w:szCs w:val="19"/>
              </w:rPr>
            </w:pPr>
            <w:r w:rsidRPr="004C5551">
              <w:rPr>
                <w:sz w:val="19"/>
                <w:szCs w:val="19"/>
              </w:rPr>
              <w:t>7</w:t>
            </w:r>
          </w:p>
        </w:tc>
        <w:tc>
          <w:tcPr>
            <w:tcW w:w="587" w:type="pct"/>
            <w:noWrap/>
            <w:vAlign w:val="center"/>
          </w:tcPr>
          <w:p w:rsidR="00E631C1" w:rsidRPr="004C5551" w:rsidRDefault="00E631C1" w:rsidP="00F80174">
            <w:pPr>
              <w:jc w:val="right"/>
              <w:rPr>
                <w:sz w:val="19"/>
                <w:szCs w:val="19"/>
              </w:rPr>
            </w:pPr>
            <w:r w:rsidRPr="004C5551">
              <w:rPr>
                <w:sz w:val="19"/>
                <w:szCs w:val="19"/>
              </w:rPr>
              <w:t>6</w:t>
            </w:r>
          </w:p>
        </w:tc>
        <w:tc>
          <w:tcPr>
            <w:tcW w:w="513" w:type="pct"/>
            <w:noWrap/>
            <w:vAlign w:val="center"/>
          </w:tcPr>
          <w:p w:rsidR="00E631C1" w:rsidRPr="004C5551" w:rsidRDefault="00E631C1" w:rsidP="00F80174">
            <w:pPr>
              <w:jc w:val="right"/>
              <w:rPr>
                <w:sz w:val="19"/>
                <w:szCs w:val="19"/>
              </w:rPr>
            </w:pPr>
            <w:r w:rsidRPr="004C5551">
              <w:rPr>
                <w:sz w:val="19"/>
                <w:szCs w:val="19"/>
              </w:rPr>
              <w:t>9</w:t>
            </w:r>
          </w:p>
        </w:tc>
        <w:tc>
          <w:tcPr>
            <w:tcW w:w="586" w:type="pct"/>
            <w:noWrap/>
            <w:vAlign w:val="center"/>
          </w:tcPr>
          <w:p w:rsidR="00E631C1" w:rsidRPr="004C5551" w:rsidRDefault="00E631C1" w:rsidP="00F80174">
            <w:pPr>
              <w:jc w:val="right"/>
              <w:rPr>
                <w:sz w:val="19"/>
                <w:szCs w:val="19"/>
              </w:rPr>
            </w:pPr>
            <w:r w:rsidRPr="004C5551">
              <w:rPr>
                <w:sz w:val="19"/>
                <w:szCs w:val="19"/>
              </w:rPr>
              <w:t>11</w:t>
            </w:r>
          </w:p>
        </w:tc>
        <w:tc>
          <w:tcPr>
            <w:tcW w:w="586" w:type="pct"/>
            <w:noWrap/>
            <w:vAlign w:val="center"/>
          </w:tcPr>
          <w:p w:rsidR="00E631C1" w:rsidRPr="004C5551" w:rsidRDefault="00E631C1" w:rsidP="00F80174">
            <w:pPr>
              <w:jc w:val="right"/>
              <w:rPr>
                <w:sz w:val="19"/>
                <w:szCs w:val="19"/>
              </w:rPr>
            </w:pPr>
            <w:r w:rsidRPr="004C5551">
              <w:rPr>
                <w:sz w:val="19"/>
                <w:szCs w:val="19"/>
              </w:rPr>
              <w:t>12</w:t>
            </w:r>
          </w:p>
        </w:tc>
        <w:tc>
          <w:tcPr>
            <w:tcW w:w="521" w:type="pct"/>
            <w:noWrap/>
            <w:vAlign w:val="center"/>
          </w:tcPr>
          <w:p w:rsidR="00E631C1" w:rsidRPr="004C5551" w:rsidRDefault="00E631C1" w:rsidP="00F80174">
            <w:pPr>
              <w:jc w:val="right"/>
              <w:rPr>
                <w:b/>
                <w:sz w:val="19"/>
                <w:szCs w:val="19"/>
              </w:rPr>
            </w:pPr>
            <w:r w:rsidRPr="004C5551">
              <w:rPr>
                <w:b/>
                <w:sz w:val="19"/>
                <w:szCs w:val="19"/>
              </w:rPr>
              <w:t>111</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náhrada nákladov spojených s</w:t>
            </w:r>
            <w:r w:rsidR="00175240">
              <w:rPr>
                <w:sz w:val="19"/>
                <w:szCs w:val="19"/>
              </w:rPr>
              <w:t> </w:t>
            </w:r>
            <w:r w:rsidRPr="004C5551">
              <w:rPr>
                <w:sz w:val="19"/>
                <w:szCs w:val="19"/>
              </w:rPr>
              <w:t>pohrebom</w:t>
            </w:r>
          </w:p>
        </w:tc>
        <w:tc>
          <w:tcPr>
            <w:tcW w:w="439" w:type="pct"/>
            <w:noWrap/>
            <w:vAlign w:val="center"/>
          </w:tcPr>
          <w:p w:rsidR="00E631C1" w:rsidRPr="004C5551" w:rsidRDefault="00E631C1" w:rsidP="00F80174">
            <w:pPr>
              <w:jc w:val="right"/>
              <w:rPr>
                <w:sz w:val="19"/>
                <w:szCs w:val="19"/>
              </w:rPr>
            </w:pPr>
            <w:r w:rsidRPr="004C5551">
              <w:rPr>
                <w:sz w:val="19"/>
                <w:szCs w:val="19"/>
              </w:rPr>
              <w:t>6</w:t>
            </w:r>
          </w:p>
        </w:tc>
        <w:tc>
          <w:tcPr>
            <w:tcW w:w="512" w:type="pct"/>
            <w:noWrap/>
            <w:vAlign w:val="center"/>
          </w:tcPr>
          <w:p w:rsidR="00E631C1" w:rsidRPr="004C5551" w:rsidRDefault="00E631C1" w:rsidP="00F80174">
            <w:pPr>
              <w:jc w:val="right"/>
              <w:rPr>
                <w:sz w:val="19"/>
                <w:szCs w:val="19"/>
              </w:rPr>
            </w:pPr>
            <w:r w:rsidRPr="004C5551">
              <w:rPr>
                <w:sz w:val="19"/>
                <w:szCs w:val="19"/>
              </w:rPr>
              <w:t>6</w:t>
            </w:r>
          </w:p>
        </w:tc>
        <w:tc>
          <w:tcPr>
            <w:tcW w:w="587" w:type="pct"/>
            <w:noWrap/>
            <w:vAlign w:val="center"/>
          </w:tcPr>
          <w:p w:rsidR="00E631C1" w:rsidRPr="004C5551" w:rsidRDefault="00E631C1" w:rsidP="00F80174">
            <w:pPr>
              <w:jc w:val="right"/>
              <w:rPr>
                <w:sz w:val="19"/>
                <w:szCs w:val="19"/>
              </w:rPr>
            </w:pPr>
            <w:r w:rsidRPr="004C5551">
              <w:rPr>
                <w:sz w:val="19"/>
                <w:szCs w:val="19"/>
              </w:rPr>
              <w:t>17</w:t>
            </w:r>
          </w:p>
        </w:tc>
        <w:tc>
          <w:tcPr>
            <w:tcW w:w="513" w:type="pct"/>
            <w:noWrap/>
            <w:vAlign w:val="center"/>
          </w:tcPr>
          <w:p w:rsidR="00E631C1" w:rsidRPr="004C5551" w:rsidRDefault="00E631C1" w:rsidP="00F80174">
            <w:pPr>
              <w:jc w:val="right"/>
              <w:rPr>
                <w:sz w:val="19"/>
                <w:szCs w:val="19"/>
              </w:rPr>
            </w:pPr>
            <w:r w:rsidRPr="004C5551">
              <w:rPr>
                <w:sz w:val="19"/>
                <w:szCs w:val="19"/>
              </w:rPr>
              <w:t>2</w:t>
            </w:r>
          </w:p>
        </w:tc>
        <w:tc>
          <w:tcPr>
            <w:tcW w:w="586" w:type="pct"/>
            <w:noWrap/>
            <w:vAlign w:val="center"/>
          </w:tcPr>
          <w:p w:rsidR="00E631C1" w:rsidRPr="004C5551" w:rsidRDefault="00E631C1" w:rsidP="00F80174">
            <w:pPr>
              <w:jc w:val="right"/>
              <w:rPr>
                <w:sz w:val="19"/>
                <w:szCs w:val="19"/>
              </w:rPr>
            </w:pPr>
            <w:r w:rsidRPr="004C5551">
              <w:rPr>
                <w:sz w:val="19"/>
                <w:szCs w:val="19"/>
              </w:rPr>
              <w:t>4</w:t>
            </w:r>
          </w:p>
        </w:tc>
        <w:tc>
          <w:tcPr>
            <w:tcW w:w="586" w:type="pct"/>
            <w:noWrap/>
            <w:vAlign w:val="center"/>
          </w:tcPr>
          <w:p w:rsidR="00E631C1" w:rsidRPr="004C5551" w:rsidRDefault="00E631C1" w:rsidP="00F80174">
            <w:pPr>
              <w:jc w:val="right"/>
              <w:rPr>
                <w:sz w:val="19"/>
                <w:szCs w:val="19"/>
              </w:rPr>
            </w:pPr>
            <w:r w:rsidRPr="004C5551">
              <w:rPr>
                <w:sz w:val="19"/>
                <w:szCs w:val="19"/>
              </w:rPr>
              <w:t>9</w:t>
            </w:r>
          </w:p>
        </w:tc>
        <w:tc>
          <w:tcPr>
            <w:tcW w:w="521" w:type="pct"/>
            <w:noWrap/>
            <w:vAlign w:val="center"/>
          </w:tcPr>
          <w:p w:rsidR="00E631C1" w:rsidRPr="004C5551" w:rsidRDefault="00E631C1" w:rsidP="00F80174">
            <w:pPr>
              <w:jc w:val="right"/>
              <w:rPr>
                <w:b/>
                <w:sz w:val="19"/>
                <w:szCs w:val="19"/>
              </w:rPr>
            </w:pPr>
            <w:r w:rsidRPr="004C5551">
              <w:rPr>
                <w:b/>
                <w:sz w:val="19"/>
                <w:szCs w:val="19"/>
              </w:rPr>
              <w:t>74</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výplata poistných plnení z minulých rokov</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88</w:t>
            </w:r>
          </w:p>
        </w:tc>
        <w:tc>
          <w:tcPr>
            <w:tcW w:w="587" w:type="pct"/>
            <w:noWrap/>
            <w:vAlign w:val="center"/>
          </w:tcPr>
          <w:p w:rsidR="00E631C1" w:rsidRPr="004C5551" w:rsidRDefault="00E631C1" w:rsidP="00F80174">
            <w:pPr>
              <w:jc w:val="right"/>
              <w:rPr>
                <w:sz w:val="19"/>
                <w:szCs w:val="19"/>
              </w:rPr>
            </w:pPr>
            <w:r w:rsidRPr="004C5551">
              <w:rPr>
                <w:sz w:val="19"/>
                <w:szCs w:val="19"/>
              </w:rPr>
              <w:t>0</w:t>
            </w:r>
          </w:p>
        </w:tc>
        <w:tc>
          <w:tcPr>
            <w:tcW w:w="513"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0</w:t>
            </w:r>
          </w:p>
        </w:tc>
        <w:tc>
          <w:tcPr>
            <w:tcW w:w="586" w:type="pct"/>
            <w:noWrap/>
            <w:vAlign w:val="center"/>
          </w:tcPr>
          <w:p w:rsidR="00E631C1" w:rsidRPr="004C5551" w:rsidRDefault="00E631C1" w:rsidP="00F80174">
            <w:pPr>
              <w:jc w:val="right"/>
              <w:rPr>
                <w:sz w:val="19"/>
                <w:szCs w:val="19"/>
              </w:rPr>
            </w:pPr>
            <w:r w:rsidRPr="004C5551">
              <w:rPr>
                <w:sz w:val="19"/>
                <w:szCs w:val="19"/>
              </w:rPr>
              <w:t>1</w:t>
            </w:r>
          </w:p>
        </w:tc>
        <w:tc>
          <w:tcPr>
            <w:tcW w:w="521" w:type="pct"/>
            <w:noWrap/>
            <w:vAlign w:val="center"/>
          </w:tcPr>
          <w:p w:rsidR="00E631C1" w:rsidRPr="004C5551" w:rsidRDefault="00E631C1" w:rsidP="00F80174">
            <w:pPr>
              <w:jc w:val="right"/>
              <w:rPr>
                <w:b/>
                <w:sz w:val="19"/>
                <w:szCs w:val="19"/>
              </w:rPr>
            </w:pPr>
            <w:r w:rsidRPr="004C5551">
              <w:rPr>
                <w:b/>
                <w:sz w:val="19"/>
                <w:szCs w:val="19"/>
              </w:rPr>
              <w:t>158</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zúčtovanie dávok podľa §112, ods.8</w:t>
            </w:r>
          </w:p>
        </w:tc>
        <w:tc>
          <w:tcPr>
            <w:tcW w:w="439" w:type="pct"/>
            <w:noWrap/>
            <w:vAlign w:val="center"/>
          </w:tcPr>
          <w:p w:rsidR="00E631C1" w:rsidRPr="004C5551" w:rsidRDefault="00E631C1" w:rsidP="00F80174">
            <w:pPr>
              <w:jc w:val="right"/>
              <w:rPr>
                <w:sz w:val="19"/>
                <w:szCs w:val="19"/>
              </w:rPr>
            </w:pPr>
            <w:r w:rsidRPr="004C5551">
              <w:rPr>
                <w:sz w:val="19"/>
                <w:szCs w:val="19"/>
              </w:rPr>
              <w:t>0</w:t>
            </w:r>
          </w:p>
        </w:tc>
        <w:tc>
          <w:tcPr>
            <w:tcW w:w="512" w:type="pct"/>
            <w:noWrap/>
            <w:vAlign w:val="center"/>
          </w:tcPr>
          <w:p w:rsidR="00E631C1" w:rsidRPr="004C5551" w:rsidRDefault="00E631C1" w:rsidP="00F80174">
            <w:pPr>
              <w:jc w:val="right"/>
              <w:rPr>
                <w:sz w:val="19"/>
                <w:szCs w:val="19"/>
              </w:rPr>
            </w:pPr>
            <w:r w:rsidRPr="004C5551">
              <w:rPr>
                <w:sz w:val="19"/>
                <w:szCs w:val="19"/>
              </w:rPr>
              <w:t>-45</w:t>
            </w:r>
          </w:p>
        </w:tc>
        <w:tc>
          <w:tcPr>
            <w:tcW w:w="587" w:type="pct"/>
            <w:noWrap/>
            <w:vAlign w:val="center"/>
          </w:tcPr>
          <w:p w:rsidR="00E631C1" w:rsidRPr="004C5551" w:rsidRDefault="00E631C1" w:rsidP="00F80174">
            <w:pPr>
              <w:jc w:val="right"/>
              <w:rPr>
                <w:sz w:val="19"/>
                <w:szCs w:val="19"/>
              </w:rPr>
            </w:pPr>
            <w:r w:rsidRPr="004C5551">
              <w:rPr>
                <w:sz w:val="19"/>
                <w:szCs w:val="19"/>
              </w:rPr>
              <w:t>-6</w:t>
            </w:r>
          </w:p>
        </w:tc>
        <w:tc>
          <w:tcPr>
            <w:tcW w:w="513" w:type="pct"/>
            <w:noWrap/>
            <w:vAlign w:val="center"/>
          </w:tcPr>
          <w:p w:rsidR="00E631C1" w:rsidRPr="004C5551" w:rsidRDefault="00E631C1" w:rsidP="00F80174">
            <w:pPr>
              <w:jc w:val="right"/>
              <w:rPr>
                <w:sz w:val="19"/>
                <w:szCs w:val="19"/>
              </w:rPr>
            </w:pPr>
            <w:r w:rsidRPr="004C5551">
              <w:rPr>
                <w:sz w:val="19"/>
                <w:szCs w:val="19"/>
              </w:rPr>
              <w:t>-2</w:t>
            </w:r>
          </w:p>
        </w:tc>
        <w:tc>
          <w:tcPr>
            <w:tcW w:w="586" w:type="pct"/>
            <w:noWrap/>
            <w:vAlign w:val="center"/>
          </w:tcPr>
          <w:p w:rsidR="00E631C1" w:rsidRPr="004C5551" w:rsidRDefault="00E631C1" w:rsidP="00F80174">
            <w:pPr>
              <w:jc w:val="right"/>
              <w:rPr>
                <w:sz w:val="19"/>
                <w:szCs w:val="19"/>
              </w:rPr>
            </w:pPr>
            <w:r w:rsidRPr="004C5551">
              <w:rPr>
                <w:sz w:val="19"/>
                <w:szCs w:val="19"/>
              </w:rPr>
              <w:t>-2</w:t>
            </w:r>
          </w:p>
        </w:tc>
        <w:tc>
          <w:tcPr>
            <w:tcW w:w="586" w:type="pct"/>
            <w:noWrap/>
            <w:vAlign w:val="center"/>
          </w:tcPr>
          <w:p w:rsidR="00E631C1" w:rsidRPr="004C5551" w:rsidRDefault="00E631C1" w:rsidP="00F80174">
            <w:pPr>
              <w:jc w:val="right"/>
              <w:rPr>
                <w:sz w:val="19"/>
                <w:szCs w:val="19"/>
              </w:rPr>
            </w:pPr>
            <w:r w:rsidRPr="004C5551">
              <w:rPr>
                <w:sz w:val="19"/>
                <w:szCs w:val="19"/>
              </w:rPr>
              <w:t>-3</w:t>
            </w:r>
          </w:p>
        </w:tc>
        <w:tc>
          <w:tcPr>
            <w:tcW w:w="521" w:type="pct"/>
            <w:noWrap/>
            <w:vAlign w:val="center"/>
          </w:tcPr>
          <w:p w:rsidR="00E631C1" w:rsidRPr="004C5551" w:rsidRDefault="00E631C1" w:rsidP="00F80174">
            <w:pPr>
              <w:jc w:val="right"/>
              <w:rPr>
                <w:b/>
                <w:sz w:val="19"/>
                <w:szCs w:val="19"/>
              </w:rPr>
            </w:pPr>
            <w:r w:rsidRPr="004C5551">
              <w:rPr>
                <w:b/>
                <w:sz w:val="19"/>
                <w:szCs w:val="19"/>
              </w:rPr>
              <w:t>-146</w:t>
            </w:r>
          </w:p>
        </w:tc>
      </w:tr>
      <w:tr w:rsidR="00E631C1" w:rsidRPr="004C5551" w:rsidTr="00960E97">
        <w:trPr>
          <w:trHeight w:val="271"/>
          <w:jc w:val="center"/>
        </w:trPr>
        <w:tc>
          <w:tcPr>
            <w:tcW w:w="1255" w:type="pct"/>
            <w:noWrap/>
            <w:vAlign w:val="center"/>
          </w:tcPr>
          <w:p w:rsidR="00E631C1" w:rsidRPr="004C5551" w:rsidRDefault="00E631C1" w:rsidP="00175240">
            <w:pPr>
              <w:jc w:val="left"/>
              <w:rPr>
                <w:b/>
                <w:sz w:val="19"/>
                <w:szCs w:val="19"/>
              </w:rPr>
            </w:pPr>
            <w:r w:rsidRPr="004C5551">
              <w:rPr>
                <w:b/>
                <w:sz w:val="19"/>
                <w:szCs w:val="19"/>
              </w:rPr>
              <w:t>s p o l u</w:t>
            </w:r>
          </w:p>
        </w:tc>
        <w:tc>
          <w:tcPr>
            <w:tcW w:w="439" w:type="pct"/>
            <w:noWrap/>
            <w:vAlign w:val="center"/>
          </w:tcPr>
          <w:p w:rsidR="00E631C1" w:rsidRPr="004C5551" w:rsidRDefault="00E631C1" w:rsidP="00F80174">
            <w:pPr>
              <w:jc w:val="right"/>
              <w:rPr>
                <w:b/>
                <w:sz w:val="19"/>
                <w:szCs w:val="19"/>
              </w:rPr>
            </w:pPr>
            <w:r w:rsidRPr="004C5551">
              <w:rPr>
                <w:b/>
                <w:sz w:val="19"/>
                <w:szCs w:val="19"/>
              </w:rPr>
              <w:t>3 477</w:t>
            </w:r>
          </w:p>
        </w:tc>
        <w:tc>
          <w:tcPr>
            <w:tcW w:w="512" w:type="pct"/>
            <w:noWrap/>
            <w:vAlign w:val="center"/>
          </w:tcPr>
          <w:p w:rsidR="00E631C1" w:rsidRPr="004C5551" w:rsidRDefault="00E631C1" w:rsidP="00F80174">
            <w:pPr>
              <w:jc w:val="right"/>
              <w:rPr>
                <w:b/>
                <w:sz w:val="19"/>
                <w:szCs w:val="19"/>
              </w:rPr>
            </w:pPr>
            <w:r w:rsidRPr="004C5551">
              <w:rPr>
                <w:b/>
                <w:sz w:val="19"/>
                <w:szCs w:val="19"/>
              </w:rPr>
              <w:t>3 382</w:t>
            </w:r>
          </w:p>
        </w:tc>
        <w:tc>
          <w:tcPr>
            <w:tcW w:w="587" w:type="pct"/>
            <w:noWrap/>
            <w:vAlign w:val="center"/>
          </w:tcPr>
          <w:p w:rsidR="00E631C1" w:rsidRPr="004C5551" w:rsidRDefault="00E631C1" w:rsidP="00F80174">
            <w:pPr>
              <w:jc w:val="right"/>
              <w:rPr>
                <w:b/>
                <w:sz w:val="19"/>
                <w:szCs w:val="19"/>
              </w:rPr>
            </w:pPr>
            <w:r w:rsidRPr="004C5551">
              <w:rPr>
                <w:b/>
                <w:sz w:val="19"/>
                <w:szCs w:val="19"/>
              </w:rPr>
              <w:t>3 190</w:t>
            </w:r>
          </w:p>
        </w:tc>
        <w:tc>
          <w:tcPr>
            <w:tcW w:w="513" w:type="pct"/>
            <w:noWrap/>
            <w:vAlign w:val="center"/>
          </w:tcPr>
          <w:p w:rsidR="00E631C1" w:rsidRPr="004C5551" w:rsidRDefault="00E631C1" w:rsidP="00F80174">
            <w:pPr>
              <w:jc w:val="right"/>
              <w:rPr>
                <w:b/>
                <w:sz w:val="19"/>
                <w:szCs w:val="19"/>
              </w:rPr>
            </w:pPr>
            <w:r w:rsidRPr="004C5551">
              <w:rPr>
                <w:b/>
                <w:sz w:val="19"/>
                <w:szCs w:val="19"/>
              </w:rPr>
              <w:t>3 404</w:t>
            </w:r>
          </w:p>
        </w:tc>
        <w:tc>
          <w:tcPr>
            <w:tcW w:w="586" w:type="pct"/>
            <w:noWrap/>
            <w:vAlign w:val="center"/>
          </w:tcPr>
          <w:p w:rsidR="00E631C1" w:rsidRPr="004C5551" w:rsidRDefault="00E631C1" w:rsidP="00F80174">
            <w:pPr>
              <w:jc w:val="right"/>
              <w:rPr>
                <w:b/>
                <w:sz w:val="19"/>
                <w:szCs w:val="19"/>
              </w:rPr>
            </w:pPr>
            <w:r w:rsidRPr="004C5551">
              <w:rPr>
                <w:b/>
                <w:sz w:val="19"/>
                <w:szCs w:val="19"/>
              </w:rPr>
              <w:t>3 885</w:t>
            </w:r>
          </w:p>
        </w:tc>
        <w:tc>
          <w:tcPr>
            <w:tcW w:w="586" w:type="pct"/>
            <w:noWrap/>
            <w:vAlign w:val="center"/>
          </w:tcPr>
          <w:p w:rsidR="00E631C1" w:rsidRPr="004C5551" w:rsidRDefault="00E631C1" w:rsidP="00F80174">
            <w:pPr>
              <w:jc w:val="right"/>
              <w:rPr>
                <w:b/>
                <w:sz w:val="19"/>
                <w:szCs w:val="19"/>
              </w:rPr>
            </w:pPr>
            <w:r w:rsidRPr="004C5551">
              <w:rPr>
                <w:b/>
                <w:sz w:val="19"/>
                <w:szCs w:val="19"/>
              </w:rPr>
              <w:t>3 675</w:t>
            </w:r>
          </w:p>
        </w:tc>
        <w:tc>
          <w:tcPr>
            <w:tcW w:w="521" w:type="pct"/>
            <w:noWrap/>
            <w:vAlign w:val="center"/>
          </w:tcPr>
          <w:p w:rsidR="00E631C1" w:rsidRPr="004C5551" w:rsidRDefault="00E631C1" w:rsidP="00F80174">
            <w:pPr>
              <w:jc w:val="right"/>
              <w:rPr>
                <w:b/>
                <w:sz w:val="19"/>
                <w:szCs w:val="19"/>
              </w:rPr>
            </w:pPr>
            <w:r w:rsidRPr="004C5551">
              <w:rPr>
                <w:b/>
                <w:sz w:val="19"/>
                <w:szCs w:val="19"/>
              </w:rPr>
              <w:t>42 116</w:t>
            </w:r>
          </w:p>
        </w:tc>
      </w:tr>
      <w:tr w:rsidR="00E631C1" w:rsidRPr="004C5551" w:rsidTr="00960E97">
        <w:trPr>
          <w:trHeight w:val="331"/>
          <w:jc w:val="center"/>
        </w:trPr>
        <w:tc>
          <w:tcPr>
            <w:tcW w:w="1255" w:type="pct"/>
            <w:noWrap/>
            <w:vAlign w:val="center"/>
          </w:tcPr>
          <w:p w:rsidR="00E631C1" w:rsidRPr="004C5551" w:rsidRDefault="00E631C1" w:rsidP="00175240">
            <w:pPr>
              <w:jc w:val="left"/>
              <w:rPr>
                <w:sz w:val="19"/>
                <w:szCs w:val="19"/>
              </w:rPr>
            </w:pPr>
            <w:r w:rsidRPr="004C5551">
              <w:rPr>
                <w:sz w:val="19"/>
                <w:szCs w:val="19"/>
              </w:rPr>
              <w:t>18</w:t>
            </w:r>
            <w:r w:rsidR="009425AA" w:rsidRPr="004C5551">
              <w:rPr>
                <w:sz w:val="19"/>
                <w:szCs w:val="19"/>
              </w:rPr>
              <w:t> %</w:t>
            </w:r>
            <w:r w:rsidRPr="004C5551">
              <w:rPr>
                <w:sz w:val="19"/>
                <w:szCs w:val="19"/>
              </w:rPr>
              <w:t xml:space="preserve"> prevod finančných prostriedkov do ZFSP za</w:t>
            </w:r>
            <w:r w:rsidR="00175240">
              <w:rPr>
                <w:sz w:val="19"/>
                <w:szCs w:val="19"/>
              </w:rPr>
              <w:t> </w:t>
            </w:r>
            <w:r w:rsidRPr="004C5551">
              <w:rPr>
                <w:sz w:val="19"/>
                <w:szCs w:val="19"/>
              </w:rPr>
              <w:t>poberanie úrazovej renty</w:t>
            </w:r>
          </w:p>
        </w:tc>
        <w:tc>
          <w:tcPr>
            <w:tcW w:w="439" w:type="pct"/>
            <w:noWrap/>
            <w:vAlign w:val="center"/>
          </w:tcPr>
          <w:p w:rsidR="00E631C1" w:rsidRPr="004C5551" w:rsidRDefault="00E631C1" w:rsidP="00F80174">
            <w:pPr>
              <w:jc w:val="right"/>
              <w:rPr>
                <w:b/>
                <w:sz w:val="19"/>
                <w:szCs w:val="19"/>
              </w:rPr>
            </w:pPr>
            <w:r w:rsidRPr="004C5551">
              <w:rPr>
                <w:b/>
                <w:sz w:val="19"/>
                <w:szCs w:val="19"/>
              </w:rPr>
              <w:t>212</w:t>
            </w:r>
          </w:p>
        </w:tc>
        <w:tc>
          <w:tcPr>
            <w:tcW w:w="512" w:type="pct"/>
            <w:noWrap/>
            <w:vAlign w:val="center"/>
          </w:tcPr>
          <w:p w:rsidR="00E631C1" w:rsidRPr="004C5551" w:rsidRDefault="00E631C1" w:rsidP="00F80174">
            <w:pPr>
              <w:jc w:val="right"/>
              <w:rPr>
                <w:b/>
                <w:sz w:val="19"/>
                <w:szCs w:val="19"/>
              </w:rPr>
            </w:pPr>
            <w:r w:rsidRPr="004C5551">
              <w:rPr>
                <w:b/>
                <w:sz w:val="19"/>
                <w:szCs w:val="19"/>
              </w:rPr>
              <w:t>226</w:t>
            </w:r>
          </w:p>
        </w:tc>
        <w:tc>
          <w:tcPr>
            <w:tcW w:w="587" w:type="pct"/>
            <w:noWrap/>
            <w:vAlign w:val="center"/>
          </w:tcPr>
          <w:p w:rsidR="00E631C1" w:rsidRPr="004C5551" w:rsidRDefault="00E631C1" w:rsidP="00F80174">
            <w:pPr>
              <w:jc w:val="right"/>
              <w:rPr>
                <w:b/>
                <w:sz w:val="19"/>
                <w:szCs w:val="19"/>
              </w:rPr>
            </w:pPr>
            <w:r w:rsidRPr="004C5551">
              <w:rPr>
                <w:b/>
                <w:sz w:val="19"/>
                <w:szCs w:val="19"/>
              </w:rPr>
              <w:t>206</w:t>
            </w:r>
          </w:p>
        </w:tc>
        <w:tc>
          <w:tcPr>
            <w:tcW w:w="513" w:type="pct"/>
            <w:noWrap/>
            <w:vAlign w:val="center"/>
          </w:tcPr>
          <w:p w:rsidR="00E631C1" w:rsidRPr="004C5551" w:rsidRDefault="00E631C1" w:rsidP="00F80174">
            <w:pPr>
              <w:jc w:val="right"/>
              <w:rPr>
                <w:b/>
                <w:sz w:val="19"/>
                <w:szCs w:val="19"/>
              </w:rPr>
            </w:pPr>
            <w:r w:rsidRPr="004C5551">
              <w:rPr>
                <w:b/>
                <w:sz w:val="19"/>
                <w:szCs w:val="19"/>
              </w:rPr>
              <w:t>209</w:t>
            </w:r>
          </w:p>
        </w:tc>
        <w:tc>
          <w:tcPr>
            <w:tcW w:w="586" w:type="pct"/>
            <w:noWrap/>
            <w:vAlign w:val="center"/>
          </w:tcPr>
          <w:p w:rsidR="00E631C1" w:rsidRPr="004C5551" w:rsidRDefault="00E631C1" w:rsidP="00F80174">
            <w:pPr>
              <w:jc w:val="right"/>
              <w:rPr>
                <w:b/>
                <w:sz w:val="19"/>
                <w:szCs w:val="19"/>
              </w:rPr>
            </w:pPr>
            <w:r w:rsidRPr="004C5551">
              <w:rPr>
                <w:b/>
                <w:sz w:val="19"/>
                <w:szCs w:val="19"/>
              </w:rPr>
              <w:t>217</w:t>
            </w:r>
          </w:p>
        </w:tc>
        <w:tc>
          <w:tcPr>
            <w:tcW w:w="586" w:type="pct"/>
            <w:noWrap/>
            <w:vAlign w:val="center"/>
          </w:tcPr>
          <w:p w:rsidR="00E631C1" w:rsidRPr="004C5551" w:rsidRDefault="00E631C1" w:rsidP="00F80174">
            <w:pPr>
              <w:jc w:val="right"/>
              <w:rPr>
                <w:b/>
                <w:sz w:val="19"/>
                <w:szCs w:val="19"/>
              </w:rPr>
            </w:pPr>
            <w:r w:rsidRPr="004C5551">
              <w:rPr>
                <w:b/>
                <w:sz w:val="19"/>
                <w:szCs w:val="19"/>
              </w:rPr>
              <w:t>232</w:t>
            </w:r>
          </w:p>
        </w:tc>
        <w:tc>
          <w:tcPr>
            <w:tcW w:w="521" w:type="pct"/>
            <w:noWrap/>
            <w:vAlign w:val="center"/>
          </w:tcPr>
          <w:p w:rsidR="00E631C1" w:rsidRPr="004C5551" w:rsidRDefault="00E631C1" w:rsidP="00F80174">
            <w:pPr>
              <w:jc w:val="right"/>
              <w:rPr>
                <w:b/>
                <w:sz w:val="19"/>
                <w:szCs w:val="19"/>
              </w:rPr>
            </w:pPr>
            <w:r w:rsidRPr="004C5551">
              <w:rPr>
                <w:b/>
                <w:sz w:val="19"/>
                <w:szCs w:val="19"/>
              </w:rPr>
              <w:t>2 612</w:t>
            </w:r>
          </w:p>
        </w:tc>
      </w:tr>
      <w:tr w:rsidR="00E631C1" w:rsidRPr="004C5551" w:rsidTr="00960E97">
        <w:trPr>
          <w:trHeight w:val="331"/>
          <w:jc w:val="center"/>
        </w:trPr>
        <w:tc>
          <w:tcPr>
            <w:tcW w:w="1255" w:type="pct"/>
            <w:noWrap/>
            <w:vAlign w:val="center"/>
          </w:tcPr>
          <w:p w:rsidR="00E631C1" w:rsidRPr="004C5551" w:rsidRDefault="00E631C1" w:rsidP="00175240">
            <w:pPr>
              <w:jc w:val="left"/>
              <w:rPr>
                <w:b/>
                <w:sz w:val="19"/>
                <w:szCs w:val="19"/>
              </w:rPr>
            </w:pPr>
            <w:r w:rsidRPr="004C5551">
              <w:rPr>
                <w:b/>
                <w:sz w:val="19"/>
                <w:szCs w:val="19"/>
              </w:rPr>
              <w:t>Celkom výdavky ZFÚP</w:t>
            </w:r>
          </w:p>
        </w:tc>
        <w:tc>
          <w:tcPr>
            <w:tcW w:w="439" w:type="pct"/>
            <w:noWrap/>
            <w:vAlign w:val="center"/>
          </w:tcPr>
          <w:p w:rsidR="00E631C1" w:rsidRPr="004C5551" w:rsidRDefault="00E631C1" w:rsidP="00F80174">
            <w:pPr>
              <w:jc w:val="right"/>
              <w:rPr>
                <w:b/>
                <w:sz w:val="19"/>
                <w:szCs w:val="19"/>
              </w:rPr>
            </w:pPr>
            <w:r w:rsidRPr="004C5551">
              <w:rPr>
                <w:b/>
                <w:sz w:val="19"/>
                <w:szCs w:val="19"/>
              </w:rPr>
              <w:t>3 689</w:t>
            </w:r>
          </w:p>
        </w:tc>
        <w:tc>
          <w:tcPr>
            <w:tcW w:w="512" w:type="pct"/>
            <w:noWrap/>
            <w:vAlign w:val="center"/>
          </w:tcPr>
          <w:p w:rsidR="00E631C1" w:rsidRPr="004C5551" w:rsidRDefault="00E631C1" w:rsidP="00F80174">
            <w:pPr>
              <w:jc w:val="right"/>
              <w:rPr>
                <w:b/>
                <w:sz w:val="19"/>
                <w:szCs w:val="19"/>
              </w:rPr>
            </w:pPr>
            <w:r w:rsidRPr="004C5551">
              <w:rPr>
                <w:b/>
                <w:sz w:val="19"/>
                <w:szCs w:val="19"/>
              </w:rPr>
              <w:t>3 563</w:t>
            </w:r>
          </w:p>
        </w:tc>
        <w:tc>
          <w:tcPr>
            <w:tcW w:w="587" w:type="pct"/>
            <w:noWrap/>
            <w:vAlign w:val="center"/>
          </w:tcPr>
          <w:p w:rsidR="00E631C1" w:rsidRPr="004C5551" w:rsidRDefault="00E631C1" w:rsidP="00F80174">
            <w:pPr>
              <w:jc w:val="right"/>
              <w:rPr>
                <w:b/>
                <w:sz w:val="19"/>
                <w:szCs w:val="19"/>
              </w:rPr>
            </w:pPr>
            <w:r w:rsidRPr="004C5551">
              <w:rPr>
                <w:b/>
                <w:sz w:val="19"/>
                <w:szCs w:val="19"/>
              </w:rPr>
              <w:t>3 390</w:t>
            </w:r>
          </w:p>
        </w:tc>
        <w:tc>
          <w:tcPr>
            <w:tcW w:w="513" w:type="pct"/>
            <w:noWrap/>
            <w:vAlign w:val="center"/>
          </w:tcPr>
          <w:p w:rsidR="00E631C1" w:rsidRPr="004C5551" w:rsidRDefault="00E631C1" w:rsidP="00F80174">
            <w:pPr>
              <w:jc w:val="right"/>
              <w:rPr>
                <w:b/>
                <w:sz w:val="19"/>
                <w:szCs w:val="19"/>
              </w:rPr>
            </w:pPr>
            <w:r w:rsidRPr="004C5551">
              <w:rPr>
                <w:b/>
                <w:sz w:val="19"/>
                <w:szCs w:val="19"/>
              </w:rPr>
              <w:t>3 611</w:t>
            </w:r>
          </w:p>
        </w:tc>
        <w:tc>
          <w:tcPr>
            <w:tcW w:w="586" w:type="pct"/>
            <w:noWrap/>
            <w:vAlign w:val="center"/>
          </w:tcPr>
          <w:p w:rsidR="00E631C1" w:rsidRPr="004C5551" w:rsidRDefault="00E631C1" w:rsidP="00F80174">
            <w:pPr>
              <w:jc w:val="right"/>
              <w:rPr>
                <w:b/>
                <w:sz w:val="19"/>
                <w:szCs w:val="19"/>
              </w:rPr>
            </w:pPr>
            <w:r w:rsidRPr="004C5551">
              <w:rPr>
                <w:b/>
                <w:sz w:val="19"/>
                <w:szCs w:val="19"/>
              </w:rPr>
              <w:t>4 100</w:t>
            </w:r>
          </w:p>
        </w:tc>
        <w:tc>
          <w:tcPr>
            <w:tcW w:w="586" w:type="pct"/>
            <w:noWrap/>
            <w:vAlign w:val="center"/>
          </w:tcPr>
          <w:p w:rsidR="00E631C1" w:rsidRPr="004C5551" w:rsidRDefault="00E631C1" w:rsidP="00F80174">
            <w:pPr>
              <w:jc w:val="right"/>
              <w:rPr>
                <w:b/>
                <w:sz w:val="19"/>
                <w:szCs w:val="19"/>
              </w:rPr>
            </w:pPr>
            <w:r w:rsidRPr="004C5551">
              <w:rPr>
                <w:b/>
                <w:sz w:val="19"/>
                <w:szCs w:val="19"/>
              </w:rPr>
              <w:t>3 904</w:t>
            </w:r>
          </w:p>
        </w:tc>
        <w:tc>
          <w:tcPr>
            <w:tcW w:w="521" w:type="pct"/>
            <w:noWrap/>
            <w:vAlign w:val="center"/>
          </w:tcPr>
          <w:p w:rsidR="00E631C1" w:rsidRPr="004C5551" w:rsidRDefault="00E631C1" w:rsidP="00F80174">
            <w:pPr>
              <w:jc w:val="right"/>
              <w:rPr>
                <w:b/>
                <w:sz w:val="19"/>
                <w:szCs w:val="19"/>
              </w:rPr>
            </w:pPr>
            <w:r w:rsidRPr="004C5551">
              <w:rPr>
                <w:b/>
                <w:sz w:val="19"/>
                <w:szCs w:val="19"/>
              </w:rPr>
              <w:t>44 583</w:t>
            </w:r>
          </w:p>
        </w:tc>
      </w:tr>
    </w:tbl>
    <w:p w:rsidR="00E631C1" w:rsidRPr="004C5551" w:rsidRDefault="00E631C1" w:rsidP="00E631C1">
      <w:pPr>
        <w:pStyle w:val="zdroj"/>
        <w:rPr>
          <w:b/>
        </w:rPr>
      </w:pPr>
      <w:r w:rsidRPr="004C5551">
        <w:t>Zdroj: Sociálna poisťovňa</w:t>
      </w:r>
    </w:p>
    <w:p w:rsidR="005C1F10" w:rsidRPr="004C5551" w:rsidRDefault="005C1F10" w:rsidP="005C1F10">
      <w:pPr>
        <w:pStyle w:val="Nadpis7"/>
      </w:pPr>
      <w:r w:rsidRPr="004C5551">
        <w:t>Tabuľka 7 Priemerná výška a počet vyplatených dávok úrazového poistenia v roku 201</w:t>
      </w:r>
      <w:r w:rsidR="00E631C1" w:rsidRPr="004C5551">
        <w:t>4</w:t>
      </w:r>
    </w:p>
    <w:tbl>
      <w:tblPr>
        <w:tblW w:w="9371" w:type="dxa"/>
        <w:tblCellMar>
          <w:left w:w="0" w:type="dxa"/>
          <w:right w:w="0" w:type="dxa"/>
        </w:tblCellMar>
        <w:tblLook w:val="0000" w:firstRow="0" w:lastRow="0" w:firstColumn="0" w:lastColumn="0" w:noHBand="0" w:noVBand="0"/>
      </w:tblPr>
      <w:tblGrid>
        <w:gridCol w:w="5590"/>
        <w:gridCol w:w="1655"/>
        <w:gridCol w:w="2126"/>
      </w:tblGrid>
      <w:tr w:rsidR="00E631C1" w:rsidRPr="004C5551" w:rsidTr="009509DB">
        <w:trPr>
          <w:trHeight w:val="454"/>
        </w:trPr>
        <w:tc>
          <w:tcPr>
            <w:tcW w:w="559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15" w:type="dxa"/>
              <w:left w:w="15" w:type="dxa"/>
              <w:bottom w:w="0" w:type="dxa"/>
              <w:right w:w="15" w:type="dxa"/>
            </w:tcMar>
            <w:vAlign w:val="center"/>
          </w:tcPr>
          <w:p w:rsidR="00E631C1" w:rsidRPr="004C5551" w:rsidRDefault="00E631C1" w:rsidP="0013667E">
            <w:pPr>
              <w:keepNext/>
              <w:keepLines/>
              <w:rPr>
                <w:b/>
                <w:bCs/>
              </w:rPr>
            </w:pPr>
            <w:r w:rsidRPr="004C5551">
              <w:rPr>
                <w:b/>
                <w:bCs/>
                <w:szCs w:val="22"/>
              </w:rPr>
              <w:t>Druh úrazovej dávky</w:t>
            </w:r>
          </w:p>
        </w:tc>
        <w:tc>
          <w:tcPr>
            <w:tcW w:w="1655"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E631C1" w:rsidRPr="004C5551" w:rsidRDefault="00E631C1" w:rsidP="00E631C1">
            <w:pPr>
              <w:jc w:val="center"/>
              <w:rPr>
                <w:b/>
                <w:bCs/>
              </w:rPr>
            </w:pPr>
            <w:r w:rsidRPr="004C5551">
              <w:rPr>
                <w:b/>
                <w:bCs/>
                <w:szCs w:val="22"/>
              </w:rPr>
              <w:t>Počet vyplatených dávok celkom k 31.12.2014</w:t>
            </w:r>
          </w:p>
        </w:tc>
        <w:tc>
          <w:tcPr>
            <w:tcW w:w="2126"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E631C1" w:rsidRPr="004C5551" w:rsidRDefault="00E631C1" w:rsidP="0013667E">
            <w:pPr>
              <w:jc w:val="center"/>
              <w:rPr>
                <w:b/>
                <w:bCs/>
              </w:rPr>
            </w:pPr>
            <w:r w:rsidRPr="004C5551">
              <w:rPr>
                <w:b/>
                <w:bCs/>
                <w:szCs w:val="22"/>
              </w:rPr>
              <w:t xml:space="preserve">Priemerná výška vyplatenej dávky z ÚP v </w:t>
            </w:r>
            <w:r w:rsidR="00AA0137" w:rsidRPr="004C5551">
              <w:rPr>
                <w:b/>
                <w:bCs/>
                <w:szCs w:val="22"/>
              </w:rPr>
              <w:t>€</w:t>
            </w:r>
          </w:p>
        </w:tc>
      </w:tr>
      <w:tr w:rsidR="00E631C1" w:rsidRPr="004C5551" w:rsidTr="009509DB">
        <w:trPr>
          <w:trHeight w:val="285"/>
        </w:trPr>
        <w:tc>
          <w:tcPr>
            <w:tcW w:w="0" w:type="auto"/>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stratu na zárobku počas PN *</w:t>
            </w:r>
          </w:p>
        </w:tc>
        <w:tc>
          <w:tcPr>
            <w:tcW w:w="1655"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789"/>
              </w:tabs>
              <w:spacing w:line="276" w:lineRule="auto"/>
              <w:ind w:right="411"/>
              <w:jc w:val="right"/>
              <w:rPr>
                <w:rFonts w:eastAsiaTheme="minorHAnsi"/>
              </w:rPr>
            </w:pPr>
            <w:r w:rsidRPr="004C5551">
              <w:rPr>
                <w:rFonts w:eastAsiaTheme="minorHAnsi"/>
                <w:szCs w:val="22"/>
              </w:rPr>
              <w:t>0</w:t>
            </w:r>
          </w:p>
        </w:tc>
        <w:tc>
          <w:tcPr>
            <w:tcW w:w="2126"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stratu na zárobku po skončení PN</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136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366</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stratu na dôchodku</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1625"/>
              </w:tabs>
              <w:spacing w:line="276" w:lineRule="auto"/>
              <w:ind w:right="411"/>
              <w:jc w:val="right"/>
              <w:rPr>
                <w:rFonts w:eastAsiaTheme="minorHAnsi"/>
              </w:rPr>
            </w:pPr>
            <w:r w:rsidRPr="004C5551">
              <w:rPr>
                <w:rFonts w:eastAsiaTheme="minorHAnsi"/>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nákladov na výživu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1640"/>
              </w:tabs>
              <w:spacing w:line="276" w:lineRule="auto"/>
              <w:ind w:right="411"/>
              <w:jc w:val="right"/>
              <w:rPr>
                <w:rFonts w:eastAsiaTheme="minorHAnsi"/>
              </w:rPr>
            </w:pPr>
            <w:r w:rsidRPr="004C5551">
              <w:rPr>
                <w:rFonts w:eastAsiaTheme="minorHAnsi"/>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bolesť</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12 497</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SSU</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8</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9 812</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nákladov spojených s liečením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1625"/>
              </w:tabs>
              <w:spacing w:line="276" w:lineRule="auto"/>
              <w:ind w:right="411"/>
              <w:jc w:val="right"/>
              <w:rPr>
                <w:rFonts w:eastAsiaTheme="minorHAnsi"/>
              </w:rPr>
            </w:pPr>
            <w:r w:rsidRPr="004C5551">
              <w:rPr>
                <w:rFonts w:eastAsiaTheme="minorHAnsi"/>
                <w:szCs w:val="22"/>
              </w:rPr>
              <w:t>26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52</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nákladov spojených s pohrebom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1625"/>
              </w:tabs>
              <w:spacing w:line="276" w:lineRule="auto"/>
              <w:ind w:right="411"/>
              <w:jc w:val="right"/>
              <w:rPr>
                <w:rFonts w:eastAsiaTheme="minorHAnsi"/>
              </w:rPr>
            </w:pPr>
            <w:r w:rsidRPr="004C5551">
              <w:rPr>
                <w:rFonts w:eastAsiaTheme="minorHAnsi"/>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Jednorazové odškodnenie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1625"/>
              </w:tabs>
              <w:spacing w:line="276" w:lineRule="auto"/>
              <w:ind w:right="411"/>
              <w:jc w:val="right"/>
              <w:rPr>
                <w:rFonts w:eastAsiaTheme="minorHAnsi"/>
              </w:rPr>
            </w:pPr>
            <w:r w:rsidRPr="004C5551">
              <w:rPr>
                <w:rFonts w:eastAsiaTheme="minorHAnsi"/>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stratu na zárobku počas PN po 1.1.2004</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tabs>
                <w:tab w:val="left" w:pos="2096"/>
              </w:tabs>
              <w:spacing w:line="276" w:lineRule="auto"/>
              <w:ind w:right="411"/>
              <w:jc w:val="right"/>
              <w:rPr>
                <w:rFonts w:eastAsiaTheme="minorHAnsi"/>
              </w:rPr>
            </w:pPr>
            <w:r w:rsidRPr="004C5551">
              <w:rPr>
                <w:rFonts w:eastAsiaTheme="minorHAnsi"/>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bolesť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8 149</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679</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za sťaženie spoločenského uplatnenia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1 643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4 549</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nákladov spojených s liečením podľa § 100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1 045</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rFonts w:eastAsiaTheme="minorHAnsi"/>
                <w:szCs w:val="22"/>
              </w:rPr>
              <w:t>108</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Náhrada nákladov spojených s pohrebom podľa § 101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51</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1 445</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Jednorazové vyrovnanie podľa § 90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85</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2 311</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Jednorazové odškodnenie podľa § 94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64</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13 701</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Úrazový príplatok podľa § 85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27 027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130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Pracovná rehabilitácia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Rehabilitačné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Rekvalifikácia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Rekvalifikačné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spacing w:line="276" w:lineRule="auto"/>
              <w:ind w:right="411"/>
              <w:jc w:val="right"/>
              <w:rPr>
                <w:rFonts w:eastAsiaTheme="minorHAnsi"/>
              </w:rPr>
            </w:pPr>
            <w:r w:rsidRPr="004C5551">
              <w:rPr>
                <w:szCs w:val="22"/>
              </w:rPr>
              <w:t>0</w:t>
            </w:r>
          </w:p>
        </w:tc>
      </w:tr>
      <w:tr w:rsidR="00E631C1" w:rsidRPr="004C5551" w:rsidTr="0013667E">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Úrazová renta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83 590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291</w:t>
            </w:r>
          </w:p>
        </w:tc>
      </w:tr>
      <w:tr w:rsidR="00E631C1" w:rsidRPr="004C5551" w:rsidTr="0013667E">
        <w:trPr>
          <w:trHeight w:val="300"/>
        </w:trPr>
        <w:tc>
          <w:tcPr>
            <w:tcW w:w="0" w:type="auto"/>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13667E">
            <w:pPr>
              <w:keepNext/>
              <w:keepLines/>
            </w:pPr>
            <w:r w:rsidRPr="004C5551">
              <w:rPr>
                <w:szCs w:val="22"/>
              </w:rPr>
              <w:t>Pozostalostná úrazová renta</w:t>
            </w:r>
          </w:p>
        </w:tc>
        <w:tc>
          <w:tcPr>
            <w:tcW w:w="1655"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2 483</w:t>
            </w:r>
          </w:p>
        </w:tc>
        <w:tc>
          <w:tcPr>
            <w:tcW w:w="2126"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E631C1" w:rsidRPr="004C5551" w:rsidRDefault="00E631C1" w:rsidP="009509DB">
            <w:pPr>
              <w:ind w:right="411"/>
              <w:jc w:val="right"/>
            </w:pPr>
            <w:r w:rsidRPr="004C5551">
              <w:rPr>
                <w:szCs w:val="22"/>
              </w:rPr>
              <w:t>131</w:t>
            </w:r>
          </w:p>
        </w:tc>
      </w:tr>
    </w:tbl>
    <w:p w:rsidR="00E631C1" w:rsidRPr="004C5551" w:rsidRDefault="00E631C1" w:rsidP="00E631C1">
      <w:pPr>
        <w:pStyle w:val="zdroj"/>
        <w:spacing w:after="0"/>
        <w:ind w:firstLine="0"/>
        <w:rPr>
          <w:color w:val="auto"/>
        </w:rPr>
      </w:pPr>
      <w:r w:rsidRPr="004C5551">
        <w:rPr>
          <w:color w:val="auto"/>
        </w:rPr>
        <w:t>Zdroj : Sociálna poisťovňa</w:t>
      </w:r>
    </w:p>
    <w:p w:rsidR="00E631C1" w:rsidRPr="004C5551" w:rsidRDefault="00E631C1" w:rsidP="00E631C1">
      <w:pPr>
        <w:pStyle w:val="zdroj"/>
        <w:spacing w:before="0" w:after="0"/>
        <w:ind w:firstLine="0"/>
        <w:rPr>
          <w:color w:val="auto"/>
        </w:rPr>
      </w:pPr>
      <w:r w:rsidRPr="004C5551">
        <w:rPr>
          <w:color w:val="auto"/>
        </w:rPr>
        <w:t>* Dávky v 1. – 10. riadku sú vyplácané podľa právnych predpisov účinných do 31. 12. 2003</w:t>
      </w:r>
    </w:p>
    <w:p w:rsidR="00E631C1" w:rsidRPr="004C5551" w:rsidRDefault="00E631C1" w:rsidP="00E631C1">
      <w:pPr>
        <w:pStyle w:val="zdroj"/>
        <w:spacing w:before="0"/>
        <w:ind w:firstLine="0"/>
        <w:rPr>
          <w:color w:val="auto"/>
        </w:rPr>
      </w:pPr>
      <w:r w:rsidRPr="004C5551">
        <w:rPr>
          <w:color w:val="auto"/>
        </w:rPr>
        <w:t xml:space="preserve">** Dávky v 11. – 23. riadku sú vyplácané podľa zákona o sociálnom poistení (vrátane </w:t>
      </w:r>
      <w:proofErr w:type="spellStart"/>
      <w:r w:rsidRPr="004C5551">
        <w:rPr>
          <w:color w:val="auto"/>
        </w:rPr>
        <w:t>prekvalifikovaných</w:t>
      </w:r>
      <w:proofErr w:type="spellEnd"/>
      <w:r w:rsidRPr="004C5551">
        <w:rPr>
          <w:color w:val="auto"/>
        </w:rPr>
        <w:t xml:space="preserve"> úrazových rent)</w:t>
      </w:r>
    </w:p>
    <w:p w:rsidR="005C1F10" w:rsidRPr="004C5551" w:rsidRDefault="005C1F10" w:rsidP="005C1F10">
      <w:pPr>
        <w:pStyle w:val="Nadpis7"/>
      </w:pPr>
      <w:r w:rsidRPr="004C5551">
        <w:t>Tabuľka 8 Štátne dávky týkajúce sa úrazového poistenia</w:t>
      </w:r>
    </w:p>
    <w:tbl>
      <w:tblPr>
        <w:tblW w:w="9231" w:type="dxa"/>
        <w:tblInd w:w="53" w:type="dxa"/>
        <w:tblCellMar>
          <w:left w:w="70" w:type="dxa"/>
          <w:right w:w="70" w:type="dxa"/>
        </w:tblCellMar>
        <w:tblLook w:val="00A0" w:firstRow="1" w:lastRow="0" w:firstColumn="1" w:lastColumn="0" w:noHBand="0" w:noVBand="0"/>
      </w:tblPr>
      <w:tblGrid>
        <w:gridCol w:w="5829"/>
        <w:gridCol w:w="3402"/>
      </w:tblGrid>
      <w:tr w:rsidR="005C1F10" w:rsidRPr="004C5551" w:rsidTr="009509DB">
        <w:trPr>
          <w:trHeight w:val="386"/>
        </w:trPr>
        <w:tc>
          <w:tcPr>
            <w:tcW w:w="582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5C1F10" w:rsidRPr="004C5551" w:rsidRDefault="005C1F10" w:rsidP="00F145F9"/>
        </w:tc>
        <w:tc>
          <w:tcPr>
            <w:tcW w:w="340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5C1F10" w:rsidRPr="004C5551" w:rsidRDefault="005C1F10" w:rsidP="00E7192E">
            <w:pPr>
              <w:jc w:val="center"/>
              <w:rPr>
                <w:b/>
              </w:rPr>
            </w:pPr>
            <w:r w:rsidRPr="004C5551">
              <w:rPr>
                <w:b/>
                <w:szCs w:val="22"/>
              </w:rPr>
              <w:t xml:space="preserve">Suma vyplatených dávok </w:t>
            </w:r>
            <w:r w:rsidR="00E7192E" w:rsidRPr="004C5551">
              <w:rPr>
                <w:b/>
                <w:szCs w:val="22"/>
              </w:rPr>
              <w:br/>
            </w:r>
            <w:r w:rsidRPr="004C5551">
              <w:rPr>
                <w:b/>
                <w:szCs w:val="22"/>
              </w:rPr>
              <w:t xml:space="preserve">(v tis. </w:t>
            </w:r>
            <w:r w:rsidR="00AA0137" w:rsidRPr="004C5551">
              <w:rPr>
                <w:b/>
                <w:szCs w:val="22"/>
              </w:rPr>
              <w:t>€</w:t>
            </w:r>
            <w:r w:rsidRPr="004C5551">
              <w:rPr>
                <w:b/>
                <w:szCs w:val="22"/>
              </w:rPr>
              <w:t>)</w:t>
            </w:r>
          </w:p>
        </w:tc>
      </w:tr>
      <w:tr w:rsidR="00E631C1" w:rsidRPr="004C5551" w:rsidTr="0013667E">
        <w:trPr>
          <w:trHeight w:val="750"/>
        </w:trPr>
        <w:tc>
          <w:tcPr>
            <w:tcW w:w="5829" w:type="dxa"/>
            <w:tcBorders>
              <w:top w:val="single" w:sz="4" w:space="0" w:color="auto"/>
              <w:left w:val="single" w:sz="4" w:space="0" w:color="auto"/>
              <w:bottom w:val="single" w:sz="4" w:space="0" w:color="auto"/>
              <w:right w:val="single" w:sz="4" w:space="0" w:color="auto"/>
            </w:tcBorders>
            <w:shd w:val="clear" w:color="000000" w:fill="FFFFFF"/>
            <w:vAlign w:val="center"/>
          </w:tcPr>
          <w:p w:rsidR="00E631C1" w:rsidRPr="004C5551" w:rsidRDefault="00E631C1" w:rsidP="0013667E">
            <w:r w:rsidRPr="004C5551">
              <w:rPr>
                <w:szCs w:val="22"/>
              </w:rPr>
              <w:t>Odškodnenie prac. úrazov a chorôb z povolania zamestnancov zrušených zamestnávateľov, ktorých zakladateľom bol štát, alebo Fond národného majetku SR</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E631C1" w:rsidRPr="004C5551" w:rsidRDefault="00E631C1" w:rsidP="0013667E">
            <w:pPr>
              <w:jc w:val="center"/>
              <w:rPr>
                <w:color w:val="000000"/>
              </w:rPr>
            </w:pPr>
            <w:r w:rsidRPr="004C5551">
              <w:rPr>
                <w:color w:val="000000"/>
                <w:szCs w:val="22"/>
              </w:rPr>
              <w:t>437</w:t>
            </w:r>
          </w:p>
        </w:tc>
      </w:tr>
      <w:tr w:rsidR="00E631C1" w:rsidRPr="004C5551" w:rsidTr="0013667E">
        <w:trPr>
          <w:trHeight w:val="750"/>
        </w:trPr>
        <w:tc>
          <w:tcPr>
            <w:tcW w:w="5829"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r w:rsidRPr="004C5551">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pPr>
              <w:jc w:val="center"/>
              <w:rPr>
                <w:color w:val="000000"/>
              </w:rPr>
            </w:pPr>
            <w:r w:rsidRPr="004C5551">
              <w:rPr>
                <w:color w:val="000000"/>
                <w:szCs w:val="22"/>
              </w:rPr>
              <w:t>46</w:t>
            </w:r>
          </w:p>
        </w:tc>
      </w:tr>
      <w:tr w:rsidR="00E631C1" w:rsidRPr="004C5551" w:rsidTr="0013667E">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r w:rsidRPr="004C5551">
              <w:rPr>
                <w:szCs w:val="22"/>
              </w:rPr>
              <w:t>Úrazové dávky poskytované fyzickým osobám uvedeným v § 17 ods. 2 a 3 zákona o sociálnom poistení</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pPr>
              <w:jc w:val="center"/>
              <w:rPr>
                <w:color w:val="000000"/>
              </w:rPr>
            </w:pPr>
            <w:r w:rsidRPr="004C5551">
              <w:rPr>
                <w:color w:val="000000"/>
                <w:szCs w:val="22"/>
              </w:rPr>
              <w:t>8</w:t>
            </w:r>
          </w:p>
        </w:tc>
      </w:tr>
      <w:tr w:rsidR="00E631C1" w:rsidRPr="004C5551" w:rsidTr="0013667E">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r w:rsidRPr="004C5551">
              <w:t>Zodpovednosť štátu za škodu na zdraví, ktorá vznikla vojakom povinnej vojenskej služby (plnenie podľa § 293 ods. 6)</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E631C1" w:rsidRPr="004C5551" w:rsidRDefault="00E631C1" w:rsidP="0013667E">
            <w:pPr>
              <w:jc w:val="center"/>
              <w:rPr>
                <w:color w:val="000000"/>
              </w:rPr>
            </w:pPr>
            <w:r w:rsidRPr="004C5551">
              <w:rPr>
                <w:color w:val="000000"/>
                <w:szCs w:val="22"/>
              </w:rPr>
              <w:t>9</w:t>
            </w:r>
          </w:p>
        </w:tc>
      </w:tr>
    </w:tbl>
    <w:p w:rsidR="00E631C1" w:rsidRPr="004C5551" w:rsidRDefault="00E631C1" w:rsidP="00E631C1">
      <w:pPr>
        <w:pStyle w:val="zdroj"/>
        <w:rPr>
          <w:b/>
        </w:rPr>
      </w:pPr>
      <w:r w:rsidRPr="004C5551">
        <w:t>Zdroj: Sociálna poisťovňa</w:t>
      </w:r>
    </w:p>
    <w:p w:rsidR="005C1F10" w:rsidRPr="004C5551" w:rsidRDefault="005C1F10" w:rsidP="005C1F10">
      <w:pPr>
        <w:pStyle w:val="Nadpis7"/>
      </w:pPr>
      <w:r w:rsidRPr="004C5551">
        <w:t>Tabuľka 9 Výdavky základného fondu garančného poistenia (ZFGP) v roku 201</w:t>
      </w:r>
      <w:r w:rsidR="00E631C1" w:rsidRPr="004C5551">
        <w:t>4</w:t>
      </w:r>
    </w:p>
    <w:tbl>
      <w:tblPr>
        <w:tblW w:w="7039" w:type="dxa"/>
        <w:jc w:val="center"/>
        <w:tblInd w:w="2561" w:type="dxa"/>
        <w:tblCellMar>
          <w:left w:w="70" w:type="dxa"/>
          <w:right w:w="70" w:type="dxa"/>
        </w:tblCellMar>
        <w:tblLook w:val="00A0" w:firstRow="1" w:lastRow="0" w:firstColumn="1" w:lastColumn="0" w:noHBand="0" w:noVBand="0"/>
      </w:tblPr>
      <w:tblGrid>
        <w:gridCol w:w="1719"/>
        <w:gridCol w:w="1600"/>
        <w:gridCol w:w="1820"/>
        <w:gridCol w:w="1900"/>
      </w:tblGrid>
      <w:tr w:rsidR="00E631C1" w:rsidRPr="004C5551" w:rsidTr="009509DB">
        <w:trPr>
          <w:trHeight w:val="293"/>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E631C1" w:rsidRPr="004C5551" w:rsidRDefault="00E631C1" w:rsidP="0013667E">
            <w:pPr>
              <w:rPr>
                <w:b/>
                <w:bCs/>
              </w:rPr>
            </w:pPr>
            <w:r w:rsidRPr="004C5551">
              <w:rPr>
                <w:b/>
                <w:szCs w:val="22"/>
              </w:rPr>
              <w:t>Obdobie</w:t>
            </w:r>
          </w:p>
        </w:tc>
        <w:tc>
          <w:tcPr>
            <w:tcW w:w="5320"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E631C1" w:rsidRPr="004C5551" w:rsidRDefault="00E631C1" w:rsidP="0013667E">
            <w:pPr>
              <w:keepNext/>
              <w:keepLines/>
              <w:jc w:val="center"/>
              <w:rPr>
                <w:b/>
                <w:bCs/>
              </w:rPr>
            </w:pPr>
            <w:r w:rsidRPr="004C5551">
              <w:rPr>
                <w:b/>
                <w:bCs/>
                <w:szCs w:val="22"/>
              </w:rPr>
              <w:t>Výdavky ZFGP v tis. </w:t>
            </w:r>
            <w:r w:rsidR="00AA0137" w:rsidRPr="004C5551">
              <w:rPr>
                <w:b/>
                <w:bCs/>
                <w:szCs w:val="22"/>
              </w:rPr>
              <w:t>€</w:t>
            </w:r>
          </w:p>
        </w:tc>
      </w:tr>
      <w:tr w:rsidR="00E631C1" w:rsidRPr="004C5551" w:rsidTr="009509DB">
        <w:trPr>
          <w:trHeight w:val="552"/>
          <w:jc w:val="center"/>
        </w:trPr>
        <w:tc>
          <w:tcPr>
            <w:tcW w:w="171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31C1" w:rsidRPr="004C5551" w:rsidRDefault="00E631C1" w:rsidP="0013667E">
            <w:pPr>
              <w:keepNext/>
              <w:keepLines/>
              <w:rPr>
                <w:b/>
                <w:bCs/>
              </w:rPr>
            </w:pPr>
          </w:p>
        </w:tc>
        <w:tc>
          <w:tcPr>
            <w:tcW w:w="16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31C1" w:rsidRPr="004C5551" w:rsidRDefault="00E631C1" w:rsidP="0013667E">
            <w:pPr>
              <w:keepNext/>
              <w:keepLines/>
              <w:jc w:val="center"/>
              <w:rPr>
                <w:b/>
                <w:bCs/>
              </w:rPr>
            </w:pPr>
            <w:r w:rsidRPr="004C5551">
              <w:rPr>
                <w:b/>
                <w:bCs/>
                <w:szCs w:val="22"/>
              </w:rPr>
              <w:t>na dávku garančného poistenia</w:t>
            </w:r>
          </w:p>
        </w:tc>
        <w:tc>
          <w:tcPr>
            <w:tcW w:w="182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31C1" w:rsidRPr="004C5551" w:rsidRDefault="00E631C1" w:rsidP="0013667E">
            <w:pPr>
              <w:keepNext/>
              <w:keepLines/>
              <w:jc w:val="center"/>
              <w:rPr>
                <w:b/>
                <w:bCs/>
              </w:rPr>
            </w:pPr>
            <w:r w:rsidRPr="004C5551">
              <w:rPr>
                <w:b/>
                <w:bCs/>
                <w:szCs w:val="22"/>
              </w:rPr>
              <w:t>úhrada príspevkov na starobné dôchodkové sporenie</w:t>
            </w:r>
          </w:p>
        </w:tc>
        <w:tc>
          <w:tcPr>
            <w:tcW w:w="19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31C1" w:rsidRPr="004C5551" w:rsidRDefault="00E631C1" w:rsidP="0013667E">
            <w:pPr>
              <w:keepNext/>
              <w:keepLines/>
              <w:jc w:val="center"/>
              <w:rPr>
                <w:b/>
                <w:bCs/>
              </w:rPr>
            </w:pPr>
            <w:r w:rsidRPr="004C5551">
              <w:rPr>
                <w:b/>
                <w:bCs/>
                <w:szCs w:val="22"/>
              </w:rPr>
              <w:t>Spolu</w:t>
            </w:r>
          </w:p>
        </w:tc>
      </w:tr>
      <w:tr w:rsidR="00E631C1" w:rsidRPr="004C5551" w:rsidTr="009509DB">
        <w:trPr>
          <w:trHeight w:val="315"/>
          <w:jc w:val="center"/>
        </w:trPr>
        <w:tc>
          <w:tcPr>
            <w:tcW w:w="1719" w:type="dxa"/>
            <w:tcBorders>
              <w:top w:val="single" w:sz="4" w:space="0" w:color="auto"/>
              <w:left w:val="single" w:sz="2" w:space="0" w:color="auto"/>
              <w:right w:val="single" w:sz="2" w:space="0" w:color="auto"/>
            </w:tcBorders>
            <w:noWrap/>
            <w:vAlign w:val="center"/>
          </w:tcPr>
          <w:p w:rsidR="00E631C1" w:rsidRPr="004C5551" w:rsidRDefault="00E631C1" w:rsidP="0013667E">
            <w:pPr>
              <w:jc w:val="left"/>
            </w:pPr>
            <w:r w:rsidRPr="004C5551">
              <w:rPr>
                <w:szCs w:val="22"/>
              </w:rPr>
              <w:t>Január</w:t>
            </w:r>
          </w:p>
        </w:tc>
        <w:tc>
          <w:tcPr>
            <w:tcW w:w="1600" w:type="dxa"/>
            <w:tcBorders>
              <w:top w:val="single" w:sz="4" w:space="0" w:color="auto"/>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261,2</w:t>
            </w:r>
          </w:p>
        </w:tc>
        <w:tc>
          <w:tcPr>
            <w:tcW w:w="1820" w:type="dxa"/>
            <w:tcBorders>
              <w:top w:val="single" w:sz="4" w:space="0" w:color="auto"/>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179,4</w:t>
            </w:r>
          </w:p>
        </w:tc>
        <w:tc>
          <w:tcPr>
            <w:tcW w:w="1900" w:type="dxa"/>
            <w:tcBorders>
              <w:top w:val="single" w:sz="4" w:space="0" w:color="auto"/>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440,6</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Február</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531,7</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1 436,4</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1 968,2</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Marec</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319,3</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1 028,6</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1 347,9</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Apríl</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251,2</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898,5</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1 149,7</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Máj</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134,3</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874,1</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1 008,4</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Jún</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868,0</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248,4</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1 116,4</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Júl</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395,2</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1 241,4</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1 636,6</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August</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365,6</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1 133,1</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1 498,6</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September</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259,5</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869,8</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1 129,3</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Október</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353,2</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1 001,1</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1 354,3</w:t>
            </w:r>
          </w:p>
        </w:tc>
      </w:tr>
      <w:tr w:rsidR="00E631C1" w:rsidRPr="004C5551" w:rsidTr="0013667E">
        <w:trPr>
          <w:trHeight w:val="315"/>
          <w:jc w:val="center"/>
        </w:trPr>
        <w:tc>
          <w:tcPr>
            <w:tcW w:w="1719" w:type="dxa"/>
            <w:tcBorders>
              <w:left w:val="single" w:sz="2" w:space="0" w:color="auto"/>
              <w:right w:val="single" w:sz="2" w:space="0" w:color="auto"/>
            </w:tcBorders>
            <w:noWrap/>
            <w:vAlign w:val="center"/>
          </w:tcPr>
          <w:p w:rsidR="00E631C1" w:rsidRPr="004C5551" w:rsidRDefault="00E631C1" w:rsidP="0013667E">
            <w:pPr>
              <w:jc w:val="left"/>
            </w:pPr>
            <w:r w:rsidRPr="004C5551">
              <w:rPr>
                <w:szCs w:val="22"/>
              </w:rPr>
              <w:t>November</w:t>
            </w:r>
          </w:p>
        </w:tc>
        <w:tc>
          <w:tcPr>
            <w:tcW w:w="16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255,3</w:t>
            </w:r>
          </w:p>
        </w:tc>
        <w:tc>
          <w:tcPr>
            <w:tcW w:w="182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1 056,8</w:t>
            </w:r>
          </w:p>
        </w:tc>
        <w:tc>
          <w:tcPr>
            <w:tcW w:w="1900" w:type="dxa"/>
            <w:tcBorders>
              <w:left w:val="single" w:sz="2" w:space="0" w:color="auto"/>
              <w:right w:val="single" w:sz="2" w:space="0" w:color="auto"/>
            </w:tcBorders>
            <w:noWrap/>
            <w:vAlign w:val="bottom"/>
          </w:tcPr>
          <w:p w:rsidR="00E631C1" w:rsidRPr="004C5551" w:rsidRDefault="00E631C1" w:rsidP="009509DB">
            <w:pPr>
              <w:ind w:right="296"/>
              <w:jc w:val="right"/>
            </w:pPr>
            <w:r w:rsidRPr="004C5551">
              <w:rPr>
                <w:szCs w:val="22"/>
              </w:rPr>
              <w:t>1 312,1</w:t>
            </w:r>
          </w:p>
        </w:tc>
      </w:tr>
      <w:tr w:rsidR="00E631C1" w:rsidRPr="004C5551" w:rsidTr="0013667E">
        <w:trPr>
          <w:trHeight w:val="315"/>
          <w:jc w:val="center"/>
        </w:trPr>
        <w:tc>
          <w:tcPr>
            <w:tcW w:w="1719" w:type="dxa"/>
            <w:tcBorders>
              <w:left w:val="single" w:sz="2" w:space="0" w:color="auto"/>
              <w:bottom w:val="single" w:sz="2" w:space="0" w:color="auto"/>
              <w:right w:val="single" w:sz="2" w:space="0" w:color="auto"/>
            </w:tcBorders>
            <w:noWrap/>
            <w:vAlign w:val="center"/>
          </w:tcPr>
          <w:p w:rsidR="00E631C1" w:rsidRPr="004C5551" w:rsidRDefault="00E631C1" w:rsidP="0013667E">
            <w:pPr>
              <w:jc w:val="left"/>
            </w:pPr>
            <w:r w:rsidRPr="004C5551">
              <w:rPr>
                <w:szCs w:val="22"/>
              </w:rPr>
              <w:t>December</w:t>
            </w:r>
          </w:p>
        </w:tc>
        <w:tc>
          <w:tcPr>
            <w:tcW w:w="1600" w:type="dxa"/>
            <w:tcBorders>
              <w:left w:val="single" w:sz="2" w:space="0" w:color="auto"/>
              <w:bottom w:val="single" w:sz="2" w:space="0" w:color="auto"/>
              <w:right w:val="single" w:sz="2" w:space="0" w:color="auto"/>
            </w:tcBorders>
            <w:noWrap/>
            <w:vAlign w:val="bottom"/>
          </w:tcPr>
          <w:p w:rsidR="00E631C1" w:rsidRPr="004C5551" w:rsidRDefault="00E631C1" w:rsidP="009509DB">
            <w:pPr>
              <w:ind w:right="296"/>
              <w:jc w:val="right"/>
            </w:pPr>
            <w:r w:rsidRPr="004C5551">
              <w:rPr>
                <w:szCs w:val="22"/>
              </w:rPr>
              <w:t>132,4</w:t>
            </w:r>
          </w:p>
        </w:tc>
        <w:tc>
          <w:tcPr>
            <w:tcW w:w="1820" w:type="dxa"/>
            <w:tcBorders>
              <w:left w:val="single" w:sz="2" w:space="0" w:color="auto"/>
              <w:bottom w:val="single" w:sz="2" w:space="0" w:color="auto"/>
              <w:right w:val="single" w:sz="2" w:space="0" w:color="auto"/>
            </w:tcBorders>
            <w:noWrap/>
            <w:vAlign w:val="bottom"/>
          </w:tcPr>
          <w:p w:rsidR="00E631C1" w:rsidRPr="004C5551" w:rsidRDefault="00E631C1" w:rsidP="009509DB">
            <w:pPr>
              <w:ind w:right="296"/>
              <w:jc w:val="right"/>
            </w:pPr>
            <w:r w:rsidRPr="004C5551">
              <w:rPr>
                <w:szCs w:val="22"/>
              </w:rPr>
              <w:t>138,6</w:t>
            </w:r>
          </w:p>
        </w:tc>
        <w:tc>
          <w:tcPr>
            <w:tcW w:w="1900" w:type="dxa"/>
            <w:tcBorders>
              <w:left w:val="single" w:sz="2" w:space="0" w:color="auto"/>
              <w:bottom w:val="single" w:sz="2" w:space="0" w:color="auto"/>
              <w:right w:val="single" w:sz="2" w:space="0" w:color="auto"/>
            </w:tcBorders>
            <w:noWrap/>
            <w:vAlign w:val="bottom"/>
          </w:tcPr>
          <w:p w:rsidR="00E631C1" w:rsidRPr="004C5551" w:rsidRDefault="00E631C1" w:rsidP="009509DB">
            <w:pPr>
              <w:ind w:right="296"/>
              <w:jc w:val="right"/>
            </w:pPr>
            <w:r w:rsidRPr="004C5551">
              <w:rPr>
                <w:szCs w:val="22"/>
              </w:rPr>
              <w:t>270,9</w:t>
            </w:r>
          </w:p>
        </w:tc>
      </w:tr>
      <w:tr w:rsidR="00E631C1" w:rsidRPr="004C5551" w:rsidTr="0013667E">
        <w:trPr>
          <w:trHeight w:val="315"/>
          <w:jc w:val="center"/>
        </w:trPr>
        <w:tc>
          <w:tcPr>
            <w:tcW w:w="1719" w:type="dxa"/>
            <w:tcBorders>
              <w:top w:val="single" w:sz="2" w:space="0" w:color="auto"/>
              <w:left w:val="single" w:sz="2" w:space="0" w:color="auto"/>
              <w:bottom w:val="single" w:sz="2" w:space="0" w:color="auto"/>
              <w:right w:val="single" w:sz="2" w:space="0" w:color="auto"/>
            </w:tcBorders>
            <w:noWrap/>
            <w:vAlign w:val="center"/>
          </w:tcPr>
          <w:p w:rsidR="00E631C1" w:rsidRPr="004C5551" w:rsidRDefault="00E631C1" w:rsidP="0013667E">
            <w:pPr>
              <w:rPr>
                <w:b/>
              </w:rPr>
            </w:pPr>
            <w:r w:rsidRPr="004C5551">
              <w:rPr>
                <w:b/>
                <w:szCs w:val="22"/>
              </w:rPr>
              <w:t>Rok 2014</w:t>
            </w:r>
          </w:p>
        </w:tc>
        <w:tc>
          <w:tcPr>
            <w:tcW w:w="1600" w:type="dxa"/>
            <w:tcBorders>
              <w:top w:val="single" w:sz="2" w:space="0" w:color="auto"/>
              <w:left w:val="single" w:sz="2" w:space="0" w:color="auto"/>
              <w:bottom w:val="single" w:sz="2" w:space="0" w:color="auto"/>
              <w:right w:val="single" w:sz="2" w:space="0" w:color="auto"/>
            </w:tcBorders>
            <w:noWrap/>
            <w:vAlign w:val="bottom"/>
          </w:tcPr>
          <w:p w:rsidR="00E631C1" w:rsidRPr="004C5551" w:rsidRDefault="00E631C1" w:rsidP="009509DB">
            <w:pPr>
              <w:ind w:right="296"/>
              <w:jc w:val="right"/>
              <w:rPr>
                <w:b/>
              </w:rPr>
            </w:pPr>
            <w:r w:rsidRPr="004C5551">
              <w:rPr>
                <w:b/>
                <w:szCs w:val="22"/>
              </w:rPr>
              <w:t>4 127,0</w:t>
            </w:r>
          </w:p>
        </w:tc>
        <w:tc>
          <w:tcPr>
            <w:tcW w:w="1820" w:type="dxa"/>
            <w:tcBorders>
              <w:top w:val="single" w:sz="2" w:space="0" w:color="auto"/>
              <w:left w:val="single" w:sz="2" w:space="0" w:color="auto"/>
              <w:bottom w:val="single" w:sz="2" w:space="0" w:color="auto"/>
              <w:right w:val="single" w:sz="2" w:space="0" w:color="auto"/>
            </w:tcBorders>
            <w:noWrap/>
            <w:vAlign w:val="bottom"/>
          </w:tcPr>
          <w:p w:rsidR="00E631C1" w:rsidRPr="004C5551" w:rsidRDefault="00E631C1" w:rsidP="009509DB">
            <w:pPr>
              <w:ind w:right="296"/>
              <w:jc w:val="right"/>
              <w:rPr>
                <w:b/>
              </w:rPr>
            </w:pPr>
            <w:r w:rsidRPr="004C5551">
              <w:rPr>
                <w:b/>
                <w:szCs w:val="22"/>
              </w:rPr>
              <w:t>10 106,0</w:t>
            </w:r>
          </w:p>
        </w:tc>
        <w:tc>
          <w:tcPr>
            <w:tcW w:w="1900" w:type="dxa"/>
            <w:tcBorders>
              <w:top w:val="single" w:sz="2" w:space="0" w:color="auto"/>
              <w:left w:val="single" w:sz="2" w:space="0" w:color="auto"/>
              <w:bottom w:val="single" w:sz="2" w:space="0" w:color="auto"/>
              <w:right w:val="single" w:sz="2" w:space="0" w:color="auto"/>
            </w:tcBorders>
            <w:noWrap/>
            <w:vAlign w:val="bottom"/>
          </w:tcPr>
          <w:p w:rsidR="00E631C1" w:rsidRPr="004C5551" w:rsidRDefault="00E631C1" w:rsidP="009509DB">
            <w:pPr>
              <w:ind w:right="296"/>
              <w:jc w:val="right"/>
              <w:rPr>
                <w:b/>
              </w:rPr>
            </w:pPr>
            <w:r w:rsidRPr="004C5551">
              <w:rPr>
                <w:b/>
                <w:szCs w:val="22"/>
              </w:rPr>
              <w:t>14 233,0</w:t>
            </w:r>
          </w:p>
        </w:tc>
      </w:tr>
    </w:tbl>
    <w:p w:rsidR="00E631C1" w:rsidRPr="004C5551" w:rsidRDefault="00E631C1" w:rsidP="00E631C1">
      <w:pPr>
        <w:pStyle w:val="zdroj"/>
        <w:ind w:firstLine="1134"/>
      </w:pPr>
      <w:r w:rsidRPr="004C5551">
        <w:t>Zdroj : Sociálna poisťovňa</w:t>
      </w:r>
    </w:p>
    <w:p w:rsidR="005C1F10" w:rsidRPr="004C5551" w:rsidRDefault="005C1F10" w:rsidP="006A153B"/>
    <w:p w:rsidR="005C1F10" w:rsidRPr="004C5551" w:rsidRDefault="005C1F10" w:rsidP="005C1F10">
      <w:pPr>
        <w:pStyle w:val="Nadpis7"/>
      </w:pPr>
      <w:r w:rsidRPr="004C5551">
        <w:t>Tabuľka 10 Vyplatené dávky v nezamestnanosti, počet prípadov a priemerná výška dávky</w:t>
      </w:r>
      <w:r w:rsidRPr="004C5551">
        <w:br/>
        <w:t xml:space="preserve"> v roku 201</w:t>
      </w:r>
      <w:r w:rsidR="00E631C1" w:rsidRPr="004C5551">
        <w:t>4</w:t>
      </w:r>
    </w:p>
    <w:tbl>
      <w:tblPr>
        <w:tblW w:w="9572" w:type="dxa"/>
        <w:tblInd w:w="60" w:type="dxa"/>
        <w:tblLayout w:type="fixed"/>
        <w:tblCellMar>
          <w:left w:w="70" w:type="dxa"/>
          <w:right w:w="70" w:type="dxa"/>
        </w:tblCellMar>
        <w:tblLook w:val="04A0" w:firstRow="1" w:lastRow="0" w:firstColumn="1" w:lastColumn="0" w:noHBand="0" w:noVBand="1"/>
      </w:tblPr>
      <w:tblGrid>
        <w:gridCol w:w="1150"/>
        <w:gridCol w:w="1140"/>
        <w:gridCol w:w="1140"/>
        <w:gridCol w:w="1140"/>
        <w:gridCol w:w="1140"/>
        <w:gridCol w:w="965"/>
        <w:gridCol w:w="966"/>
        <w:gridCol w:w="965"/>
        <w:gridCol w:w="966"/>
      </w:tblGrid>
      <w:tr w:rsidR="00E631C1" w:rsidRPr="004C5551" w:rsidTr="00960E97">
        <w:trPr>
          <w:trHeight w:val="549"/>
        </w:trPr>
        <w:tc>
          <w:tcPr>
            <w:tcW w:w="115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Mesiac</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631C1" w:rsidRPr="004C5551" w:rsidRDefault="00E631C1" w:rsidP="0013667E">
            <w:pPr>
              <w:jc w:val="center"/>
              <w:rPr>
                <w:b/>
                <w:bCs/>
              </w:rPr>
            </w:pPr>
            <w:r w:rsidRPr="004C5551">
              <w:rPr>
                <w:b/>
                <w:bCs/>
                <w:szCs w:val="22"/>
              </w:rPr>
              <w:t>Počet poberateľov vyplatenej dávky v nezamestnanosti</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631C1" w:rsidRPr="004C5551" w:rsidRDefault="00E631C1" w:rsidP="0013667E">
            <w:pPr>
              <w:jc w:val="center"/>
              <w:rPr>
                <w:b/>
                <w:bCs/>
              </w:rPr>
            </w:pPr>
            <w:r w:rsidRPr="004C5551">
              <w:rPr>
                <w:b/>
                <w:bCs/>
                <w:szCs w:val="22"/>
              </w:rPr>
              <w:t>Počet vyplatených dávok v nezamestnanosti</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631C1" w:rsidRPr="004C5551" w:rsidRDefault="00E631C1" w:rsidP="0013667E">
            <w:pPr>
              <w:jc w:val="center"/>
              <w:rPr>
                <w:b/>
                <w:bCs/>
              </w:rPr>
            </w:pPr>
            <w:r w:rsidRPr="004C5551">
              <w:rPr>
                <w:b/>
                <w:bCs/>
                <w:szCs w:val="22"/>
              </w:rPr>
              <w:t>Priemerná výška dávky v nezamestnanosti v </w:t>
            </w:r>
            <w:r w:rsidR="00AA0137" w:rsidRPr="004C5551">
              <w:rPr>
                <w:b/>
                <w:bCs/>
                <w:szCs w:val="22"/>
              </w:rPr>
              <w:t>€</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 xml:space="preserve">Celková výška výdavkov na dávky v tis. </w:t>
            </w:r>
            <w:r w:rsidR="00AA0137" w:rsidRPr="004C5551">
              <w:rPr>
                <w:b/>
                <w:bCs/>
                <w:szCs w:val="22"/>
              </w:rPr>
              <w:t>€</w:t>
            </w:r>
          </w:p>
        </w:tc>
      </w:tr>
      <w:tr w:rsidR="00E631C1" w:rsidRPr="004C5551" w:rsidTr="00960E97">
        <w:trPr>
          <w:trHeight w:val="289"/>
        </w:trPr>
        <w:tc>
          <w:tcPr>
            <w:tcW w:w="115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631C1" w:rsidRPr="004C5551" w:rsidRDefault="00E631C1" w:rsidP="0013667E">
            <w:pPr>
              <w:jc w:val="left"/>
              <w:rPr>
                <w:b/>
                <w:bCs/>
              </w:rPr>
            </w:pP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2013</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2014</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2013</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2014</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2013</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2014</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2013</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E631C1" w:rsidRPr="004C5551" w:rsidRDefault="00E631C1" w:rsidP="0013667E">
            <w:pPr>
              <w:jc w:val="center"/>
              <w:rPr>
                <w:b/>
                <w:bCs/>
              </w:rPr>
            </w:pPr>
            <w:r w:rsidRPr="004C5551">
              <w:rPr>
                <w:b/>
                <w:bCs/>
                <w:szCs w:val="22"/>
              </w:rPr>
              <w:t>Rok 2014</w:t>
            </w:r>
          </w:p>
        </w:tc>
      </w:tr>
      <w:tr w:rsidR="00E631C1" w:rsidRPr="004C5551" w:rsidTr="00960E97">
        <w:trPr>
          <w:trHeight w:val="289"/>
        </w:trPr>
        <w:tc>
          <w:tcPr>
            <w:tcW w:w="1150"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Január</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42 247</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36 393</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46 298</w:t>
            </w:r>
          </w:p>
        </w:tc>
        <w:tc>
          <w:tcPr>
            <w:tcW w:w="1140"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39 983</w:t>
            </w:r>
          </w:p>
        </w:tc>
        <w:tc>
          <w:tcPr>
            <w:tcW w:w="965"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339,9</w:t>
            </w:r>
          </w:p>
        </w:tc>
        <w:tc>
          <w:tcPr>
            <w:tcW w:w="965"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333,9</w:t>
            </w:r>
          </w:p>
        </w:tc>
        <w:tc>
          <w:tcPr>
            <w:tcW w:w="965"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15 642</w:t>
            </w:r>
          </w:p>
        </w:tc>
        <w:tc>
          <w:tcPr>
            <w:tcW w:w="965" w:type="dxa"/>
            <w:tcBorders>
              <w:top w:val="single" w:sz="4" w:space="0" w:color="auto"/>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13 230</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Február</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46 680</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38 765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52 755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43 771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331,3</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327,8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17 402</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14 242</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Marec</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45 627</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37 915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51 233</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42 478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305,1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302,5</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15 554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12 539</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Apríl</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44 488</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37 385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49 255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41 851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324,6</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323,1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15 896</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13 427</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Máj</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42 516</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35 324</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47 182</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39 145</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311,3</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321,4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14 624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12 497</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Jún</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40 424</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35 187</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44 949</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39 228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321,2</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332,2</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14 344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12 615</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Júl</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38 136</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34 338</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42 159</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37 867</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314,6</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328,7</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13 179</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12 369</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August</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37 652</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35 010</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41 816</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38 828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324,1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339,5</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13 491</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13 026</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September</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37 717</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34 877</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42 521</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38 404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329,8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348</w:t>
            </w:r>
            <w:r w:rsidR="00F72DD2" w:rsidRPr="004C5551">
              <w:rPr>
                <w:szCs w:val="22"/>
              </w:rPr>
              <w:t>,0</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13 945</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13 275</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Október</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37 295</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34 057</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41 882</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37 584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320,4</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331,6</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13 280</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12 391</w:t>
            </w:r>
          </w:p>
        </w:tc>
      </w:tr>
      <w:tr w:rsidR="00E631C1" w:rsidRPr="004C5551" w:rsidTr="00960E97">
        <w:trPr>
          <w:trHeight w:val="289"/>
        </w:trPr>
        <w:tc>
          <w:tcPr>
            <w:tcW w:w="1150" w:type="dxa"/>
            <w:tcBorders>
              <w:left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November</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37 303</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33 174</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41 778</w:t>
            </w:r>
          </w:p>
        </w:tc>
        <w:tc>
          <w:tcPr>
            <w:tcW w:w="1140"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36 888</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328,6</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345</w:t>
            </w:r>
            <w:r w:rsidR="00F72DD2" w:rsidRPr="004C5551">
              <w:rPr>
                <w:szCs w:val="22"/>
              </w:rPr>
              <w:t>,0</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13 637</w:t>
            </w:r>
          </w:p>
        </w:tc>
        <w:tc>
          <w:tcPr>
            <w:tcW w:w="965" w:type="dxa"/>
            <w:tcBorders>
              <w:left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12 667</w:t>
            </w:r>
          </w:p>
        </w:tc>
      </w:tr>
      <w:tr w:rsidR="00E631C1" w:rsidRPr="004C5551" w:rsidTr="00960E97">
        <w:trPr>
          <w:trHeight w:val="304"/>
        </w:trPr>
        <w:tc>
          <w:tcPr>
            <w:tcW w:w="1150"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13667E">
            <w:r w:rsidRPr="004C5551">
              <w:rPr>
                <w:szCs w:val="22"/>
              </w:rPr>
              <w:t>December</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37 032</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33 331</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41 331</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37 354</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322,6</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336,1</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13 312</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E631C1" w:rsidRPr="004C5551" w:rsidRDefault="00E631C1" w:rsidP="009509DB">
            <w:pPr>
              <w:ind w:right="71"/>
              <w:jc w:val="right"/>
            </w:pPr>
            <w:r w:rsidRPr="004C5551">
              <w:rPr>
                <w:szCs w:val="22"/>
              </w:rPr>
              <w:t>12 443</w:t>
            </w:r>
          </w:p>
        </w:tc>
      </w:tr>
      <w:tr w:rsidR="00B62B6D" w:rsidRPr="004C5551" w:rsidTr="00960E97">
        <w:trPr>
          <w:trHeight w:val="289"/>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rPr>
                <w:b/>
                <w:bCs/>
              </w:rPr>
            </w:pPr>
            <w:r w:rsidRPr="004C5551">
              <w:rPr>
                <w:b/>
                <w:bCs/>
                <w:szCs w:val="22"/>
              </w:rPr>
              <w:t>Spolu</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rPr>
              <w:t>137 833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122 198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543 159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473 381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x</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x</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rPr>
            </w:pPr>
            <w:r w:rsidRPr="004C5551">
              <w:rPr>
                <w:b/>
                <w:szCs w:val="22"/>
              </w:rPr>
              <w:t>174 308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rPr>
            </w:pPr>
            <w:r w:rsidRPr="004C5551">
              <w:rPr>
                <w:b/>
                <w:szCs w:val="22"/>
              </w:rPr>
              <w:t>154 721</w:t>
            </w:r>
          </w:p>
        </w:tc>
      </w:tr>
      <w:tr w:rsidR="00B62B6D" w:rsidRPr="004C5551" w:rsidTr="00960E97">
        <w:trPr>
          <w:trHeight w:val="30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rPr>
                <w:b/>
                <w:bCs/>
                <w:i/>
                <w:iCs/>
              </w:rPr>
            </w:pPr>
            <w:r w:rsidRPr="004C5551">
              <w:rPr>
                <w:b/>
                <w:bCs/>
                <w:i/>
                <w:iCs/>
                <w:szCs w:val="22"/>
              </w:rPr>
              <w:t>Priemer</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iCs/>
                <w:szCs w:val="22"/>
              </w:rPr>
              <w:t>45 263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39 448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iCs/>
                <w:szCs w:val="22"/>
              </w:rPr>
              <w:t>321,1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9A02B2">
            <w:pPr>
              <w:ind w:right="71"/>
              <w:jc w:val="right"/>
              <w:rPr>
                <w:b/>
                <w:bCs/>
              </w:rPr>
            </w:pPr>
            <w:r w:rsidRPr="004C5551">
              <w:rPr>
                <w:b/>
                <w:bCs/>
                <w:szCs w:val="22"/>
              </w:rPr>
              <w:t>328,7</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rPr>
            </w:pPr>
            <w:r w:rsidRPr="004C5551">
              <w:rPr>
                <w:b/>
                <w:szCs w:val="22"/>
              </w:rPr>
              <w:t>14 526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B6D" w:rsidRPr="004C5551" w:rsidRDefault="00B62B6D" w:rsidP="00B85283">
            <w:pPr>
              <w:ind w:right="71"/>
              <w:jc w:val="right"/>
              <w:rPr>
                <w:b/>
                <w:bCs/>
              </w:rPr>
            </w:pPr>
            <w:r w:rsidRPr="004C5551">
              <w:rPr>
                <w:b/>
                <w:bCs/>
                <w:szCs w:val="22"/>
              </w:rPr>
              <w:t>12 893</w:t>
            </w:r>
          </w:p>
        </w:tc>
      </w:tr>
    </w:tbl>
    <w:p w:rsidR="00E631C1" w:rsidRPr="004C5551" w:rsidRDefault="00E631C1" w:rsidP="00E631C1">
      <w:pPr>
        <w:pStyle w:val="zdroj"/>
      </w:pPr>
      <w:r w:rsidRPr="004C5551">
        <w:t>Zdroj : Sociálna poisťovňa</w:t>
      </w:r>
    </w:p>
    <w:p w:rsidR="005C1F10" w:rsidRPr="004C5551" w:rsidRDefault="005C1F10" w:rsidP="005C1F10">
      <w:pPr>
        <w:pStyle w:val="Nadpis7"/>
      </w:pPr>
      <w:r w:rsidRPr="004C5551">
        <w:t>Tabuľka 11 Počet poberateľov dávky v nezamestnanosti v členení podľa veku a pohlavia</w:t>
      </w:r>
      <w:r w:rsidR="0016196A" w:rsidRPr="004C5551">
        <w:t xml:space="preserve"> </w:t>
      </w:r>
      <w:r w:rsidR="00E831C1" w:rsidRPr="004C5551">
        <w:br/>
      </w:r>
      <w:r w:rsidRPr="004C5551">
        <w:t>za rok 201</w:t>
      </w:r>
      <w:r w:rsidR="00E631C1" w:rsidRPr="004C5551">
        <w:t>4</w:t>
      </w:r>
    </w:p>
    <w:tbl>
      <w:tblPr>
        <w:tblW w:w="6254" w:type="dxa"/>
        <w:tblInd w:w="1422" w:type="dxa"/>
        <w:tblCellMar>
          <w:left w:w="70" w:type="dxa"/>
          <w:right w:w="70" w:type="dxa"/>
        </w:tblCellMar>
        <w:tblLook w:val="04A0" w:firstRow="1" w:lastRow="0" w:firstColumn="1" w:lastColumn="0" w:noHBand="0" w:noVBand="1"/>
      </w:tblPr>
      <w:tblGrid>
        <w:gridCol w:w="1860"/>
        <w:gridCol w:w="1324"/>
        <w:gridCol w:w="1276"/>
        <w:gridCol w:w="1794"/>
      </w:tblGrid>
      <w:tr w:rsidR="00E631C1" w:rsidRPr="004C5551" w:rsidTr="00960E97">
        <w:trPr>
          <w:trHeight w:val="315"/>
        </w:trPr>
        <w:tc>
          <w:tcPr>
            <w:tcW w:w="186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631C1" w:rsidRPr="004C5551" w:rsidRDefault="00E631C1" w:rsidP="0013667E">
            <w:pPr>
              <w:rPr>
                <w:b/>
                <w:bCs/>
              </w:rPr>
            </w:pPr>
            <w:r w:rsidRPr="004C5551">
              <w:rPr>
                <w:b/>
                <w:bCs/>
                <w:szCs w:val="22"/>
              </w:rPr>
              <w:t xml:space="preserve">Vekové pásma </w:t>
            </w:r>
          </w:p>
        </w:tc>
        <w:tc>
          <w:tcPr>
            <w:tcW w:w="439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631C1" w:rsidRPr="004C5551" w:rsidRDefault="00E631C1" w:rsidP="0013667E">
            <w:pPr>
              <w:jc w:val="center"/>
              <w:rPr>
                <w:b/>
                <w:bCs/>
              </w:rPr>
            </w:pPr>
            <w:r w:rsidRPr="004C5551">
              <w:rPr>
                <w:b/>
                <w:bCs/>
                <w:szCs w:val="22"/>
              </w:rPr>
              <w:t>Pohlavie</w:t>
            </w:r>
          </w:p>
        </w:tc>
      </w:tr>
      <w:tr w:rsidR="00E631C1" w:rsidRPr="004C5551" w:rsidTr="00960E97">
        <w:trPr>
          <w:trHeight w:val="315"/>
        </w:trPr>
        <w:tc>
          <w:tcPr>
            <w:tcW w:w="186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31C1" w:rsidRPr="004C5551" w:rsidRDefault="00E631C1" w:rsidP="0013667E">
            <w:pPr>
              <w:jc w:val="left"/>
              <w:rPr>
                <w:b/>
                <w:bCs/>
              </w:rPr>
            </w:pPr>
          </w:p>
        </w:tc>
        <w:tc>
          <w:tcPr>
            <w:tcW w:w="132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631C1" w:rsidRPr="004C5551" w:rsidRDefault="00E631C1" w:rsidP="0013667E">
            <w:pPr>
              <w:jc w:val="center"/>
              <w:rPr>
                <w:b/>
                <w:bCs/>
              </w:rPr>
            </w:pPr>
            <w:r w:rsidRPr="004C5551">
              <w:rPr>
                <w:b/>
                <w:bCs/>
                <w:szCs w:val="22"/>
              </w:rPr>
              <w:t>muži</w:t>
            </w:r>
          </w:p>
        </w:tc>
        <w:tc>
          <w:tcPr>
            <w:tcW w:w="127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631C1" w:rsidRPr="004C5551" w:rsidRDefault="00E631C1" w:rsidP="0013667E">
            <w:pPr>
              <w:jc w:val="center"/>
              <w:rPr>
                <w:b/>
                <w:bCs/>
              </w:rPr>
            </w:pPr>
            <w:r w:rsidRPr="004C5551">
              <w:rPr>
                <w:b/>
                <w:bCs/>
                <w:szCs w:val="22"/>
              </w:rPr>
              <w:t>ženy</w:t>
            </w:r>
          </w:p>
        </w:tc>
        <w:tc>
          <w:tcPr>
            <w:tcW w:w="179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E631C1" w:rsidRPr="004C5551" w:rsidRDefault="00E631C1" w:rsidP="0013667E">
            <w:pPr>
              <w:jc w:val="center"/>
              <w:rPr>
                <w:b/>
                <w:bCs/>
              </w:rPr>
            </w:pPr>
            <w:r w:rsidRPr="004C5551">
              <w:rPr>
                <w:b/>
                <w:bCs/>
                <w:szCs w:val="22"/>
              </w:rPr>
              <w:t>spolu</w:t>
            </w:r>
          </w:p>
        </w:tc>
      </w:tr>
      <w:tr w:rsidR="00E631C1" w:rsidRPr="004C5551" w:rsidTr="00960E97">
        <w:trPr>
          <w:trHeight w:val="300"/>
        </w:trPr>
        <w:tc>
          <w:tcPr>
            <w:tcW w:w="1860" w:type="dxa"/>
            <w:tcBorders>
              <w:top w:val="single" w:sz="4" w:space="0" w:color="auto"/>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do 19 rokov</w:t>
            </w:r>
          </w:p>
        </w:tc>
        <w:tc>
          <w:tcPr>
            <w:tcW w:w="1324" w:type="dxa"/>
            <w:tcBorders>
              <w:top w:val="single" w:sz="4" w:space="0" w:color="auto"/>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3</w:t>
            </w:r>
          </w:p>
        </w:tc>
        <w:tc>
          <w:tcPr>
            <w:tcW w:w="1276" w:type="dxa"/>
            <w:tcBorders>
              <w:top w:val="single" w:sz="4" w:space="0" w:color="auto"/>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2</w:t>
            </w:r>
          </w:p>
        </w:tc>
        <w:tc>
          <w:tcPr>
            <w:tcW w:w="1794" w:type="dxa"/>
            <w:tcBorders>
              <w:top w:val="single" w:sz="4" w:space="0" w:color="auto"/>
              <w:left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5</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20 </w:t>
            </w:r>
            <w:r w:rsidR="00F80174" w:rsidRPr="004C5551">
              <w:rPr>
                <w:bCs/>
                <w:sz w:val="20"/>
                <w:szCs w:val="16"/>
              </w:rPr>
              <w:t>–</w:t>
            </w:r>
            <w:r w:rsidRPr="004C5551">
              <w:rPr>
                <w:szCs w:val="22"/>
              </w:rPr>
              <w:t xml:space="preserve"> 24 rokov</w:t>
            </w:r>
          </w:p>
        </w:tc>
        <w:tc>
          <w:tcPr>
            <w:tcW w:w="132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4 200</w:t>
            </w:r>
          </w:p>
        </w:tc>
        <w:tc>
          <w:tcPr>
            <w:tcW w:w="1276"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2 697</w:t>
            </w:r>
          </w:p>
        </w:tc>
        <w:tc>
          <w:tcPr>
            <w:tcW w:w="179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6 897</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25 </w:t>
            </w:r>
            <w:r w:rsidR="00F80174" w:rsidRPr="004C5551">
              <w:rPr>
                <w:bCs/>
                <w:sz w:val="20"/>
                <w:szCs w:val="16"/>
              </w:rPr>
              <w:t>–</w:t>
            </w:r>
            <w:r w:rsidRPr="004C5551">
              <w:rPr>
                <w:szCs w:val="22"/>
              </w:rPr>
              <w:t xml:space="preserve"> 29 rokov</w:t>
            </w:r>
          </w:p>
        </w:tc>
        <w:tc>
          <w:tcPr>
            <w:tcW w:w="132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9 511</w:t>
            </w:r>
          </w:p>
        </w:tc>
        <w:tc>
          <w:tcPr>
            <w:tcW w:w="1276"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8 759</w:t>
            </w:r>
          </w:p>
        </w:tc>
        <w:tc>
          <w:tcPr>
            <w:tcW w:w="179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18 270</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30 </w:t>
            </w:r>
            <w:r w:rsidR="00F80174" w:rsidRPr="004C5551">
              <w:rPr>
                <w:bCs/>
                <w:sz w:val="20"/>
                <w:szCs w:val="16"/>
              </w:rPr>
              <w:t>–</w:t>
            </w:r>
            <w:r w:rsidRPr="004C5551">
              <w:rPr>
                <w:szCs w:val="22"/>
              </w:rPr>
              <w:t xml:space="preserve"> 34 rokov</w:t>
            </w:r>
          </w:p>
        </w:tc>
        <w:tc>
          <w:tcPr>
            <w:tcW w:w="132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9 356</w:t>
            </w:r>
          </w:p>
        </w:tc>
        <w:tc>
          <w:tcPr>
            <w:tcW w:w="1276"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9 450</w:t>
            </w:r>
          </w:p>
        </w:tc>
        <w:tc>
          <w:tcPr>
            <w:tcW w:w="179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18 806</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35 </w:t>
            </w:r>
            <w:r w:rsidR="00F80174" w:rsidRPr="004C5551">
              <w:rPr>
                <w:bCs/>
                <w:sz w:val="20"/>
                <w:szCs w:val="16"/>
              </w:rPr>
              <w:t>–</w:t>
            </w:r>
            <w:r w:rsidRPr="004C5551">
              <w:rPr>
                <w:szCs w:val="22"/>
              </w:rPr>
              <w:t xml:space="preserve"> 39 rokov</w:t>
            </w:r>
          </w:p>
        </w:tc>
        <w:tc>
          <w:tcPr>
            <w:tcW w:w="132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8 512</w:t>
            </w:r>
          </w:p>
        </w:tc>
        <w:tc>
          <w:tcPr>
            <w:tcW w:w="1276"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10 024</w:t>
            </w:r>
          </w:p>
        </w:tc>
        <w:tc>
          <w:tcPr>
            <w:tcW w:w="179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18 536</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40 </w:t>
            </w:r>
            <w:r w:rsidR="00F80174" w:rsidRPr="004C5551">
              <w:rPr>
                <w:bCs/>
                <w:sz w:val="20"/>
                <w:szCs w:val="16"/>
              </w:rPr>
              <w:t>–</w:t>
            </w:r>
            <w:r w:rsidRPr="004C5551">
              <w:rPr>
                <w:szCs w:val="22"/>
              </w:rPr>
              <w:t xml:space="preserve"> 44 rokov</w:t>
            </w:r>
          </w:p>
        </w:tc>
        <w:tc>
          <w:tcPr>
            <w:tcW w:w="132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6 843</w:t>
            </w:r>
          </w:p>
        </w:tc>
        <w:tc>
          <w:tcPr>
            <w:tcW w:w="1276"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8 352</w:t>
            </w:r>
          </w:p>
        </w:tc>
        <w:tc>
          <w:tcPr>
            <w:tcW w:w="179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15 195</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45 </w:t>
            </w:r>
            <w:r w:rsidR="00F80174" w:rsidRPr="004C5551">
              <w:rPr>
                <w:bCs/>
                <w:sz w:val="20"/>
                <w:szCs w:val="16"/>
              </w:rPr>
              <w:t>–</w:t>
            </w:r>
            <w:r w:rsidRPr="004C5551">
              <w:rPr>
                <w:szCs w:val="22"/>
              </w:rPr>
              <w:t xml:space="preserve"> 49 rokov</w:t>
            </w:r>
          </w:p>
        </w:tc>
        <w:tc>
          <w:tcPr>
            <w:tcW w:w="132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6 204</w:t>
            </w:r>
          </w:p>
        </w:tc>
        <w:tc>
          <w:tcPr>
            <w:tcW w:w="1276"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7 160</w:t>
            </w:r>
          </w:p>
        </w:tc>
        <w:tc>
          <w:tcPr>
            <w:tcW w:w="179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13 364</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50 </w:t>
            </w:r>
            <w:r w:rsidR="00F80174" w:rsidRPr="004C5551">
              <w:rPr>
                <w:bCs/>
                <w:sz w:val="20"/>
                <w:szCs w:val="16"/>
              </w:rPr>
              <w:t>–</w:t>
            </w:r>
            <w:r w:rsidRPr="004C5551">
              <w:rPr>
                <w:szCs w:val="22"/>
              </w:rPr>
              <w:t xml:space="preserve"> 54 rokov</w:t>
            </w:r>
          </w:p>
        </w:tc>
        <w:tc>
          <w:tcPr>
            <w:tcW w:w="132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6 514</w:t>
            </w:r>
          </w:p>
        </w:tc>
        <w:tc>
          <w:tcPr>
            <w:tcW w:w="1276"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7 359</w:t>
            </w:r>
          </w:p>
        </w:tc>
        <w:tc>
          <w:tcPr>
            <w:tcW w:w="179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13 873</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 xml:space="preserve">55 </w:t>
            </w:r>
            <w:r w:rsidR="00F80174" w:rsidRPr="004C5551">
              <w:rPr>
                <w:bCs/>
                <w:sz w:val="20"/>
                <w:szCs w:val="16"/>
              </w:rPr>
              <w:t>–</w:t>
            </w:r>
            <w:r w:rsidRPr="004C5551">
              <w:rPr>
                <w:szCs w:val="22"/>
              </w:rPr>
              <w:t xml:space="preserve"> 59 rokov</w:t>
            </w:r>
          </w:p>
        </w:tc>
        <w:tc>
          <w:tcPr>
            <w:tcW w:w="132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7 175</w:t>
            </w:r>
          </w:p>
        </w:tc>
        <w:tc>
          <w:tcPr>
            <w:tcW w:w="1276"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pPr>
            <w:r w:rsidRPr="004C5551">
              <w:t>6 771</w:t>
            </w:r>
          </w:p>
        </w:tc>
        <w:tc>
          <w:tcPr>
            <w:tcW w:w="1794" w:type="dxa"/>
            <w:tcBorders>
              <w:left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13 946</w:t>
            </w:r>
          </w:p>
        </w:tc>
      </w:tr>
      <w:tr w:rsidR="00E631C1" w:rsidRPr="004C5551" w:rsidTr="00960E97">
        <w:trPr>
          <w:trHeight w:val="300"/>
        </w:trPr>
        <w:tc>
          <w:tcPr>
            <w:tcW w:w="1860" w:type="dxa"/>
            <w:tcBorders>
              <w:left w:val="single" w:sz="4" w:space="0" w:color="auto"/>
              <w:right w:val="single" w:sz="4" w:space="0" w:color="auto"/>
            </w:tcBorders>
            <w:shd w:val="clear" w:color="auto" w:fill="auto"/>
            <w:noWrap/>
            <w:vAlign w:val="bottom"/>
          </w:tcPr>
          <w:p w:rsidR="00E631C1" w:rsidRPr="004C5551" w:rsidRDefault="00E631C1" w:rsidP="0013667E">
            <w:r w:rsidRPr="004C5551">
              <w:rPr>
                <w:szCs w:val="22"/>
              </w:rPr>
              <w:t>nad 60 rokov</w:t>
            </w:r>
          </w:p>
        </w:tc>
        <w:tc>
          <w:tcPr>
            <w:tcW w:w="132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2 963</w:t>
            </w:r>
          </w:p>
        </w:tc>
        <w:tc>
          <w:tcPr>
            <w:tcW w:w="1276"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250</w:t>
            </w:r>
          </w:p>
        </w:tc>
        <w:tc>
          <w:tcPr>
            <w:tcW w:w="1794" w:type="dxa"/>
            <w:tcBorders>
              <w:left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3 213</w:t>
            </w:r>
          </w:p>
        </w:tc>
      </w:tr>
      <w:tr w:rsidR="00E631C1" w:rsidRPr="004C5551" w:rsidTr="00960E97">
        <w:trPr>
          <w:trHeight w:val="315"/>
        </w:trPr>
        <w:tc>
          <w:tcPr>
            <w:tcW w:w="1860" w:type="dxa"/>
            <w:tcBorders>
              <w:left w:val="single" w:sz="4" w:space="0" w:color="auto"/>
              <w:bottom w:val="single" w:sz="4" w:space="0" w:color="auto"/>
              <w:right w:val="single" w:sz="4" w:space="0" w:color="auto"/>
            </w:tcBorders>
            <w:shd w:val="clear" w:color="auto" w:fill="auto"/>
            <w:noWrap/>
            <w:vAlign w:val="bottom"/>
          </w:tcPr>
          <w:p w:rsidR="00E631C1" w:rsidRPr="004C5551" w:rsidRDefault="00E631C1" w:rsidP="0013667E">
            <w:r w:rsidRPr="004C5551">
              <w:rPr>
                <w:szCs w:val="22"/>
              </w:rPr>
              <w:t>nezistené</w:t>
            </w:r>
          </w:p>
        </w:tc>
        <w:tc>
          <w:tcPr>
            <w:tcW w:w="1324" w:type="dxa"/>
            <w:tcBorders>
              <w:left w:val="single" w:sz="4" w:space="0" w:color="auto"/>
              <w:bottom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47</w:t>
            </w:r>
          </w:p>
        </w:tc>
        <w:tc>
          <w:tcPr>
            <w:tcW w:w="1276" w:type="dxa"/>
            <w:tcBorders>
              <w:left w:val="single" w:sz="4" w:space="0" w:color="auto"/>
              <w:bottom w:val="single" w:sz="4" w:space="0" w:color="auto"/>
              <w:right w:val="single" w:sz="4" w:space="0" w:color="auto"/>
            </w:tcBorders>
            <w:shd w:val="pct25" w:color="FFFFFF" w:fill="FFFFFF"/>
            <w:noWrap/>
            <w:vAlign w:val="center"/>
          </w:tcPr>
          <w:p w:rsidR="00E631C1" w:rsidRPr="004C5551" w:rsidRDefault="00E631C1" w:rsidP="009509DB">
            <w:pPr>
              <w:ind w:right="213"/>
              <w:jc w:val="right"/>
            </w:pPr>
            <w:r w:rsidRPr="004C5551">
              <w:t>46</w:t>
            </w:r>
          </w:p>
        </w:tc>
        <w:tc>
          <w:tcPr>
            <w:tcW w:w="1794" w:type="dxa"/>
            <w:tcBorders>
              <w:left w:val="single" w:sz="4" w:space="0" w:color="auto"/>
              <w:bottom w:val="single" w:sz="4" w:space="0" w:color="auto"/>
              <w:right w:val="single" w:sz="4" w:space="0" w:color="auto"/>
            </w:tcBorders>
            <w:shd w:val="pct25" w:color="FFFFFF" w:fill="FFFFFF"/>
            <w:noWrap/>
            <w:vAlign w:val="center"/>
          </w:tcPr>
          <w:p w:rsidR="00E631C1" w:rsidRPr="004C5551" w:rsidRDefault="00E631C1" w:rsidP="009509DB">
            <w:pPr>
              <w:ind w:right="213"/>
              <w:jc w:val="right"/>
              <w:rPr>
                <w:b/>
              </w:rPr>
            </w:pPr>
            <w:r w:rsidRPr="004C5551">
              <w:rPr>
                <w:b/>
              </w:rPr>
              <w:t>93</w:t>
            </w:r>
          </w:p>
        </w:tc>
      </w:tr>
      <w:tr w:rsidR="00E631C1" w:rsidRPr="004C5551" w:rsidTr="00960E97">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31C1" w:rsidRPr="004C5551" w:rsidRDefault="00E631C1" w:rsidP="0013667E">
            <w:pPr>
              <w:rPr>
                <w:b/>
                <w:bCs/>
              </w:rPr>
            </w:pPr>
            <w:r w:rsidRPr="004C5551">
              <w:rPr>
                <w:b/>
                <w:bCs/>
                <w:szCs w:val="22"/>
              </w:rPr>
              <w:t>Spolu</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61 328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60 870</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1C1" w:rsidRPr="004C5551" w:rsidRDefault="00E631C1" w:rsidP="009509DB">
            <w:pPr>
              <w:ind w:right="213"/>
              <w:jc w:val="right"/>
              <w:rPr>
                <w:b/>
              </w:rPr>
            </w:pPr>
            <w:r w:rsidRPr="004C5551">
              <w:rPr>
                <w:b/>
              </w:rPr>
              <w:t>122 198</w:t>
            </w:r>
          </w:p>
        </w:tc>
      </w:tr>
    </w:tbl>
    <w:p w:rsidR="00E631C1" w:rsidRPr="004C5551" w:rsidRDefault="00E631C1" w:rsidP="00E631C1">
      <w:pPr>
        <w:pStyle w:val="zdroj"/>
        <w:ind w:firstLine="1418"/>
      </w:pPr>
      <w:r w:rsidRPr="004C5551">
        <w:t>Zdroj : Sociálna poisťovňa</w:t>
      </w:r>
    </w:p>
    <w:p w:rsidR="005C1F10" w:rsidRPr="004C5551" w:rsidRDefault="005C1F10" w:rsidP="00002192">
      <w:pPr>
        <w:pStyle w:val="zdroj"/>
        <w:spacing w:before="0" w:after="0"/>
        <w:ind w:firstLine="573"/>
        <w:rPr>
          <w:color w:val="auto"/>
        </w:rPr>
      </w:pPr>
    </w:p>
    <w:bookmarkEnd w:id="836"/>
    <w:p w:rsidR="00E631C1" w:rsidRPr="004C5551" w:rsidRDefault="00E631C1" w:rsidP="00E631C1">
      <w:pPr>
        <w:pStyle w:val="Nadpis7"/>
      </w:pPr>
      <w:r w:rsidRPr="004C5551">
        <w:t>Graf 1 Rozdelenie sporiteľov v II. pilieri podľa veku k 31. 12. 2014</w:t>
      </w:r>
    </w:p>
    <w:p w:rsidR="00E631C1" w:rsidRPr="004C5551" w:rsidRDefault="00E631C1" w:rsidP="00E631C1">
      <w:pPr>
        <w:rPr>
          <w:lang w:eastAsia="cs-CZ"/>
        </w:rPr>
      </w:pPr>
      <w:r w:rsidRPr="004C5551">
        <w:rPr>
          <w:noProof/>
        </w:rPr>
        <w:drawing>
          <wp:inline distT="0" distB="0" distL="0" distR="0" wp14:anchorId="0697B968" wp14:editId="05B06D07">
            <wp:extent cx="5465135" cy="1913860"/>
            <wp:effectExtent l="0" t="0" r="254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631C1" w:rsidRPr="004C5551" w:rsidRDefault="00E631C1" w:rsidP="00E631C1">
      <w:pPr>
        <w:pStyle w:val="zdroj"/>
        <w:ind w:firstLine="1560"/>
        <w:rPr>
          <w:noProof/>
          <w:color w:val="auto"/>
        </w:rPr>
      </w:pPr>
      <w:r w:rsidRPr="004C5551">
        <w:rPr>
          <w:color w:val="auto"/>
        </w:rPr>
        <w:t xml:space="preserve">Zdroj : Sociálna poisťovňa ; </w:t>
      </w:r>
      <w:r w:rsidRPr="004C5551">
        <w:rPr>
          <w:noProof/>
          <w:color w:val="auto"/>
        </w:rPr>
        <w:t>spracovanie: MPSVR SR</w:t>
      </w:r>
    </w:p>
    <w:p w:rsidR="00E631C1" w:rsidRPr="004C5551" w:rsidRDefault="00E631C1" w:rsidP="00E631C1">
      <w:pPr>
        <w:pStyle w:val="zdroj"/>
        <w:ind w:firstLine="1560"/>
        <w:rPr>
          <w:noProof/>
          <w:color w:val="auto"/>
        </w:rPr>
      </w:pPr>
    </w:p>
    <w:p w:rsidR="00E631C1" w:rsidRPr="004C5551" w:rsidRDefault="00E631C1" w:rsidP="00E631C1">
      <w:pPr>
        <w:pStyle w:val="Nadpis7"/>
        <w:rPr>
          <w:noProof/>
        </w:rPr>
      </w:pPr>
      <w:r w:rsidRPr="004C5551">
        <w:rPr>
          <w:noProof/>
        </w:rPr>
        <w:t>Graf 2 Veková štruktúra sporiteľov v II. pilieri k 31. 12. 2014</w:t>
      </w:r>
    </w:p>
    <w:p w:rsidR="00E631C1" w:rsidRPr="004C5551" w:rsidRDefault="00E631C1" w:rsidP="00E631C1">
      <w:pPr>
        <w:rPr>
          <w:lang w:eastAsia="cs-CZ"/>
        </w:rPr>
      </w:pPr>
      <w:r w:rsidRPr="004C5551">
        <w:rPr>
          <w:noProof/>
        </w:rPr>
        <w:drawing>
          <wp:inline distT="0" distB="0" distL="0" distR="0" wp14:anchorId="5C535964" wp14:editId="049945D8">
            <wp:extent cx="5114261" cy="2052084"/>
            <wp:effectExtent l="0" t="0" r="0" b="0"/>
            <wp:docPr id="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631C1" w:rsidRPr="004C5551" w:rsidRDefault="00E631C1" w:rsidP="00E631C1">
      <w:pPr>
        <w:pStyle w:val="zdroj"/>
        <w:ind w:firstLine="1560"/>
        <w:rPr>
          <w:b/>
          <w:szCs w:val="22"/>
          <w:lang w:eastAsia="cs-CZ"/>
        </w:rPr>
      </w:pPr>
      <w:r w:rsidRPr="004C5551">
        <w:rPr>
          <w:color w:val="auto"/>
        </w:rPr>
        <w:t xml:space="preserve">Zdroj : Sociálna poisťovňa ; </w:t>
      </w:r>
      <w:r w:rsidRPr="004C5551">
        <w:rPr>
          <w:noProof/>
          <w:color w:val="auto"/>
        </w:rPr>
        <w:t>spracovanie: MPSVR SR</w:t>
      </w:r>
    </w:p>
    <w:p w:rsidR="00A201EB" w:rsidRPr="004C5551" w:rsidRDefault="00A201EB" w:rsidP="00A201EB">
      <w:pPr>
        <w:pStyle w:val="Nadpis7"/>
        <w:rPr>
          <w:rFonts w:eastAsia="Calibri"/>
        </w:rPr>
      </w:pPr>
      <w:r w:rsidRPr="004C5551">
        <w:rPr>
          <w:rFonts w:eastAsia="Calibri"/>
        </w:rPr>
        <w:t>Tabuľka</w:t>
      </w:r>
      <w:r w:rsidR="00900E22" w:rsidRPr="004C5551">
        <w:rPr>
          <w:rFonts w:eastAsia="Calibri"/>
        </w:rPr>
        <w:t xml:space="preserve"> 12</w:t>
      </w:r>
      <w:r w:rsidRPr="004C5551">
        <w:rPr>
          <w:rFonts w:eastAsia="Calibri"/>
          <w:i/>
          <w:iCs/>
        </w:rPr>
        <w:t xml:space="preserve"> </w:t>
      </w:r>
      <w:r w:rsidRPr="004C5551">
        <w:rPr>
          <w:rFonts w:eastAsia="Calibri"/>
        </w:rPr>
        <w:t>Vývoj počtu poberateľov resocializačného príspevku v roku 201</w:t>
      </w:r>
      <w:r w:rsidR="008A5815" w:rsidRPr="004C5551">
        <w:rPr>
          <w:rFonts w:eastAsia="Calibri"/>
        </w:rPr>
        <w:t>3</w:t>
      </w:r>
      <w:r w:rsidRPr="004C5551">
        <w:rPr>
          <w:rFonts w:eastAsia="Calibri"/>
        </w:rPr>
        <w:t xml:space="preserve"> a 201</w:t>
      </w:r>
      <w:r w:rsidR="008A5815" w:rsidRPr="004C5551">
        <w:rPr>
          <w:rFonts w:eastAsia="Calibri"/>
        </w:rPr>
        <w:t>4</w:t>
      </w:r>
    </w:p>
    <w:tbl>
      <w:tblPr>
        <w:tblW w:w="978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4"/>
        <w:gridCol w:w="568"/>
        <w:gridCol w:w="568"/>
        <w:gridCol w:w="567"/>
        <w:gridCol w:w="567"/>
        <w:gridCol w:w="567"/>
        <w:gridCol w:w="567"/>
        <w:gridCol w:w="567"/>
        <w:gridCol w:w="709"/>
        <w:gridCol w:w="567"/>
        <w:gridCol w:w="567"/>
        <w:gridCol w:w="567"/>
        <w:gridCol w:w="567"/>
        <w:gridCol w:w="962"/>
      </w:tblGrid>
      <w:tr w:rsidR="00A201EB" w:rsidRPr="004C5551" w:rsidTr="009509DB">
        <w:trPr>
          <w:trHeight w:val="683"/>
        </w:trPr>
        <w:tc>
          <w:tcPr>
            <w:tcW w:w="1874"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rPr>
            </w:pPr>
            <w:r w:rsidRPr="004C5551">
              <w:rPr>
                <w:rFonts w:eastAsia="Calibri"/>
                <w:b/>
                <w:bCs/>
              </w:rPr>
              <w:t>mesiac</w:t>
            </w:r>
          </w:p>
        </w:tc>
        <w:tc>
          <w:tcPr>
            <w:tcW w:w="568"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I.</w:t>
            </w:r>
          </w:p>
        </w:tc>
        <w:tc>
          <w:tcPr>
            <w:tcW w:w="568"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II</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III.</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IV.</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V.</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VI.</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VII.</w:t>
            </w:r>
          </w:p>
        </w:tc>
        <w:tc>
          <w:tcPr>
            <w:tcW w:w="709"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VIII.</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IX.</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X.</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XI.</w:t>
            </w:r>
          </w:p>
        </w:tc>
        <w:tc>
          <w:tcPr>
            <w:tcW w:w="567"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XII.</w:t>
            </w:r>
          </w:p>
        </w:tc>
        <w:tc>
          <w:tcPr>
            <w:tcW w:w="962"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rPr>
            </w:pPr>
            <w:r w:rsidRPr="004C5551">
              <w:rPr>
                <w:rFonts w:eastAsia="Calibri"/>
                <w:b/>
              </w:rPr>
              <w:t>SPOLU</w:t>
            </w:r>
          </w:p>
        </w:tc>
      </w:tr>
      <w:tr w:rsidR="00A201EB" w:rsidRPr="004C5551" w:rsidTr="00696532">
        <w:trPr>
          <w:trHeight w:val="545"/>
        </w:trPr>
        <w:tc>
          <w:tcPr>
            <w:tcW w:w="1874" w:type="dxa"/>
            <w:shd w:val="clear" w:color="auto" w:fill="auto"/>
            <w:vAlign w:val="center"/>
          </w:tcPr>
          <w:p w:rsidR="00A201EB" w:rsidRPr="004C5551" w:rsidRDefault="00A201EB" w:rsidP="00696532">
            <w:pPr>
              <w:keepNext/>
              <w:autoSpaceDE w:val="0"/>
              <w:autoSpaceDN w:val="0"/>
              <w:ind w:right="75"/>
              <w:jc w:val="center"/>
              <w:rPr>
                <w:rFonts w:eastAsia="Calibri"/>
                <w:bCs/>
              </w:rPr>
            </w:pPr>
            <w:r w:rsidRPr="004C5551">
              <w:rPr>
                <w:rFonts w:eastAsia="Calibri"/>
                <w:bCs/>
              </w:rPr>
              <w:t>počet poberateľov 2013</w:t>
            </w:r>
          </w:p>
        </w:tc>
        <w:tc>
          <w:tcPr>
            <w:tcW w:w="568"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588</w:t>
            </w:r>
          </w:p>
        </w:tc>
        <w:tc>
          <w:tcPr>
            <w:tcW w:w="568"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200</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242</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228</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234</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202</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226</w:t>
            </w:r>
          </w:p>
        </w:tc>
        <w:tc>
          <w:tcPr>
            <w:tcW w:w="709"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188</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179</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246</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200</w:t>
            </w:r>
          </w:p>
        </w:tc>
        <w:tc>
          <w:tcPr>
            <w:tcW w:w="567" w:type="dxa"/>
            <w:shd w:val="clear" w:color="auto" w:fill="auto"/>
            <w:vAlign w:val="center"/>
          </w:tcPr>
          <w:p w:rsidR="00A201EB" w:rsidRPr="004C5551" w:rsidRDefault="00A201EB" w:rsidP="00696532">
            <w:pPr>
              <w:keepNext/>
              <w:autoSpaceDE w:val="0"/>
              <w:autoSpaceDN w:val="0"/>
              <w:ind w:right="75"/>
              <w:jc w:val="center"/>
              <w:rPr>
                <w:rFonts w:eastAsia="Calibri"/>
              </w:rPr>
            </w:pPr>
            <w:r w:rsidRPr="004C5551">
              <w:rPr>
                <w:rFonts w:eastAsia="Calibri"/>
              </w:rPr>
              <w:t>265</w:t>
            </w:r>
          </w:p>
        </w:tc>
        <w:tc>
          <w:tcPr>
            <w:tcW w:w="962" w:type="dxa"/>
            <w:shd w:val="clear" w:color="auto" w:fill="auto"/>
            <w:vAlign w:val="center"/>
          </w:tcPr>
          <w:p w:rsidR="00A201EB" w:rsidRPr="004C5551" w:rsidRDefault="00A201EB" w:rsidP="00696532">
            <w:pPr>
              <w:keepNext/>
              <w:autoSpaceDE w:val="0"/>
              <w:autoSpaceDN w:val="0"/>
              <w:ind w:right="75"/>
              <w:jc w:val="center"/>
              <w:rPr>
                <w:rFonts w:eastAsia="Calibri"/>
                <w:b/>
              </w:rPr>
            </w:pPr>
            <w:r w:rsidRPr="004C5551">
              <w:rPr>
                <w:rFonts w:eastAsia="Calibri"/>
                <w:b/>
              </w:rPr>
              <w:t>2 998</w:t>
            </w:r>
          </w:p>
        </w:tc>
      </w:tr>
      <w:tr w:rsidR="008A5815" w:rsidRPr="004C5551" w:rsidTr="00696532">
        <w:trPr>
          <w:trHeight w:val="545"/>
        </w:trPr>
        <w:tc>
          <w:tcPr>
            <w:tcW w:w="1874" w:type="dxa"/>
            <w:shd w:val="clear" w:color="auto" w:fill="auto"/>
            <w:vAlign w:val="center"/>
          </w:tcPr>
          <w:p w:rsidR="008A5815" w:rsidRPr="004C5551" w:rsidRDefault="008A5815" w:rsidP="008A5815">
            <w:pPr>
              <w:keepNext/>
              <w:autoSpaceDE w:val="0"/>
              <w:autoSpaceDN w:val="0"/>
              <w:ind w:right="75"/>
              <w:jc w:val="center"/>
              <w:rPr>
                <w:rFonts w:eastAsia="Calibri"/>
                <w:bCs/>
              </w:rPr>
            </w:pPr>
            <w:r w:rsidRPr="004C5551">
              <w:rPr>
                <w:rFonts w:eastAsia="Calibri"/>
                <w:bCs/>
              </w:rPr>
              <w:t>počet poberateľov</w:t>
            </w:r>
          </w:p>
          <w:p w:rsidR="008A5815" w:rsidRPr="004C5551" w:rsidRDefault="008A5815" w:rsidP="008A5815">
            <w:pPr>
              <w:keepNext/>
              <w:autoSpaceDE w:val="0"/>
              <w:autoSpaceDN w:val="0"/>
              <w:ind w:right="75"/>
              <w:jc w:val="center"/>
              <w:rPr>
                <w:rFonts w:eastAsia="Calibri"/>
                <w:bCs/>
              </w:rPr>
            </w:pPr>
            <w:r w:rsidRPr="004C5551">
              <w:rPr>
                <w:rFonts w:eastAsia="Calibri"/>
                <w:bCs/>
              </w:rPr>
              <w:t>2014</w:t>
            </w:r>
          </w:p>
        </w:tc>
        <w:tc>
          <w:tcPr>
            <w:tcW w:w="568"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232</w:t>
            </w:r>
          </w:p>
        </w:tc>
        <w:tc>
          <w:tcPr>
            <w:tcW w:w="568"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210</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224</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219</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235</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202</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267</w:t>
            </w:r>
          </w:p>
        </w:tc>
        <w:tc>
          <w:tcPr>
            <w:tcW w:w="709"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178</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262</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263</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265</w:t>
            </w:r>
          </w:p>
        </w:tc>
        <w:tc>
          <w:tcPr>
            <w:tcW w:w="567" w:type="dxa"/>
            <w:shd w:val="clear" w:color="auto" w:fill="auto"/>
            <w:vAlign w:val="center"/>
          </w:tcPr>
          <w:p w:rsidR="008A5815" w:rsidRPr="004C5551" w:rsidRDefault="008A5815" w:rsidP="00696532">
            <w:pPr>
              <w:keepNext/>
              <w:autoSpaceDE w:val="0"/>
              <w:autoSpaceDN w:val="0"/>
              <w:ind w:right="75"/>
              <w:jc w:val="center"/>
              <w:rPr>
                <w:rFonts w:eastAsia="Calibri"/>
              </w:rPr>
            </w:pPr>
            <w:r w:rsidRPr="004C5551">
              <w:rPr>
                <w:rFonts w:eastAsia="Calibri"/>
              </w:rPr>
              <w:t>325</w:t>
            </w:r>
          </w:p>
        </w:tc>
        <w:tc>
          <w:tcPr>
            <w:tcW w:w="962" w:type="dxa"/>
            <w:shd w:val="clear" w:color="auto" w:fill="auto"/>
            <w:vAlign w:val="center"/>
          </w:tcPr>
          <w:p w:rsidR="008A5815" w:rsidRPr="004C5551" w:rsidRDefault="008A5815" w:rsidP="00696532">
            <w:pPr>
              <w:keepNext/>
              <w:autoSpaceDE w:val="0"/>
              <w:autoSpaceDN w:val="0"/>
              <w:ind w:right="75"/>
              <w:jc w:val="center"/>
              <w:rPr>
                <w:rFonts w:eastAsia="Calibri"/>
                <w:b/>
              </w:rPr>
            </w:pPr>
            <w:r w:rsidRPr="004C5551">
              <w:rPr>
                <w:rFonts w:eastAsia="Calibri"/>
                <w:b/>
              </w:rPr>
              <w:t>2 882</w:t>
            </w:r>
          </w:p>
        </w:tc>
      </w:tr>
    </w:tbl>
    <w:p w:rsidR="00A201EB" w:rsidRPr="004C5551" w:rsidRDefault="00A201EB" w:rsidP="00A201EB">
      <w:pPr>
        <w:pStyle w:val="zdroj"/>
        <w:rPr>
          <w:rFonts w:eastAsia="Calibri"/>
          <w:color w:val="auto"/>
        </w:rPr>
      </w:pPr>
      <w:r w:rsidRPr="004C5551">
        <w:rPr>
          <w:rFonts w:eastAsia="Calibri"/>
        </w:rPr>
        <w:t>Zdroj: RSD MIS</w:t>
      </w:r>
    </w:p>
    <w:p w:rsidR="0084617B" w:rsidRPr="004C5551" w:rsidRDefault="0084617B" w:rsidP="0084617B">
      <w:pPr>
        <w:rPr>
          <w:rFonts w:eastAsia="Calibri"/>
          <w:bCs/>
          <w:sz w:val="24"/>
        </w:rPr>
      </w:pPr>
    </w:p>
    <w:p w:rsidR="00A201EB" w:rsidRPr="004C5551" w:rsidRDefault="00A201EB" w:rsidP="000E7144">
      <w:pPr>
        <w:pStyle w:val="Nadpis7"/>
        <w:spacing w:before="120"/>
        <w:rPr>
          <w:rFonts w:eastAsia="Calibri"/>
        </w:rPr>
      </w:pPr>
      <w:r w:rsidRPr="004C5551">
        <w:rPr>
          <w:rFonts w:eastAsia="Calibri"/>
        </w:rPr>
        <w:t>Tabuľka 1</w:t>
      </w:r>
      <w:r w:rsidR="00900E22" w:rsidRPr="004C5551">
        <w:rPr>
          <w:rFonts w:eastAsia="Calibri"/>
        </w:rPr>
        <w:t>3</w:t>
      </w:r>
      <w:r w:rsidRPr="004C5551">
        <w:rPr>
          <w:rFonts w:eastAsia="Calibri"/>
        </w:rPr>
        <w:t xml:space="preserve"> Vývoj čerpania finančných prostriedkov na resocializačný príspevok </w:t>
      </w:r>
      <w:r w:rsidRPr="004C5551">
        <w:rPr>
          <w:rFonts w:eastAsia="Calibri"/>
        </w:rPr>
        <w:br/>
        <w:t>za roky 201</w:t>
      </w:r>
      <w:r w:rsidR="008A5815" w:rsidRPr="004C5551">
        <w:rPr>
          <w:rFonts w:eastAsia="Calibri"/>
        </w:rPr>
        <w:t>3</w:t>
      </w:r>
      <w:r w:rsidRPr="004C5551">
        <w:rPr>
          <w:rFonts w:eastAsia="Calibri"/>
        </w:rPr>
        <w:t xml:space="preserve"> a 201</w:t>
      </w:r>
      <w:r w:rsidR="008A5815" w:rsidRPr="004C5551">
        <w:rPr>
          <w:rFonts w:eastAsia="Calibri"/>
        </w:rPr>
        <w:t>4</w:t>
      </w:r>
      <w:r w:rsidRPr="004C5551">
        <w:rPr>
          <w:rFonts w:eastAsia="Calibri"/>
        </w:rPr>
        <w:t xml:space="preserve"> (v </w:t>
      </w:r>
      <w:r w:rsidR="00AA0137" w:rsidRPr="004C5551">
        <w:rPr>
          <w:rFonts w:eastAsia="Calibri"/>
        </w:rPr>
        <w:t>€</w:t>
      </w:r>
      <w:r w:rsidRPr="004C5551">
        <w:rPr>
          <w:rFonts w:eastAsia="Calibri"/>
        </w:rPr>
        <w:t>)</w:t>
      </w:r>
    </w:p>
    <w:tbl>
      <w:tblPr>
        <w:tblW w:w="10305"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6"/>
        <w:gridCol w:w="695"/>
        <w:gridCol w:w="694"/>
        <w:gridCol w:w="795"/>
        <w:gridCol w:w="721"/>
        <w:gridCol w:w="616"/>
        <w:gridCol w:w="695"/>
        <w:gridCol w:w="695"/>
        <w:gridCol w:w="694"/>
        <w:gridCol w:w="695"/>
        <w:gridCol w:w="695"/>
        <w:gridCol w:w="695"/>
        <w:gridCol w:w="694"/>
        <w:gridCol w:w="815"/>
      </w:tblGrid>
      <w:tr w:rsidR="00A201EB" w:rsidRPr="004C5551" w:rsidTr="009509DB">
        <w:trPr>
          <w:trHeight w:val="558"/>
        </w:trPr>
        <w:tc>
          <w:tcPr>
            <w:tcW w:w="1106" w:type="dxa"/>
            <w:shd w:val="clear" w:color="auto" w:fill="FF9999" w:themeFill="accent3" w:themeFillTint="66"/>
            <w:vAlign w:val="center"/>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mesiac</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I.</w:t>
            </w:r>
          </w:p>
        </w:tc>
        <w:tc>
          <w:tcPr>
            <w:tcW w:w="694"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II.</w:t>
            </w:r>
          </w:p>
        </w:tc>
        <w:tc>
          <w:tcPr>
            <w:tcW w:w="7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III.</w:t>
            </w:r>
          </w:p>
        </w:tc>
        <w:tc>
          <w:tcPr>
            <w:tcW w:w="721"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IV.</w:t>
            </w:r>
          </w:p>
        </w:tc>
        <w:tc>
          <w:tcPr>
            <w:tcW w:w="616"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V.</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VI.</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VII.</w:t>
            </w:r>
          </w:p>
        </w:tc>
        <w:tc>
          <w:tcPr>
            <w:tcW w:w="694"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VIII.</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IX.</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X.</w:t>
            </w:r>
          </w:p>
        </w:tc>
        <w:tc>
          <w:tcPr>
            <w:tcW w:w="695"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XI.</w:t>
            </w:r>
          </w:p>
        </w:tc>
        <w:tc>
          <w:tcPr>
            <w:tcW w:w="694" w:type="dxa"/>
            <w:shd w:val="clear" w:color="auto" w:fill="FF9999" w:themeFill="accent3" w:themeFillTint="66"/>
            <w:vAlign w:val="center"/>
            <w:hideMark/>
          </w:tcPr>
          <w:p w:rsidR="00A201EB" w:rsidRPr="004C5551" w:rsidRDefault="00A201EB" w:rsidP="00696532">
            <w:pPr>
              <w:keepNext/>
              <w:autoSpaceDE w:val="0"/>
              <w:autoSpaceDN w:val="0"/>
              <w:ind w:right="75"/>
              <w:jc w:val="center"/>
              <w:rPr>
                <w:rFonts w:eastAsia="Calibri"/>
                <w:b/>
                <w:bCs/>
                <w:sz w:val="20"/>
                <w:szCs w:val="20"/>
              </w:rPr>
            </w:pPr>
            <w:r w:rsidRPr="004C5551">
              <w:rPr>
                <w:rFonts w:eastAsia="Calibri"/>
                <w:b/>
                <w:bCs/>
                <w:sz w:val="20"/>
                <w:szCs w:val="20"/>
              </w:rPr>
              <w:t>XII.</w:t>
            </w:r>
          </w:p>
        </w:tc>
        <w:tc>
          <w:tcPr>
            <w:tcW w:w="815" w:type="dxa"/>
            <w:shd w:val="clear" w:color="auto" w:fill="FF9999" w:themeFill="accent3" w:themeFillTint="66"/>
            <w:vAlign w:val="center"/>
            <w:hideMark/>
          </w:tcPr>
          <w:p w:rsidR="00A201EB" w:rsidRPr="004C5551" w:rsidRDefault="00EB5631" w:rsidP="00696532">
            <w:pPr>
              <w:keepNext/>
              <w:autoSpaceDE w:val="0"/>
              <w:autoSpaceDN w:val="0"/>
              <w:ind w:right="75"/>
              <w:jc w:val="center"/>
              <w:rPr>
                <w:rFonts w:eastAsia="Calibri"/>
                <w:b/>
                <w:bCs/>
                <w:sz w:val="20"/>
                <w:szCs w:val="20"/>
              </w:rPr>
            </w:pPr>
            <w:r w:rsidRPr="004C5551">
              <w:rPr>
                <w:rFonts w:eastAsia="Calibri"/>
                <w:b/>
                <w:bCs/>
                <w:sz w:val="20"/>
                <w:szCs w:val="20"/>
              </w:rPr>
              <w:t>SPOLU</w:t>
            </w:r>
          </w:p>
        </w:tc>
      </w:tr>
      <w:tr w:rsidR="00A201EB" w:rsidRPr="004C5551" w:rsidTr="00696532">
        <w:trPr>
          <w:trHeight w:val="937"/>
        </w:trPr>
        <w:tc>
          <w:tcPr>
            <w:tcW w:w="1106" w:type="dxa"/>
            <w:shd w:val="clear" w:color="auto" w:fill="auto"/>
            <w:vAlign w:val="center"/>
          </w:tcPr>
          <w:p w:rsidR="00A201EB" w:rsidRPr="004C5551" w:rsidRDefault="00A201EB" w:rsidP="00696532">
            <w:pPr>
              <w:keepNext/>
              <w:autoSpaceDE w:val="0"/>
              <w:autoSpaceDN w:val="0"/>
              <w:ind w:right="75"/>
              <w:jc w:val="center"/>
              <w:rPr>
                <w:rFonts w:eastAsia="Calibri"/>
                <w:bCs/>
                <w:sz w:val="20"/>
                <w:szCs w:val="20"/>
              </w:rPr>
            </w:pPr>
            <w:r w:rsidRPr="004C5551">
              <w:rPr>
                <w:rFonts w:eastAsia="Calibri"/>
                <w:bCs/>
                <w:sz w:val="20"/>
                <w:szCs w:val="20"/>
              </w:rPr>
              <w:t>Výška finančných prostriedkov 2013</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30 140</w:t>
            </w:r>
          </w:p>
        </w:tc>
        <w:tc>
          <w:tcPr>
            <w:tcW w:w="694"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10 127</w:t>
            </w:r>
          </w:p>
        </w:tc>
        <w:tc>
          <w:tcPr>
            <w:tcW w:w="7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12 576</w:t>
            </w:r>
          </w:p>
        </w:tc>
        <w:tc>
          <w:tcPr>
            <w:tcW w:w="721"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12 067</w:t>
            </w:r>
          </w:p>
        </w:tc>
        <w:tc>
          <w:tcPr>
            <w:tcW w:w="616"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12 915</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11 059</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12 611</w:t>
            </w:r>
          </w:p>
        </w:tc>
        <w:tc>
          <w:tcPr>
            <w:tcW w:w="694"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10 512</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10 112</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13 570</w:t>
            </w:r>
          </w:p>
        </w:tc>
        <w:tc>
          <w:tcPr>
            <w:tcW w:w="695"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11 139</w:t>
            </w:r>
          </w:p>
        </w:tc>
        <w:tc>
          <w:tcPr>
            <w:tcW w:w="694" w:type="dxa"/>
            <w:shd w:val="clear" w:color="auto" w:fill="auto"/>
            <w:vAlign w:val="center"/>
          </w:tcPr>
          <w:p w:rsidR="00A201EB" w:rsidRPr="004C5551" w:rsidRDefault="00A201EB" w:rsidP="00696532">
            <w:pPr>
              <w:keepNext/>
              <w:autoSpaceDE w:val="0"/>
              <w:autoSpaceDN w:val="0"/>
              <w:ind w:right="75"/>
              <w:jc w:val="center"/>
              <w:rPr>
                <w:rFonts w:eastAsia="Calibri"/>
                <w:bCs/>
                <w:sz w:val="18"/>
                <w:szCs w:val="18"/>
              </w:rPr>
            </w:pPr>
            <w:r w:rsidRPr="004C5551">
              <w:rPr>
                <w:rFonts w:eastAsia="Calibri"/>
                <w:bCs/>
                <w:sz w:val="18"/>
                <w:szCs w:val="18"/>
              </w:rPr>
              <w:t>16 172</w:t>
            </w:r>
          </w:p>
        </w:tc>
        <w:tc>
          <w:tcPr>
            <w:tcW w:w="815" w:type="dxa"/>
            <w:shd w:val="clear" w:color="auto" w:fill="auto"/>
            <w:vAlign w:val="center"/>
          </w:tcPr>
          <w:p w:rsidR="00A201EB" w:rsidRPr="004C5551" w:rsidRDefault="00A201EB" w:rsidP="00696532">
            <w:pPr>
              <w:keepNext/>
              <w:autoSpaceDE w:val="0"/>
              <w:autoSpaceDN w:val="0"/>
              <w:ind w:right="75"/>
              <w:jc w:val="center"/>
              <w:rPr>
                <w:rFonts w:eastAsia="Calibri"/>
                <w:b/>
                <w:bCs/>
                <w:sz w:val="18"/>
                <w:szCs w:val="18"/>
              </w:rPr>
            </w:pPr>
            <w:r w:rsidRPr="004C5551">
              <w:rPr>
                <w:rFonts w:eastAsia="Calibri"/>
                <w:b/>
                <w:bCs/>
                <w:sz w:val="18"/>
                <w:szCs w:val="18"/>
              </w:rPr>
              <w:t>163 000</w:t>
            </w:r>
          </w:p>
        </w:tc>
      </w:tr>
      <w:tr w:rsidR="008A5815" w:rsidRPr="004C5551" w:rsidTr="00696532">
        <w:trPr>
          <w:trHeight w:val="937"/>
        </w:trPr>
        <w:tc>
          <w:tcPr>
            <w:tcW w:w="1106" w:type="dxa"/>
            <w:shd w:val="clear" w:color="auto" w:fill="auto"/>
            <w:vAlign w:val="center"/>
          </w:tcPr>
          <w:p w:rsidR="008A5815" w:rsidRPr="004C5551" w:rsidRDefault="008A5815" w:rsidP="00333BB6">
            <w:pPr>
              <w:keepNext/>
              <w:autoSpaceDE w:val="0"/>
              <w:autoSpaceDN w:val="0"/>
              <w:ind w:right="75"/>
              <w:jc w:val="center"/>
              <w:rPr>
                <w:rFonts w:eastAsia="Calibri"/>
                <w:bCs/>
                <w:sz w:val="20"/>
                <w:szCs w:val="20"/>
              </w:rPr>
            </w:pPr>
            <w:r w:rsidRPr="004C5551">
              <w:rPr>
                <w:rFonts w:eastAsia="Calibri"/>
                <w:bCs/>
                <w:sz w:val="20"/>
                <w:szCs w:val="20"/>
              </w:rPr>
              <w:t>výška finančných prostriedkov 201</w:t>
            </w:r>
            <w:r w:rsidR="00333BB6" w:rsidRPr="004C5551">
              <w:rPr>
                <w:rFonts w:eastAsia="Calibri"/>
                <w:bCs/>
                <w:sz w:val="20"/>
                <w:szCs w:val="20"/>
              </w:rPr>
              <w:t>4</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12 714</w:t>
            </w:r>
          </w:p>
        </w:tc>
        <w:tc>
          <w:tcPr>
            <w:tcW w:w="694"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11 698</w:t>
            </w:r>
          </w:p>
        </w:tc>
        <w:tc>
          <w:tcPr>
            <w:tcW w:w="7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12 209</w:t>
            </w:r>
          </w:p>
        </w:tc>
        <w:tc>
          <w:tcPr>
            <w:tcW w:w="721"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12 389</w:t>
            </w:r>
          </w:p>
        </w:tc>
        <w:tc>
          <w:tcPr>
            <w:tcW w:w="616"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13 176</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11 336</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15 977</w:t>
            </w:r>
          </w:p>
        </w:tc>
        <w:tc>
          <w:tcPr>
            <w:tcW w:w="694"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9 654</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14 956</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13 793</w:t>
            </w:r>
          </w:p>
        </w:tc>
        <w:tc>
          <w:tcPr>
            <w:tcW w:w="695"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15 085</w:t>
            </w:r>
          </w:p>
        </w:tc>
        <w:tc>
          <w:tcPr>
            <w:tcW w:w="694" w:type="dxa"/>
            <w:shd w:val="clear" w:color="auto" w:fill="auto"/>
            <w:vAlign w:val="center"/>
          </w:tcPr>
          <w:p w:rsidR="008A5815" w:rsidRPr="004C5551" w:rsidRDefault="00333BB6" w:rsidP="00696532">
            <w:pPr>
              <w:keepNext/>
              <w:autoSpaceDE w:val="0"/>
              <w:autoSpaceDN w:val="0"/>
              <w:ind w:right="75"/>
              <w:jc w:val="center"/>
              <w:rPr>
                <w:rFonts w:eastAsia="Calibri"/>
                <w:bCs/>
                <w:sz w:val="18"/>
                <w:szCs w:val="18"/>
              </w:rPr>
            </w:pPr>
            <w:r w:rsidRPr="004C5551">
              <w:rPr>
                <w:rFonts w:eastAsia="Calibri"/>
                <w:bCs/>
                <w:sz w:val="18"/>
                <w:szCs w:val="18"/>
              </w:rPr>
              <w:t>19 492</w:t>
            </w:r>
          </w:p>
        </w:tc>
        <w:tc>
          <w:tcPr>
            <w:tcW w:w="815" w:type="dxa"/>
            <w:shd w:val="clear" w:color="auto" w:fill="auto"/>
            <w:vAlign w:val="center"/>
          </w:tcPr>
          <w:p w:rsidR="008A5815" w:rsidRPr="004C5551" w:rsidRDefault="00333BB6" w:rsidP="00696532">
            <w:pPr>
              <w:keepNext/>
              <w:autoSpaceDE w:val="0"/>
              <w:autoSpaceDN w:val="0"/>
              <w:ind w:right="75"/>
              <w:jc w:val="center"/>
              <w:rPr>
                <w:rFonts w:eastAsia="Calibri"/>
                <w:b/>
                <w:bCs/>
                <w:sz w:val="18"/>
                <w:szCs w:val="18"/>
              </w:rPr>
            </w:pPr>
            <w:r w:rsidRPr="004C5551">
              <w:rPr>
                <w:rFonts w:eastAsia="Calibri"/>
                <w:b/>
                <w:bCs/>
                <w:sz w:val="18"/>
                <w:szCs w:val="18"/>
              </w:rPr>
              <w:t>162 479</w:t>
            </w:r>
          </w:p>
        </w:tc>
      </w:tr>
    </w:tbl>
    <w:p w:rsidR="00A201EB" w:rsidRPr="004C5551" w:rsidRDefault="00A201EB" w:rsidP="00A201EB">
      <w:pPr>
        <w:pStyle w:val="zdroj"/>
        <w:rPr>
          <w:rFonts w:eastAsia="Calibri"/>
        </w:rPr>
      </w:pPr>
      <w:r w:rsidRPr="004C5551">
        <w:rPr>
          <w:rFonts w:eastAsia="Calibri"/>
        </w:rPr>
        <w:t>Zdroj: RSD MIS</w:t>
      </w:r>
    </w:p>
    <w:p w:rsidR="00E61062" w:rsidRPr="004C5551" w:rsidRDefault="00E61062" w:rsidP="00E61062"/>
    <w:p w:rsidR="00B23ACD" w:rsidRPr="004C5551" w:rsidRDefault="00B23ACD" w:rsidP="000E7144">
      <w:pPr>
        <w:pStyle w:val="Nadpis7"/>
        <w:spacing w:before="120"/>
      </w:pPr>
      <w:r w:rsidRPr="004C5551">
        <w:t>Tabuľka 1</w:t>
      </w:r>
      <w:r w:rsidR="00900E22" w:rsidRPr="004C5551">
        <w:t>4</w:t>
      </w:r>
      <w:r w:rsidR="0016196A" w:rsidRPr="004C5551">
        <w:t xml:space="preserve"> </w:t>
      </w:r>
      <w:r w:rsidRPr="004C5551">
        <w:t>Pomoc deťom týraným, sexuálne zneužívaným a šikanovaným v roku 201</w:t>
      </w:r>
      <w:r w:rsidR="00E61062" w:rsidRPr="004C5551">
        <w:t>4</w:t>
      </w:r>
    </w:p>
    <w:tbl>
      <w:tblPr>
        <w:tblStyle w:val="Mkatabulky1"/>
        <w:tblW w:w="9189" w:type="dxa"/>
        <w:tblLook w:val="04A0" w:firstRow="1" w:lastRow="0" w:firstColumn="1" w:lastColumn="0" w:noHBand="0" w:noVBand="1"/>
      </w:tblPr>
      <w:tblGrid>
        <w:gridCol w:w="1342"/>
        <w:gridCol w:w="623"/>
        <w:gridCol w:w="1058"/>
        <w:gridCol w:w="937"/>
        <w:gridCol w:w="1145"/>
        <w:gridCol w:w="1316"/>
        <w:gridCol w:w="524"/>
        <w:gridCol w:w="1469"/>
        <w:gridCol w:w="775"/>
      </w:tblGrid>
      <w:tr w:rsidR="0084617B" w:rsidRPr="004C5551" w:rsidTr="00002192">
        <w:trPr>
          <w:trHeight w:val="1413"/>
        </w:trPr>
        <w:tc>
          <w:tcPr>
            <w:tcW w:w="3023" w:type="dxa"/>
            <w:gridSpan w:val="3"/>
            <w:shd w:val="clear" w:color="auto" w:fill="FF9999" w:themeFill="accent3" w:themeFillTint="66"/>
            <w:vAlign w:val="center"/>
            <w:hideMark/>
          </w:tcPr>
          <w:p w:rsidR="0084617B" w:rsidRPr="004C5551" w:rsidRDefault="0084617B" w:rsidP="0084617B">
            <w:pPr>
              <w:jc w:val="center"/>
              <w:rPr>
                <w:b/>
                <w:bCs/>
              </w:rPr>
            </w:pPr>
            <w:r w:rsidRPr="004C5551">
              <w:rPr>
                <w:b/>
                <w:bCs/>
              </w:rPr>
              <w:t>Pomoc deťom týraným, sexuálne zneužívaným a šikanovaným</w:t>
            </w:r>
          </w:p>
        </w:tc>
        <w:tc>
          <w:tcPr>
            <w:tcW w:w="937" w:type="dxa"/>
            <w:shd w:val="clear" w:color="auto" w:fill="FF9999" w:themeFill="accent3" w:themeFillTint="66"/>
            <w:vAlign w:val="center"/>
            <w:hideMark/>
          </w:tcPr>
          <w:p w:rsidR="0084617B" w:rsidRPr="004C5551" w:rsidRDefault="0084617B" w:rsidP="0084617B">
            <w:pPr>
              <w:jc w:val="center"/>
              <w:rPr>
                <w:b/>
              </w:rPr>
            </w:pPr>
            <w:r w:rsidRPr="004C5551">
              <w:rPr>
                <w:b/>
              </w:rPr>
              <w:t>Fyzické týranie</w:t>
            </w:r>
          </w:p>
        </w:tc>
        <w:tc>
          <w:tcPr>
            <w:tcW w:w="1145" w:type="dxa"/>
            <w:shd w:val="clear" w:color="auto" w:fill="FF9999" w:themeFill="accent3" w:themeFillTint="66"/>
            <w:vAlign w:val="center"/>
            <w:hideMark/>
          </w:tcPr>
          <w:p w:rsidR="0084617B" w:rsidRPr="004C5551" w:rsidRDefault="0084617B" w:rsidP="0084617B">
            <w:pPr>
              <w:jc w:val="center"/>
              <w:rPr>
                <w:b/>
              </w:rPr>
            </w:pPr>
            <w:r w:rsidRPr="004C5551">
              <w:rPr>
                <w:b/>
              </w:rPr>
              <w:t>Psychické týranie</w:t>
            </w:r>
          </w:p>
        </w:tc>
        <w:tc>
          <w:tcPr>
            <w:tcW w:w="1316" w:type="dxa"/>
            <w:shd w:val="clear" w:color="auto" w:fill="FF9999" w:themeFill="accent3" w:themeFillTint="66"/>
            <w:vAlign w:val="center"/>
            <w:hideMark/>
          </w:tcPr>
          <w:p w:rsidR="0084617B" w:rsidRPr="004C5551" w:rsidRDefault="0084617B" w:rsidP="0084617B">
            <w:pPr>
              <w:jc w:val="center"/>
              <w:rPr>
                <w:b/>
              </w:rPr>
            </w:pPr>
            <w:r w:rsidRPr="004C5551">
              <w:rPr>
                <w:b/>
              </w:rPr>
              <w:t>Sexuálne zneužívanie</w:t>
            </w:r>
          </w:p>
        </w:tc>
        <w:tc>
          <w:tcPr>
            <w:tcW w:w="524" w:type="dxa"/>
            <w:shd w:val="clear" w:color="auto" w:fill="FF9999" w:themeFill="accent3" w:themeFillTint="66"/>
            <w:textDirection w:val="btLr"/>
            <w:vAlign w:val="center"/>
            <w:hideMark/>
          </w:tcPr>
          <w:p w:rsidR="0084617B" w:rsidRPr="004C5551" w:rsidRDefault="0084617B" w:rsidP="0084617B">
            <w:pPr>
              <w:jc w:val="center"/>
              <w:rPr>
                <w:b/>
              </w:rPr>
            </w:pPr>
            <w:r w:rsidRPr="004C5551">
              <w:rPr>
                <w:b/>
              </w:rPr>
              <w:t>Šikanovanie</w:t>
            </w:r>
          </w:p>
        </w:tc>
        <w:tc>
          <w:tcPr>
            <w:tcW w:w="1469" w:type="dxa"/>
            <w:shd w:val="clear" w:color="auto" w:fill="FF9999" w:themeFill="accent3" w:themeFillTint="66"/>
            <w:vAlign w:val="center"/>
            <w:hideMark/>
          </w:tcPr>
          <w:p w:rsidR="0084617B" w:rsidRPr="004C5551" w:rsidRDefault="0084617B" w:rsidP="0084617B">
            <w:pPr>
              <w:jc w:val="center"/>
              <w:rPr>
                <w:b/>
              </w:rPr>
            </w:pPr>
            <w:r w:rsidRPr="004C5551">
              <w:rPr>
                <w:b/>
              </w:rPr>
              <w:t>Využívanie na komerčné účely (pornografia, prostitúcia)</w:t>
            </w:r>
          </w:p>
        </w:tc>
        <w:tc>
          <w:tcPr>
            <w:tcW w:w="775" w:type="dxa"/>
            <w:shd w:val="clear" w:color="auto" w:fill="FF9999" w:themeFill="accent3" w:themeFillTint="66"/>
            <w:vAlign w:val="center"/>
            <w:hideMark/>
          </w:tcPr>
          <w:p w:rsidR="0084617B" w:rsidRPr="004C5551" w:rsidRDefault="0084617B" w:rsidP="0084617B">
            <w:pPr>
              <w:jc w:val="center"/>
              <w:rPr>
                <w:b/>
              </w:rPr>
            </w:pPr>
            <w:r w:rsidRPr="004C5551">
              <w:rPr>
                <w:b/>
              </w:rPr>
              <w:t>Spolu</w:t>
            </w:r>
          </w:p>
        </w:tc>
      </w:tr>
      <w:tr w:rsidR="00E61062" w:rsidRPr="004C5551" w:rsidTr="004A598D">
        <w:trPr>
          <w:trHeight w:val="385"/>
        </w:trPr>
        <w:tc>
          <w:tcPr>
            <w:tcW w:w="1342" w:type="dxa"/>
            <w:vMerge w:val="restart"/>
            <w:vAlign w:val="center"/>
            <w:hideMark/>
          </w:tcPr>
          <w:p w:rsidR="00E61062" w:rsidRPr="004C5551" w:rsidRDefault="00E61062" w:rsidP="004A598D">
            <w:pPr>
              <w:jc w:val="left"/>
            </w:pPr>
            <w:r w:rsidRPr="004C5551">
              <w:t xml:space="preserve">Počet evidovaných detí </w:t>
            </w:r>
          </w:p>
        </w:tc>
        <w:tc>
          <w:tcPr>
            <w:tcW w:w="1681" w:type="dxa"/>
            <w:gridSpan w:val="2"/>
            <w:vAlign w:val="center"/>
            <w:hideMark/>
          </w:tcPr>
          <w:p w:rsidR="00E61062" w:rsidRPr="004C5551" w:rsidRDefault="00E61062" w:rsidP="004A598D">
            <w:pPr>
              <w:jc w:val="left"/>
              <w:rPr>
                <w:b/>
                <w:bCs/>
              </w:rPr>
            </w:pPr>
            <w:r w:rsidRPr="004C5551">
              <w:rPr>
                <w:b/>
                <w:bCs/>
              </w:rPr>
              <w:t>Spolu</w:t>
            </w:r>
          </w:p>
        </w:tc>
        <w:tc>
          <w:tcPr>
            <w:tcW w:w="937" w:type="dxa"/>
            <w:vAlign w:val="center"/>
            <w:hideMark/>
          </w:tcPr>
          <w:p w:rsidR="00E61062" w:rsidRPr="004C5551" w:rsidRDefault="00E61062" w:rsidP="004A598D">
            <w:pPr>
              <w:jc w:val="right"/>
              <w:rPr>
                <w:b/>
                <w:bCs/>
              </w:rPr>
            </w:pPr>
            <w:r w:rsidRPr="004C5551">
              <w:rPr>
                <w:b/>
                <w:bCs/>
              </w:rPr>
              <w:t>217</w:t>
            </w:r>
          </w:p>
        </w:tc>
        <w:tc>
          <w:tcPr>
            <w:tcW w:w="1145" w:type="dxa"/>
            <w:vAlign w:val="center"/>
            <w:hideMark/>
          </w:tcPr>
          <w:p w:rsidR="00E61062" w:rsidRPr="004C5551" w:rsidRDefault="00E61062" w:rsidP="004A598D">
            <w:pPr>
              <w:jc w:val="right"/>
              <w:rPr>
                <w:b/>
                <w:bCs/>
              </w:rPr>
            </w:pPr>
            <w:r w:rsidRPr="004C5551">
              <w:rPr>
                <w:b/>
                <w:bCs/>
              </w:rPr>
              <w:t>70</w:t>
            </w:r>
          </w:p>
        </w:tc>
        <w:tc>
          <w:tcPr>
            <w:tcW w:w="1316" w:type="dxa"/>
            <w:vAlign w:val="center"/>
            <w:hideMark/>
          </w:tcPr>
          <w:p w:rsidR="00E61062" w:rsidRPr="004C5551" w:rsidRDefault="00E61062" w:rsidP="004A598D">
            <w:pPr>
              <w:jc w:val="right"/>
              <w:rPr>
                <w:b/>
                <w:bCs/>
              </w:rPr>
            </w:pPr>
            <w:r w:rsidRPr="004C5551">
              <w:rPr>
                <w:b/>
                <w:bCs/>
              </w:rPr>
              <w:t>119</w:t>
            </w:r>
          </w:p>
        </w:tc>
        <w:tc>
          <w:tcPr>
            <w:tcW w:w="524" w:type="dxa"/>
            <w:vAlign w:val="center"/>
            <w:hideMark/>
          </w:tcPr>
          <w:p w:rsidR="00E61062" w:rsidRPr="004C5551" w:rsidRDefault="00E61062" w:rsidP="004A598D">
            <w:pPr>
              <w:jc w:val="right"/>
              <w:rPr>
                <w:b/>
                <w:bCs/>
              </w:rPr>
            </w:pPr>
            <w:r w:rsidRPr="004C5551">
              <w:rPr>
                <w:b/>
                <w:bCs/>
              </w:rPr>
              <w:t>12</w:t>
            </w:r>
          </w:p>
        </w:tc>
        <w:tc>
          <w:tcPr>
            <w:tcW w:w="1469" w:type="dxa"/>
            <w:vAlign w:val="center"/>
            <w:hideMark/>
          </w:tcPr>
          <w:p w:rsidR="00E61062" w:rsidRPr="004C5551" w:rsidRDefault="00E61062" w:rsidP="004A598D">
            <w:pPr>
              <w:jc w:val="right"/>
              <w:rPr>
                <w:b/>
                <w:bCs/>
              </w:rPr>
            </w:pPr>
            <w:r w:rsidRPr="004C5551">
              <w:rPr>
                <w:b/>
                <w:bCs/>
              </w:rPr>
              <w:t>6</w:t>
            </w:r>
          </w:p>
        </w:tc>
        <w:tc>
          <w:tcPr>
            <w:tcW w:w="775" w:type="dxa"/>
            <w:vAlign w:val="center"/>
            <w:hideMark/>
          </w:tcPr>
          <w:p w:rsidR="00E61062" w:rsidRPr="004C5551" w:rsidRDefault="00E61062" w:rsidP="004A598D">
            <w:pPr>
              <w:jc w:val="right"/>
              <w:rPr>
                <w:b/>
                <w:bCs/>
              </w:rPr>
            </w:pPr>
            <w:r w:rsidRPr="004C5551">
              <w:rPr>
                <w:b/>
                <w:bCs/>
              </w:rPr>
              <w:t>424</w:t>
            </w:r>
          </w:p>
        </w:tc>
      </w:tr>
      <w:tr w:rsidR="00E61062" w:rsidRPr="004C5551" w:rsidTr="004A598D">
        <w:trPr>
          <w:trHeight w:val="385"/>
        </w:trPr>
        <w:tc>
          <w:tcPr>
            <w:tcW w:w="0" w:type="auto"/>
            <w:vMerge/>
            <w:vAlign w:val="center"/>
            <w:hideMark/>
          </w:tcPr>
          <w:p w:rsidR="00E61062" w:rsidRPr="004C5551" w:rsidRDefault="00E61062" w:rsidP="004A598D">
            <w:pPr>
              <w:jc w:val="left"/>
            </w:pPr>
          </w:p>
        </w:tc>
        <w:tc>
          <w:tcPr>
            <w:tcW w:w="623" w:type="dxa"/>
            <w:vMerge w:val="restart"/>
            <w:vAlign w:val="center"/>
            <w:hideMark/>
          </w:tcPr>
          <w:p w:rsidR="00E61062" w:rsidRPr="004C5551" w:rsidRDefault="00E61062" w:rsidP="004A598D">
            <w:pPr>
              <w:jc w:val="left"/>
            </w:pPr>
            <w:r w:rsidRPr="004C5551">
              <w:t>v tom</w:t>
            </w:r>
          </w:p>
        </w:tc>
        <w:tc>
          <w:tcPr>
            <w:tcW w:w="1058" w:type="dxa"/>
            <w:vAlign w:val="center"/>
            <w:hideMark/>
          </w:tcPr>
          <w:p w:rsidR="00E61062" w:rsidRPr="004C5551" w:rsidRDefault="00E61062" w:rsidP="004A598D">
            <w:pPr>
              <w:jc w:val="left"/>
            </w:pPr>
            <w:r w:rsidRPr="004C5551">
              <w:t>do 6</w:t>
            </w:r>
          </w:p>
          <w:p w:rsidR="00E61062" w:rsidRPr="004C5551" w:rsidRDefault="00E61062" w:rsidP="004A598D">
            <w:pPr>
              <w:jc w:val="left"/>
            </w:pPr>
            <w:r w:rsidRPr="004C5551">
              <w:t>rokov</w:t>
            </w:r>
          </w:p>
        </w:tc>
        <w:tc>
          <w:tcPr>
            <w:tcW w:w="937" w:type="dxa"/>
            <w:vAlign w:val="center"/>
            <w:hideMark/>
          </w:tcPr>
          <w:p w:rsidR="00E61062" w:rsidRPr="004C5551" w:rsidRDefault="00E61062" w:rsidP="004A598D">
            <w:pPr>
              <w:jc w:val="right"/>
            </w:pPr>
            <w:r w:rsidRPr="004C5551">
              <w:t>69</w:t>
            </w:r>
          </w:p>
        </w:tc>
        <w:tc>
          <w:tcPr>
            <w:tcW w:w="1145" w:type="dxa"/>
            <w:vAlign w:val="center"/>
            <w:hideMark/>
          </w:tcPr>
          <w:p w:rsidR="00E61062" w:rsidRPr="004C5551" w:rsidRDefault="00E61062" w:rsidP="004A598D">
            <w:pPr>
              <w:jc w:val="right"/>
            </w:pPr>
            <w:r w:rsidRPr="004C5551">
              <w:t>13</w:t>
            </w:r>
          </w:p>
        </w:tc>
        <w:tc>
          <w:tcPr>
            <w:tcW w:w="1316" w:type="dxa"/>
            <w:vAlign w:val="center"/>
            <w:hideMark/>
          </w:tcPr>
          <w:p w:rsidR="00E61062" w:rsidRPr="004C5551" w:rsidRDefault="00E61062" w:rsidP="004A598D">
            <w:pPr>
              <w:jc w:val="right"/>
            </w:pPr>
            <w:r w:rsidRPr="004C5551">
              <w:t>10</w:t>
            </w:r>
          </w:p>
        </w:tc>
        <w:tc>
          <w:tcPr>
            <w:tcW w:w="524" w:type="dxa"/>
            <w:vAlign w:val="center"/>
            <w:hideMark/>
          </w:tcPr>
          <w:p w:rsidR="00E61062" w:rsidRPr="004C5551" w:rsidRDefault="00E61062" w:rsidP="004A598D">
            <w:pPr>
              <w:jc w:val="right"/>
            </w:pPr>
            <w:r w:rsidRPr="004C5551">
              <w:t>1</w:t>
            </w:r>
          </w:p>
        </w:tc>
        <w:tc>
          <w:tcPr>
            <w:tcW w:w="1469" w:type="dxa"/>
            <w:vAlign w:val="center"/>
            <w:hideMark/>
          </w:tcPr>
          <w:p w:rsidR="00E61062" w:rsidRPr="004C5551" w:rsidRDefault="00E61062" w:rsidP="004A598D">
            <w:pPr>
              <w:jc w:val="right"/>
            </w:pPr>
            <w:r w:rsidRPr="004C5551">
              <w:t>0</w:t>
            </w:r>
          </w:p>
        </w:tc>
        <w:tc>
          <w:tcPr>
            <w:tcW w:w="775" w:type="dxa"/>
            <w:vAlign w:val="center"/>
            <w:hideMark/>
          </w:tcPr>
          <w:p w:rsidR="00E61062" w:rsidRPr="004C5551" w:rsidRDefault="002A4A2D" w:rsidP="004A598D">
            <w:pPr>
              <w:jc w:val="right"/>
              <w:rPr>
                <w:b/>
                <w:bCs/>
              </w:rPr>
            </w:pPr>
            <w:r w:rsidRPr="004C5551">
              <w:rPr>
                <w:b/>
                <w:bCs/>
              </w:rPr>
              <w:t>93</w:t>
            </w:r>
          </w:p>
        </w:tc>
      </w:tr>
      <w:tr w:rsidR="00E61062" w:rsidRPr="004C5551" w:rsidTr="004A598D">
        <w:trPr>
          <w:trHeight w:val="385"/>
        </w:trPr>
        <w:tc>
          <w:tcPr>
            <w:tcW w:w="0" w:type="auto"/>
            <w:vMerge/>
            <w:vAlign w:val="center"/>
            <w:hideMark/>
          </w:tcPr>
          <w:p w:rsidR="00E61062" w:rsidRPr="004C5551" w:rsidRDefault="00E61062" w:rsidP="004A598D">
            <w:pPr>
              <w:jc w:val="left"/>
            </w:pPr>
          </w:p>
        </w:tc>
        <w:tc>
          <w:tcPr>
            <w:tcW w:w="0" w:type="auto"/>
            <w:vMerge/>
            <w:vAlign w:val="center"/>
            <w:hideMark/>
          </w:tcPr>
          <w:p w:rsidR="00E61062" w:rsidRPr="004C5551" w:rsidRDefault="00E61062" w:rsidP="004A598D">
            <w:pPr>
              <w:jc w:val="left"/>
            </w:pPr>
          </w:p>
        </w:tc>
        <w:tc>
          <w:tcPr>
            <w:tcW w:w="1058" w:type="dxa"/>
            <w:vAlign w:val="center"/>
            <w:hideMark/>
          </w:tcPr>
          <w:p w:rsidR="00E61062" w:rsidRPr="004C5551" w:rsidRDefault="00E61062" w:rsidP="004A598D">
            <w:pPr>
              <w:jc w:val="left"/>
            </w:pPr>
            <w:r w:rsidRPr="004C5551">
              <w:t xml:space="preserve">do 15 </w:t>
            </w:r>
          </w:p>
          <w:p w:rsidR="00E61062" w:rsidRPr="004C5551" w:rsidRDefault="00E61062" w:rsidP="004A598D">
            <w:pPr>
              <w:jc w:val="left"/>
            </w:pPr>
            <w:r w:rsidRPr="004C5551">
              <w:t>rokov</w:t>
            </w:r>
          </w:p>
        </w:tc>
        <w:tc>
          <w:tcPr>
            <w:tcW w:w="937" w:type="dxa"/>
            <w:vAlign w:val="center"/>
          </w:tcPr>
          <w:p w:rsidR="00E61062" w:rsidRPr="004C5551" w:rsidRDefault="00E61062" w:rsidP="004A598D">
            <w:pPr>
              <w:jc w:val="right"/>
            </w:pPr>
            <w:r w:rsidRPr="004C5551">
              <w:t>114</w:t>
            </w:r>
          </w:p>
        </w:tc>
        <w:tc>
          <w:tcPr>
            <w:tcW w:w="1145" w:type="dxa"/>
            <w:vAlign w:val="center"/>
          </w:tcPr>
          <w:p w:rsidR="00E61062" w:rsidRPr="004C5551" w:rsidRDefault="00E61062" w:rsidP="004A598D">
            <w:pPr>
              <w:jc w:val="right"/>
            </w:pPr>
            <w:r w:rsidRPr="004C5551">
              <w:t>42</w:t>
            </w:r>
          </w:p>
        </w:tc>
        <w:tc>
          <w:tcPr>
            <w:tcW w:w="1316" w:type="dxa"/>
            <w:vAlign w:val="center"/>
          </w:tcPr>
          <w:p w:rsidR="00E61062" w:rsidRPr="004C5551" w:rsidRDefault="00E61062" w:rsidP="004A598D">
            <w:pPr>
              <w:jc w:val="right"/>
            </w:pPr>
            <w:r w:rsidRPr="004C5551">
              <w:t>64</w:t>
            </w:r>
          </w:p>
        </w:tc>
        <w:tc>
          <w:tcPr>
            <w:tcW w:w="524" w:type="dxa"/>
            <w:vAlign w:val="center"/>
          </w:tcPr>
          <w:p w:rsidR="00E61062" w:rsidRPr="004C5551" w:rsidRDefault="00E61062" w:rsidP="004A598D">
            <w:pPr>
              <w:jc w:val="right"/>
            </w:pPr>
            <w:r w:rsidRPr="004C5551">
              <w:t>10</w:t>
            </w:r>
          </w:p>
        </w:tc>
        <w:tc>
          <w:tcPr>
            <w:tcW w:w="1469" w:type="dxa"/>
            <w:vAlign w:val="center"/>
          </w:tcPr>
          <w:p w:rsidR="00E61062" w:rsidRPr="004C5551" w:rsidRDefault="00E61062" w:rsidP="004A598D">
            <w:pPr>
              <w:jc w:val="right"/>
            </w:pPr>
            <w:r w:rsidRPr="004C5551">
              <w:t>3</w:t>
            </w:r>
          </w:p>
        </w:tc>
        <w:tc>
          <w:tcPr>
            <w:tcW w:w="775" w:type="dxa"/>
            <w:vAlign w:val="center"/>
          </w:tcPr>
          <w:p w:rsidR="00E61062" w:rsidRPr="004C5551" w:rsidRDefault="002A4A2D" w:rsidP="004A598D">
            <w:pPr>
              <w:jc w:val="right"/>
              <w:rPr>
                <w:b/>
                <w:bCs/>
              </w:rPr>
            </w:pPr>
            <w:r w:rsidRPr="004C5551">
              <w:rPr>
                <w:b/>
                <w:bCs/>
              </w:rPr>
              <w:t>233</w:t>
            </w:r>
          </w:p>
        </w:tc>
      </w:tr>
      <w:tr w:rsidR="00E61062" w:rsidRPr="004C5551" w:rsidTr="004A598D">
        <w:trPr>
          <w:trHeight w:val="385"/>
        </w:trPr>
        <w:tc>
          <w:tcPr>
            <w:tcW w:w="0" w:type="auto"/>
            <w:vMerge/>
            <w:vAlign w:val="center"/>
            <w:hideMark/>
          </w:tcPr>
          <w:p w:rsidR="00E61062" w:rsidRPr="004C5551" w:rsidRDefault="00E61062" w:rsidP="004A598D">
            <w:pPr>
              <w:jc w:val="left"/>
            </w:pPr>
          </w:p>
        </w:tc>
        <w:tc>
          <w:tcPr>
            <w:tcW w:w="0" w:type="auto"/>
            <w:vMerge/>
            <w:vAlign w:val="center"/>
            <w:hideMark/>
          </w:tcPr>
          <w:p w:rsidR="00E61062" w:rsidRPr="004C5551" w:rsidRDefault="00E61062" w:rsidP="004A598D">
            <w:pPr>
              <w:jc w:val="left"/>
            </w:pPr>
          </w:p>
        </w:tc>
        <w:tc>
          <w:tcPr>
            <w:tcW w:w="1058" w:type="dxa"/>
            <w:vAlign w:val="center"/>
            <w:hideMark/>
          </w:tcPr>
          <w:p w:rsidR="00E61062" w:rsidRPr="004C5551" w:rsidRDefault="00E61062" w:rsidP="004A598D">
            <w:pPr>
              <w:jc w:val="left"/>
            </w:pPr>
            <w:r w:rsidRPr="004C5551">
              <w:t xml:space="preserve">do 18 </w:t>
            </w:r>
          </w:p>
          <w:p w:rsidR="00E61062" w:rsidRPr="004C5551" w:rsidRDefault="00E61062" w:rsidP="004A598D">
            <w:pPr>
              <w:jc w:val="left"/>
            </w:pPr>
            <w:r w:rsidRPr="004C5551">
              <w:t>rokov</w:t>
            </w:r>
          </w:p>
        </w:tc>
        <w:tc>
          <w:tcPr>
            <w:tcW w:w="937" w:type="dxa"/>
            <w:vAlign w:val="center"/>
          </w:tcPr>
          <w:p w:rsidR="00E61062" w:rsidRPr="004C5551" w:rsidRDefault="00E61062" w:rsidP="004A598D">
            <w:pPr>
              <w:jc w:val="right"/>
            </w:pPr>
            <w:r w:rsidRPr="004C5551">
              <w:t>34</w:t>
            </w:r>
          </w:p>
        </w:tc>
        <w:tc>
          <w:tcPr>
            <w:tcW w:w="1145" w:type="dxa"/>
            <w:vAlign w:val="center"/>
          </w:tcPr>
          <w:p w:rsidR="00E61062" w:rsidRPr="004C5551" w:rsidRDefault="00E61062" w:rsidP="004A598D">
            <w:pPr>
              <w:jc w:val="right"/>
            </w:pPr>
            <w:r w:rsidRPr="004C5551">
              <w:t>15</w:t>
            </w:r>
          </w:p>
        </w:tc>
        <w:tc>
          <w:tcPr>
            <w:tcW w:w="1316" w:type="dxa"/>
            <w:vAlign w:val="center"/>
          </w:tcPr>
          <w:p w:rsidR="00E61062" w:rsidRPr="004C5551" w:rsidRDefault="00E61062" w:rsidP="004A598D">
            <w:pPr>
              <w:jc w:val="right"/>
            </w:pPr>
            <w:r w:rsidRPr="004C5551">
              <w:t>45</w:t>
            </w:r>
          </w:p>
        </w:tc>
        <w:tc>
          <w:tcPr>
            <w:tcW w:w="524" w:type="dxa"/>
            <w:vAlign w:val="center"/>
          </w:tcPr>
          <w:p w:rsidR="00E61062" w:rsidRPr="004C5551" w:rsidRDefault="00E61062" w:rsidP="004A598D">
            <w:pPr>
              <w:jc w:val="right"/>
            </w:pPr>
            <w:r w:rsidRPr="004C5551">
              <w:t>1</w:t>
            </w:r>
          </w:p>
        </w:tc>
        <w:tc>
          <w:tcPr>
            <w:tcW w:w="1469" w:type="dxa"/>
            <w:vAlign w:val="center"/>
          </w:tcPr>
          <w:p w:rsidR="00E61062" w:rsidRPr="004C5551" w:rsidRDefault="00E61062" w:rsidP="004A598D">
            <w:pPr>
              <w:jc w:val="right"/>
            </w:pPr>
            <w:r w:rsidRPr="004C5551">
              <w:t>3</w:t>
            </w:r>
          </w:p>
        </w:tc>
        <w:tc>
          <w:tcPr>
            <w:tcW w:w="775" w:type="dxa"/>
            <w:vAlign w:val="center"/>
          </w:tcPr>
          <w:p w:rsidR="00E61062" w:rsidRPr="004C5551" w:rsidRDefault="002A4A2D" w:rsidP="004A598D">
            <w:pPr>
              <w:jc w:val="right"/>
              <w:rPr>
                <w:b/>
                <w:bCs/>
              </w:rPr>
            </w:pPr>
            <w:r w:rsidRPr="004C5551">
              <w:rPr>
                <w:b/>
                <w:bCs/>
              </w:rPr>
              <w:t>98</w:t>
            </w:r>
          </w:p>
        </w:tc>
      </w:tr>
      <w:tr w:rsidR="00E61062" w:rsidRPr="004C5551" w:rsidTr="004A598D">
        <w:trPr>
          <w:trHeight w:val="914"/>
        </w:trPr>
        <w:tc>
          <w:tcPr>
            <w:tcW w:w="1965" w:type="dxa"/>
            <w:gridSpan w:val="2"/>
            <w:vAlign w:val="center"/>
            <w:hideMark/>
          </w:tcPr>
          <w:p w:rsidR="00E61062" w:rsidRPr="004C5551" w:rsidRDefault="00E61062" w:rsidP="004A598D">
            <w:pPr>
              <w:jc w:val="left"/>
            </w:pPr>
            <w:r w:rsidRPr="004C5551">
              <w:t xml:space="preserve">Počet návrhov orgánu na začatie trestného stíhania </w:t>
            </w:r>
          </w:p>
        </w:tc>
        <w:tc>
          <w:tcPr>
            <w:tcW w:w="1058" w:type="dxa"/>
            <w:vAlign w:val="center"/>
            <w:hideMark/>
          </w:tcPr>
          <w:p w:rsidR="00E61062" w:rsidRPr="004C5551" w:rsidRDefault="00E61062" w:rsidP="004A598D">
            <w:pPr>
              <w:jc w:val="left"/>
            </w:pPr>
            <w:r w:rsidRPr="004C5551">
              <w:t>celkovo</w:t>
            </w:r>
          </w:p>
        </w:tc>
        <w:tc>
          <w:tcPr>
            <w:tcW w:w="937" w:type="dxa"/>
            <w:vAlign w:val="center"/>
            <w:hideMark/>
          </w:tcPr>
          <w:p w:rsidR="00E61062" w:rsidRPr="004C5551" w:rsidRDefault="00E61062" w:rsidP="004A598D">
            <w:pPr>
              <w:tabs>
                <w:tab w:val="center" w:pos="360"/>
                <w:tab w:val="right" w:pos="721"/>
              </w:tabs>
              <w:jc w:val="right"/>
            </w:pPr>
            <w:r w:rsidRPr="004C5551">
              <w:tab/>
            </w:r>
            <w:r w:rsidRPr="004C5551">
              <w:tab/>
              <w:t>42</w:t>
            </w:r>
          </w:p>
        </w:tc>
        <w:tc>
          <w:tcPr>
            <w:tcW w:w="1145" w:type="dxa"/>
            <w:vAlign w:val="center"/>
            <w:hideMark/>
          </w:tcPr>
          <w:p w:rsidR="00E61062" w:rsidRPr="004C5551" w:rsidRDefault="00E61062" w:rsidP="004A598D">
            <w:pPr>
              <w:jc w:val="right"/>
            </w:pPr>
            <w:r w:rsidRPr="004C5551">
              <w:t>9</w:t>
            </w:r>
          </w:p>
        </w:tc>
        <w:tc>
          <w:tcPr>
            <w:tcW w:w="1316" w:type="dxa"/>
            <w:vAlign w:val="center"/>
            <w:hideMark/>
          </w:tcPr>
          <w:p w:rsidR="00E61062" w:rsidRPr="004C5551" w:rsidRDefault="00E61062" w:rsidP="004A598D">
            <w:pPr>
              <w:jc w:val="right"/>
            </w:pPr>
            <w:r w:rsidRPr="004C5551">
              <w:t>27</w:t>
            </w:r>
          </w:p>
        </w:tc>
        <w:tc>
          <w:tcPr>
            <w:tcW w:w="524" w:type="dxa"/>
            <w:vAlign w:val="center"/>
            <w:hideMark/>
          </w:tcPr>
          <w:p w:rsidR="00E61062" w:rsidRPr="004C5551" w:rsidRDefault="00E61062" w:rsidP="004A598D">
            <w:pPr>
              <w:jc w:val="right"/>
            </w:pPr>
            <w:r w:rsidRPr="004C5551">
              <w:t>0</w:t>
            </w:r>
          </w:p>
        </w:tc>
        <w:tc>
          <w:tcPr>
            <w:tcW w:w="1469" w:type="dxa"/>
            <w:vAlign w:val="center"/>
            <w:hideMark/>
          </w:tcPr>
          <w:p w:rsidR="00E61062" w:rsidRPr="004C5551" w:rsidRDefault="00E61062" w:rsidP="004A598D">
            <w:pPr>
              <w:jc w:val="right"/>
            </w:pPr>
            <w:r w:rsidRPr="004C5551">
              <w:t>0</w:t>
            </w:r>
          </w:p>
        </w:tc>
        <w:tc>
          <w:tcPr>
            <w:tcW w:w="775" w:type="dxa"/>
            <w:vAlign w:val="center"/>
            <w:hideMark/>
          </w:tcPr>
          <w:p w:rsidR="00E61062" w:rsidRPr="004C5551" w:rsidRDefault="00E61062" w:rsidP="004A598D">
            <w:pPr>
              <w:jc w:val="right"/>
              <w:rPr>
                <w:b/>
                <w:bCs/>
              </w:rPr>
            </w:pPr>
            <w:r w:rsidRPr="004C5551">
              <w:rPr>
                <w:b/>
                <w:bCs/>
              </w:rPr>
              <w:t>78</w:t>
            </w:r>
          </w:p>
        </w:tc>
      </w:tr>
    </w:tbl>
    <w:p w:rsidR="0084617B" w:rsidRPr="004C5551" w:rsidRDefault="0084617B" w:rsidP="0084617B">
      <w:pPr>
        <w:pStyle w:val="zdroj"/>
      </w:pPr>
      <w:r w:rsidRPr="004C5551">
        <w:t xml:space="preserve">Zdroj: </w:t>
      </w:r>
      <w:r w:rsidR="0049121E" w:rsidRPr="004C5551">
        <w:t>V (MPSVR SR) 1</w:t>
      </w:r>
      <w:r w:rsidR="00D5149D" w:rsidRPr="004C5551">
        <w:t>2</w:t>
      </w:r>
      <w:r w:rsidR="0049121E" w:rsidRPr="004C5551">
        <w:t>-01</w:t>
      </w:r>
    </w:p>
    <w:p w:rsidR="0084617B" w:rsidRPr="004C5551" w:rsidRDefault="0084617B" w:rsidP="0084617B">
      <w:pPr>
        <w:rPr>
          <w:b/>
        </w:rPr>
      </w:pPr>
    </w:p>
    <w:p w:rsidR="0049121E" w:rsidRPr="004C5551" w:rsidRDefault="0049121E">
      <w:pPr>
        <w:jc w:val="left"/>
        <w:rPr>
          <w:b/>
        </w:rPr>
      </w:pPr>
      <w:r w:rsidRPr="004C5551">
        <w:br w:type="page"/>
      </w:r>
    </w:p>
    <w:p w:rsidR="0084617B" w:rsidRPr="004C5551" w:rsidRDefault="0084617B" w:rsidP="009A02B2">
      <w:pPr>
        <w:pStyle w:val="Nadpis7"/>
      </w:pPr>
      <w:r w:rsidRPr="004C5551">
        <w:t>Tabuľka</w:t>
      </w:r>
      <w:r w:rsidR="00900E22" w:rsidRPr="004C5551">
        <w:t xml:space="preserve"> 15</w:t>
      </w:r>
      <w:r w:rsidRPr="004C5551">
        <w:t xml:space="preserve"> Deti umiestnené na základe rozhodnutia súdu do zariadení na výkon rozhodnutia súdu /predbežné opatrenie, výchovné opatrenie, ústavná starostlivosť a ochranná výchova/</w:t>
      </w:r>
    </w:p>
    <w:tbl>
      <w:tblPr>
        <w:tblStyle w:val="Mkatabulky1"/>
        <w:tblW w:w="7510" w:type="dxa"/>
        <w:jc w:val="center"/>
        <w:tblLook w:val="04A0" w:firstRow="1" w:lastRow="0" w:firstColumn="1" w:lastColumn="0" w:noHBand="0" w:noVBand="1"/>
      </w:tblPr>
      <w:tblGrid>
        <w:gridCol w:w="3119"/>
        <w:gridCol w:w="735"/>
        <w:gridCol w:w="1809"/>
        <w:gridCol w:w="1847"/>
      </w:tblGrid>
      <w:tr w:rsidR="00E61062" w:rsidRPr="004C5551" w:rsidTr="00002192">
        <w:trPr>
          <w:trHeight w:val="290"/>
          <w:jc w:val="center"/>
        </w:trPr>
        <w:tc>
          <w:tcPr>
            <w:tcW w:w="3854" w:type="dxa"/>
            <w:gridSpan w:val="2"/>
            <w:shd w:val="clear" w:color="auto" w:fill="FF9999" w:themeFill="accent3" w:themeFillTint="66"/>
          </w:tcPr>
          <w:p w:rsidR="00E61062" w:rsidRPr="004C5551" w:rsidRDefault="00002192" w:rsidP="00655346">
            <w:pPr>
              <w:jc w:val="center"/>
              <w:rPr>
                <w:b/>
              </w:rPr>
            </w:pPr>
            <w:r w:rsidRPr="004C5551">
              <w:rPr>
                <w:b/>
              </w:rPr>
              <w:t>Z</w:t>
            </w:r>
            <w:r w:rsidR="00E61062" w:rsidRPr="004C5551">
              <w:rPr>
                <w:b/>
              </w:rPr>
              <w:t>ariadenia na výkon rozhodnutia súdu</w:t>
            </w:r>
          </w:p>
        </w:tc>
        <w:tc>
          <w:tcPr>
            <w:tcW w:w="1809" w:type="dxa"/>
            <w:shd w:val="clear" w:color="auto" w:fill="FF9999" w:themeFill="accent3" w:themeFillTint="66"/>
          </w:tcPr>
          <w:p w:rsidR="00E61062" w:rsidRPr="004C5551" w:rsidRDefault="00E61062" w:rsidP="00655346">
            <w:pPr>
              <w:jc w:val="center"/>
              <w:rPr>
                <w:b/>
              </w:rPr>
            </w:pPr>
            <w:r w:rsidRPr="004C5551">
              <w:rPr>
                <w:b/>
              </w:rPr>
              <w:t>2013</w:t>
            </w:r>
          </w:p>
        </w:tc>
        <w:tc>
          <w:tcPr>
            <w:tcW w:w="1847" w:type="dxa"/>
            <w:shd w:val="clear" w:color="auto" w:fill="FF9999" w:themeFill="accent3" w:themeFillTint="66"/>
          </w:tcPr>
          <w:p w:rsidR="00E61062" w:rsidRPr="004C5551" w:rsidRDefault="00E61062" w:rsidP="00655346">
            <w:pPr>
              <w:jc w:val="center"/>
              <w:rPr>
                <w:b/>
              </w:rPr>
            </w:pPr>
            <w:r w:rsidRPr="004C5551">
              <w:rPr>
                <w:b/>
              </w:rPr>
              <w:t>2014</w:t>
            </w:r>
          </w:p>
        </w:tc>
      </w:tr>
      <w:tr w:rsidR="00E61062" w:rsidRPr="004C5551" w:rsidTr="0084617B">
        <w:trPr>
          <w:trHeight w:val="282"/>
          <w:jc w:val="center"/>
        </w:trPr>
        <w:tc>
          <w:tcPr>
            <w:tcW w:w="3854" w:type="dxa"/>
            <w:gridSpan w:val="2"/>
            <w:hideMark/>
          </w:tcPr>
          <w:p w:rsidR="00E61062" w:rsidRPr="004C5551" w:rsidRDefault="00E61062" w:rsidP="00655346">
            <w:r w:rsidRPr="004C5551">
              <w:t xml:space="preserve">Krízové strediská </w:t>
            </w:r>
          </w:p>
        </w:tc>
        <w:tc>
          <w:tcPr>
            <w:tcW w:w="1809" w:type="dxa"/>
            <w:noWrap/>
            <w:vAlign w:val="center"/>
          </w:tcPr>
          <w:p w:rsidR="00E61062" w:rsidRPr="004C5551" w:rsidRDefault="00E61062" w:rsidP="00655346">
            <w:pPr>
              <w:ind w:right="525"/>
              <w:jc w:val="right"/>
            </w:pPr>
            <w:r w:rsidRPr="004C5551">
              <w:t>241</w:t>
            </w:r>
          </w:p>
        </w:tc>
        <w:tc>
          <w:tcPr>
            <w:tcW w:w="1847" w:type="dxa"/>
            <w:noWrap/>
            <w:vAlign w:val="center"/>
          </w:tcPr>
          <w:p w:rsidR="00E61062" w:rsidRPr="004C5551" w:rsidRDefault="00E61062" w:rsidP="00655346">
            <w:pPr>
              <w:ind w:right="525"/>
              <w:jc w:val="right"/>
            </w:pPr>
            <w:r w:rsidRPr="004C5551">
              <w:t>258</w:t>
            </w:r>
          </w:p>
        </w:tc>
      </w:tr>
      <w:tr w:rsidR="00E61062" w:rsidRPr="004C5551" w:rsidTr="0084617B">
        <w:trPr>
          <w:trHeight w:val="282"/>
          <w:jc w:val="center"/>
        </w:trPr>
        <w:tc>
          <w:tcPr>
            <w:tcW w:w="3854" w:type="dxa"/>
            <w:gridSpan w:val="2"/>
            <w:hideMark/>
          </w:tcPr>
          <w:p w:rsidR="00E61062" w:rsidRPr="004C5551" w:rsidRDefault="00E61062" w:rsidP="00655346">
            <w:r w:rsidRPr="004C5551">
              <w:t>Resocializačné strediská</w:t>
            </w:r>
          </w:p>
        </w:tc>
        <w:tc>
          <w:tcPr>
            <w:tcW w:w="1809" w:type="dxa"/>
            <w:noWrap/>
            <w:vAlign w:val="center"/>
          </w:tcPr>
          <w:p w:rsidR="00E61062" w:rsidRPr="004C5551" w:rsidRDefault="00E61062" w:rsidP="00655346">
            <w:pPr>
              <w:ind w:right="525"/>
              <w:jc w:val="right"/>
            </w:pPr>
            <w:r w:rsidRPr="004C5551">
              <w:t>63</w:t>
            </w:r>
          </w:p>
        </w:tc>
        <w:tc>
          <w:tcPr>
            <w:tcW w:w="1847" w:type="dxa"/>
            <w:noWrap/>
            <w:vAlign w:val="center"/>
          </w:tcPr>
          <w:p w:rsidR="00E61062" w:rsidRPr="004C5551" w:rsidRDefault="00E61062" w:rsidP="00655346">
            <w:pPr>
              <w:ind w:right="525"/>
              <w:jc w:val="right"/>
            </w:pPr>
            <w:r w:rsidRPr="004C5551">
              <w:t>59</w:t>
            </w:r>
          </w:p>
        </w:tc>
      </w:tr>
      <w:tr w:rsidR="00E61062" w:rsidRPr="004C5551" w:rsidTr="0084617B">
        <w:trPr>
          <w:trHeight w:val="282"/>
          <w:jc w:val="center"/>
        </w:trPr>
        <w:tc>
          <w:tcPr>
            <w:tcW w:w="3854" w:type="dxa"/>
            <w:gridSpan w:val="2"/>
            <w:hideMark/>
          </w:tcPr>
          <w:p w:rsidR="00E61062" w:rsidRPr="004C5551" w:rsidRDefault="00E61062" w:rsidP="00655346">
            <w:r w:rsidRPr="004C5551">
              <w:t>Diagnostické centrá</w:t>
            </w:r>
          </w:p>
        </w:tc>
        <w:tc>
          <w:tcPr>
            <w:tcW w:w="1809" w:type="dxa"/>
            <w:noWrap/>
            <w:vAlign w:val="center"/>
          </w:tcPr>
          <w:p w:rsidR="00E61062" w:rsidRPr="004C5551" w:rsidRDefault="00E61062" w:rsidP="00655346">
            <w:pPr>
              <w:ind w:right="525"/>
              <w:jc w:val="right"/>
            </w:pPr>
            <w:r w:rsidRPr="004C5551">
              <w:t>42</w:t>
            </w:r>
          </w:p>
        </w:tc>
        <w:tc>
          <w:tcPr>
            <w:tcW w:w="1847" w:type="dxa"/>
            <w:noWrap/>
            <w:vAlign w:val="center"/>
          </w:tcPr>
          <w:p w:rsidR="00E61062" w:rsidRPr="004C5551" w:rsidRDefault="00E61062" w:rsidP="00655346">
            <w:pPr>
              <w:ind w:right="525"/>
              <w:jc w:val="right"/>
            </w:pPr>
            <w:r w:rsidRPr="004C5551">
              <w:t>38</w:t>
            </w:r>
          </w:p>
        </w:tc>
      </w:tr>
      <w:tr w:rsidR="00E61062" w:rsidRPr="004C5551" w:rsidTr="0084617B">
        <w:trPr>
          <w:trHeight w:val="282"/>
          <w:jc w:val="center"/>
        </w:trPr>
        <w:tc>
          <w:tcPr>
            <w:tcW w:w="3854" w:type="dxa"/>
            <w:gridSpan w:val="2"/>
            <w:hideMark/>
          </w:tcPr>
          <w:p w:rsidR="00E61062" w:rsidRPr="004C5551" w:rsidRDefault="00E61062" w:rsidP="00655346">
            <w:r w:rsidRPr="004C5551">
              <w:t>Domovy sociálnych služieb</w:t>
            </w:r>
          </w:p>
        </w:tc>
        <w:tc>
          <w:tcPr>
            <w:tcW w:w="1809" w:type="dxa"/>
            <w:noWrap/>
            <w:vAlign w:val="center"/>
          </w:tcPr>
          <w:p w:rsidR="00E61062" w:rsidRPr="004C5551" w:rsidRDefault="00E61062" w:rsidP="00655346">
            <w:pPr>
              <w:ind w:right="525"/>
              <w:jc w:val="right"/>
            </w:pPr>
            <w:r w:rsidRPr="004C5551">
              <w:t>147</w:t>
            </w:r>
          </w:p>
        </w:tc>
        <w:tc>
          <w:tcPr>
            <w:tcW w:w="1847" w:type="dxa"/>
            <w:noWrap/>
            <w:vAlign w:val="center"/>
          </w:tcPr>
          <w:p w:rsidR="00E61062" w:rsidRPr="004C5551" w:rsidRDefault="00E61062" w:rsidP="00655346">
            <w:pPr>
              <w:ind w:right="525"/>
              <w:jc w:val="right"/>
            </w:pPr>
            <w:r w:rsidRPr="004C5551">
              <w:t>109</w:t>
            </w:r>
          </w:p>
        </w:tc>
      </w:tr>
      <w:tr w:rsidR="00E61062" w:rsidRPr="004C5551" w:rsidTr="0084617B">
        <w:trPr>
          <w:trHeight w:val="282"/>
          <w:jc w:val="center"/>
        </w:trPr>
        <w:tc>
          <w:tcPr>
            <w:tcW w:w="3854" w:type="dxa"/>
            <w:gridSpan w:val="2"/>
            <w:hideMark/>
          </w:tcPr>
          <w:p w:rsidR="00E61062" w:rsidRPr="004C5551" w:rsidRDefault="00E61062" w:rsidP="00655346">
            <w:r w:rsidRPr="004C5551">
              <w:t>Detské domovy</w:t>
            </w:r>
          </w:p>
        </w:tc>
        <w:tc>
          <w:tcPr>
            <w:tcW w:w="1809" w:type="dxa"/>
            <w:noWrap/>
            <w:vAlign w:val="center"/>
          </w:tcPr>
          <w:p w:rsidR="00E61062" w:rsidRPr="004C5551" w:rsidRDefault="00E61062" w:rsidP="00655346">
            <w:pPr>
              <w:ind w:right="525"/>
              <w:jc w:val="right"/>
            </w:pPr>
            <w:r w:rsidRPr="004C5551">
              <w:t>4 426</w:t>
            </w:r>
          </w:p>
        </w:tc>
        <w:tc>
          <w:tcPr>
            <w:tcW w:w="1847" w:type="dxa"/>
            <w:noWrap/>
            <w:vAlign w:val="center"/>
          </w:tcPr>
          <w:p w:rsidR="00E61062" w:rsidRPr="004C5551" w:rsidRDefault="00E61062" w:rsidP="00655346">
            <w:pPr>
              <w:ind w:right="525"/>
              <w:jc w:val="right"/>
            </w:pPr>
            <w:r w:rsidRPr="004C5551">
              <w:t>4 303</w:t>
            </w:r>
          </w:p>
        </w:tc>
      </w:tr>
      <w:tr w:rsidR="00E61062" w:rsidRPr="004C5551" w:rsidTr="0084617B">
        <w:trPr>
          <w:trHeight w:val="282"/>
          <w:jc w:val="center"/>
        </w:trPr>
        <w:tc>
          <w:tcPr>
            <w:tcW w:w="3119" w:type="dxa"/>
            <w:vMerge w:val="restart"/>
            <w:hideMark/>
          </w:tcPr>
          <w:p w:rsidR="00E61062" w:rsidRPr="004C5551" w:rsidRDefault="00E61062" w:rsidP="00655346">
            <w:r w:rsidRPr="004C5551">
              <w:t>Reedukačné domovy</w:t>
            </w:r>
          </w:p>
        </w:tc>
        <w:tc>
          <w:tcPr>
            <w:tcW w:w="735" w:type="dxa"/>
            <w:hideMark/>
          </w:tcPr>
          <w:p w:rsidR="00E61062" w:rsidRPr="004C5551" w:rsidRDefault="00E61062" w:rsidP="00655346">
            <w:r w:rsidRPr="004C5551">
              <w:t>ÚS</w:t>
            </w:r>
          </w:p>
        </w:tc>
        <w:tc>
          <w:tcPr>
            <w:tcW w:w="1809" w:type="dxa"/>
            <w:noWrap/>
            <w:vAlign w:val="center"/>
          </w:tcPr>
          <w:p w:rsidR="00E61062" w:rsidRPr="004C5551" w:rsidRDefault="00E61062" w:rsidP="00655346">
            <w:pPr>
              <w:ind w:right="525"/>
              <w:jc w:val="right"/>
            </w:pPr>
            <w:r w:rsidRPr="004C5551">
              <w:t>530</w:t>
            </w:r>
          </w:p>
        </w:tc>
        <w:tc>
          <w:tcPr>
            <w:tcW w:w="1847" w:type="dxa"/>
            <w:noWrap/>
            <w:vAlign w:val="center"/>
          </w:tcPr>
          <w:p w:rsidR="00E61062" w:rsidRPr="004C5551" w:rsidRDefault="00E61062" w:rsidP="00655346">
            <w:pPr>
              <w:ind w:right="525"/>
              <w:jc w:val="right"/>
            </w:pPr>
            <w:r w:rsidRPr="004C5551">
              <w:t>439</w:t>
            </w:r>
          </w:p>
        </w:tc>
      </w:tr>
      <w:tr w:rsidR="00E61062" w:rsidRPr="004C5551" w:rsidTr="0084617B">
        <w:trPr>
          <w:trHeight w:val="282"/>
          <w:jc w:val="center"/>
        </w:trPr>
        <w:tc>
          <w:tcPr>
            <w:tcW w:w="0" w:type="auto"/>
            <w:vMerge/>
            <w:hideMark/>
          </w:tcPr>
          <w:p w:rsidR="00E61062" w:rsidRPr="004C5551" w:rsidRDefault="00E61062" w:rsidP="0084617B"/>
        </w:tc>
        <w:tc>
          <w:tcPr>
            <w:tcW w:w="735" w:type="dxa"/>
            <w:hideMark/>
          </w:tcPr>
          <w:p w:rsidR="00E61062" w:rsidRPr="004C5551" w:rsidRDefault="00E61062" w:rsidP="0084617B">
            <w:r w:rsidRPr="004C5551">
              <w:t>OV</w:t>
            </w:r>
          </w:p>
        </w:tc>
        <w:tc>
          <w:tcPr>
            <w:tcW w:w="1809" w:type="dxa"/>
            <w:noWrap/>
            <w:vAlign w:val="center"/>
          </w:tcPr>
          <w:p w:rsidR="00E61062" w:rsidRPr="004C5551" w:rsidRDefault="00E61062" w:rsidP="00B23ACD">
            <w:pPr>
              <w:ind w:right="525"/>
              <w:jc w:val="right"/>
            </w:pPr>
            <w:r w:rsidRPr="004C5551">
              <w:t>42</w:t>
            </w:r>
          </w:p>
        </w:tc>
        <w:tc>
          <w:tcPr>
            <w:tcW w:w="1847" w:type="dxa"/>
            <w:noWrap/>
            <w:vAlign w:val="center"/>
          </w:tcPr>
          <w:p w:rsidR="00E61062" w:rsidRPr="004C5551" w:rsidRDefault="00E61062" w:rsidP="00655346">
            <w:pPr>
              <w:ind w:right="525"/>
              <w:jc w:val="right"/>
            </w:pPr>
            <w:r w:rsidRPr="004C5551">
              <w:t>39</w:t>
            </w:r>
          </w:p>
        </w:tc>
      </w:tr>
    </w:tbl>
    <w:p w:rsidR="0084617B" w:rsidRPr="004C5551" w:rsidRDefault="0084617B" w:rsidP="00C40E9C">
      <w:pPr>
        <w:pStyle w:val="zdroj"/>
        <w:spacing w:after="0"/>
        <w:ind w:left="564" w:firstLine="570"/>
      </w:pPr>
      <w:r w:rsidRPr="004C5551">
        <w:t xml:space="preserve">Zdroj: </w:t>
      </w:r>
      <w:r w:rsidR="0049121E" w:rsidRPr="004C5551">
        <w:t>V(MPSVR SR) 1</w:t>
      </w:r>
      <w:r w:rsidR="00D5149D" w:rsidRPr="004C5551">
        <w:t>3</w:t>
      </w:r>
      <w:r w:rsidR="0049121E" w:rsidRPr="004C5551">
        <w:t>-01</w:t>
      </w:r>
    </w:p>
    <w:p w:rsidR="0084617B" w:rsidRPr="004C5551" w:rsidRDefault="00C40E9C" w:rsidP="00C40E9C">
      <w:pPr>
        <w:pStyle w:val="zdroj"/>
        <w:spacing w:before="0"/>
        <w:ind w:left="564" w:firstLine="570"/>
      </w:pPr>
      <w:r w:rsidRPr="004C5551">
        <w:t>P</w:t>
      </w:r>
      <w:r w:rsidR="0084617B" w:rsidRPr="004C5551">
        <w:t>oznámka: ÚS – ústavná starostlivosť, OV – ochranná výchova</w:t>
      </w:r>
    </w:p>
    <w:p w:rsidR="0084617B" w:rsidRPr="004C5551" w:rsidRDefault="0084617B" w:rsidP="0084617B">
      <w:pPr>
        <w:rPr>
          <w:b/>
          <w:sz w:val="20"/>
          <w:szCs w:val="20"/>
        </w:rPr>
      </w:pPr>
    </w:p>
    <w:p w:rsidR="006022FE" w:rsidRPr="004C5551" w:rsidRDefault="006022FE" w:rsidP="000E7144">
      <w:pPr>
        <w:pStyle w:val="Nadpis7"/>
        <w:spacing w:before="120"/>
      </w:pPr>
      <w:r w:rsidRPr="004C5551">
        <w:t>Tabuľka 1</w:t>
      </w:r>
      <w:r w:rsidR="00900E22" w:rsidRPr="004C5551">
        <w:t>6</w:t>
      </w:r>
      <w:r w:rsidRPr="004C5551">
        <w:t xml:space="preserve"> Jednotlivé formy starostlivosti v detských domovoch</w:t>
      </w:r>
    </w:p>
    <w:tbl>
      <w:tblPr>
        <w:tblW w:w="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80" w:type="dxa"/>
        </w:tblCellMar>
        <w:tblLook w:val="04A0" w:firstRow="1" w:lastRow="0" w:firstColumn="1" w:lastColumn="0" w:noHBand="0" w:noVBand="1"/>
      </w:tblPr>
      <w:tblGrid>
        <w:gridCol w:w="3049"/>
        <w:gridCol w:w="1204"/>
        <w:gridCol w:w="1202"/>
      </w:tblGrid>
      <w:tr w:rsidR="00E61062" w:rsidRPr="004C5551" w:rsidTr="00002192">
        <w:trPr>
          <w:trHeight w:val="429"/>
          <w:jc w:val="center"/>
        </w:trPr>
        <w:tc>
          <w:tcPr>
            <w:tcW w:w="3049" w:type="dxa"/>
            <w:shd w:val="clear" w:color="auto" w:fill="FF9999" w:themeFill="accent3" w:themeFillTint="66"/>
            <w:vAlign w:val="center"/>
            <w:hideMark/>
          </w:tcPr>
          <w:p w:rsidR="00E61062" w:rsidRPr="004C5551" w:rsidRDefault="00E61062" w:rsidP="00655346">
            <w:pPr>
              <w:spacing w:line="276" w:lineRule="auto"/>
              <w:jc w:val="center"/>
              <w:rPr>
                <w:b/>
                <w:lang w:eastAsia="en-US"/>
              </w:rPr>
            </w:pPr>
            <w:r w:rsidRPr="004C5551">
              <w:rPr>
                <w:b/>
                <w:szCs w:val="22"/>
                <w:lang w:eastAsia="en-US"/>
              </w:rPr>
              <w:t>Forma starostlivosti</w:t>
            </w:r>
          </w:p>
        </w:tc>
        <w:tc>
          <w:tcPr>
            <w:tcW w:w="1204" w:type="dxa"/>
            <w:shd w:val="clear" w:color="auto" w:fill="FF9999" w:themeFill="accent3" w:themeFillTint="66"/>
            <w:vAlign w:val="center"/>
          </w:tcPr>
          <w:p w:rsidR="00E61062" w:rsidRPr="004C5551" w:rsidRDefault="00E61062" w:rsidP="00655346">
            <w:pPr>
              <w:spacing w:line="276" w:lineRule="auto"/>
              <w:jc w:val="center"/>
              <w:rPr>
                <w:b/>
                <w:lang w:eastAsia="en-US"/>
              </w:rPr>
            </w:pPr>
            <w:r w:rsidRPr="004C5551">
              <w:rPr>
                <w:b/>
                <w:szCs w:val="22"/>
                <w:lang w:eastAsia="en-US"/>
              </w:rPr>
              <w:t>2013</w:t>
            </w:r>
          </w:p>
        </w:tc>
        <w:tc>
          <w:tcPr>
            <w:tcW w:w="1202" w:type="dxa"/>
            <w:shd w:val="clear" w:color="auto" w:fill="FF9999" w:themeFill="accent3" w:themeFillTint="66"/>
            <w:vAlign w:val="center"/>
          </w:tcPr>
          <w:p w:rsidR="00E61062" w:rsidRPr="004C5551" w:rsidRDefault="00E61062" w:rsidP="00655346">
            <w:pPr>
              <w:spacing w:line="276" w:lineRule="auto"/>
              <w:jc w:val="center"/>
              <w:rPr>
                <w:b/>
                <w:lang w:eastAsia="en-US"/>
              </w:rPr>
            </w:pPr>
            <w:r w:rsidRPr="004C5551">
              <w:rPr>
                <w:b/>
                <w:szCs w:val="22"/>
                <w:lang w:eastAsia="en-US"/>
              </w:rPr>
              <w:t>2014</w:t>
            </w:r>
          </w:p>
        </w:tc>
      </w:tr>
      <w:tr w:rsidR="00E61062" w:rsidRPr="004C5551" w:rsidTr="00C2196D">
        <w:trPr>
          <w:cantSplit/>
          <w:trHeight w:val="435"/>
          <w:jc w:val="center"/>
        </w:trPr>
        <w:tc>
          <w:tcPr>
            <w:tcW w:w="3049" w:type="dxa"/>
            <w:vAlign w:val="center"/>
          </w:tcPr>
          <w:p w:rsidR="00E61062" w:rsidRPr="004C5551" w:rsidRDefault="00E61062" w:rsidP="00655346">
            <w:pPr>
              <w:spacing w:line="276" w:lineRule="auto"/>
              <w:jc w:val="left"/>
              <w:rPr>
                <w:lang w:eastAsia="en-US"/>
              </w:rPr>
            </w:pPr>
            <w:r w:rsidRPr="004C5551">
              <w:rPr>
                <w:szCs w:val="22"/>
                <w:lang w:eastAsia="en-US"/>
              </w:rPr>
              <w:t>Profesionálne rodiny</w:t>
            </w:r>
          </w:p>
        </w:tc>
        <w:tc>
          <w:tcPr>
            <w:tcW w:w="1204" w:type="dxa"/>
            <w:vAlign w:val="center"/>
          </w:tcPr>
          <w:p w:rsidR="00E61062" w:rsidRPr="004C5551" w:rsidRDefault="00E61062" w:rsidP="00655346">
            <w:pPr>
              <w:spacing w:line="276" w:lineRule="auto"/>
              <w:jc w:val="right"/>
              <w:rPr>
                <w:lang w:eastAsia="en-US"/>
              </w:rPr>
            </w:pPr>
            <w:r w:rsidRPr="004C5551">
              <w:rPr>
                <w:szCs w:val="22"/>
                <w:lang w:eastAsia="en-US"/>
              </w:rPr>
              <w:t>729</w:t>
            </w:r>
          </w:p>
        </w:tc>
        <w:tc>
          <w:tcPr>
            <w:tcW w:w="1202" w:type="dxa"/>
            <w:vAlign w:val="center"/>
          </w:tcPr>
          <w:p w:rsidR="00E61062" w:rsidRPr="004C5551" w:rsidRDefault="00E61062" w:rsidP="00E66CED">
            <w:pPr>
              <w:spacing w:line="276" w:lineRule="auto"/>
              <w:jc w:val="right"/>
              <w:rPr>
                <w:lang w:eastAsia="en-US"/>
              </w:rPr>
            </w:pPr>
            <w:r w:rsidRPr="004C5551">
              <w:rPr>
                <w:szCs w:val="22"/>
                <w:lang w:eastAsia="en-US"/>
              </w:rPr>
              <w:t>7</w:t>
            </w:r>
            <w:r w:rsidR="00E66CED" w:rsidRPr="004C5551">
              <w:rPr>
                <w:szCs w:val="22"/>
                <w:lang w:eastAsia="en-US"/>
              </w:rPr>
              <w:t>4</w:t>
            </w:r>
            <w:r w:rsidRPr="004C5551">
              <w:rPr>
                <w:szCs w:val="22"/>
                <w:lang w:eastAsia="en-US"/>
              </w:rPr>
              <w:t>2</w:t>
            </w:r>
          </w:p>
        </w:tc>
      </w:tr>
      <w:tr w:rsidR="00E61062" w:rsidRPr="004C5551" w:rsidTr="00C2196D">
        <w:trPr>
          <w:cantSplit/>
          <w:trHeight w:val="435"/>
          <w:jc w:val="center"/>
        </w:trPr>
        <w:tc>
          <w:tcPr>
            <w:tcW w:w="3049" w:type="dxa"/>
            <w:vAlign w:val="center"/>
            <w:hideMark/>
          </w:tcPr>
          <w:p w:rsidR="00E61062" w:rsidRPr="004C5551" w:rsidRDefault="00E61062" w:rsidP="00655346">
            <w:pPr>
              <w:spacing w:line="276" w:lineRule="auto"/>
              <w:jc w:val="left"/>
              <w:rPr>
                <w:lang w:eastAsia="en-US"/>
              </w:rPr>
            </w:pPr>
            <w:r w:rsidRPr="004C5551">
              <w:rPr>
                <w:szCs w:val="22"/>
                <w:lang w:eastAsia="en-US"/>
              </w:rPr>
              <w:t>Samostatné skupiny</w:t>
            </w:r>
          </w:p>
        </w:tc>
        <w:tc>
          <w:tcPr>
            <w:tcW w:w="1204" w:type="dxa"/>
            <w:vAlign w:val="center"/>
          </w:tcPr>
          <w:p w:rsidR="00E61062" w:rsidRPr="004C5551" w:rsidRDefault="00E61062" w:rsidP="00655346">
            <w:pPr>
              <w:spacing w:line="276" w:lineRule="auto"/>
              <w:jc w:val="right"/>
              <w:rPr>
                <w:lang w:eastAsia="en-US"/>
              </w:rPr>
            </w:pPr>
            <w:r w:rsidRPr="004C5551">
              <w:rPr>
                <w:szCs w:val="22"/>
                <w:lang w:eastAsia="en-US"/>
              </w:rPr>
              <w:t>263</w:t>
            </w:r>
          </w:p>
        </w:tc>
        <w:tc>
          <w:tcPr>
            <w:tcW w:w="1202" w:type="dxa"/>
            <w:vAlign w:val="center"/>
          </w:tcPr>
          <w:p w:rsidR="00E61062" w:rsidRPr="004C5551" w:rsidRDefault="00E61062" w:rsidP="00655346">
            <w:pPr>
              <w:spacing w:line="276" w:lineRule="auto"/>
              <w:jc w:val="right"/>
              <w:rPr>
                <w:lang w:eastAsia="en-US"/>
              </w:rPr>
            </w:pPr>
            <w:r w:rsidRPr="004C5551">
              <w:rPr>
                <w:szCs w:val="22"/>
                <w:lang w:eastAsia="en-US"/>
              </w:rPr>
              <w:t>267</w:t>
            </w:r>
          </w:p>
        </w:tc>
      </w:tr>
      <w:tr w:rsidR="00E61062" w:rsidRPr="004C5551" w:rsidTr="00C2196D">
        <w:trPr>
          <w:cantSplit/>
          <w:trHeight w:val="435"/>
          <w:jc w:val="center"/>
        </w:trPr>
        <w:tc>
          <w:tcPr>
            <w:tcW w:w="3049" w:type="dxa"/>
            <w:vAlign w:val="center"/>
            <w:hideMark/>
          </w:tcPr>
          <w:p w:rsidR="00E61062" w:rsidRPr="004C5551" w:rsidRDefault="00E61062" w:rsidP="00655346">
            <w:pPr>
              <w:spacing w:line="276" w:lineRule="auto"/>
              <w:jc w:val="left"/>
              <w:rPr>
                <w:lang w:eastAsia="en-US"/>
              </w:rPr>
            </w:pPr>
            <w:r w:rsidRPr="004C5551">
              <w:rPr>
                <w:szCs w:val="22"/>
                <w:lang w:eastAsia="en-US"/>
              </w:rPr>
              <w:t>Iné skupiny</w:t>
            </w:r>
          </w:p>
        </w:tc>
        <w:tc>
          <w:tcPr>
            <w:tcW w:w="1204" w:type="dxa"/>
            <w:vAlign w:val="center"/>
          </w:tcPr>
          <w:p w:rsidR="00E61062" w:rsidRPr="004C5551" w:rsidRDefault="00E61062" w:rsidP="00655346">
            <w:pPr>
              <w:spacing w:line="276" w:lineRule="auto"/>
              <w:jc w:val="right"/>
              <w:rPr>
                <w:lang w:eastAsia="en-US"/>
              </w:rPr>
            </w:pPr>
            <w:r w:rsidRPr="004C5551">
              <w:rPr>
                <w:szCs w:val="22"/>
                <w:lang w:eastAsia="en-US"/>
              </w:rPr>
              <w:t>158</w:t>
            </w:r>
          </w:p>
        </w:tc>
        <w:tc>
          <w:tcPr>
            <w:tcW w:w="1202" w:type="dxa"/>
            <w:vAlign w:val="center"/>
          </w:tcPr>
          <w:p w:rsidR="00E61062" w:rsidRPr="004C5551" w:rsidRDefault="00E61062" w:rsidP="00655346">
            <w:pPr>
              <w:spacing w:line="276" w:lineRule="auto"/>
              <w:jc w:val="right"/>
              <w:rPr>
                <w:lang w:eastAsia="en-US"/>
              </w:rPr>
            </w:pPr>
            <w:r w:rsidRPr="004C5551">
              <w:rPr>
                <w:szCs w:val="22"/>
                <w:lang w:eastAsia="en-US"/>
              </w:rPr>
              <w:t>155</w:t>
            </w:r>
          </w:p>
        </w:tc>
      </w:tr>
    </w:tbl>
    <w:p w:rsidR="006022FE" w:rsidRPr="004C5551" w:rsidRDefault="006022FE" w:rsidP="00C40E9C">
      <w:pPr>
        <w:pStyle w:val="zdroj"/>
        <w:spacing w:before="0"/>
        <w:ind w:left="1698" w:firstLine="570"/>
      </w:pPr>
      <w:r w:rsidRPr="004C5551">
        <w:t xml:space="preserve">Zdroj: </w:t>
      </w:r>
      <w:r w:rsidR="0049121E" w:rsidRPr="004C5551">
        <w:t>V(MPSVR SR) 5-01</w:t>
      </w:r>
    </w:p>
    <w:p w:rsidR="006022FE" w:rsidRPr="004C5551" w:rsidRDefault="006022FE" w:rsidP="006022FE">
      <w:pPr>
        <w:rPr>
          <w:i/>
          <w:szCs w:val="22"/>
        </w:rPr>
      </w:pPr>
    </w:p>
    <w:p w:rsidR="0084617B" w:rsidRPr="004C5551" w:rsidRDefault="0084617B" w:rsidP="000E7144">
      <w:pPr>
        <w:pStyle w:val="Nadpis7"/>
        <w:spacing w:before="120"/>
      </w:pPr>
      <w:r w:rsidRPr="004C5551">
        <w:t>Tabuľka 1</w:t>
      </w:r>
      <w:r w:rsidR="00900E22" w:rsidRPr="004C5551">
        <w:t>7</w:t>
      </w:r>
      <w:r w:rsidRPr="004C5551">
        <w:t xml:space="preserve"> Počty umiestnených detí a mladých dospelých v jednotlivých formách starostlivosti v detských domovoch k 31.12. za jednotlivé roky</w:t>
      </w:r>
    </w:p>
    <w:tbl>
      <w:tblPr>
        <w:tblW w:w="7077"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5"/>
        <w:gridCol w:w="1751"/>
        <w:gridCol w:w="1751"/>
      </w:tblGrid>
      <w:tr w:rsidR="00E61062" w:rsidRPr="004C5551" w:rsidTr="00002192">
        <w:trPr>
          <w:trHeight w:val="661"/>
          <w:jc w:val="center"/>
        </w:trPr>
        <w:tc>
          <w:tcPr>
            <w:tcW w:w="3575"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E61062" w:rsidRPr="004C5551" w:rsidRDefault="00E61062" w:rsidP="00655346">
            <w:pPr>
              <w:jc w:val="center"/>
              <w:rPr>
                <w:b/>
                <w:sz w:val="20"/>
                <w:szCs w:val="20"/>
              </w:rPr>
            </w:pPr>
            <w:r w:rsidRPr="004C5551">
              <w:rPr>
                <w:b/>
              </w:rPr>
              <w:t>Počet umiestnených detí v jednotlivých formách</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2013</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2014</w:t>
            </w:r>
          </w:p>
        </w:tc>
      </w:tr>
      <w:tr w:rsidR="00E61062" w:rsidRPr="004C5551"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hideMark/>
          </w:tcPr>
          <w:p w:rsidR="00E61062" w:rsidRPr="004C5551" w:rsidRDefault="00E61062" w:rsidP="00655346">
            <w:pPr>
              <w:rPr>
                <w:sz w:val="24"/>
              </w:rPr>
            </w:pPr>
            <w:r w:rsidRPr="004C5551">
              <w:t>v profesionálnej rodine</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1 394</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1 480</w:t>
            </w:r>
          </w:p>
        </w:tc>
      </w:tr>
      <w:tr w:rsidR="00E61062" w:rsidRPr="004C5551"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E61062" w:rsidRPr="004C5551" w:rsidRDefault="00E61062" w:rsidP="00655346">
            <w:pPr>
              <w:rPr>
                <w:sz w:val="24"/>
              </w:rPr>
            </w:pPr>
            <w:r w:rsidRPr="004C5551">
              <w:t>v samostatnej skupine</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2 487</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2 399</w:t>
            </w:r>
          </w:p>
        </w:tc>
      </w:tr>
      <w:tr w:rsidR="00E61062" w:rsidRPr="004C5551"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E61062" w:rsidRPr="004C5551" w:rsidRDefault="00E61062" w:rsidP="00655346">
            <w:pPr>
              <w:rPr>
                <w:sz w:val="24"/>
              </w:rPr>
            </w:pPr>
            <w:r w:rsidRPr="004C5551">
              <w:t>v iných skupinách</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917</w:t>
            </w:r>
          </w:p>
        </w:tc>
        <w:tc>
          <w:tcPr>
            <w:tcW w:w="175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tabs>
                <w:tab w:val="right" w:pos="1103"/>
              </w:tabs>
              <w:ind w:right="455"/>
              <w:jc w:val="right"/>
            </w:pPr>
            <w:r w:rsidRPr="004C5551">
              <w:t>842</w:t>
            </w:r>
          </w:p>
        </w:tc>
      </w:tr>
    </w:tbl>
    <w:p w:rsidR="0084617B" w:rsidRPr="004C5551" w:rsidRDefault="0084617B" w:rsidP="00C40E9C">
      <w:pPr>
        <w:pStyle w:val="zdroj"/>
        <w:ind w:left="567"/>
      </w:pPr>
      <w:r w:rsidRPr="004C5551">
        <w:t xml:space="preserve">Zdroj: </w:t>
      </w:r>
      <w:r w:rsidR="0049121E" w:rsidRPr="004C5551">
        <w:t>V(MPSVR SR) 5-01</w:t>
      </w:r>
    </w:p>
    <w:p w:rsidR="0084617B" w:rsidRPr="004C5551" w:rsidRDefault="0084617B" w:rsidP="004A6EE1">
      <w:pPr>
        <w:rPr>
          <w:b/>
          <w:sz w:val="18"/>
        </w:rPr>
      </w:pPr>
    </w:p>
    <w:p w:rsidR="00E61062" w:rsidRPr="004C5551" w:rsidRDefault="00E61062" w:rsidP="00E61062">
      <w:pPr>
        <w:pStyle w:val="Nadpis7"/>
        <w:spacing w:before="120"/>
      </w:pPr>
      <w:r w:rsidRPr="004C5551">
        <w:t>Tabuľka 18 Celkový počet detí zverených do jednotlivých foriem náhradnej rodinnej starostlivosti v jednotlivých rokoch</w:t>
      </w:r>
    </w:p>
    <w:tbl>
      <w:tblPr>
        <w:tblW w:w="8304"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52"/>
        <w:gridCol w:w="1621"/>
        <w:gridCol w:w="1621"/>
        <w:gridCol w:w="1388"/>
        <w:gridCol w:w="1722"/>
      </w:tblGrid>
      <w:tr w:rsidR="00E61062" w:rsidRPr="004C5551" w:rsidTr="00002192">
        <w:trPr>
          <w:trHeight w:val="965"/>
          <w:jc w:val="center"/>
        </w:trPr>
        <w:tc>
          <w:tcPr>
            <w:tcW w:w="195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rok</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Náhradná osobná starostlivosť</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Pestúnska starostlivosť</w:t>
            </w:r>
          </w:p>
        </w:tc>
        <w:tc>
          <w:tcPr>
            <w:tcW w:w="1388"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Poručníctvo</w:t>
            </w:r>
          </w:p>
        </w:tc>
        <w:tc>
          <w:tcPr>
            <w:tcW w:w="172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E61062" w:rsidRPr="004C5551" w:rsidRDefault="00E61062" w:rsidP="00655346">
            <w:pPr>
              <w:jc w:val="center"/>
              <w:rPr>
                <w:b/>
              </w:rPr>
            </w:pPr>
            <w:r w:rsidRPr="004C5551">
              <w:rPr>
                <w:b/>
              </w:rPr>
              <w:t>Spolu</w:t>
            </w:r>
          </w:p>
        </w:tc>
      </w:tr>
      <w:tr w:rsidR="00E61062" w:rsidRPr="004C5551" w:rsidTr="00655346">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jc w:val="center"/>
              <w:rPr>
                <w:b/>
              </w:rPr>
            </w:pPr>
            <w:r w:rsidRPr="004C5551">
              <w:rPr>
                <w:b/>
              </w:rPr>
              <w:t>2013</w:t>
            </w:r>
          </w:p>
        </w:tc>
        <w:tc>
          <w:tcPr>
            <w:tcW w:w="162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5 960</w:t>
            </w:r>
          </w:p>
        </w:tc>
        <w:tc>
          <w:tcPr>
            <w:tcW w:w="162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2 060</w:t>
            </w:r>
          </w:p>
        </w:tc>
        <w:tc>
          <w:tcPr>
            <w:tcW w:w="1388"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563</w:t>
            </w:r>
          </w:p>
        </w:tc>
        <w:tc>
          <w:tcPr>
            <w:tcW w:w="1722"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rPr>
                <w:b/>
              </w:rPr>
            </w:pPr>
            <w:r w:rsidRPr="004C5551">
              <w:rPr>
                <w:b/>
              </w:rPr>
              <w:t>8 583</w:t>
            </w:r>
          </w:p>
        </w:tc>
      </w:tr>
      <w:tr w:rsidR="00E61062" w:rsidRPr="004C5551" w:rsidTr="00655346">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jc w:val="center"/>
              <w:rPr>
                <w:b/>
              </w:rPr>
            </w:pPr>
            <w:r w:rsidRPr="004C5551">
              <w:rPr>
                <w:b/>
              </w:rPr>
              <w:t>2014</w:t>
            </w:r>
          </w:p>
        </w:tc>
        <w:tc>
          <w:tcPr>
            <w:tcW w:w="162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6 277</w:t>
            </w:r>
          </w:p>
        </w:tc>
        <w:tc>
          <w:tcPr>
            <w:tcW w:w="1621"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1 927</w:t>
            </w:r>
          </w:p>
        </w:tc>
        <w:tc>
          <w:tcPr>
            <w:tcW w:w="1388"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pPr>
            <w:r w:rsidRPr="004C5551">
              <w:t>539</w:t>
            </w:r>
          </w:p>
        </w:tc>
        <w:tc>
          <w:tcPr>
            <w:tcW w:w="1722" w:type="dxa"/>
            <w:tcBorders>
              <w:top w:val="single" w:sz="4" w:space="0" w:color="auto"/>
              <w:left w:val="single" w:sz="4" w:space="0" w:color="auto"/>
              <w:bottom w:val="single" w:sz="4" w:space="0" w:color="auto"/>
              <w:right w:val="single" w:sz="4" w:space="0" w:color="auto"/>
            </w:tcBorders>
            <w:vAlign w:val="center"/>
          </w:tcPr>
          <w:p w:rsidR="00E61062" w:rsidRPr="004C5551" w:rsidRDefault="00E61062" w:rsidP="00655346">
            <w:pPr>
              <w:ind w:right="384"/>
              <w:jc w:val="right"/>
              <w:rPr>
                <w:b/>
              </w:rPr>
            </w:pPr>
            <w:r w:rsidRPr="004C5551">
              <w:rPr>
                <w:b/>
              </w:rPr>
              <w:t>8 743</w:t>
            </w:r>
          </w:p>
        </w:tc>
      </w:tr>
    </w:tbl>
    <w:p w:rsidR="00E61062" w:rsidRPr="004C5551" w:rsidRDefault="00E61062" w:rsidP="00E61062">
      <w:pPr>
        <w:pStyle w:val="zdroj"/>
      </w:pPr>
      <w:r w:rsidRPr="004C5551">
        <w:t xml:space="preserve">Zdroj: </w:t>
      </w:r>
      <w:r w:rsidR="0049121E" w:rsidRPr="004C5551">
        <w:t>V(MPSVR SR) 12-01</w:t>
      </w:r>
    </w:p>
    <w:p w:rsidR="00E61062" w:rsidRPr="004C5551" w:rsidRDefault="00E61062" w:rsidP="00E61062"/>
    <w:p w:rsidR="000E7144" w:rsidRPr="004C5551" w:rsidRDefault="000E7144">
      <w:pPr>
        <w:jc w:val="left"/>
        <w:rPr>
          <w:rFonts w:eastAsia="Calibri"/>
          <w:b/>
        </w:rPr>
      </w:pPr>
      <w:r w:rsidRPr="004C5551">
        <w:rPr>
          <w:rFonts w:eastAsia="Calibri"/>
        </w:rPr>
        <w:br w:type="page"/>
      </w:r>
    </w:p>
    <w:p w:rsidR="00E61062" w:rsidRPr="004C5551" w:rsidRDefault="00E61062" w:rsidP="00E61062">
      <w:pPr>
        <w:pStyle w:val="Nadpis7"/>
        <w:spacing w:before="120"/>
        <w:rPr>
          <w:rFonts w:eastAsia="Calibri"/>
        </w:rPr>
      </w:pPr>
      <w:r w:rsidRPr="004C5551">
        <w:rPr>
          <w:rFonts w:eastAsia="Calibri"/>
        </w:rPr>
        <w:t>Tabuľka 19 Základné štatistické údaje o činnosti RPPS za roky 2013 a 2014</w:t>
      </w:r>
    </w:p>
    <w:tbl>
      <w:tblPr>
        <w:tblW w:w="63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1"/>
        <w:gridCol w:w="1496"/>
        <w:gridCol w:w="1310"/>
        <w:gridCol w:w="1610"/>
        <w:gridCol w:w="1136"/>
      </w:tblGrid>
      <w:tr w:rsidR="00E61062" w:rsidRPr="004C5551" w:rsidTr="006B5050">
        <w:trPr>
          <w:trHeight w:val="1333"/>
          <w:jc w:val="center"/>
        </w:trPr>
        <w:tc>
          <w:tcPr>
            <w:tcW w:w="84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E61062" w:rsidRPr="004C5551" w:rsidRDefault="00E61062" w:rsidP="00655346">
            <w:pPr>
              <w:spacing w:line="276" w:lineRule="auto"/>
              <w:jc w:val="center"/>
              <w:rPr>
                <w:rFonts w:eastAsia="Calibri"/>
                <w:b/>
                <w:bCs/>
              </w:rPr>
            </w:pPr>
            <w:r w:rsidRPr="004C5551">
              <w:rPr>
                <w:rFonts w:eastAsia="Calibri"/>
                <w:b/>
                <w:bCs/>
                <w:szCs w:val="22"/>
              </w:rPr>
              <w:t>rok</w:t>
            </w:r>
          </w:p>
        </w:tc>
        <w:tc>
          <w:tcPr>
            <w:tcW w:w="149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E61062" w:rsidRPr="004C5551" w:rsidRDefault="00E61062" w:rsidP="00655346">
            <w:pPr>
              <w:spacing w:line="276" w:lineRule="auto"/>
              <w:jc w:val="center"/>
              <w:rPr>
                <w:rFonts w:eastAsia="Calibri"/>
                <w:b/>
                <w:bCs/>
              </w:rPr>
            </w:pPr>
            <w:r w:rsidRPr="004C5551">
              <w:rPr>
                <w:rFonts w:eastAsia="Calibri"/>
                <w:b/>
                <w:bCs/>
                <w:szCs w:val="22"/>
              </w:rPr>
              <w:t>Počet prípadov</w:t>
            </w:r>
          </w:p>
        </w:tc>
        <w:tc>
          <w:tcPr>
            <w:tcW w:w="13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E61062" w:rsidRPr="004C5551" w:rsidRDefault="00E61062" w:rsidP="00655346">
            <w:pPr>
              <w:spacing w:line="276" w:lineRule="auto"/>
              <w:jc w:val="center"/>
              <w:rPr>
                <w:rFonts w:eastAsia="Calibri"/>
                <w:b/>
                <w:bCs/>
              </w:rPr>
            </w:pPr>
            <w:r w:rsidRPr="004C5551">
              <w:rPr>
                <w:rFonts w:eastAsia="Calibri"/>
                <w:b/>
                <w:bCs/>
                <w:szCs w:val="22"/>
              </w:rPr>
              <w:t>Počet klientov</w:t>
            </w:r>
          </w:p>
        </w:tc>
        <w:tc>
          <w:tcPr>
            <w:tcW w:w="16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E61062" w:rsidRPr="004C5551" w:rsidRDefault="00E61062" w:rsidP="00655346">
            <w:pPr>
              <w:spacing w:line="276" w:lineRule="auto"/>
              <w:jc w:val="center"/>
              <w:rPr>
                <w:rFonts w:eastAsia="Calibri"/>
                <w:b/>
                <w:bCs/>
              </w:rPr>
            </w:pPr>
            <w:r w:rsidRPr="004C5551">
              <w:rPr>
                <w:rFonts w:eastAsia="Calibri"/>
                <w:b/>
                <w:bCs/>
                <w:szCs w:val="22"/>
              </w:rPr>
              <w:t>Počet konzultácií</w:t>
            </w:r>
          </w:p>
        </w:tc>
        <w:tc>
          <w:tcPr>
            <w:tcW w:w="113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E61062" w:rsidRPr="004C5551" w:rsidRDefault="00E61062" w:rsidP="00655346">
            <w:pPr>
              <w:spacing w:line="276" w:lineRule="auto"/>
              <w:jc w:val="center"/>
              <w:rPr>
                <w:rFonts w:eastAsia="Calibri"/>
                <w:b/>
                <w:bCs/>
              </w:rPr>
            </w:pPr>
            <w:r w:rsidRPr="004C5551">
              <w:rPr>
                <w:rFonts w:eastAsia="Calibri"/>
                <w:b/>
                <w:bCs/>
                <w:szCs w:val="22"/>
              </w:rPr>
              <w:t>Počet zamest</w:t>
            </w:r>
            <w:r w:rsidRPr="004C5551">
              <w:rPr>
                <w:rFonts w:eastAsia="Calibri"/>
                <w:b/>
                <w:bCs/>
                <w:szCs w:val="22"/>
              </w:rPr>
              <w:softHyphen/>
              <w:t>nancov</w:t>
            </w:r>
          </w:p>
        </w:tc>
      </w:tr>
      <w:tr w:rsidR="00E61062" w:rsidRPr="004C5551" w:rsidTr="000720BE">
        <w:trPr>
          <w:trHeight w:val="340"/>
          <w:jc w:val="center"/>
        </w:trPr>
        <w:tc>
          <w:tcPr>
            <w:tcW w:w="841" w:type="dxa"/>
            <w:tcBorders>
              <w:top w:val="single" w:sz="4" w:space="0" w:color="auto"/>
            </w:tcBorders>
            <w:noWrap/>
            <w:tcMar>
              <w:top w:w="0" w:type="dxa"/>
              <w:left w:w="70" w:type="dxa"/>
              <w:bottom w:w="0" w:type="dxa"/>
              <w:right w:w="70" w:type="dxa"/>
            </w:tcMar>
            <w:vAlign w:val="bottom"/>
            <w:hideMark/>
          </w:tcPr>
          <w:p w:rsidR="00E61062" w:rsidRPr="004C5551" w:rsidRDefault="00E61062" w:rsidP="00655346">
            <w:pPr>
              <w:spacing w:line="276" w:lineRule="auto"/>
              <w:jc w:val="center"/>
              <w:rPr>
                <w:rFonts w:eastAsia="Calibri"/>
                <w:b/>
                <w:bCs/>
              </w:rPr>
            </w:pPr>
            <w:r w:rsidRPr="004C5551">
              <w:rPr>
                <w:rFonts w:eastAsia="Calibri"/>
                <w:b/>
                <w:bCs/>
                <w:szCs w:val="22"/>
              </w:rPr>
              <w:t>2013</w:t>
            </w:r>
          </w:p>
        </w:tc>
        <w:tc>
          <w:tcPr>
            <w:tcW w:w="1496" w:type="dxa"/>
            <w:tcBorders>
              <w:top w:val="single" w:sz="4" w:space="0" w:color="auto"/>
            </w:tcBorders>
            <w:noWrap/>
            <w:tcMar>
              <w:top w:w="0" w:type="dxa"/>
              <w:left w:w="70" w:type="dxa"/>
              <w:bottom w:w="0" w:type="dxa"/>
              <w:right w:w="70" w:type="dxa"/>
            </w:tcMar>
            <w:vAlign w:val="bottom"/>
            <w:hideMark/>
          </w:tcPr>
          <w:p w:rsidR="00E61062" w:rsidRPr="004C5551" w:rsidRDefault="00E61062" w:rsidP="00655346">
            <w:pPr>
              <w:spacing w:line="276" w:lineRule="auto"/>
              <w:jc w:val="center"/>
              <w:rPr>
                <w:rFonts w:eastAsia="Calibri"/>
              </w:rPr>
            </w:pPr>
            <w:r w:rsidRPr="004C5551">
              <w:rPr>
                <w:rFonts w:eastAsia="Calibri"/>
                <w:szCs w:val="22"/>
              </w:rPr>
              <w:t>8 672</w:t>
            </w:r>
          </w:p>
        </w:tc>
        <w:tc>
          <w:tcPr>
            <w:tcW w:w="1310" w:type="dxa"/>
            <w:tcBorders>
              <w:top w:val="single" w:sz="4" w:space="0" w:color="auto"/>
            </w:tcBorders>
            <w:noWrap/>
            <w:tcMar>
              <w:top w:w="0" w:type="dxa"/>
              <w:left w:w="70" w:type="dxa"/>
              <w:bottom w:w="0" w:type="dxa"/>
              <w:right w:w="70" w:type="dxa"/>
            </w:tcMar>
            <w:vAlign w:val="bottom"/>
            <w:hideMark/>
          </w:tcPr>
          <w:p w:rsidR="00E61062" w:rsidRPr="004C5551" w:rsidRDefault="00E61062" w:rsidP="00655346">
            <w:pPr>
              <w:spacing w:line="276" w:lineRule="auto"/>
              <w:jc w:val="center"/>
              <w:rPr>
                <w:rFonts w:eastAsia="Calibri"/>
              </w:rPr>
            </w:pPr>
            <w:r w:rsidRPr="004C5551">
              <w:rPr>
                <w:rFonts w:eastAsia="Calibri"/>
                <w:szCs w:val="22"/>
              </w:rPr>
              <w:t>16 990</w:t>
            </w:r>
          </w:p>
        </w:tc>
        <w:tc>
          <w:tcPr>
            <w:tcW w:w="1610" w:type="dxa"/>
            <w:tcBorders>
              <w:top w:val="single" w:sz="4" w:space="0" w:color="auto"/>
            </w:tcBorders>
            <w:noWrap/>
            <w:tcMar>
              <w:top w:w="0" w:type="dxa"/>
              <w:left w:w="70" w:type="dxa"/>
              <w:bottom w:w="0" w:type="dxa"/>
              <w:right w:w="70" w:type="dxa"/>
            </w:tcMar>
            <w:vAlign w:val="bottom"/>
            <w:hideMark/>
          </w:tcPr>
          <w:p w:rsidR="00E61062" w:rsidRPr="004C5551" w:rsidRDefault="00E61062" w:rsidP="00655346">
            <w:pPr>
              <w:spacing w:line="276" w:lineRule="auto"/>
              <w:jc w:val="center"/>
              <w:rPr>
                <w:rFonts w:eastAsia="Calibri"/>
              </w:rPr>
            </w:pPr>
            <w:r w:rsidRPr="004C5551">
              <w:rPr>
                <w:rFonts w:eastAsia="Calibri"/>
                <w:szCs w:val="22"/>
              </w:rPr>
              <w:t>56 593</w:t>
            </w:r>
          </w:p>
        </w:tc>
        <w:tc>
          <w:tcPr>
            <w:tcW w:w="1136" w:type="dxa"/>
            <w:tcBorders>
              <w:top w:val="single" w:sz="4" w:space="0" w:color="auto"/>
            </w:tcBorders>
            <w:noWrap/>
            <w:tcMar>
              <w:top w:w="0" w:type="dxa"/>
              <w:left w:w="70" w:type="dxa"/>
              <w:bottom w:w="0" w:type="dxa"/>
              <w:right w:w="70" w:type="dxa"/>
            </w:tcMar>
            <w:vAlign w:val="bottom"/>
            <w:hideMark/>
          </w:tcPr>
          <w:p w:rsidR="00E61062" w:rsidRPr="004C5551" w:rsidRDefault="00E61062" w:rsidP="00655346">
            <w:pPr>
              <w:spacing w:line="276" w:lineRule="auto"/>
              <w:jc w:val="center"/>
              <w:rPr>
                <w:rFonts w:eastAsia="Calibri"/>
              </w:rPr>
            </w:pPr>
            <w:r w:rsidRPr="004C5551">
              <w:rPr>
                <w:rFonts w:eastAsia="Calibri"/>
                <w:szCs w:val="22"/>
              </w:rPr>
              <w:t>83</w:t>
            </w:r>
          </w:p>
        </w:tc>
      </w:tr>
      <w:tr w:rsidR="00E61062" w:rsidRPr="004C5551" w:rsidTr="000720BE">
        <w:trPr>
          <w:trHeight w:val="340"/>
          <w:jc w:val="center"/>
        </w:trPr>
        <w:tc>
          <w:tcPr>
            <w:tcW w:w="841" w:type="dxa"/>
            <w:noWrap/>
            <w:tcMar>
              <w:top w:w="0" w:type="dxa"/>
              <w:left w:w="70" w:type="dxa"/>
              <w:bottom w:w="0" w:type="dxa"/>
              <w:right w:w="70" w:type="dxa"/>
            </w:tcMar>
            <w:vAlign w:val="bottom"/>
          </w:tcPr>
          <w:p w:rsidR="00E61062" w:rsidRPr="004C5551" w:rsidRDefault="00E61062" w:rsidP="00655346">
            <w:pPr>
              <w:spacing w:line="276" w:lineRule="auto"/>
              <w:jc w:val="center"/>
              <w:rPr>
                <w:rFonts w:eastAsia="Calibri"/>
                <w:b/>
                <w:bCs/>
              </w:rPr>
            </w:pPr>
            <w:r w:rsidRPr="004C5551">
              <w:rPr>
                <w:rFonts w:eastAsia="Calibri"/>
                <w:b/>
                <w:bCs/>
                <w:szCs w:val="22"/>
              </w:rPr>
              <w:t>2014</w:t>
            </w:r>
          </w:p>
        </w:tc>
        <w:tc>
          <w:tcPr>
            <w:tcW w:w="1496" w:type="dxa"/>
            <w:noWrap/>
            <w:tcMar>
              <w:top w:w="0" w:type="dxa"/>
              <w:left w:w="70" w:type="dxa"/>
              <w:bottom w:w="0" w:type="dxa"/>
              <w:right w:w="70" w:type="dxa"/>
            </w:tcMar>
            <w:vAlign w:val="bottom"/>
          </w:tcPr>
          <w:p w:rsidR="00E61062" w:rsidRPr="004C5551" w:rsidRDefault="00E61062" w:rsidP="00655346">
            <w:pPr>
              <w:spacing w:line="276" w:lineRule="auto"/>
              <w:jc w:val="center"/>
              <w:rPr>
                <w:rFonts w:eastAsia="Calibri"/>
              </w:rPr>
            </w:pPr>
            <w:r w:rsidRPr="004C5551">
              <w:rPr>
                <w:rFonts w:eastAsia="Calibri"/>
                <w:szCs w:val="22"/>
              </w:rPr>
              <w:t>8 871</w:t>
            </w:r>
          </w:p>
        </w:tc>
        <w:tc>
          <w:tcPr>
            <w:tcW w:w="1310" w:type="dxa"/>
            <w:noWrap/>
            <w:tcMar>
              <w:top w:w="0" w:type="dxa"/>
              <w:left w:w="70" w:type="dxa"/>
              <w:bottom w:w="0" w:type="dxa"/>
              <w:right w:w="70" w:type="dxa"/>
            </w:tcMar>
            <w:vAlign w:val="bottom"/>
          </w:tcPr>
          <w:p w:rsidR="00E61062" w:rsidRPr="004C5551" w:rsidRDefault="00E61062" w:rsidP="00655346">
            <w:pPr>
              <w:spacing w:line="276" w:lineRule="auto"/>
              <w:jc w:val="center"/>
              <w:rPr>
                <w:rFonts w:eastAsia="Calibri"/>
              </w:rPr>
            </w:pPr>
            <w:r w:rsidRPr="004C5551">
              <w:rPr>
                <w:rFonts w:eastAsia="Calibri"/>
                <w:szCs w:val="22"/>
              </w:rPr>
              <w:t>17 906</w:t>
            </w:r>
          </w:p>
        </w:tc>
        <w:tc>
          <w:tcPr>
            <w:tcW w:w="1610" w:type="dxa"/>
            <w:noWrap/>
            <w:tcMar>
              <w:top w:w="0" w:type="dxa"/>
              <w:left w:w="70" w:type="dxa"/>
              <w:bottom w:w="0" w:type="dxa"/>
              <w:right w:w="70" w:type="dxa"/>
            </w:tcMar>
            <w:vAlign w:val="bottom"/>
          </w:tcPr>
          <w:p w:rsidR="00E61062" w:rsidRPr="004C5551" w:rsidRDefault="00E61062" w:rsidP="00655346">
            <w:pPr>
              <w:spacing w:line="276" w:lineRule="auto"/>
              <w:jc w:val="center"/>
              <w:rPr>
                <w:rFonts w:eastAsia="Calibri"/>
              </w:rPr>
            </w:pPr>
            <w:r w:rsidRPr="004C5551">
              <w:rPr>
                <w:rFonts w:eastAsia="Calibri"/>
                <w:szCs w:val="22"/>
              </w:rPr>
              <w:t>52 048</w:t>
            </w:r>
          </w:p>
        </w:tc>
        <w:tc>
          <w:tcPr>
            <w:tcW w:w="1136" w:type="dxa"/>
            <w:noWrap/>
            <w:tcMar>
              <w:top w:w="0" w:type="dxa"/>
              <w:left w:w="70" w:type="dxa"/>
              <w:bottom w:w="0" w:type="dxa"/>
              <w:right w:w="70" w:type="dxa"/>
            </w:tcMar>
            <w:vAlign w:val="bottom"/>
          </w:tcPr>
          <w:p w:rsidR="00E61062" w:rsidRPr="004C5551" w:rsidRDefault="00E61062" w:rsidP="00655346">
            <w:pPr>
              <w:spacing w:line="276" w:lineRule="auto"/>
              <w:jc w:val="center"/>
              <w:rPr>
                <w:rFonts w:eastAsia="Calibri"/>
              </w:rPr>
            </w:pPr>
            <w:r w:rsidRPr="004C5551">
              <w:rPr>
                <w:rFonts w:eastAsia="Calibri"/>
                <w:szCs w:val="22"/>
              </w:rPr>
              <w:t>84</w:t>
            </w:r>
          </w:p>
        </w:tc>
      </w:tr>
    </w:tbl>
    <w:p w:rsidR="00E61062" w:rsidRPr="004C5551" w:rsidRDefault="00E61062" w:rsidP="00423669">
      <w:pPr>
        <w:ind w:left="425" w:firstLine="1276"/>
        <w:rPr>
          <w:rFonts w:eastAsia="Calibri"/>
          <w:b/>
          <w:bCs/>
          <w:sz w:val="20"/>
          <w:szCs w:val="22"/>
        </w:rPr>
      </w:pPr>
      <w:r w:rsidRPr="004C5551">
        <w:rPr>
          <w:rFonts w:eastAsia="Calibri"/>
          <w:i/>
          <w:iCs/>
          <w:sz w:val="20"/>
          <w:szCs w:val="22"/>
        </w:rPr>
        <w:t xml:space="preserve">Zdroj: </w:t>
      </w:r>
      <w:r w:rsidR="0049121E" w:rsidRPr="004C5551">
        <w:rPr>
          <w:rFonts w:eastAsia="Calibri"/>
          <w:i/>
          <w:iCs/>
          <w:sz w:val="20"/>
          <w:szCs w:val="22"/>
        </w:rPr>
        <w:t>Ročný výkaz o vykonávaní poradensko-psychologických služieb</w:t>
      </w:r>
    </w:p>
    <w:p w:rsidR="00E61062" w:rsidRPr="004C5551" w:rsidRDefault="00E61062" w:rsidP="00E61062">
      <w:pPr>
        <w:rPr>
          <w:rFonts w:eastAsia="Calibri"/>
          <w:b/>
          <w:bCs/>
          <w:sz w:val="18"/>
          <w:szCs w:val="22"/>
        </w:rPr>
      </w:pPr>
    </w:p>
    <w:p w:rsidR="00E61062" w:rsidRPr="004C5551" w:rsidRDefault="00E61062" w:rsidP="006D2EE6">
      <w:pPr>
        <w:rPr>
          <w:rFonts w:eastAsia="Calibri"/>
          <w:b/>
          <w:bCs/>
          <w:sz w:val="18"/>
          <w:szCs w:val="22"/>
        </w:rPr>
      </w:pPr>
    </w:p>
    <w:p w:rsidR="0043295C" w:rsidRPr="004C5551" w:rsidRDefault="0043295C" w:rsidP="0043295C">
      <w:pPr>
        <w:pStyle w:val="Nadpis7"/>
        <w:spacing w:before="120"/>
        <w:rPr>
          <w:rFonts w:eastAsia="Calibri"/>
        </w:rPr>
      </w:pPr>
      <w:r w:rsidRPr="004C5551">
        <w:rPr>
          <w:rFonts w:eastAsia="Calibri"/>
        </w:rPr>
        <w:t>Tabuľka 20 Činnosť referátov poradensko-psychologických služieb v roku 2013 a 2014</w:t>
      </w:r>
    </w:p>
    <w:tbl>
      <w:tblPr>
        <w:tblW w:w="8721" w:type="dxa"/>
        <w:jc w:val="center"/>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11"/>
        <w:gridCol w:w="1560"/>
        <w:gridCol w:w="1417"/>
        <w:gridCol w:w="1416"/>
        <w:gridCol w:w="1417"/>
      </w:tblGrid>
      <w:tr w:rsidR="0043295C" w:rsidRPr="004C5551" w:rsidTr="00002192">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43295C" w:rsidRPr="004C5551" w:rsidRDefault="0043295C" w:rsidP="00655346">
            <w:pPr>
              <w:jc w:val="center"/>
              <w:rPr>
                <w:rFonts w:eastAsia="Calibri"/>
                <w:b/>
                <w:bCs/>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Rok 2013</w:t>
            </w:r>
          </w:p>
        </w:tc>
        <w:tc>
          <w:tcPr>
            <w:tcW w:w="283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tcPr>
          <w:p w:rsidR="0043295C" w:rsidRPr="004C5551" w:rsidRDefault="0043295C" w:rsidP="00655346">
            <w:pPr>
              <w:jc w:val="center"/>
              <w:rPr>
                <w:rFonts w:eastAsia="Calibri"/>
                <w:b/>
                <w:bCs/>
              </w:rPr>
            </w:pPr>
            <w:r w:rsidRPr="004C5551">
              <w:rPr>
                <w:rFonts w:eastAsia="Calibri"/>
                <w:b/>
                <w:bCs/>
                <w:szCs w:val="22"/>
              </w:rPr>
              <w:t>Rok 2014</w:t>
            </w:r>
          </w:p>
        </w:tc>
      </w:tr>
      <w:tr w:rsidR="0043295C" w:rsidRPr="004C5551" w:rsidTr="00002192">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Problematika</w:t>
            </w:r>
          </w:p>
        </w:tc>
        <w:tc>
          <w:tcPr>
            <w:tcW w:w="156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Počet konzultácií</w:t>
            </w:r>
          </w:p>
        </w:tc>
        <w:tc>
          <w:tcPr>
            <w:tcW w:w="1416"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43295C" w:rsidRPr="004C5551" w:rsidRDefault="0043295C" w:rsidP="00655346">
            <w:pPr>
              <w:jc w:val="center"/>
              <w:rPr>
                <w:rFonts w:eastAsia="Calibri"/>
                <w:b/>
                <w:bCs/>
              </w:rPr>
            </w:pPr>
            <w:r w:rsidRPr="004C5551">
              <w:rPr>
                <w:rFonts w:eastAsia="Calibri"/>
                <w:b/>
                <w:bCs/>
                <w:szCs w:val="22"/>
              </w:rPr>
              <w:t>Počet konzultácií</w:t>
            </w:r>
          </w:p>
        </w:tc>
      </w:tr>
      <w:tr w:rsidR="0043295C" w:rsidRPr="004C5551" w:rsidTr="000720BE">
        <w:trPr>
          <w:trHeight w:val="340"/>
          <w:jc w:val="center"/>
        </w:trPr>
        <w:tc>
          <w:tcPr>
            <w:tcW w:w="2911" w:type="dxa"/>
            <w:tcBorders>
              <w:top w:val="single" w:sz="4" w:space="0" w:color="auto"/>
            </w:tcBorders>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 xml:space="preserve">Rodinná </w:t>
            </w:r>
          </w:p>
        </w:tc>
        <w:tc>
          <w:tcPr>
            <w:tcW w:w="1560" w:type="dxa"/>
            <w:tcBorders>
              <w:top w:val="single" w:sz="4" w:space="0" w:color="auto"/>
            </w:tcBorders>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2 284</w:t>
            </w:r>
          </w:p>
        </w:tc>
        <w:tc>
          <w:tcPr>
            <w:tcW w:w="1417" w:type="dxa"/>
            <w:tcBorders>
              <w:top w:val="single" w:sz="4" w:space="0" w:color="auto"/>
            </w:tcBorders>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10 786</w:t>
            </w:r>
          </w:p>
        </w:tc>
        <w:tc>
          <w:tcPr>
            <w:tcW w:w="1416" w:type="dxa"/>
            <w:tcBorders>
              <w:top w:val="single" w:sz="4" w:space="0" w:color="auto"/>
            </w:tcBorders>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2 630</w:t>
            </w:r>
          </w:p>
        </w:tc>
        <w:tc>
          <w:tcPr>
            <w:tcW w:w="1417" w:type="dxa"/>
            <w:tcBorders>
              <w:top w:val="single" w:sz="4" w:space="0" w:color="auto"/>
            </w:tcBorders>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11 621</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Rozvodová, porozvodová</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2 621</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12 398</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2 620</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11 509</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Partnerská, manželská</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956</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4 959</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1 000</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4 999</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Osobnostná</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692</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3 724</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697</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3 624</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Náhradná rodinná starostlivosť</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1 029</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9 791</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1 012</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9 277</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Iná/Rôzne</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428</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1 498</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368</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1 186</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Drogové a iné závislosti</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212</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1 157</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187</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910</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Profesionálna rodina</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437</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12 218</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322</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8 787</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rPr>
            </w:pPr>
            <w:r w:rsidRPr="004C5551">
              <w:rPr>
                <w:rFonts w:eastAsia="Calibri"/>
                <w:szCs w:val="22"/>
              </w:rPr>
              <w:t>Krízová intervencia</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13</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rPr>
            </w:pPr>
            <w:r w:rsidRPr="004C5551">
              <w:rPr>
                <w:rFonts w:eastAsia="Calibri"/>
                <w:szCs w:val="22"/>
              </w:rPr>
              <w:t>62</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35</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rPr>
            </w:pPr>
            <w:r w:rsidRPr="004C5551">
              <w:rPr>
                <w:rFonts w:eastAsia="Calibri"/>
                <w:szCs w:val="22"/>
              </w:rPr>
              <w:t>135</w:t>
            </w:r>
          </w:p>
        </w:tc>
      </w:tr>
      <w:tr w:rsidR="0043295C" w:rsidRPr="004C5551" w:rsidTr="000720BE">
        <w:trPr>
          <w:trHeight w:val="340"/>
          <w:jc w:val="center"/>
        </w:trPr>
        <w:tc>
          <w:tcPr>
            <w:tcW w:w="2911" w:type="dxa"/>
            <w:noWrap/>
            <w:tcMar>
              <w:top w:w="0" w:type="dxa"/>
              <w:left w:w="70" w:type="dxa"/>
              <w:bottom w:w="0" w:type="dxa"/>
              <w:right w:w="70" w:type="dxa"/>
            </w:tcMar>
            <w:vAlign w:val="bottom"/>
            <w:hideMark/>
          </w:tcPr>
          <w:p w:rsidR="0043295C" w:rsidRPr="004C5551" w:rsidRDefault="0043295C" w:rsidP="00655346">
            <w:pPr>
              <w:jc w:val="left"/>
              <w:rPr>
                <w:rFonts w:eastAsia="Calibri"/>
                <w:b/>
                <w:bCs/>
              </w:rPr>
            </w:pPr>
            <w:r w:rsidRPr="004C5551">
              <w:rPr>
                <w:rFonts w:eastAsia="Calibri"/>
                <w:b/>
                <w:bCs/>
                <w:szCs w:val="22"/>
              </w:rPr>
              <w:t xml:space="preserve">Spolu </w:t>
            </w:r>
          </w:p>
        </w:tc>
        <w:tc>
          <w:tcPr>
            <w:tcW w:w="1560" w:type="dxa"/>
            <w:noWrap/>
            <w:tcMar>
              <w:top w:w="0" w:type="dxa"/>
              <w:left w:w="70" w:type="dxa"/>
              <w:bottom w:w="0" w:type="dxa"/>
              <w:right w:w="70" w:type="dxa"/>
            </w:tcMar>
            <w:hideMark/>
          </w:tcPr>
          <w:p w:rsidR="0043295C" w:rsidRPr="004C5551" w:rsidRDefault="0043295C" w:rsidP="00655346">
            <w:pPr>
              <w:ind w:right="356"/>
              <w:jc w:val="right"/>
              <w:rPr>
                <w:rFonts w:eastAsia="Calibri"/>
                <w:b/>
                <w:bCs/>
              </w:rPr>
            </w:pPr>
            <w:r w:rsidRPr="004C5551">
              <w:rPr>
                <w:rFonts w:eastAsia="Calibri"/>
                <w:b/>
                <w:bCs/>
                <w:szCs w:val="22"/>
              </w:rPr>
              <w:t>8 672</w:t>
            </w:r>
          </w:p>
        </w:tc>
        <w:tc>
          <w:tcPr>
            <w:tcW w:w="1417" w:type="dxa"/>
            <w:noWrap/>
            <w:tcMar>
              <w:top w:w="0" w:type="dxa"/>
              <w:left w:w="70" w:type="dxa"/>
              <w:bottom w:w="0" w:type="dxa"/>
              <w:right w:w="70" w:type="dxa"/>
            </w:tcMar>
            <w:hideMark/>
          </w:tcPr>
          <w:p w:rsidR="0043295C" w:rsidRPr="004C5551" w:rsidRDefault="0043295C" w:rsidP="00655346">
            <w:pPr>
              <w:ind w:right="356"/>
              <w:jc w:val="right"/>
              <w:rPr>
                <w:rFonts w:eastAsia="Calibri"/>
                <w:b/>
                <w:bCs/>
              </w:rPr>
            </w:pPr>
            <w:r w:rsidRPr="004C5551">
              <w:rPr>
                <w:rFonts w:eastAsia="Calibri"/>
                <w:b/>
                <w:bCs/>
                <w:szCs w:val="22"/>
              </w:rPr>
              <w:t>56 593</w:t>
            </w:r>
          </w:p>
        </w:tc>
        <w:tc>
          <w:tcPr>
            <w:tcW w:w="1416" w:type="dxa"/>
            <w:tcMar>
              <w:top w:w="0" w:type="dxa"/>
              <w:left w:w="70" w:type="dxa"/>
              <w:bottom w:w="0" w:type="dxa"/>
              <w:right w:w="70" w:type="dxa"/>
            </w:tcMar>
          </w:tcPr>
          <w:p w:rsidR="0043295C" w:rsidRPr="004C5551" w:rsidRDefault="0043295C" w:rsidP="00655346">
            <w:pPr>
              <w:ind w:right="356"/>
              <w:jc w:val="right"/>
              <w:rPr>
                <w:rFonts w:eastAsia="Calibri"/>
                <w:b/>
                <w:bCs/>
              </w:rPr>
            </w:pPr>
            <w:r w:rsidRPr="004C5551">
              <w:rPr>
                <w:rFonts w:eastAsia="Calibri"/>
                <w:b/>
                <w:bCs/>
                <w:szCs w:val="22"/>
              </w:rPr>
              <w:t>8 871</w:t>
            </w:r>
          </w:p>
        </w:tc>
        <w:tc>
          <w:tcPr>
            <w:tcW w:w="1417" w:type="dxa"/>
            <w:tcMar>
              <w:top w:w="0" w:type="dxa"/>
              <w:left w:w="70" w:type="dxa"/>
              <w:bottom w:w="0" w:type="dxa"/>
              <w:right w:w="70" w:type="dxa"/>
            </w:tcMar>
          </w:tcPr>
          <w:p w:rsidR="0043295C" w:rsidRPr="004C5551" w:rsidRDefault="0043295C" w:rsidP="00655346">
            <w:pPr>
              <w:ind w:right="356"/>
              <w:jc w:val="right"/>
              <w:rPr>
                <w:rFonts w:eastAsia="Calibri"/>
                <w:b/>
                <w:bCs/>
              </w:rPr>
            </w:pPr>
            <w:r w:rsidRPr="004C5551">
              <w:rPr>
                <w:rFonts w:eastAsia="Calibri"/>
                <w:b/>
                <w:bCs/>
                <w:szCs w:val="22"/>
              </w:rPr>
              <w:t>52 048</w:t>
            </w:r>
          </w:p>
        </w:tc>
      </w:tr>
    </w:tbl>
    <w:p w:rsidR="0043295C" w:rsidRPr="004C5551" w:rsidRDefault="0043295C" w:rsidP="0043295C">
      <w:pPr>
        <w:spacing w:before="30" w:after="120" w:line="276" w:lineRule="auto"/>
        <w:ind w:firstLine="570"/>
        <w:rPr>
          <w:rFonts w:eastAsia="Calibri"/>
          <w:i/>
          <w:iCs/>
          <w:sz w:val="20"/>
          <w:szCs w:val="22"/>
        </w:rPr>
      </w:pPr>
      <w:r w:rsidRPr="004C5551">
        <w:rPr>
          <w:rFonts w:eastAsia="Calibri"/>
          <w:i/>
          <w:iCs/>
          <w:sz w:val="20"/>
          <w:szCs w:val="22"/>
        </w:rPr>
        <w:t xml:space="preserve">Zdroj: </w:t>
      </w:r>
      <w:r w:rsidR="0049121E" w:rsidRPr="004C5551">
        <w:rPr>
          <w:rFonts w:eastAsia="Calibri"/>
          <w:i/>
          <w:iCs/>
          <w:sz w:val="20"/>
          <w:szCs w:val="22"/>
        </w:rPr>
        <w:t>Ročný výkaz o vykonávaní poradensko-psychologických služieb</w:t>
      </w:r>
    </w:p>
    <w:p w:rsidR="00002192" w:rsidRPr="004C5551" w:rsidRDefault="00002192">
      <w:pPr>
        <w:jc w:val="left"/>
        <w:rPr>
          <w:rFonts w:eastAsia="Calibri"/>
          <w:b/>
        </w:rPr>
      </w:pPr>
    </w:p>
    <w:p w:rsidR="0084617B" w:rsidRPr="004C5551" w:rsidRDefault="0084617B" w:rsidP="000E7144">
      <w:pPr>
        <w:pStyle w:val="Nadpis7"/>
        <w:spacing w:before="120"/>
        <w:rPr>
          <w:rFonts w:eastAsia="Calibri"/>
        </w:rPr>
      </w:pPr>
      <w:r w:rsidRPr="004C5551">
        <w:rPr>
          <w:rFonts w:eastAsia="Calibri"/>
        </w:rPr>
        <w:t>Tabuľka 2</w:t>
      </w:r>
      <w:r w:rsidR="00900E22" w:rsidRPr="004C5551">
        <w:rPr>
          <w:rFonts w:eastAsia="Calibri"/>
        </w:rPr>
        <w:t>1</w:t>
      </w:r>
      <w:r w:rsidRPr="004C5551">
        <w:rPr>
          <w:rFonts w:eastAsia="Calibri"/>
        </w:rPr>
        <w:t xml:space="preserve"> Opatrovateľská služba poskytovaná obcami</w:t>
      </w:r>
    </w:p>
    <w:tbl>
      <w:tblPr>
        <w:tblW w:w="7605" w:type="dxa"/>
        <w:jc w:val="center"/>
        <w:tblCellMar>
          <w:left w:w="70" w:type="dxa"/>
          <w:right w:w="70" w:type="dxa"/>
        </w:tblCellMar>
        <w:tblLook w:val="04A0" w:firstRow="1" w:lastRow="0" w:firstColumn="1" w:lastColumn="0" w:noHBand="0" w:noVBand="1"/>
      </w:tblPr>
      <w:tblGrid>
        <w:gridCol w:w="4263"/>
        <w:gridCol w:w="1671"/>
        <w:gridCol w:w="1671"/>
      </w:tblGrid>
      <w:tr w:rsidR="00635489" w:rsidRPr="004C5551" w:rsidTr="000871B3">
        <w:trPr>
          <w:trHeight w:val="272"/>
          <w:jc w:val="center"/>
        </w:trPr>
        <w:tc>
          <w:tcPr>
            <w:tcW w:w="4263"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bottom"/>
            <w:hideMark/>
          </w:tcPr>
          <w:p w:rsidR="00635489" w:rsidRPr="004C5551" w:rsidRDefault="00635489" w:rsidP="0084617B">
            <w:pPr>
              <w:rPr>
                <w:b/>
              </w:rPr>
            </w:pPr>
            <w:r w:rsidRPr="004C5551">
              <w:rPr>
                <w:b/>
              </w:rPr>
              <w:t> </w:t>
            </w:r>
          </w:p>
        </w:tc>
        <w:tc>
          <w:tcPr>
            <w:tcW w:w="1671" w:type="dxa"/>
            <w:tcBorders>
              <w:top w:val="single" w:sz="4" w:space="0" w:color="auto"/>
              <w:left w:val="nil"/>
              <w:bottom w:val="single" w:sz="4" w:space="0" w:color="auto"/>
              <w:right w:val="single" w:sz="4" w:space="0" w:color="auto"/>
            </w:tcBorders>
            <w:shd w:val="clear" w:color="auto" w:fill="FF9999" w:themeFill="accent3" w:themeFillTint="66"/>
          </w:tcPr>
          <w:p w:rsidR="00635489" w:rsidRPr="004C5551" w:rsidDel="007B3CD5" w:rsidRDefault="00635489" w:rsidP="0084617B">
            <w:pPr>
              <w:jc w:val="center"/>
              <w:rPr>
                <w:b/>
              </w:rPr>
            </w:pPr>
            <w:r w:rsidRPr="004C5551">
              <w:rPr>
                <w:b/>
              </w:rPr>
              <w:t>2013</w:t>
            </w:r>
          </w:p>
        </w:tc>
        <w:tc>
          <w:tcPr>
            <w:tcW w:w="1671"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635489" w:rsidRPr="004C5551" w:rsidDel="007B3CD5" w:rsidRDefault="00635489" w:rsidP="0084617B">
            <w:pPr>
              <w:jc w:val="center"/>
              <w:rPr>
                <w:b/>
              </w:rPr>
            </w:pPr>
            <w:r w:rsidRPr="004C5551">
              <w:rPr>
                <w:b/>
              </w:rPr>
              <w:t>2014</w:t>
            </w:r>
          </w:p>
        </w:tc>
      </w:tr>
      <w:tr w:rsidR="00635489" w:rsidRPr="004C5551" w:rsidTr="000871B3">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635489" w:rsidRPr="004C5551" w:rsidRDefault="00635489" w:rsidP="0084617B">
            <w:pPr>
              <w:jc w:val="left"/>
            </w:pPr>
            <w:r w:rsidRPr="004C5551">
              <w:t>Počet občanov, ktorým bola poskytnutá</w:t>
            </w:r>
            <w:r w:rsidRPr="004C5551">
              <w:cr/>
              <w:t>opatrovateľská služba</w:t>
            </w:r>
          </w:p>
        </w:tc>
        <w:tc>
          <w:tcPr>
            <w:tcW w:w="1671" w:type="dxa"/>
            <w:tcBorders>
              <w:top w:val="nil"/>
              <w:left w:val="nil"/>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11 792</w:t>
            </w:r>
          </w:p>
        </w:tc>
        <w:tc>
          <w:tcPr>
            <w:tcW w:w="1671" w:type="dxa"/>
            <w:tcBorders>
              <w:top w:val="single" w:sz="4" w:space="0" w:color="auto"/>
              <w:left w:val="single" w:sz="4" w:space="0" w:color="auto"/>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12 152</w:t>
            </w:r>
          </w:p>
        </w:tc>
      </w:tr>
      <w:tr w:rsidR="00635489" w:rsidRPr="004C5551" w:rsidTr="000871B3">
        <w:trPr>
          <w:trHeight w:val="342"/>
          <w:jc w:val="center"/>
        </w:trPr>
        <w:tc>
          <w:tcPr>
            <w:tcW w:w="4263" w:type="dxa"/>
            <w:tcBorders>
              <w:top w:val="nil"/>
              <w:left w:val="single" w:sz="4" w:space="0" w:color="auto"/>
              <w:bottom w:val="single" w:sz="4" w:space="0" w:color="auto"/>
              <w:right w:val="single" w:sz="4" w:space="0" w:color="auto"/>
            </w:tcBorders>
            <w:vAlign w:val="center"/>
            <w:hideMark/>
          </w:tcPr>
          <w:p w:rsidR="00635489" w:rsidRPr="004C5551" w:rsidRDefault="00635489" w:rsidP="0084617B">
            <w:pPr>
              <w:jc w:val="left"/>
            </w:pPr>
            <w:r w:rsidRPr="004C5551">
              <w:t>Počet zamestnancov opatrovateľskej služby</w:t>
            </w:r>
          </w:p>
        </w:tc>
        <w:tc>
          <w:tcPr>
            <w:tcW w:w="1671" w:type="dxa"/>
            <w:tcBorders>
              <w:top w:val="nil"/>
              <w:left w:val="nil"/>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4 465</w:t>
            </w:r>
          </w:p>
        </w:tc>
        <w:tc>
          <w:tcPr>
            <w:tcW w:w="1671" w:type="dxa"/>
            <w:tcBorders>
              <w:top w:val="single" w:sz="4" w:space="0" w:color="auto"/>
              <w:left w:val="single" w:sz="4" w:space="0" w:color="auto"/>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4 935</w:t>
            </w:r>
          </w:p>
        </w:tc>
      </w:tr>
      <w:tr w:rsidR="00635489" w:rsidRPr="004C5551" w:rsidTr="000871B3">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635489" w:rsidRPr="004C5551" w:rsidRDefault="00635489" w:rsidP="00E7192E">
            <w:pPr>
              <w:jc w:val="left"/>
            </w:pPr>
            <w:r w:rsidRPr="004C5551">
              <w:t>Bežné výdavky na poskytovanie opatrovateľskej služby v eurách</w:t>
            </w:r>
          </w:p>
        </w:tc>
        <w:tc>
          <w:tcPr>
            <w:tcW w:w="1671" w:type="dxa"/>
            <w:tcBorders>
              <w:top w:val="nil"/>
              <w:left w:val="nil"/>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25 622 549</w:t>
            </w:r>
          </w:p>
        </w:tc>
        <w:tc>
          <w:tcPr>
            <w:tcW w:w="1671" w:type="dxa"/>
            <w:tcBorders>
              <w:top w:val="single" w:sz="4" w:space="0" w:color="auto"/>
              <w:left w:val="single" w:sz="4" w:space="0" w:color="auto"/>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28 184 927</w:t>
            </w:r>
          </w:p>
        </w:tc>
      </w:tr>
      <w:tr w:rsidR="00635489" w:rsidRPr="004C5551" w:rsidTr="000871B3">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635489" w:rsidRPr="004C5551" w:rsidRDefault="00635489" w:rsidP="00E7192E">
            <w:pPr>
              <w:jc w:val="left"/>
            </w:pPr>
            <w:r w:rsidRPr="004C5551">
              <w:t>Výška príjmu z úhrad za opatrovateľskú službu v eurách</w:t>
            </w:r>
          </w:p>
        </w:tc>
        <w:tc>
          <w:tcPr>
            <w:tcW w:w="1671" w:type="dxa"/>
            <w:tcBorders>
              <w:top w:val="nil"/>
              <w:left w:val="nil"/>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4 842 567</w:t>
            </w:r>
          </w:p>
        </w:tc>
        <w:tc>
          <w:tcPr>
            <w:tcW w:w="1671" w:type="dxa"/>
            <w:tcBorders>
              <w:top w:val="single" w:sz="4" w:space="0" w:color="auto"/>
              <w:left w:val="single" w:sz="4" w:space="0" w:color="auto"/>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5 105 442</w:t>
            </w:r>
          </w:p>
        </w:tc>
      </w:tr>
      <w:tr w:rsidR="00635489" w:rsidRPr="004C5551" w:rsidTr="000871B3">
        <w:trPr>
          <w:trHeight w:val="911"/>
          <w:jc w:val="center"/>
        </w:trPr>
        <w:tc>
          <w:tcPr>
            <w:tcW w:w="4263" w:type="dxa"/>
            <w:tcBorders>
              <w:top w:val="nil"/>
              <w:left w:val="single" w:sz="4" w:space="0" w:color="auto"/>
              <w:bottom w:val="single" w:sz="4" w:space="0" w:color="auto"/>
              <w:right w:val="single" w:sz="4" w:space="0" w:color="auto"/>
            </w:tcBorders>
            <w:vAlign w:val="center"/>
            <w:hideMark/>
          </w:tcPr>
          <w:p w:rsidR="00635489" w:rsidRPr="004C5551" w:rsidRDefault="00635489" w:rsidP="00E7192E">
            <w:pPr>
              <w:jc w:val="left"/>
            </w:pPr>
            <w:r w:rsidRPr="004C5551">
              <w:t>Rozdiel medzi výdavkami na poskytovanie opatrovateľskej služby a príjmami za jej poskytovanie v eurách</w:t>
            </w:r>
          </w:p>
        </w:tc>
        <w:tc>
          <w:tcPr>
            <w:tcW w:w="1671" w:type="dxa"/>
            <w:tcBorders>
              <w:top w:val="nil"/>
              <w:left w:val="nil"/>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-20 779 982</w:t>
            </w:r>
          </w:p>
        </w:tc>
        <w:tc>
          <w:tcPr>
            <w:tcW w:w="1671" w:type="dxa"/>
            <w:tcBorders>
              <w:top w:val="single" w:sz="4" w:space="0" w:color="auto"/>
              <w:left w:val="single" w:sz="4" w:space="0" w:color="auto"/>
              <w:bottom w:val="single" w:sz="4" w:space="0" w:color="auto"/>
              <w:right w:val="single" w:sz="4" w:space="0" w:color="auto"/>
            </w:tcBorders>
            <w:vAlign w:val="center"/>
          </w:tcPr>
          <w:p w:rsidR="00635489" w:rsidRPr="004C5551" w:rsidDel="007B3CD5" w:rsidRDefault="00635489" w:rsidP="009B2BEC">
            <w:pPr>
              <w:ind w:right="108"/>
              <w:jc w:val="right"/>
              <w:rPr>
                <w:color w:val="000000"/>
                <w:szCs w:val="22"/>
              </w:rPr>
            </w:pPr>
            <w:r w:rsidRPr="004C5551">
              <w:rPr>
                <w:color w:val="000000"/>
                <w:szCs w:val="22"/>
              </w:rPr>
              <w:t>-23 079 485</w:t>
            </w:r>
          </w:p>
        </w:tc>
      </w:tr>
    </w:tbl>
    <w:p w:rsidR="0084617B" w:rsidRPr="004C5551" w:rsidRDefault="0084617B" w:rsidP="00626FDD">
      <w:pPr>
        <w:pStyle w:val="zdroj"/>
        <w:spacing w:after="60"/>
        <w:ind w:left="570" w:firstLine="570"/>
        <w:rPr>
          <w:rFonts w:eastAsia="Calibri"/>
        </w:rPr>
      </w:pPr>
      <w:r w:rsidRPr="004C5551">
        <w:rPr>
          <w:rFonts w:eastAsia="Calibri"/>
        </w:rPr>
        <w:t>Zdroj: V(MPSVR SR) 11-01</w:t>
      </w:r>
    </w:p>
    <w:p w:rsidR="00117CCB" w:rsidRPr="004C5551" w:rsidRDefault="00117CCB" w:rsidP="0084617B">
      <w:pPr>
        <w:spacing w:after="200" w:line="276" w:lineRule="auto"/>
        <w:jc w:val="left"/>
        <w:rPr>
          <w:b/>
        </w:rPr>
      </w:pPr>
    </w:p>
    <w:p w:rsidR="00960E97" w:rsidRPr="004C5551" w:rsidRDefault="00960E97">
      <w:pPr>
        <w:jc w:val="left"/>
        <w:rPr>
          <w:b/>
        </w:rPr>
      </w:pPr>
      <w:r w:rsidRPr="004C5551">
        <w:br w:type="page"/>
      </w:r>
    </w:p>
    <w:p w:rsidR="0084617B" w:rsidRPr="004C5551" w:rsidRDefault="0084617B" w:rsidP="00626FDD">
      <w:pPr>
        <w:pStyle w:val="Nadpis7"/>
        <w:spacing w:before="120"/>
      </w:pPr>
      <w:r w:rsidRPr="004C5551">
        <w:t>Tabuľka 2</w:t>
      </w:r>
      <w:r w:rsidR="00900E22" w:rsidRPr="004C5551">
        <w:t>2</w:t>
      </w:r>
      <w:r w:rsidRPr="004C5551">
        <w:t xml:space="preserve"> Prepravná služba</w:t>
      </w:r>
      <w:r w:rsidR="00B720E7" w:rsidRPr="004C5551">
        <w:t xml:space="preserve"> </w:t>
      </w:r>
      <w:r w:rsidR="00D247DF" w:rsidRPr="004C5551">
        <w:t>poskytovaná obcami</w:t>
      </w:r>
    </w:p>
    <w:tbl>
      <w:tblPr>
        <w:tblW w:w="6713" w:type="dxa"/>
        <w:jc w:val="center"/>
        <w:tblInd w:w="1630" w:type="dxa"/>
        <w:tblLayout w:type="fixed"/>
        <w:tblCellMar>
          <w:left w:w="70" w:type="dxa"/>
          <w:right w:w="70" w:type="dxa"/>
        </w:tblCellMar>
        <w:tblLook w:val="04A0" w:firstRow="1" w:lastRow="0" w:firstColumn="1" w:lastColumn="0" w:noHBand="0" w:noVBand="1"/>
      </w:tblPr>
      <w:tblGrid>
        <w:gridCol w:w="1571"/>
        <w:gridCol w:w="2978"/>
        <w:gridCol w:w="2164"/>
      </w:tblGrid>
      <w:tr w:rsidR="0084617B" w:rsidRPr="004C5551" w:rsidTr="00002192">
        <w:trPr>
          <w:trHeight w:val="620"/>
          <w:jc w:val="center"/>
        </w:trPr>
        <w:tc>
          <w:tcPr>
            <w:tcW w:w="157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84617B" w:rsidRPr="004C5551" w:rsidRDefault="0084617B" w:rsidP="0084617B">
            <w:pPr>
              <w:jc w:val="center"/>
              <w:rPr>
                <w:b/>
                <w:bCs/>
              </w:rPr>
            </w:pPr>
            <w:r w:rsidRPr="004C5551">
              <w:rPr>
                <w:b/>
                <w:bCs/>
              </w:rPr>
              <w:t>rok</w:t>
            </w:r>
          </w:p>
        </w:tc>
        <w:tc>
          <w:tcPr>
            <w:tcW w:w="2978"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84617B" w:rsidRPr="004C5551" w:rsidRDefault="0084617B" w:rsidP="0084617B">
            <w:pPr>
              <w:jc w:val="center"/>
              <w:rPr>
                <w:b/>
                <w:bCs/>
              </w:rPr>
            </w:pPr>
            <w:r w:rsidRPr="004C5551">
              <w:rPr>
                <w:b/>
                <w:bCs/>
              </w:rPr>
              <w:t>Počet klientov prepravnej služby</w:t>
            </w:r>
          </w:p>
        </w:tc>
        <w:tc>
          <w:tcPr>
            <w:tcW w:w="2164"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84617B" w:rsidRPr="004C5551" w:rsidRDefault="0084617B" w:rsidP="00E7192E">
            <w:pPr>
              <w:jc w:val="center"/>
              <w:rPr>
                <w:b/>
                <w:bCs/>
              </w:rPr>
            </w:pPr>
            <w:r w:rsidRPr="004C5551">
              <w:rPr>
                <w:b/>
                <w:bCs/>
              </w:rPr>
              <w:t xml:space="preserve">Bežné výdavky </w:t>
            </w:r>
            <w:r w:rsidR="00E7192E" w:rsidRPr="004C5551">
              <w:rPr>
                <w:b/>
                <w:bCs/>
              </w:rPr>
              <w:br/>
            </w:r>
            <w:r w:rsidRPr="004C5551">
              <w:rPr>
                <w:b/>
                <w:bCs/>
              </w:rPr>
              <w:t xml:space="preserve">(v </w:t>
            </w:r>
            <w:r w:rsidR="00AA0137" w:rsidRPr="004C5551">
              <w:rPr>
                <w:b/>
                <w:bCs/>
              </w:rPr>
              <w:t>€</w:t>
            </w:r>
            <w:r w:rsidRPr="004C5551">
              <w:rPr>
                <w:b/>
                <w:bCs/>
              </w:rPr>
              <w:t>)</w:t>
            </w:r>
          </w:p>
        </w:tc>
      </w:tr>
      <w:tr w:rsidR="007B3CD5" w:rsidRPr="004C5551" w:rsidTr="00117CCB">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7B3CD5" w:rsidRPr="004C5551" w:rsidRDefault="007B3CD5" w:rsidP="00FC3735">
            <w:pPr>
              <w:jc w:val="center"/>
              <w:rPr>
                <w:b/>
              </w:rPr>
            </w:pPr>
            <w:r w:rsidRPr="004C5551">
              <w:rPr>
                <w:b/>
              </w:rPr>
              <w:t>2013</w:t>
            </w:r>
          </w:p>
        </w:tc>
        <w:tc>
          <w:tcPr>
            <w:tcW w:w="2978" w:type="dxa"/>
            <w:tcBorders>
              <w:top w:val="nil"/>
              <w:left w:val="nil"/>
              <w:bottom w:val="single" w:sz="4" w:space="0" w:color="auto"/>
              <w:right w:val="single" w:sz="4" w:space="0" w:color="auto"/>
            </w:tcBorders>
            <w:noWrap/>
            <w:vAlign w:val="center"/>
          </w:tcPr>
          <w:p w:rsidR="007B3CD5" w:rsidRPr="004C5551" w:rsidRDefault="007B3CD5" w:rsidP="00FC3735">
            <w:pPr>
              <w:jc w:val="center"/>
            </w:pPr>
            <w:r w:rsidRPr="004C5551">
              <w:t>2 311</w:t>
            </w:r>
          </w:p>
        </w:tc>
        <w:tc>
          <w:tcPr>
            <w:tcW w:w="2164" w:type="dxa"/>
            <w:tcBorders>
              <w:top w:val="nil"/>
              <w:left w:val="nil"/>
              <w:bottom w:val="single" w:sz="4" w:space="0" w:color="auto"/>
              <w:right w:val="single" w:sz="4" w:space="0" w:color="auto"/>
            </w:tcBorders>
            <w:noWrap/>
            <w:vAlign w:val="center"/>
          </w:tcPr>
          <w:p w:rsidR="007B3CD5" w:rsidRPr="004C5551" w:rsidRDefault="007B3CD5" w:rsidP="00FC3735">
            <w:pPr>
              <w:jc w:val="center"/>
            </w:pPr>
            <w:r w:rsidRPr="004C5551">
              <w:t>276 085</w:t>
            </w:r>
          </w:p>
        </w:tc>
      </w:tr>
      <w:tr w:rsidR="007B3CD5" w:rsidRPr="004C5551" w:rsidTr="007B3CD5">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7B3CD5" w:rsidRPr="004C5551" w:rsidRDefault="007B3CD5" w:rsidP="00FC3735">
            <w:pPr>
              <w:jc w:val="center"/>
              <w:rPr>
                <w:b/>
              </w:rPr>
            </w:pPr>
            <w:r w:rsidRPr="004C5551">
              <w:rPr>
                <w:b/>
              </w:rPr>
              <w:t>2014</w:t>
            </w:r>
          </w:p>
        </w:tc>
        <w:tc>
          <w:tcPr>
            <w:tcW w:w="2978" w:type="dxa"/>
            <w:tcBorders>
              <w:top w:val="nil"/>
              <w:left w:val="nil"/>
              <w:bottom w:val="single" w:sz="4" w:space="0" w:color="auto"/>
              <w:right w:val="single" w:sz="4" w:space="0" w:color="auto"/>
            </w:tcBorders>
            <w:noWrap/>
            <w:vAlign w:val="bottom"/>
          </w:tcPr>
          <w:p w:rsidR="007B3CD5" w:rsidRPr="004C5551" w:rsidRDefault="007B3CD5" w:rsidP="00FC3735">
            <w:pPr>
              <w:jc w:val="center"/>
            </w:pPr>
            <w:r w:rsidRPr="004C5551">
              <w:t>2 887</w:t>
            </w:r>
          </w:p>
        </w:tc>
        <w:tc>
          <w:tcPr>
            <w:tcW w:w="2164" w:type="dxa"/>
            <w:tcBorders>
              <w:top w:val="nil"/>
              <w:left w:val="nil"/>
              <w:bottom w:val="single" w:sz="4" w:space="0" w:color="auto"/>
              <w:right w:val="single" w:sz="4" w:space="0" w:color="auto"/>
            </w:tcBorders>
            <w:noWrap/>
            <w:vAlign w:val="bottom"/>
          </w:tcPr>
          <w:p w:rsidR="007B3CD5" w:rsidRPr="004C5551" w:rsidRDefault="007B3CD5" w:rsidP="00FC3735">
            <w:pPr>
              <w:jc w:val="center"/>
            </w:pPr>
            <w:r w:rsidRPr="004C5551">
              <w:t>243 884</w:t>
            </w:r>
          </w:p>
        </w:tc>
      </w:tr>
    </w:tbl>
    <w:p w:rsidR="0084617B" w:rsidRPr="004C5551" w:rsidRDefault="0084617B" w:rsidP="00626FDD">
      <w:pPr>
        <w:pStyle w:val="zdroj"/>
        <w:spacing w:before="30"/>
        <w:ind w:firstLine="1710"/>
        <w:rPr>
          <w:color w:val="auto"/>
          <w:lang w:eastAsia="cs-CZ"/>
        </w:rPr>
      </w:pPr>
      <w:r w:rsidRPr="004C5551">
        <w:rPr>
          <w:rFonts w:eastAsia="Calibri"/>
        </w:rPr>
        <w:t>Zdroj: V(MPSVR SR) 11-01</w:t>
      </w:r>
    </w:p>
    <w:p w:rsidR="00E831C1" w:rsidRPr="004C5551" w:rsidRDefault="00E831C1" w:rsidP="0084617B">
      <w:pPr>
        <w:pStyle w:val="Nadpis7"/>
        <w:sectPr w:rsidR="00E831C1" w:rsidRPr="004C5551" w:rsidSect="004F3C97">
          <w:headerReference w:type="even" r:id="rId111"/>
          <w:headerReference w:type="default" r:id="rId112"/>
          <w:headerReference w:type="first" r:id="rId113"/>
          <w:pgSz w:w="11906" w:h="16838"/>
          <w:pgMar w:top="1417" w:right="1417" w:bottom="1417" w:left="1417" w:header="708" w:footer="708" w:gutter="0"/>
          <w:cols w:space="708"/>
          <w:titlePg/>
          <w:docGrid w:linePitch="360"/>
        </w:sectPr>
      </w:pPr>
    </w:p>
    <w:p w:rsidR="0084617B" w:rsidRPr="004C5551" w:rsidRDefault="0084617B" w:rsidP="006A0F7B">
      <w:pPr>
        <w:pStyle w:val="Nadpis7"/>
        <w:spacing w:before="0"/>
      </w:pPr>
      <w:r w:rsidRPr="004C5551">
        <w:t>Tabuľka 2</w:t>
      </w:r>
      <w:r w:rsidR="00900E22" w:rsidRPr="004C5551">
        <w:t>3</w:t>
      </w:r>
      <w:r w:rsidRPr="004C5551">
        <w:t xml:space="preserve"> Počet zariadení sociálnych služieb a ich kapacita</w:t>
      </w:r>
    </w:p>
    <w:tbl>
      <w:tblPr>
        <w:tblW w:w="13955" w:type="dxa"/>
        <w:jc w:val="center"/>
        <w:tblInd w:w="-3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609"/>
        <w:gridCol w:w="586"/>
        <w:gridCol w:w="709"/>
        <w:gridCol w:w="964"/>
        <w:gridCol w:w="850"/>
        <w:gridCol w:w="709"/>
        <w:gridCol w:w="988"/>
        <w:gridCol w:w="571"/>
        <w:gridCol w:w="563"/>
        <w:gridCol w:w="851"/>
        <w:gridCol w:w="850"/>
        <w:gridCol w:w="567"/>
        <w:gridCol w:w="1138"/>
      </w:tblGrid>
      <w:tr w:rsidR="00E60AEE" w:rsidRPr="004C5551" w:rsidTr="005308FD">
        <w:trPr>
          <w:trHeight w:val="283"/>
          <w:tblHeader/>
          <w:jc w:val="center"/>
        </w:trPr>
        <w:tc>
          <w:tcPr>
            <w:tcW w:w="4609" w:type="dxa"/>
            <w:vMerge w:val="restart"/>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Druh zariadenia</w:t>
            </w:r>
          </w:p>
        </w:tc>
        <w:tc>
          <w:tcPr>
            <w:tcW w:w="586" w:type="dxa"/>
            <w:vMerge w:val="restart"/>
            <w:shd w:val="clear" w:color="auto" w:fill="FF9999" w:themeFill="accent3" w:themeFillTint="66"/>
            <w:vAlign w:val="center"/>
            <w:hideMark/>
          </w:tcPr>
          <w:p w:rsidR="00E60AEE" w:rsidRPr="004C5551" w:rsidRDefault="00E60AEE" w:rsidP="005308FD">
            <w:pPr>
              <w:jc w:val="center"/>
              <w:rPr>
                <w:b/>
                <w:bCs/>
                <w:sz w:val="16"/>
                <w:szCs w:val="16"/>
              </w:rPr>
            </w:pPr>
            <w:r w:rsidRPr="004C5551">
              <w:rPr>
                <w:b/>
                <w:bCs/>
                <w:sz w:val="16"/>
                <w:szCs w:val="16"/>
              </w:rPr>
              <w:t>Počet ZSS k 31.12.</w:t>
            </w:r>
          </w:p>
          <w:p w:rsidR="00E60AEE" w:rsidRPr="004C5551" w:rsidRDefault="00E60AEE" w:rsidP="005308FD">
            <w:pPr>
              <w:jc w:val="center"/>
              <w:rPr>
                <w:b/>
                <w:bCs/>
                <w:sz w:val="18"/>
                <w:szCs w:val="18"/>
              </w:rPr>
            </w:pPr>
            <w:r w:rsidRPr="004C5551">
              <w:rPr>
                <w:b/>
                <w:bCs/>
                <w:sz w:val="16"/>
                <w:szCs w:val="16"/>
              </w:rPr>
              <w:t>2012</w:t>
            </w:r>
          </w:p>
        </w:tc>
        <w:tc>
          <w:tcPr>
            <w:tcW w:w="4220" w:type="dxa"/>
            <w:gridSpan w:val="5"/>
            <w:shd w:val="clear" w:color="auto" w:fill="FF9999" w:themeFill="accent3" w:themeFillTint="66"/>
            <w:noWrap/>
            <w:vAlign w:val="center"/>
            <w:hideMark/>
          </w:tcPr>
          <w:p w:rsidR="00E60AEE" w:rsidRPr="004C5551" w:rsidRDefault="00E60AEE" w:rsidP="005308FD">
            <w:pPr>
              <w:jc w:val="center"/>
              <w:rPr>
                <w:b/>
                <w:bCs/>
                <w:sz w:val="18"/>
                <w:szCs w:val="18"/>
              </w:rPr>
            </w:pPr>
            <w:r w:rsidRPr="004C5551">
              <w:rPr>
                <w:b/>
                <w:bCs/>
                <w:sz w:val="18"/>
                <w:szCs w:val="18"/>
              </w:rPr>
              <w:t>Počet miest k 31.12.2012</w:t>
            </w:r>
          </w:p>
        </w:tc>
        <w:tc>
          <w:tcPr>
            <w:tcW w:w="571" w:type="dxa"/>
            <w:vMerge w:val="restart"/>
            <w:shd w:val="clear" w:color="auto" w:fill="FF9999" w:themeFill="accent3" w:themeFillTint="66"/>
            <w:vAlign w:val="center"/>
            <w:hideMark/>
          </w:tcPr>
          <w:p w:rsidR="00E60AEE" w:rsidRPr="004C5551" w:rsidRDefault="00E60AEE" w:rsidP="005308FD">
            <w:pPr>
              <w:jc w:val="center"/>
              <w:rPr>
                <w:b/>
                <w:bCs/>
                <w:sz w:val="16"/>
                <w:szCs w:val="16"/>
              </w:rPr>
            </w:pPr>
            <w:r w:rsidRPr="004C5551">
              <w:rPr>
                <w:b/>
                <w:bCs/>
                <w:sz w:val="16"/>
                <w:szCs w:val="16"/>
              </w:rPr>
              <w:t>Počet ZSS k 31.12.</w:t>
            </w:r>
          </w:p>
          <w:p w:rsidR="00E60AEE" w:rsidRPr="004C5551" w:rsidRDefault="00E60AEE" w:rsidP="005308FD">
            <w:pPr>
              <w:jc w:val="center"/>
              <w:rPr>
                <w:b/>
                <w:bCs/>
                <w:sz w:val="18"/>
                <w:szCs w:val="18"/>
              </w:rPr>
            </w:pPr>
            <w:r w:rsidRPr="004C5551">
              <w:rPr>
                <w:b/>
                <w:bCs/>
                <w:sz w:val="16"/>
                <w:szCs w:val="16"/>
              </w:rPr>
              <w:t>2013</w:t>
            </w:r>
          </w:p>
        </w:tc>
        <w:tc>
          <w:tcPr>
            <w:tcW w:w="3969" w:type="dxa"/>
            <w:gridSpan w:val="5"/>
            <w:shd w:val="clear" w:color="auto" w:fill="FF9999" w:themeFill="accent3" w:themeFillTint="66"/>
            <w:noWrap/>
            <w:vAlign w:val="center"/>
            <w:hideMark/>
          </w:tcPr>
          <w:p w:rsidR="00E60AEE" w:rsidRPr="004C5551" w:rsidRDefault="00E60AEE" w:rsidP="005308FD">
            <w:pPr>
              <w:jc w:val="center"/>
              <w:rPr>
                <w:b/>
                <w:bCs/>
                <w:sz w:val="18"/>
                <w:szCs w:val="18"/>
              </w:rPr>
            </w:pPr>
            <w:r w:rsidRPr="004C5551">
              <w:rPr>
                <w:b/>
                <w:bCs/>
                <w:sz w:val="18"/>
                <w:szCs w:val="18"/>
              </w:rPr>
              <w:t>Počet miest k 31.12.2013</w:t>
            </w:r>
          </w:p>
        </w:tc>
      </w:tr>
      <w:tr w:rsidR="00E60AEE" w:rsidRPr="004C5551" w:rsidTr="005308FD">
        <w:trPr>
          <w:trHeight w:val="283"/>
          <w:tblHeader/>
          <w:jc w:val="center"/>
        </w:trPr>
        <w:tc>
          <w:tcPr>
            <w:tcW w:w="4609"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586"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709" w:type="dxa"/>
            <w:vMerge w:val="restart"/>
            <w:shd w:val="clear" w:color="auto" w:fill="FF9999" w:themeFill="accent3" w:themeFillTint="66"/>
            <w:noWrap/>
            <w:vAlign w:val="center"/>
            <w:hideMark/>
          </w:tcPr>
          <w:p w:rsidR="00E60AEE" w:rsidRPr="004C5551" w:rsidRDefault="00E60AEE" w:rsidP="005308FD">
            <w:pPr>
              <w:jc w:val="center"/>
              <w:rPr>
                <w:b/>
                <w:bCs/>
                <w:sz w:val="18"/>
                <w:szCs w:val="18"/>
              </w:rPr>
            </w:pPr>
            <w:r w:rsidRPr="004C5551">
              <w:rPr>
                <w:b/>
                <w:bCs/>
                <w:sz w:val="18"/>
                <w:szCs w:val="18"/>
              </w:rPr>
              <w:t>Spolu</w:t>
            </w:r>
          </w:p>
        </w:tc>
        <w:tc>
          <w:tcPr>
            <w:tcW w:w="3511" w:type="dxa"/>
            <w:gridSpan w:val="4"/>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z toho starostlivosť poskytovaná</w:t>
            </w:r>
          </w:p>
        </w:tc>
        <w:tc>
          <w:tcPr>
            <w:tcW w:w="571"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563" w:type="dxa"/>
            <w:vMerge w:val="restart"/>
            <w:shd w:val="clear" w:color="auto" w:fill="FF9999" w:themeFill="accent3" w:themeFillTint="66"/>
            <w:noWrap/>
            <w:vAlign w:val="center"/>
            <w:hideMark/>
          </w:tcPr>
          <w:p w:rsidR="00E60AEE" w:rsidRPr="004C5551" w:rsidRDefault="00E60AEE" w:rsidP="005308FD">
            <w:pPr>
              <w:jc w:val="center"/>
              <w:rPr>
                <w:b/>
                <w:bCs/>
                <w:sz w:val="18"/>
                <w:szCs w:val="18"/>
              </w:rPr>
            </w:pPr>
            <w:r w:rsidRPr="004C5551">
              <w:rPr>
                <w:b/>
                <w:bCs/>
                <w:sz w:val="18"/>
                <w:szCs w:val="18"/>
              </w:rPr>
              <w:t>Spolu</w:t>
            </w:r>
          </w:p>
        </w:tc>
        <w:tc>
          <w:tcPr>
            <w:tcW w:w="3406" w:type="dxa"/>
            <w:gridSpan w:val="4"/>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z toho starostlivosť poskytovaná</w:t>
            </w:r>
          </w:p>
        </w:tc>
      </w:tr>
      <w:tr w:rsidR="00E60AEE" w:rsidRPr="004C5551" w:rsidTr="005308FD">
        <w:trPr>
          <w:trHeight w:val="283"/>
          <w:tblHeader/>
          <w:jc w:val="center"/>
        </w:trPr>
        <w:tc>
          <w:tcPr>
            <w:tcW w:w="4609"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586"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709"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964"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celoročne</w:t>
            </w:r>
          </w:p>
        </w:tc>
        <w:tc>
          <w:tcPr>
            <w:tcW w:w="850"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týždenne</w:t>
            </w:r>
          </w:p>
        </w:tc>
        <w:tc>
          <w:tcPr>
            <w:tcW w:w="709"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denne</w:t>
            </w:r>
          </w:p>
        </w:tc>
        <w:tc>
          <w:tcPr>
            <w:tcW w:w="988"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prechodne</w:t>
            </w:r>
          </w:p>
        </w:tc>
        <w:tc>
          <w:tcPr>
            <w:tcW w:w="571"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563" w:type="dxa"/>
            <w:vMerge/>
            <w:shd w:val="clear" w:color="auto" w:fill="FF9999" w:themeFill="accent3" w:themeFillTint="66"/>
            <w:vAlign w:val="center"/>
            <w:hideMark/>
          </w:tcPr>
          <w:p w:rsidR="00E60AEE" w:rsidRPr="004C5551" w:rsidRDefault="00E60AEE" w:rsidP="005308FD">
            <w:pPr>
              <w:jc w:val="center"/>
              <w:rPr>
                <w:b/>
                <w:bCs/>
                <w:sz w:val="18"/>
                <w:szCs w:val="18"/>
              </w:rPr>
            </w:pPr>
          </w:p>
        </w:tc>
        <w:tc>
          <w:tcPr>
            <w:tcW w:w="851"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celoročne</w:t>
            </w:r>
          </w:p>
        </w:tc>
        <w:tc>
          <w:tcPr>
            <w:tcW w:w="850"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týždenne</w:t>
            </w:r>
          </w:p>
        </w:tc>
        <w:tc>
          <w:tcPr>
            <w:tcW w:w="567"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denne</w:t>
            </w:r>
          </w:p>
        </w:tc>
        <w:tc>
          <w:tcPr>
            <w:tcW w:w="1138"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prechodne</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b/>
                <w:bCs/>
                <w:sz w:val="16"/>
                <w:szCs w:val="16"/>
              </w:rPr>
            </w:pPr>
            <w:r w:rsidRPr="004C5551">
              <w:rPr>
                <w:b/>
                <w:bCs/>
                <w:sz w:val="16"/>
                <w:szCs w:val="16"/>
              </w:rPr>
              <w:t>Zariadenia sociálnych služieb spolu</w:t>
            </w:r>
          </w:p>
        </w:tc>
        <w:tc>
          <w:tcPr>
            <w:tcW w:w="586"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1 084</w:t>
            </w:r>
          </w:p>
        </w:tc>
        <w:tc>
          <w:tcPr>
            <w:tcW w:w="709"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40 679</w:t>
            </w:r>
          </w:p>
        </w:tc>
        <w:tc>
          <w:tcPr>
            <w:tcW w:w="964"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35 792</w:t>
            </w:r>
          </w:p>
        </w:tc>
        <w:tc>
          <w:tcPr>
            <w:tcW w:w="850"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674</w:t>
            </w:r>
          </w:p>
        </w:tc>
        <w:tc>
          <w:tcPr>
            <w:tcW w:w="709"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2 645</w:t>
            </w:r>
          </w:p>
        </w:tc>
        <w:tc>
          <w:tcPr>
            <w:tcW w:w="988" w:type="dxa"/>
            <w:shd w:val="clear" w:color="auto" w:fill="auto"/>
            <w:noWrap/>
            <w:vAlign w:val="center"/>
          </w:tcPr>
          <w:p w:rsidR="00E60AEE" w:rsidRPr="004C5551" w:rsidRDefault="00E60AEE" w:rsidP="005308FD">
            <w:pPr>
              <w:jc w:val="right"/>
              <w:rPr>
                <w:b/>
                <w:bCs/>
                <w:sz w:val="16"/>
                <w:szCs w:val="16"/>
              </w:rPr>
            </w:pPr>
            <w:r w:rsidRPr="004C5551">
              <w:rPr>
                <w:b/>
                <w:bCs/>
                <w:sz w:val="16"/>
                <w:szCs w:val="16"/>
              </w:rPr>
              <w:t>1 419</w:t>
            </w:r>
          </w:p>
        </w:tc>
        <w:tc>
          <w:tcPr>
            <w:tcW w:w="571"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1 168</w:t>
            </w:r>
          </w:p>
        </w:tc>
        <w:tc>
          <w:tcPr>
            <w:tcW w:w="563"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42 794</w:t>
            </w:r>
          </w:p>
        </w:tc>
        <w:tc>
          <w:tcPr>
            <w:tcW w:w="851"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38 249</w:t>
            </w:r>
          </w:p>
        </w:tc>
        <w:tc>
          <w:tcPr>
            <w:tcW w:w="850"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654</w:t>
            </w:r>
          </w:p>
        </w:tc>
        <w:tc>
          <w:tcPr>
            <w:tcW w:w="567"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2 728</w:t>
            </w:r>
          </w:p>
        </w:tc>
        <w:tc>
          <w:tcPr>
            <w:tcW w:w="1138" w:type="dxa"/>
            <w:shd w:val="clear" w:color="auto" w:fill="auto"/>
            <w:noWrap/>
            <w:vAlign w:val="bottom"/>
          </w:tcPr>
          <w:p w:rsidR="00E60AEE" w:rsidRPr="004C5551" w:rsidRDefault="00E60AEE" w:rsidP="005308FD">
            <w:pPr>
              <w:jc w:val="right"/>
              <w:rPr>
                <w:b/>
                <w:bCs/>
                <w:sz w:val="16"/>
                <w:szCs w:val="16"/>
              </w:rPr>
            </w:pPr>
            <w:r w:rsidRPr="004C5551">
              <w:rPr>
                <w:b/>
                <w:bCs/>
                <w:sz w:val="16"/>
                <w:szCs w:val="16"/>
              </w:rPr>
              <w:t>1 072</w:t>
            </w:r>
          </w:p>
        </w:tc>
      </w:tr>
      <w:tr w:rsidR="00E60AEE" w:rsidRPr="004C5551" w:rsidTr="005308FD">
        <w:trPr>
          <w:trHeight w:val="255"/>
          <w:jc w:val="center"/>
        </w:trPr>
        <w:tc>
          <w:tcPr>
            <w:tcW w:w="13955" w:type="dxa"/>
            <w:gridSpan w:val="13"/>
            <w:shd w:val="clear" w:color="auto" w:fill="auto"/>
            <w:vAlign w:val="center"/>
            <w:hideMark/>
          </w:tcPr>
          <w:p w:rsidR="00E60AEE" w:rsidRPr="004C5551" w:rsidRDefault="00E60AEE" w:rsidP="005308FD">
            <w:pPr>
              <w:jc w:val="left"/>
              <w:rPr>
                <w:sz w:val="16"/>
                <w:szCs w:val="16"/>
              </w:rPr>
            </w:pPr>
            <w:r w:rsidRPr="004C5551">
              <w:rPr>
                <w:b/>
                <w:bCs/>
                <w:sz w:val="16"/>
                <w:szCs w:val="16"/>
              </w:rPr>
              <w:t>z toho</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zariadenie pre seniorov</w:t>
            </w:r>
          </w:p>
        </w:tc>
        <w:tc>
          <w:tcPr>
            <w:tcW w:w="586" w:type="dxa"/>
            <w:shd w:val="clear" w:color="auto" w:fill="auto"/>
            <w:noWrap/>
            <w:vAlign w:val="center"/>
          </w:tcPr>
          <w:p w:rsidR="00E60AEE" w:rsidRPr="004C5551" w:rsidRDefault="00E60AEE" w:rsidP="005308FD">
            <w:pPr>
              <w:jc w:val="right"/>
              <w:rPr>
                <w:bCs/>
                <w:sz w:val="16"/>
                <w:szCs w:val="16"/>
              </w:rPr>
            </w:pPr>
            <w:r w:rsidRPr="004C5551">
              <w:rPr>
                <w:bCs/>
                <w:sz w:val="16"/>
                <w:szCs w:val="16"/>
              </w:rPr>
              <w:t>271</w:t>
            </w:r>
          </w:p>
        </w:tc>
        <w:tc>
          <w:tcPr>
            <w:tcW w:w="709" w:type="dxa"/>
            <w:shd w:val="clear" w:color="auto" w:fill="auto"/>
            <w:noWrap/>
            <w:vAlign w:val="center"/>
          </w:tcPr>
          <w:p w:rsidR="00E60AEE" w:rsidRPr="004C5551" w:rsidRDefault="00E60AEE" w:rsidP="005308FD">
            <w:pPr>
              <w:jc w:val="right"/>
              <w:rPr>
                <w:bCs/>
                <w:sz w:val="16"/>
                <w:szCs w:val="16"/>
              </w:rPr>
            </w:pPr>
            <w:r w:rsidRPr="004C5551">
              <w:rPr>
                <w:bCs/>
                <w:sz w:val="16"/>
                <w:szCs w:val="16"/>
              </w:rPr>
              <w:t>12 381</w:t>
            </w:r>
          </w:p>
        </w:tc>
        <w:tc>
          <w:tcPr>
            <w:tcW w:w="964" w:type="dxa"/>
            <w:shd w:val="clear" w:color="auto" w:fill="auto"/>
            <w:noWrap/>
            <w:vAlign w:val="center"/>
          </w:tcPr>
          <w:p w:rsidR="00E60AEE" w:rsidRPr="004C5551" w:rsidRDefault="00E60AEE" w:rsidP="005308FD">
            <w:pPr>
              <w:jc w:val="right"/>
              <w:rPr>
                <w:bCs/>
                <w:sz w:val="16"/>
                <w:szCs w:val="16"/>
              </w:rPr>
            </w:pPr>
            <w:r w:rsidRPr="004C5551">
              <w:rPr>
                <w:bCs/>
                <w:sz w:val="16"/>
                <w:szCs w:val="16"/>
              </w:rPr>
              <w:t>12 354</w:t>
            </w:r>
          </w:p>
        </w:tc>
        <w:tc>
          <w:tcPr>
            <w:tcW w:w="850" w:type="dxa"/>
            <w:shd w:val="clear" w:color="auto" w:fill="auto"/>
            <w:noWrap/>
            <w:vAlign w:val="center"/>
          </w:tcPr>
          <w:p w:rsidR="00E60AEE" w:rsidRPr="004C5551" w:rsidRDefault="00E60AEE" w:rsidP="005308FD">
            <w:pPr>
              <w:jc w:val="right"/>
              <w:rPr>
                <w:bCs/>
                <w:sz w:val="16"/>
                <w:szCs w:val="16"/>
              </w:rPr>
            </w:pPr>
            <w:r w:rsidRPr="004C5551">
              <w:rPr>
                <w:bCs/>
                <w:sz w:val="16"/>
                <w:szCs w:val="16"/>
              </w:rPr>
              <w:t>0</w:t>
            </w:r>
          </w:p>
        </w:tc>
        <w:tc>
          <w:tcPr>
            <w:tcW w:w="709" w:type="dxa"/>
            <w:shd w:val="clear" w:color="auto" w:fill="auto"/>
            <w:noWrap/>
            <w:vAlign w:val="center"/>
          </w:tcPr>
          <w:p w:rsidR="00E60AEE" w:rsidRPr="004C5551" w:rsidRDefault="00E60AEE" w:rsidP="005308FD">
            <w:pPr>
              <w:jc w:val="right"/>
              <w:rPr>
                <w:bCs/>
                <w:sz w:val="16"/>
                <w:szCs w:val="16"/>
              </w:rPr>
            </w:pPr>
            <w:r w:rsidRPr="004C5551">
              <w:rPr>
                <w:bCs/>
                <w:sz w:val="16"/>
                <w:szCs w:val="16"/>
              </w:rPr>
              <w:t>0</w:t>
            </w:r>
          </w:p>
        </w:tc>
        <w:tc>
          <w:tcPr>
            <w:tcW w:w="988" w:type="dxa"/>
            <w:shd w:val="clear" w:color="auto" w:fill="auto"/>
            <w:noWrap/>
            <w:vAlign w:val="center"/>
          </w:tcPr>
          <w:p w:rsidR="00E60AEE" w:rsidRPr="004C5551" w:rsidRDefault="00E60AEE" w:rsidP="005308FD">
            <w:pPr>
              <w:jc w:val="right"/>
              <w:rPr>
                <w:bCs/>
                <w:sz w:val="16"/>
                <w:szCs w:val="16"/>
              </w:rPr>
            </w:pPr>
            <w:r w:rsidRPr="004C5551">
              <w:rPr>
                <w:bCs/>
                <w:sz w:val="16"/>
                <w:szCs w:val="16"/>
              </w:rPr>
              <w:t>0</w:t>
            </w:r>
          </w:p>
        </w:tc>
        <w:tc>
          <w:tcPr>
            <w:tcW w:w="571" w:type="dxa"/>
            <w:shd w:val="clear" w:color="auto" w:fill="auto"/>
            <w:noWrap/>
            <w:vAlign w:val="bottom"/>
          </w:tcPr>
          <w:p w:rsidR="00E60AEE" w:rsidRPr="004C5551" w:rsidRDefault="00E60AEE" w:rsidP="005308FD">
            <w:pPr>
              <w:jc w:val="right"/>
              <w:rPr>
                <w:bCs/>
                <w:sz w:val="16"/>
                <w:szCs w:val="16"/>
              </w:rPr>
            </w:pPr>
            <w:r w:rsidRPr="004C5551">
              <w:rPr>
                <w:bCs/>
                <w:sz w:val="16"/>
                <w:szCs w:val="16"/>
              </w:rPr>
              <w:t>300</w:t>
            </w:r>
          </w:p>
        </w:tc>
        <w:tc>
          <w:tcPr>
            <w:tcW w:w="563" w:type="dxa"/>
            <w:shd w:val="clear" w:color="auto" w:fill="auto"/>
            <w:noWrap/>
            <w:vAlign w:val="bottom"/>
          </w:tcPr>
          <w:p w:rsidR="00E60AEE" w:rsidRPr="004C5551" w:rsidRDefault="00E60AEE" w:rsidP="005308FD">
            <w:pPr>
              <w:jc w:val="right"/>
              <w:rPr>
                <w:bCs/>
                <w:sz w:val="16"/>
                <w:szCs w:val="16"/>
              </w:rPr>
            </w:pPr>
            <w:r w:rsidRPr="004C5551">
              <w:rPr>
                <w:bCs/>
                <w:sz w:val="16"/>
                <w:szCs w:val="16"/>
              </w:rPr>
              <w:t>13 037</w:t>
            </w:r>
          </w:p>
        </w:tc>
        <w:tc>
          <w:tcPr>
            <w:tcW w:w="851" w:type="dxa"/>
            <w:shd w:val="clear" w:color="auto" w:fill="auto"/>
            <w:noWrap/>
            <w:vAlign w:val="bottom"/>
          </w:tcPr>
          <w:p w:rsidR="00E60AEE" w:rsidRPr="004C5551" w:rsidRDefault="00E60AEE" w:rsidP="005308FD">
            <w:pPr>
              <w:jc w:val="right"/>
              <w:rPr>
                <w:bCs/>
                <w:sz w:val="16"/>
                <w:szCs w:val="16"/>
              </w:rPr>
            </w:pPr>
            <w:r w:rsidRPr="004C5551">
              <w:rPr>
                <w:bCs/>
                <w:sz w:val="16"/>
                <w:szCs w:val="16"/>
              </w:rPr>
              <w:t>12 974</w:t>
            </w:r>
          </w:p>
        </w:tc>
        <w:tc>
          <w:tcPr>
            <w:tcW w:w="850"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60</w:t>
            </w:r>
          </w:p>
        </w:tc>
        <w:tc>
          <w:tcPr>
            <w:tcW w:w="1138"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DSS pre dospelých s telesným postihnutím</w:t>
            </w:r>
          </w:p>
        </w:tc>
        <w:tc>
          <w:tcPr>
            <w:tcW w:w="586" w:type="dxa"/>
            <w:shd w:val="clear" w:color="auto" w:fill="auto"/>
            <w:noWrap/>
            <w:vAlign w:val="center"/>
          </w:tcPr>
          <w:p w:rsidR="00E60AEE" w:rsidRPr="004C5551" w:rsidRDefault="00E60AEE" w:rsidP="005308FD">
            <w:pPr>
              <w:jc w:val="right"/>
              <w:rPr>
                <w:sz w:val="16"/>
                <w:szCs w:val="16"/>
              </w:rPr>
            </w:pPr>
            <w:r w:rsidRPr="004C5551">
              <w:rPr>
                <w:sz w:val="16"/>
                <w:szCs w:val="16"/>
              </w:rPr>
              <w:t>36</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1 194</w:t>
            </w:r>
          </w:p>
        </w:tc>
        <w:tc>
          <w:tcPr>
            <w:tcW w:w="964" w:type="dxa"/>
            <w:shd w:val="clear" w:color="auto" w:fill="auto"/>
            <w:noWrap/>
            <w:vAlign w:val="center"/>
          </w:tcPr>
          <w:p w:rsidR="00E60AEE" w:rsidRPr="004C5551" w:rsidRDefault="00E60AEE" w:rsidP="005308FD">
            <w:pPr>
              <w:jc w:val="right"/>
              <w:rPr>
                <w:sz w:val="16"/>
                <w:szCs w:val="16"/>
              </w:rPr>
            </w:pPr>
            <w:r w:rsidRPr="004C5551">
              <w:rPr>
                <w:sz w:val="16"/>
                <w:szCs w:val="16"/>
              </w:rPr>
              <w:t>1 134</w:t>
            </w:r>
          </w:p>
        </w:tc>
        <w:tc>
          <w:tcPr>
            <w:tcW w:w="850" w:type="dxa"/>
            <w:shd w:val="clear" w:color="auto" w:fill="auto"/>
            <w:noWrap/>
            <w:vAlign w:val="center"/>
          </w:tcPr>
          <w:p w:rsidR="00E60AEE" w:rsidRPr="004C5551" w:rsidRDefault="00E60AEE" w:rsidP="005308FD">
            <w:pPr>
              <w:jc w:val="right"/>
              <w:rPr>
                <w:sz w:val="16"/>
                <w:szCs w:val="16"/>
              </w:rPr>
            </w:pPr>
            <w:r w:rsidRPr="004C5551">
              <w:rPr>
                <w:sz w:val="16"/>
                <w:szCs w:val="16"/>
              </w:rPr>
              <w:t>20</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40</w:t>
            </w:r>
          </w:p>
        </w:tc>
        <w:tc>
          <w:tcPr>
            <w:tcW w:w="988" w:type="dxa"/>
            <w:shd w:val="clear" w:color="auto" w:fill="auto"/>
            <w:noWrap/>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noWrap/>
            <w:vAlign w:val="bottom"/>
          </w:tcPr>
          <w:p w:rsidR="00E60AEE" w:rsidRPr="004C5551" w:rsidRDefault="00E60AEE" w:rsidP="005308FD">
            <w:pPr>
              <w:jc w:val="right"/>
              <w:rPr>
                <w:bCs/>
                <w:sz w:val="16"/>
                <w:szCs w:val="16"/>
              </w:rPr>
            </w:pPr>
            <w:r w:rsidRPr="004C5551">
              <w:rPr>
                <w:bCs/>
                <w:sz w:val="16"/>
                <w:szCs w:val="16"/>
              </w:rPr>
              <w:t>33</w:t>
            </w:r>
          </w:p>
        </w:tc>
        <w:tc>
          <w:tcPr>
            <w:tcW w:w="563" w:type="dxa"/>
            <w:shd w:val="clear" w:color="auto" w:fill="auto"/>
            <w:noWrap/>
            <w:vAlign w:val="bottom"/>
          </w:tcPr>
          <w:p w:rsidR="00E60AEE" w:rsidRPr="004C5551" w:rsidRDefault="00E60AEE" w:rsidP="005308FD">
            <w:pPr>
              <w:jc w:val="right"/>
              <w:rPr>
                <w:bCs/>
                <w:sz w:val="16"/>
                <w:szCs w:val="16"/>
              </w:rPr>
            </w:pPr>
            <w:r w:rsidRPr="004C5551">
              <w:rPr>
                <w:bCs/>
                <w:sz w:val="16"/>
                <w:szCs w:val="16"/>
              </w:rPr>
              <w:t>1 227</w:t>
            </w:r>
          </w:p>
        </w:tc>
        <w:tc>
          <w:tcPr>
            <w:tcW w:w="851" w:type="dxa"/>
            <w:shd w:val="clear" w:color="auto" w:fill="auto"/>
            <w:noWrap/>
            <w:vAlign w:val="bottom"/>
          </w:tcPr>
          <w:p w:rsidR="00E60AEE" w:rsidRPr="004C5551" w:rsidRDefault="00E60AEE" w:rsidP="005308FD">
            <w:pPr>
              <w:jc w:val="right"/>
              <w:rPr>
                <w:bCs/>
                <w:sz w:val="16"/>
                <w:szCs w:val="16"/>
              </w:rPr>
            </w:pPr>
            <w:r w:rsidRPr="004C5551">
              <w:rPr>
                <w:bCs/>
                <w:sz w:val="16"/>
                <w:szCs w:val="16"/>
              </w:rPr>
              <w:t>1 179</w:t>
            </w:r>
          </w:p>
        </w:tc>
        <w:tc>
          <w:tcPr>
            <w:tcW w:w="850" w:type="dxa"/>
            <w:shd w:val="clear" w:color="auto" w:fill="auto"/>
            <w:noWrap/>
            <w:vAlign w:val="bottom"/>
          </w:tcPr>
          <w:p w:rsidR="00E60AEE" w:rsidRPr="004C5551" w:rsidRDefault="00E60AEE" w:rsidP="005308FD">
            <w:pPr>
              <w:jc w:val="right"/>
              <w:rPr>
                <w:bCs/>
                <w:sz w:val="16"/>
                <w:szCs w:val="16"/>
              </w:rPr>
            </w:pPr>
            <w:r w:rsidRPr="004C5551">
              <w:rPr>
                <w:bCs/>
                <w:sz w:val="16"/>
                <w:szCs w:val="16"/>
              </w:rPr>
              <w:t>21</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27</w:t>
            </w:r>
          </w:p>
        </w:tc>
        <w:tc>
          <w:tcPr>
            <w:tcW w:w="1138"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DSS pre dospelých s kombináciou postihnutí</w:t>
            </w:r>
          </w:p>
        </w:tc>
        <w:tc>
          <w:tcPr>
            <w:tcW w:w="586" w:type="dxa"/>
            <w:shd w:val="clear" w:color="auto" w:fill="auto"/>
            <w:vAlign w:val="center"/>
          </w:tcPr>
          <w:p w:rsidR="00E60AEE" w:rsidRPr="004C5551" w:rsidRDefault="00E60AEE" w:rsidP="005308FD">
            <w:pPr>
              <w:jc w:val="right"/>
              <w:rPr>
                <w:sz w:val="16"/>
                <w:szCs w:val="16"/>
              </w:rPr>
            </w:pPr>
            <w:r w:rsidRPr="004C5551">
              <w:rPr>
                <w:sz w:val="16"/>
                <w:szCs w:val="16"/>
              </w:rPr>
              <w:t>253</w:t>
            </w:r>
          </w:p>
        </w:tc>
        <w:tc>
          <w:tcPr>
            <w:tcW w:w="709" w:type="dxa"/>
            <w:shd w:val="clear" w:color="auto" w:fill="auto"/>
            <w:vAlign w:val="center"/>
          </w:tcPr>
          <w:p w:rsidR="00E60AEE" w:rsidRPr="004C5551" w:rsidRDefault="00E60AEE" w:rsidP="005308FD">
            <w:pPr>
              <w:jc w:val="right"/>
              <w:rPr>
                <w:sz w:val="16"/>
                <w:szCs w:val="16"/>
              </w:rPr>
            </w:pPr>
            <w:r w:rsidRPr="004C5551">
              <w:rPr>
                <w:sz w:val="16"/>
                <w:szCs w:val="16"/>
              </w:rPr>
              <w:t>12 814</w:t>
            </w:r>
          </w:p>
        </w:tc>
        <w:tc>
          <w:tcPr>
            <w:tcW w:w="964" w:type="dxa"/>
            <w:shd w:val="clear" w:color="auto" w:fill="auto"/>
            <w:vAlign w:val="center"/>
          </w:tcPr>
          <w:p w:rsidR="00E60AEE" w:rsidRPr="004C5551" w:rsidRDefault="00E60AEE" w:rsidP="005308FD">
            <w:pPr>
              <w:jc w:val="right"/>
              <w:rPr>
                <w:sz w:val="16"/>
                <w:szCs w:val="16"/>
              </w:rPr>
            </w:pPr>
            <w:r w:rsidRPr="004C5551">
              <w:rPr>
                <w:sz w:val="16"/>
                <w:szCs w:val="16"/>
              </w:rPr>
              <w:t>12 048</w:t>
            </w:r>
          </w:p>
        </w:tc>
        <w:tc>
          <w:tcPr>
            <w:tcW w:w="850" w:type="dxa"/>
            <w:shd w:val="clear" w:color="auto" w:fill="auto"/>
            <w:vAlign w:val="center"/>
          </w:tcPr>
          <w:p w:rsidR="00E60AEE" w:rsidRPr="004C5551" w:rsidRDefault="00E60AEE" w:rsidP="005308FD">
            <w:pPr>
              <w:jc w:val="right"/>
              <w:rPr>
                <w:sz w:val="16"/>
                <w:szCs w:val="16"/>
              </w:rPr>
            </w:pPr>
            <w:r w:rsidRPr="004C5551">
              <w:rPr>
                <w:sz w:val="16"/>
                <w:szCs w:val="16"/>
              </w:rPr>
              <w:t>197</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522</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12</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278</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13 838</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13 093</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207</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538</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DSS pre dospelých so zmyslovým postihnutím</w:t>
            </w:r>
          </w:p>
        </w:tc>
        <w:tc>
          <w:tcPr>
            <w:tcW w:w="586"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709"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964"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850"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0</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 </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 </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 </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 </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 </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 </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DSS pre dospelých s duševnými poruchami a poruchami správania</w:t>
            </w:r>
          </w:p>
        </w:tc>
        <w:tc>
          <w:tcPr>
            <w:tcW w:w="586" w:type="dxa"/>
            <w:shd w:val="clear" w:color="auto" w:fill="auto"/>
            <w:vAlign w:val="center"/>
          </w:tcPr>
          <w:p w:rsidR="00E60AEE" w:rsidRPr="004C5551" w:rsidRDefault="00E60AEE" w:rsidP="005308FD">
            <w:pPr>
              <w:jc w:val="right"/>
              <w:rPr>
                <w:sz w:val="16"/>
                <w:szCs w:val="16"/>
              </w:rPr>
            </w:pPr>
            <w:r w:rsidRPr="004C5551">
              <w:rPr>
                <w:sz w:val="16"/>
                <w:szCs w:val="16"/>
              </w:rPr>
              <w:t>70</w:t>
            </w:r>
          </w:p>
        </w:tc>
        <w:tc>
          <w:tcPr>
            <w:tcW w:w="709" w:type="dxa"/>
            <w:shd w:val="clear" w:color="auto" w:fill="auto"/>
            <w:vAlign w:val="center"/>
          </w:tcPr>
          <w:p w:rsidR="00E60AEE" w:rsidRPr="004C5551" w:rsidRDefault="00E60AEE" w:rsidP="005308FD">
            <w:pPr>
              <w:jc w:val="right"/>
              <w:rPr>
                <w:sz w:val="16"/>
                <w:szCs w:val="16"/>
              </w:rPr>
            </w:pPr>
            <w:r w:rsidRPr="004C5551">
              <w:rPr>
                <w:sz w:val="16"/>
                <w:szCs w:val="16"/>
              </w:rPr>
              <w:t>4 419</w:t>
            </w:r>
          </w:p>
        </w:tc>
        <w:tc>
          <w:tcPr>
            <w:tcW w:w="964" w:type="dxa"/>
            <w:shd w:val="clear" w:color="auto" w:fill="auto"/>
            <w:vAlign w:val="center"/>
          </w:tcPr>
          <w:p w:rsidR="00E60AEE" w:rsidRPr="004C5551" w:rsidRDefault="00E60AEE" w:rsidP="005308FD">
            <w:pPr>
              <w:jc w:val="right"/>
              <w:rPr>
                <w:sz w:val="16"/>
                <w:szCs w:val="16"/>
              </w:rPr>
            </w:pPr>
            <w:r w:rsidRPr="004C5551">
              <w:rPr>
                <w:sz w:val="16"/>
                <w:szCs w:val="16"/>
              </w:rPr>
              <w:t>4 052</w:t>
            </w:r>
          </w:p>
        </w:tc>
        <w:tc>
          <w:tcPr>
            <w:tcW w:w="850" w:type="dxa"/>
            <w:shd w:val="clear" w:color="auto" w:fill="auto"/>
            <w:vAlign w:val="center"/>
          </w:tcPr>
          <w:p w:rsidR="00E60AEE" w:rsidRPr="004C5551" w:rsidRDefault="00E60AEE" w:rsidP="005308FD">
            <w:pPr>
              <w:jc w:val="right"/>
              <w:rPr>
                <w:sz w:val="16"/>
                <w:szCs w:val="16"/>
              </w:rPr>
            </w:pPr>
            <w:r w:rsidRPr="004C5551">
              <w:rPr>
                <w:sz w:val="16"/>
                <w:szCs w:val="16"/>
              </w:rPr>
              <w:t>100</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267</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70</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4 071</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3 683</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75</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313</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shd w:val="clear" w:color="auto" w:fill="auto"/>
            <w:vAlign w:val="bottom"/>
            <w:hideMark/>
          </w:tcPr>
          <w:p w:rsidR="00E60AEE" w:rsidRPr="004C5551" w:rsidRDefault="00E60AEE" w:rsidP="005308FD">
            <w:pPr>
              <w:jc w:val="left"/>
              <w:rPr>
                <w:sz w:val="16"/>
                <w:szCs w:val="16"/>
              </w:rPr>
            </w:pPr>
            <w:r w:rsidRPr="004C5551">
              <w:rPr>
                <w:sz w:val="16"/>
                <w:szCs w:val="16"/>
              </w:rPr>
              <w:t>Špecializované zariadenie</w:t>
            </w:r>
          </w:p>
        </w:tc>
        <w:tc>
          <w:tcPr>
            <w:tcW w:w="586" w:type="dxa"/>
            <w:shd w:val="clear" w:color="auto" w:fill="auto"/>
            <w:vAlign w:val="center"/>
          </w:tcPr>
          <w:p w:rsidR="00E60AEE" w:rsidRPr="004C5551" w:rsidRDefault="00E60AEE" w:rsidP="005308FD">
            <w:pPr>
              <w:jc w:val="right"/>
              <w:rPr>
                <w:sz w:val="16"/>
                <w:szCs w:val="16"/>
              </w:rPr>
            </w:pPr>
            <w:r w:rsidRPr="004C5551">
              <w:rPr>
                <w:sz w:val="16"/>
                <w:szCs w:val="16"/>
              </w:rPr>
              <w:t>55</w:t>
            </w:r>
          </w:p>
        </w:tc>
        <w:tc>
          <w:tcPr>
            <w:tcW w:w="709" w:type="dxa"/>
            <w:shd w:val="clear" w:color="auto" w:fill="auto"/>
            <w:vAlign w:val="center"/>
          </w:tcPr>
          <w:p w:rsidR="00E60AEE" w:rsidRPr="004C5551" w:rsidRDefault="00E60AEE" w:rsidP="005308FD">
            <w:pPr>
              <w:jc w:val="right"/>
              <w:rPr>
                <w:sz w:val="16"/>
                <w:szCs w:val="16"/>
              </w:rPr>
            </w:pPr>
            <w:r w:rsidRPr="004C5551">
              <w:rPr>
                <w:sz w:val="16"/>
                <w:szCs w:val="16"/>
              </w:rPr>
              <w:t>1 615</w:t>
            </w:r>
          </w:p>
        </w:tc>
        <w:tc>
          <w:tcPr>
            <w:tcW w:w="964" w:type="dxa"/>
            <w:shd w:val="clear" w:color="auto" w:fill="auto"/>
            <w:vAlign w:val="center"/>
          </w:tcPr>
          <w:p w:rsidR="00E60AEE" w:rsidRPr="004C5551" w:rsidRDefault="00E60AEE" w:rsidP="005308FD">
            <w:pPr>
              <w:jc w:val="right"/>
              <w:rPr>
                <w:sz w:val="16"/>
                <w:szCs w:val="16"/>
              </w:rPr>
            </w:pPr>
            <w:r w:rsidRPr="004C5551">
              <w:rPr>
                <w:sz w:val="16"/>
                <w:szCs w:val="16"/>
              </w:rPr>
              <w:t>1 453</w:t>
            </w:r>
          </w:p>
        </w:tc>
        <w:tc>
          <w:tcPr>
            <w:tcW w:w="850" w:type="dxa"/>
            <w:shd w:val="clear" w:color="auto" w:fill="auto"/>
            <w:vAlign w:val="center"/>
          </w:tcPr>
          <w:p w:rsidR="00E60AEE" w:rsidRPr="004C5551" w:rsidRDefault="00E60AEE" w:rsidP="005308FD">
            <w:pPr>
              <w:jc w:val="right"/>
              <w:rPr>
                <w:sz w:val="16"/>
                <w:szCs w:val="16"/>
              </w:rPr>
            </w:pPr>
            <w:r w:rsidRPr="004C5551">
              <w:rPr>
                <w:sz w:val="16"/>
                <w:szCs w:val="16"/>
              </w:rPr>
              <w:t>3</w:t>
            </w:r>
          </w:p>
        </w:tc>
        <w:tc>
          <w:tcPr>
            <w:tcW w:w="709" w:type="dxa"/>
            <w:shd w:val="clear" w:color="auto" w:fill="auto"/>
            <w:noWrap/>
            <w:vAlign w:val="center"/>
          </w:tcPr>
          <w:p w:rsidR="00E60AEE" w:rsidRPr="004C5551" w:rsidRDefault="00E60AEE" w:rsidP="005308FD">
            <w:pPr>
              <w:jc w:val="right"/>
              <w:rPr>
                <w:sz w:val="16"/>
                <w:szCs w:val="16"/>
              </w:rPr>
            </w:pPr>
            <w:r w:rsidRPr="004C5551">
              <w:rPr>
                <w:sz w:val="16"/>
                <w:szCs w:val="16"/>
              </w:rPr>
              <w:t>148</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11</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70</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2 180</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2 035</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7</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108</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jc w:val="left"/>
              <w:rPr>
                <w:sz w:val="16"/>
                <w:szCs w:val="16"/>
              </w:rPr>
            </w:pPr>
            <w:r w:rsidRPr="004C5551">
              <w:rPr>
                <w:sz w:val="16"/>
                <w:szCs w:val="16"/>
              </w:rPr>
              <w:t>Denný stacionár</w:t>
            </w:r>
          </w:p>
        </w:tc>
        <w:tc>
          <w:tcPr>
            <w:tcW w:w="586" w:type="dxa"/>
            <w:vAlign w:val="center"/>
          </w:tcPr>
          <w:p w:rsidR="00E60AEE" w:rsidRPr="004C5551" w:rsidRDefault="00E60AEE" w:rsidP="005308FD">
            <w:pPr>
              <w:jc w:val="right"/>
              <w:rPr>
                <w:sz w:val="16"/>
                <w:szCs w:val="16"/>
              </w:rPr>
            </w:pPr>
            <w:r w:rsidRPr="004C5551">
              <w:rPr>
                <w:sz w:val="16"/>
                <w:szCs w:val="16"/>
              </w:rPr>
              <w:t>29</w:t>
            </w:r>
          </w:p>
        </w:tc>
        <w:tc>
          <w:tcPr>
            <w:tcW w:w="709" w:type="dxa"/>
            <w:vAlign w:val="center"/>
          </w:tcPr>
          <w:p w:rsidR="00E60AEE" w:rsidRPr="004C5551" w:rsidRDefault="00E60AEE" w:rsidP="005308FD">
            <w:pPr>
              <w:jc w:val="right"/>
              <w:rPr>
                <w:sz w:val="16"/>
                <w:szCs w:val="16"/>
              </w:rPr>
            </w:pPr>
            <w:r w:rsidRPr="004C5551">
              <w:rPr>
                <w:sz w:val="16"/>
                <w:szCs w:val="16"/>
              </w:rPr>
              <w:t>430</w:t>
            </w:r>
          </w:p>
        </w:tc>
        <w:tc>
          <w:tcPr>
            <w:tcW w:w="964" w:type="dxa"/>
            <w:vAlign w:val="center"/>
          </w:tcPr>
          <w:p w:rsidR="00E60AEE" w:rsidRPr="004C5551" w:rsidRDefault="00E60AEE" w:rsidP="005308FD">
            <w:pPr>
              <w:jc w:val="right"/>
              <w:rPr>
                <w:sz w:val="16"/>
                <w:szCs w:val="16"/>
              </w:rPr>
            </w:pPr>
            <w:r w:rsidRPr="004C5551">
              <w:rPr>
                <w:sz w:val="16"/>
                <w:szCs w:val="16"/>
              </w:rPr>
              <w:t>14</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416</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36</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578</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4</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10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563</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jc w:val="left"/>
              <w:rPr>
                <w:sz w:val="16"/>
                <w:szCs w:val="16"/>
              </w:rPr>
            </w:pPr>
            <w:r w:rsidRPr="004C5551">
              <w:rPr>
                <w:sz w:val="16"/>
                <w:szCs w:val="16"/>
              </w:rPr>
              <w:t>DSS pre deti s telesným postihnutím</w:t>
            </w:r>
          </w:p>
        </w:tc>
        <w:tc>
          <w:tcPr>
            <w:tcW w:w="586" w:type="dxa"/>
            <w:vAlign w:val="center"/>
          </w:tcPr>
          <w:p w:rsidR="00E60AEE" w:rsidRPr="004C5551" w:rsidRDefault="00E60AEE" w:rsidP="005308FD">
            <w:pPr>
              <w:jc w:val="right"/>
              <w:rPr>
                <w:sz w:val="16"/>
                <w:szCs w:val="16"/>
              </w:rPr>
            </w:pPr>
            <w:r w:rsidRPr="004C5551">
              <w:rPr>
                <w:sz w:val="16"/>
                <w:szCs w:val="16"/>
              </w:rPr>
              <w:t>4</w:t>
            </w:r>
          </w:p>
        </w:tc>
        <w:tc>
          <w:tcPr>
            <w:tcW w:w="709" w:type="dxa"/>
            <w:vAlign w:val="center"/>
          </w:tcPr>
          <w:p w:rsidR="00E60AEE" w:rsidRPr="004C5551" w:rsidRDefault="00E60AEE" w:rsidP="005308FD">
            <w:pPr>
              <w:jc w:val="right"/>
              <w:rPr>
                <w:sz w:val="16"/>
                <w:szCs w:val="16"/>
              </w:rPr>
            </w:pPr>
            <w:r w:rsidRPr="004C5551">
              <w:rPr>
                <w:sz w:val="16"/>
                <w:szCs w:val="16"/>
              </w:rPr>
              <w:t>63</w:t>
            </w:r>
          </w:p>
        </w:tc>
        <w:tc>
          <w:tcPr>
            <w:tcW w:w="964" w:type="dxa"/>
            <w:vAlign w:val="center"/>
          </w:tcPr>
          <w:p w:rsidR="00E60AEE" w:rsidRPr="004C5551" w:rsidRDefault="00E60AEE" w:rsidP="005308FD">
            <w:pPr>
              <w:jc w:val="right"/>
              <w:rPr>
                <w:sz w:val="16"/>
                <w:szCs w:val="16"/>
              </w:rPr>
            </w:pPr>
            <w:r w:rsidRPr="004C5551">
              <w:rPr>
                <w:sz w:val="16"/>
                <w:szCs w:val="16"/>
              </w:rPr>
              <w:t>1</w:t>
            </w:r>
          </w:p>
        </w:tc>
        <w:tc>
          <w:tcPr>
            <w:tcW w:w="850" w:type="dxa"/>
            <w:vAlign w:val="center"/>
          </w:tcPr>
          <w:p w:rsidR="00E60AEE" w:rsidRPr="004C5551" w:rsidRDefault="00E60AEE" w:rsidP="005308FD">
            <w:pPr>
              <w:jc w:val="right"/>
              <w:rPr>
                <w:sz w:val="16"/>
                <w:szCs w:val="16"/>
              </w:rPr>
            </w:pPr>
            <w:r w:rsidRPr="004C5551">
              <w:rPr>
                <w:sz w:val="16"/>
                <w:szCs w:val="16"/>
              </w:rPr>
              <w:t>23</w:t>
            </w:r>
          </w:p>
        </w:tc>
        <w:tc>
          <w:tcPr>
            <w:tcW w:w="709" w:type="dxa"/>
            <w:noWrap/>
            <w:vAlign w:val="center"/>
          </w:tcPr>
          <w:p w:rsidR="00E60AEE" w:rsidRPr="004C5551" w:rsidRDefault="00E60AEE" w:rsidP="005308FD">
            <w:pPr>
              <w:jc w:val="right"/>
              <w:rPr>
                <w:sz w:val="16"/>
                <w:szCs w:val="16"/>
              </w:rPr>
            </w:pPr>
            <w:r w:rsidRPr="004C5551">
              <w:rPr>
                <w:sz w:val="16"/>
                <w:szCs w:val="16"/>
              </w:rPr>
              <w:t>39</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3</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46</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2</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23</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21</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397"/>
          <w:jc w:val="center"/>
        </w:trPr>
        <w:tc>
          <w:tcPr>
            <w:tcW w:w="4609" w:type="dxa"/>
            <w:vAlign w:val="bottom"/>
            <w:hideMark/>
          </w:tcPr>
          <w:p w:rsidR="00E60AEE" w:rsidRPr="004C5551" w:rsidRDefault="00E60AEE" w:rsidP="005308FD">
            <w:pPr>
              <w:jc w:val="left"/>
              <w:rPr>
                <w:sz w:val="16"/>
                <w:szCs w:val="16"/>
              </w:rPr>
            </w:pPr>
            <w:r w:rsidRPr="004C5551">
              <w:rPr>
                <w:sz w:val="16"/>
                <w:szCs w:val="16"/>
              </w:rPr>
              <w:t>DSS pre deti s telesným postihnutím a dušev</w:t>
            </w:r>
            <w:r w:rsidRPr="004C5551">
              <w:rPr>
                <w:sz w:val="16"/>
                <w:szCs w:val="16"/>
              </w:rPr>
              <w:softHyphen/>
              <w:t>nými poruchami a poruchami správania</w:t>
            </w:r>
          </w:p>
        </w:tc>
        <w:tc>
          <w:tcPr>
            <w:tcW w:w="586" w:type="dxa"/>
            <w:vAlign w:val="center"/>
          </w:tcPr>
          <w:p w:rsidR="00E60AEE" w:rsidRPr="004C5551" w:rsidRDefault="00E60AEE" w:rsidP="005308FD">
            <w:pPr>
              <w:jc w:val="right"/>
              <w:rPr>
                <w:sz w:val="16"/>
                <w:szCs w:val="16"/>
              </w:rPr>
            </w:pPr>
            <w:r w:rsidRPr="004C5551">
              <w:rPr>
                <w:sz w:val="16"/>
                <w:szCs w:val="16"/>
              </w:rPr>
              <w:t>39</w:t>
            </w:r>
          </w:p>
        </w:tc>
        <w:tc>
          <w:tcPr>
            <w:tcW w:w="709" w:type="dxa"/>
            <w:vAlign w:val="center"/>
          </w:tcPr>
          <w:p w:rsidR="00E60AEE" w:rsidRPr="004C5551" w:rsidRDefault="00E60AEE" w:rsidP="005308FD">
            <w:pPr>
              <w:jc w:val="right"/>
              <w:rPr>
                <w:sz w:val="16"/>
                <w:szCs w:val="16"/>
              </w:rPr>
            </w:pPr>
            <w:r w:rsidRPr="004C5551">
              <w:rPr>
                <w:sz w:val="16"/>
                <w:szCs w:val="16"/>
              </w:rPr>
              <w:t>1 124</w:t>
            </w:r>
          </w:p>
        </w:tc>
        <w:tc>
          <w:tcPr>
            <w:tcW w:w="964" w:type="dxa"/>
            <w:vAlign w:val="center"/>
          </w:tcPr>
          <w:p w:rsidR="00E60AEE" w:rsidRPr="004C5551" w:rsidRDefault="00E60AEE" w:rsidP="005308FD">
            <w:pPr>
              <w:jc w:val="right"/>
              <w:rPr>
                <w:sz w:val="16"/>
                <w:szCs w:val="16"/>
              </w:rPr>
            </w:pPr>
            <w:r w:rsidRPr="004C5551">
              <w:rPr>
                <w:sz w:val="16"/>
                <w:szCs w:val="16"/>
              </w:rPr>
              <w:t>412</w:t>
            </w:r>
          </w:p>
        </w:tc>
        <w:tc>
          <w:tcPr>
            <w:tcW w:w="850" w:type="dxa"/>
            <w:vAlign w:val="center"/>
          </w:tcPr>
          <w:p w:rsidR="00E60AEE" w:rsidRPr="004C5551" w:rsidRDefault="00E60AEE" w:rsidP="005308FD">
            <w:pPr>
              <w:jc w:val="right"/>
              <w:rPr>
                <w:sz w:val="16"/>
                <w:szCs w:val="16"/>
              </w:rPr>
            </w:pPr>
            <w:r w:rsidRPr="004C5551">
              <w:rPr>
                <w:sz w:val="16"/>
                <w:szCs w:val="16"/>
              </w:rPr>
              <w:t>226</w:t>
            </w:r>
          </w:p>
        </w:tc>
        <w:tc>
          <w:tcPr>
            <w:tcW w:w="709" w:type="dxa"/>
            <w:noWrap/>
            <w:vAlign w:val="center"/>
          </w:tcPr>
          <w:p w:rsidR="00E60AEE" w:rsidRPr="004C5551" w:rsidRDefault="00E60AEE" w:rsidP="005308FD">
            <w:pPr>
              <w:jc w:val="right"/>
              <w:rPr>
                <w:sz w:val="16"/>
                <w:szCs w:val="16"/>
              </w:rPr>
            </w:pPr>
            <w:r w:rsidRPr="004C5551">
              <w:rPr>
                <w:sz w:val="16"/>
                <w:szCs w:val="16"/>
              </w:rPr>
              <w:t>474</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36</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1 051</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321</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201</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526</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jc w:val="left"/>
              <w:rPr>
                <w:sz w:val="16"/>
                <w:szCs w:val="16"/>
              </w:rPr>
            </w:pPr>
            <w:r w:rsidRPr="004C5551">
              <w:rPr>
                <w:sz w:val="16"/>
                <w:szCs w:val="16"/>
              </w:rPr>
              <w:t>DSS pre deti s duševnými poru</w:t>
            </w:r>
            <w:r w:rsidRPr="004C5551">
              <w:rPr>
                <w:sz w:val="16"/>
                <w:szCs w:val="16"/>
              </w:rPr>
              <w:softHyphen/>
              <w:t>chami a poruchami správania</w:t>
            </w:r>
          </w:p>
        </w:tc>
        <w:tc>
          <w:tcPr>
            <w:tcW w:w="586" w:type="dxa"/>
            <w:vAlign w:val="center"/>
          </w:tcPr>
          <w:p w:rsidR="00E60AEE" w:rsidRPr="004C5551" w:rsidRDefault="00E60AEE" w:rsidP="005308FD">
            <w:pPr>
              <w:jc w:val="right"/>
              <w:rPr>
                <w:sz w:val="16"/>
                <w:szCs w:val="16"/>
              </w:rPr>
            </w:pPr>
            <w:r w:rsidRPr="004C5551">
              <w:rPr>
                <w:sz w:val="16"/>
                <w:szCs w:val="16"/>
              </w:rPr>
              <w:t>6</w:t>
            </w:r>
          </w:p>
        </w:tc>
        <w:tc>
          <w:tcPr>
            <w:tcW w:w="709" w:type="dxa"/>
            <w:vAlign w:val="center"/>
          </w:tcPr>
          <w:p w:rsidR="00E60AEE" w:rsidRPr="004C5551" w:rsidRDefault="00E60AEE" w:rsidP="005308FD">
            <w:pPr>
              <w:jc w:val="right"/>
              <w:rPr>
                <w:sz w:val="16"/>
                <w:szCs w:val="16"/>
              </w:rPr>
            </w:pPr>
            <w:r w:rsidRPr="004C5551">
              <w:rPr>
                <w:sz w:val="16"/>
                <w:szCs w:val="16"/>
              </w:rPr>
              <w:t>119</w:t>
            </w:r>
          </w:p>
        </w:tc>
        <w:tc>
          <w:tcPr>
            <w:tcW w:w="964" w:type="dxa"/>
            <w:vAlign w:val="center"/>
          </w:tcPr>
          <w:p w:rsidR="00E60AEE" w:rsidRPr="004C5551" w:rsidRDefault="00E60AEE" w:rsidP="005308FD">
            <w:pPr>
              <w:jc w:val="right"/>
              <w:rPr>
                <w:sz w:val="16"/>
                <w:szCs w:val="16"/>
              </w:rPr>
            </w:pPr>
            <w:r w:rsidRPr="004C5551">
              <w:rPr>
                <w:sz w:val="16"/>
                <w:szCs w:val="16"/>
              </w:rPr>
              <w:t>44</w:t>
            </w:r>
          </w:p>
        </w:tc>
        <w:tc>
          <w:tcPr>
            <w:tcW w:w="850" w:type="dxa"/>
            <w:vAlign w:val="center"/>
          </w:tcPr>
          <w:p w:rsidR="00E60AEE" w:rsidRPr="004C5551" w:rsidRDefault="00E60AEE" w:rsidP="005308FD">
            <w:pPr>
              <w:jc w:val="right"/>
              <w:rPr>
                <w:sz w:val="16"/>
                <w:szCs w:val="16"/>
              </w:rPr>
            </w:pPr>
            <w:r w:rsidRPr="004C5551">
              <w:rPr>
                <w:sz w:val="16"/>
                <w:szCs w:val="16"/>
              </w:rPr>
              <w:t>31</w:t>
            </w:r>
          </w:p>
        </w:tc>
        <w:tc>
          <w:tcPr>
            <w:tcW w:w="709" w:type="dxa"/>
            <w:noWrap/>
            <w:vAlign w:val="center"/>
          </w:tcPr>
          <w:p w:rsidR="00E60AEE" w:rsidRPr="004C5551" w:rsidRDefault="00E60AEE" w:rsidP="005308FD">
            <w:pPr>
              <w:jc w:val="right"/>
              <w:rPr>
                <w:sz w:val="16"/>
                <w:szCs w:val="16"/>
              </w:rPr>
            </w:pPr>
            <w:r w:rsidRPr="004C5551">
              <w:rPr>
                <w:sz w:val="16"/>
                <w:szCs w:val="16"/>
              </w:rPr>
              <w:t>44</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5</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196</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121</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27</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48</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zariadenie dočasnej starostlivosti o deti</w:t>
            </w:r>
          </w:p>
        </w:tc>
        <w:tc>
          <w:tcPr>
            <w:tcW w:w="586" w:type="dxa"/>
            <w:vAlign w:val="center"/>
          </w:tcPr>
          <w:p w:rsidR="00E60AEE" w:rsidRPr="004C5551" w:rsidRDefault="00E60AEE" w:rsidP="005308FD">
            <w:pPr>
              <w:jc w:val="right"/>
              <w:rPr>
                <w:sz w:val="16"/>
                <w:szCs w:val="16"/>
              </w:rPr>
            </w:pPr>
            <w:r w:rsidRPr="004C5551">
              <w:rPr>
                <w:sz w:val="16"/>
                <w:szCs w:val="16"/>
              </w:rPr>
              <w:t>4</w:t>
            </w:r>
          </w:p>
        </w:tc>
        <w:tc>
          <w:tcPr>
            <w:tcW w:w="709" w:type="dxa"/>
            <w:vAlign w:val="center"/>
          </w:tcPr>
          <w:p w:rsidR="00E60AEE" w:rsidRPr="004C5551" w:rsidRDefault="00E60AEE" w:rsidP="005308FD">
            <w:pPr>
              <w:jc w:val="right"/>
              <w:rPr>
                <w:sz w:val="16"/>
                <w:szCs w:val="16"/>
              </w:rPr>
            </w:pPr>
            <w:r w:rsidRPr="004C5551">
              <w:rPr>
                <w:sz w:val="16"/>
                <w:szCs w:val="16"/>
              </w:rPr>
              <w:t>19</w:t>
            </w:r>
          </w:p>
        </w:tc>
        <w:tc>
          <w:tcPr>
            <w:tcW w:w="964" w:type="dxa"/>
            <w:vAlign w:val="center"/>
          </w:tcPr>
          <w:p w:rsidR="00E60AEE" w:rsidRPr="004C5551" w:rsidRDefault="00E60AEE" w:rsidP="005308FD">
            <w:pPr>
              <w:jc w:val="right"/>
              <w:rPr>
                <w:sz w:val="16"/>
                <w:szCs w:val="16"/>
              </w:rPr>
            </w:pPr>
            <w:r w:rsidRPr="004C5551">
              <w:rPr>
                <w:sz w:val="16"/>
                <w:szCs w:val="16"/>
              </w:rPr>
              <w:t>13</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0</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6</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3</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48</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48</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zariadenie podpo</w:t>
            </w:r>
            <w:r w:rsidRPr="004C5551">
              <w:rPr>
                <w:sz w:val="16"/>
                <w:szCs w:val="16"/>
              </w:rPr>
              <w:softHyphen/>
              <w:t>rovaného bývania</w:t>
            </w:r>
          </w:p>
        </w:tc>
        <w:tc>
          <w:tcPr>
            <w:tcW w:w="586" w:type="dxa"/>
            <w:vAlign w:val="center"/>
          </w:tcPr>
          <w:p w:rsidR="00E60AEE" w:rsidRPr="004C5551" w:rsidRDefault="00E60AEE" w:rsidP="005308FD">
            <w:pPr>
              <w:jc w:val="right"/>
              <w:rPr>
                <w:sz w:val="16"/>
                <w:szCs w:val="16"/>
              </w:rPr>
            </w:pPr>
            <w:r w:rsidRPr="004C5551">
              <w:rPr>
                <w:sz w:val="16"/>
                <w:szCs w:val="16"/>
              </w:rPr>
              <w:t>38</w:t>
            </w:r>
          </w:p>
        </w:tc>
        <w:tc>
          <w:tcPr>
            <w:tcW w:w="709" w:type="dxa"/>
            <w:vAlign w:val="center"/>
          </w:tcPr>
          <w:p w:rsidR="00E60AEE" w:rsidRPr="004C5551" w:rsidRDefault="00E60AEE" w:rsidP="005308FD">
            <w:pPr>
              <w:jc w:val="right"/>
              <w:rPr>
                <w:sz w:val="16"/>
                <w:szCs w:val="16"/>
              </w:rPr>
            </w:pPr>
            <w:r w:rsidRPr="004C5551">
              <w:rPr>
                <w:sz w:val="16"/>
                <w:szCs w:val="16"/>
              </w:rPr>
              <w:t>379</w:t>
            </w:r>
          </w:p>
        </w:tc>
        <w:tc>
          <w:tcPr>
            <w:tcW w:w="964" w:type="dxa"/>
            <w:vAlign w:val="center"/>
          </w:tcPr>
          <w:p w:rsidR="00E60AEE" w:rsidRPr="004C5551" w:rsidRDefault="00E60AEE" w:rsidP="005308FD">
            <w:pPr>
              <w:jc w:val="right"/>
              <w:rPr>
                <w:sz w:val="16"/>
                <w:szCs w:val="16"/>
              </w:rPr>
            </w:pPr>
            <w:r w:rsidRPr="004C5551">
              <w:rPr>
                <w:sz w:val="16"/>
                <w:szCs w:val="16"/>
              </w:rPr>
              <w:t>379</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0</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48</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466</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466</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zariadenie núdzového bývania</w:t>
            </w:r>
          </w:p>
        </w:tc>
        <w:tc>
          <w:tcPr>
            <w:tcW w:w="586" w:type="dxa"/>
            <w:vAlign w:val="center"/>
          </w:tcPr>
          <w:p w:rsidR="00E60AEE" w:rsidRPr="004C5551" w:rsidRDefault="00E60AEE" w:rsidP="005308FD">
            <w:pPr>
              <w:jc w:val="right"/>
              <w:rPr>
                <w:sz w:val="16"/>
                <w:szCs w:val="16"/>
              </w:rPr>
            </w:pPr>
            <w:r w:rsidRPr="004C5551">
              <w:rPr>
                <w:sz w:val="16"/>
                <w:szCs w:val="16"/>
              </w:rPr>
              <w:t>47</w:t>
            </w:r>
          </w:p>
        </w:tc>
        <w:tc>
          <w:tcPr>
            <w:tcW w:w="709" w:type="dxa"/>
            <w:vAlign w:val="center"/>
          </w:tcPr>
          <w:p w:rsidR="00E60AEE" w:rsidRPr="004C5551" w:rsidRDefault="00E60AEE" w:rsidP="005308FD">
            <w:pPr>
              <w:jc w:val="right"/>
              <w:rPr>
                <w:sz w:val="16"/>
                <w:szCs w:val="16"/>
              </w:rPr>
            </w:pPr>
            <w:r w:rsidRPr="004C5551">
              <w:rPr>
                <w:sz w:val="16"/>
                <w:szCs w:val="16"/>
              </w:rPr>
              <w:t>1 091</w:t>
            </w:r>
          </w:p>
        </w:tc>
        <w:tc>
          <w:tcPr>
            <w:tcW w:w="964" w:type="dxa"/>
            <w:vAlign w:val="center"/>
          </w:tcPr>
          <w:p w:rsidR="00E60AEE" w:rsidRPr="004C5551" w:rsidRDefault="00E60AEE" w:rsidP="005308FD">
            <w:pPr>
              <w:jc w:val="right"/>
              <w:rPr>
                <w:sz w:val="16"/>
                <w:szCs w:val="16"/>
              </w:rPr>
            </w:pPr>
            <w:r w:rsidRPr="004C5551">
              <w:rPr>
                <w:sz w:val="16"/>
                <w:szCs w:val="16"/>
              </w:rPr>
              <w:t>1 091</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0</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0</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44</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1 032</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1 032</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útulky</w:t>
            </w:r>
          </w:p>
        </w:tc>
        <w:tc>
          <w:tcPr>
            <w:tcW w:w="586" w:type="dxa"/>
            <w:vAlign w:val="center"/>
          </w:tcPr>
          <w:p w:rsidR="00E60AEE" w:rsidRPr="004C5551" w:rsidRDefault="00E60AEE" w:rsidP="005308FD">
            <w:pPr>
              <w:jc w:val="right"/>
              <w:rPr>
                <w:sz w:val="16"/>
                <w:szCs w:val="16"/>
              </w:rPr>
            </w:pPr>
            <w:r w:rsidRPr="004C5551">
              <w:rPr>
                <w:sz w:val="16"/>
                <w:szCs w:val="16"/>
              </w:rPr>
              <w:t>72</w:t>
            </w:r>
          </w:p>
        </w:tc>
        <w:tc>
          <w:tcPr>
            <w:tcW w:w="709" w:type="dxa"/>
            <w:vAlign w:val="center"/>
          </w:tcPr>
          <w:p w:rsidR="00E60AEE" w:rsidRPr="004C5551" w:rsidRDefault="00E60AEE" w:rsidP="005308FD">
            <w:pPr>
              <w:jc w:val="right"/>
              <w:rPr>
                <w:sz w:val="16"/>
                <w:szCs w:val="16"/>
              </w:rPr>
            </w:pPr>
            <w:r w:rsidRPr="004C5551">
              <w:rPr>
                <w:sz w:val="16"/>
                <w:szCs w:val="16"/>
              </w:rPr>
              <w:t>1 667</w:t>
            </w:r>
          </w:p>
        </w:tc>
        <w:tc>
          <w:tcPr>
            <w:tcW w:w="964" w:type="dxa"/>
            <w:vAlign w:val="center"/>
          </w:tcPr>
          <w:p w:rsidR="00E60AEE" w:rsidRPr="004C5551" w:rsidRDefault="00E60AEE" w:rsidP="005308FD">
            <w:pPr>
              <w:jc w:val="right"/>
              <w:rPr>
                <w:sz w:val="16"/>
                <w:szCs w:val="16"/>
              </w:rPr>
            </w:pPr>
            <w:r w:rsidRPr="004C5551">
              <w:rPr>
                <w:sz w:val="16"/>
                <w:szCs w:val="16"/>
              </w:rPr>
              <w:t>899</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74</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653</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76</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1 651</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1 255</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37</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349</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rehabilitačné strediská</w:t>
            </w:r>
          </w:p>
        </w:tc>
        <w:tc>
          <w:tcPr>
            <w:tcW w:w="586" w:type="dxa"/>
            <w:vAlign w:val="center"/>
          </w:tcPr>
          <w:p w:rsidR="00E60AEE" w:rsidRPr="004C5551" w:rsidRDefault="00E60AEE" w:rsidP="005308FD">
            <w:pPr>
              <w:jc w:val="right"/>
              <w:rPr>
                <w:sz w:val="16"/>
                <w:szCs w:val="16"/>
              </w:rPr>
            </w:pPr>
            <w:r w:rsidRPr="004C5551">
              <w:rPr>
                <w:sz w:val="16"/>
                <w:szCs w:val="16"/>
              </w:rPr>
              <w:t>17</w:t>
            </w:r>
          </w:p>
        </w:tc>
        <w:tc>
          <w:tcPr>
            <w:tcW w:w="709" w:type="dxa"/>
            <w:vAlign w:val="center"/>
          </w:tcPr>
          <w:p w:rsidR="00E60AEE" w:rsidRPr="004C5551" w:rsidRDefault="00E60AEE" w:rsidP="005308FD">
            <w:pPr>
              <w:jc w:val="right"/>
              <w:rPr>
                <w:sz w:val="16"/>
                <w:szCs w:val="16"/>
              </w:rPr>
            </w:pPr>
            <w:r w:rsidRPr="004C5551">
              <w:rPr>
                <w:sz w:val="16"/>
                <w:szCs w:val="16"/>
              </w:rPr>
              <w:t>455</w:t>
            </w:r>
          </w:p>
        </w:tc>
        <w:tc>
          <w:tcPr>
            <w:tcW w:w="964" w:type="dxa"/>
            <w:vAlign w:val="center"/>
          </w:tcPr>
          <w:p w:rsidR="00E60AEE" w:rsidRPr="004C5551" w:rsidRDefault="00E60AEE" w:rsidP="005308FD">
            <w:pPr>
              <w:jc w:val="right"/>
              <w:rPr>
                <w:sz w:val="16"/>
                <w:szCs w:val="16"/>
              </w:rPr>
            </w:pPr>
            <w:r w:rsidRPr="004C5551">
              <w:rPr>
                <w:sz w:val="16"/>
                <w:szCs w:val="16"/>
              </w:rPr>
              <w:t>32</w:t>
            </w:r>
          </w:p>
        </w:tc>
        <w:tc>
          <w:tcPr>
            <w:tcW w:w="850" w:type="dxa"/>
            <w:vAlign w:val="center"/>
          </w:tcPr>
          <w:p w:rsidR="00E60AEE" w:rsidRPr="004C5551" w:rsidRDefault="00E60AEE" w:rsidP="005308FD">
            <w:pPr>
              <w:jc w:val="right"/>
              <w:rPr>
                <w:sz w:val="16"/>
                <w:szCs w:val="16"/>
              </w:rPr>
            </w:pPr>
            <w:r w:rsidRPr="004C5551">
              <w:rPr>
                <w:sz w:val="16"/>
                <w:szCs w:val="16"/>
              </w:rPr>
              <w:t>49</w:t>
            </w:r>
          </w:p>
        </w:tc>
        <w:tc>
          <w:tcPr>
            <w:tcW w:w="709" w:type="dxa"/>
            <w:noWrap/>
            <w:vAlign w:val="center"/>
          </w:tcPr>
          <w:p w:rsidR="00E60AEE" w:rsidRPr="004C5551" w:rsidRDefault="00E60AEE" w:rsidP="005308FD">
            <w:pPr>
              <w:jc w:val="right"/>
              <w:rPr>
                <w:sz w:val="16"/>
                <w:szCs w:val="16"/>
              </w:rPr>
            </w:pPr>
            <w:r w:rsidRPr="004C5551">
              <w:rPr>
                <w:sz w:val="16"/>
                <w:szCs w:val="16"/>
              </w:rPr>
              <w:t>369</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5</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17</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426</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74</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59</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293</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zariadenia opatrovateľskej služby</w:t>
            </w:r>
          </w:p>
        </w:tc>
        <w:tc>
          <w:tcPr>
            <w:tcW w:w="586" w:type="dxa"/>
            <w:vAlign w:val="center"/>
          </w:tcPr>
          <w:p w:rsidR="00E60AEE" w:rsidRPr="004C5551" w:rsidRDefault="00E60AEE" w:rsidP="005308FD">
            <w:pPr>
              <w:jc w:val="right"/>
              <w:rPr>
                <w:sz w:val="16"/>
                <w:szCs w:val="16"/>
              </w:rPr>
            </w:pPr>
            <w:r w:rsidRPr="004C5551">
              <w:rPr>
                <w:sz w:val="16"/>
                <w:szCs w:val="16"/>
              </w:rPr>
              <w:t>97</w:t>
            </w:r>
          </w:p>
        </w:tc>
        <w:tc>
          <w:tcPr>
            <w:tcW w:w="709" w:type="dxa"/>
            <w:vAlign w:val="center"/>
          </w:tcPr>
          <w:p w:rsidR="00E60AEE" w:rsidRPr="004C5551" w:rsidRDefault="00E60AEE" w:rsidP="005308FD">
            <w:pPr>
              <w:jc w:val="right"/>
              <w:rPr>
                <w:sz w:val="16"/>
                <w:szCs w:val="16"/>
              </w:rPr>
            </w:pPr>
            <w:r w:rsidRPr="004C5551">
              <w:rPr>
                <w:sz w:val="16"/>
                <w:szCs w:val="16"/>
              </w:rPr>
              <w:t>1 918</w:t>
            </w:r>
          </w:p>
        </w:tc>
        <w:tc>
          <w:tcPr>
            <w:tcW w:w="964" w:type="dxa"/>
            <w:vAlign w:val="center"/>
          </w:tcPr>
          <w:p w:rsidR="00E60AEE" w:rsidRPr="004C5551" w:rsidRDefault="00E60AEE" w:rsidP="005308FD">
            <w:pPr>
              <w:jc w:val="right"/>
              <w:rPr>
                <w:sz w:val="16"/>
                <w:szCs w:val="16"/>
              </w:rPr>
            </w:pPr>
            <w:r w:rsidRPr="004C5551">
              <w:rPr>
                <w:sz w:val="16"/>
                <w:szCs w:val="16"/>
              </w:rPr>
              <w:t>1 377</w:t>
            </w:r>
          </w:p>
        </w:tc>
        <w:tc>
          <w:tcPr>
            <w:tcW w:w="850" w:type="dxa"/>
            <w:vAlign w:val="center"/>
          </w:tcPr>
          <w:p w:rsidR="00E60AEE" w:rsidRPr="004C5551" w:rsidRDefault="00E60AEE" w:rsidP="005308FD">
            <w:pPr>
              <w:jc w:val="right"/>
              <w:rPr>
                <w:sz w:val="16"/>
                <w:szCs w:val="16"/>
              </w:rPr>
            </w:pPr>
            <w:r w:rsidRPr="004C5551">
              <w:rPr>
                <w:sz w:val="16"/>
                <w:szCs w:val="16"/>
              </w:rPr>
              <w:t>25</w:t>
            </w:r>
          </w:p>
        </w:tc>
        <w:tc>
          <w:tcPr>
            <w:tcW w:w="709" w:type="dxa"/>
            <w:noWrap/>
            <w:vAlign w:val="center"/>
          </w:tcPr>
          <w:p w:rsidR="00E60AEE" w:rsidRPr="004C5551" w:rsidRDefault="00E60AEE" w:rsidP="005308FD">
            <w:pPr>
              <w:jc w:val="right"/>
              <w:rPr>
                <w:sz w:val="16"/>
                <w:szCs w:val="16"/>
              </w:rPr>
            </w:pPr>
            <w:r w:rsidRPr="004C5551">
              <w:rPr>
                <w:sz w:val="16"/>
                <w:szCs w:val="16"/>
              </w:rPr>
              <w:t>83</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407</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99</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1 888</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1 430</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24</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74</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360</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nocľaháreň</w:t>
            </w:r>
          </w:p>
        </w:tc>
        <w:tc>
          <w:tcPr>
            <w:tcW w:w="586" w:type="dxa"/>
            <w:vAlign w:val="center"/>
          </w:tcPr>
          <w:p w:rsidR="00E60AEE" w:rsidRPr="004C5551" w:rsidRDefault="00E60AEE" w:rsidP="005308FD">
            <w:pPr>
              <w:jc w:val="right"/>
              <w:rPr>
                <w:sz w:val="16"/>
                <w:szCs w:val="16"/>
              </w:rPr>
            </w:pPr>
            <w:r w:rsidRPr="004C5551">
              <w:rPr>
                <w:sz w:val="16"/>
                <w:szCs w:val="16"/>
              </w:rPr>
              <w:t>30</w:t>
            </w:r>
          </w:p>
        </w:tc>
        <w:tc>
          <w:tcPr>
            <w:tcW w:w="709" w:type="dxa"/>
            <w:vAlign w:val="center"/>
          </w:tcPr>
          <w:p w:rsidR="00E60AEE" w:rsidRPr="004C5551" w:rsidRDefault="00E60AEE" w:rsidP="005308FD">
            <w:pPr>
              <w:jc w:val="right"/>
              <w:rPr>
                <w:sz w:val="16"/>
                <w:szCs w:val="16"/>
              </w:rPr>
            </w:pPr>
            <w:r w:rsidRPr="004C5551">
              <w:rPr>
                <w:sz w:val="16"/>
                <w:szCs w:val="16"/>
              </w:rPr>
              <w:t>797</w:t>
            </w:r>
          </w:p>
        </w:tc>
        <w:tc>
          <w:tcPr>
            <w:tcW w:w="964" w:type="dxa"/>
            <w:vAlign w:val="center"/>
          </w:tcPr>
          <w:p w:rsidR="00E60AEE" w:rsidRPr="004C5551" w:rsidRDefault="00E60AEE" w:rsidP="005308FD">
            <w:pPr>
              <w:jc w:val="right"/>
              <w:rPr>
                <w:sz w:val="16"/>
                <w:szCs w:val="16"/>
              </w:rPr>
            </w:pPr>
            <w:r w:rsidRPr="004C5551">
              <w:rPr>
                <w:sz w:val="16"/>
                <w:szCs w:val="16"/>
              </w:rPr>
              <w:t>363</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169</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264</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30</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837</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368</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120</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305</w:t>
            </w:r>
          </w:p>
        </w:tc>
      </w:tr>
      <w:tr w:rsidR="00E60AEE" w:rsidRPr="004C5551" w:rsidTr="005308FD">
        <w:trPr>
          <w:trHeight w:val="255"/>
          <w:jc w:val="center"/>
        </w:trPr>
        <w:tc>
          <w:tcPr>
            <w:tcW w:w="4609" w:type="dxa"/>
            <w:vAlign w:val="bottom"/>
            <w:hideMark/>
          </w:tcPr>
          <w:p w:rsidR="00E60AEE" w:rsidRPr="004C5551" w:rsidRDefault="00E60AEE" w:rsidP="005308FD">
            <w:pPr>
              <w:rPr>
                <w:sz w:val="16"/>
                <w:szCs w:val="16"/>
              </w:rPr>
            </w:pPr>
            <w:r w:rsidRPr="004C5551">
              <w:rPr>
                <w:sz w:val="16"/>
                <w:szCs w:val="16"/>
              </w:rPr>
              <w:t>domov na pol ceste</w:t>
            </w:r>
          </w:p>
        </w:tc>
        <w:tc>
          <w:tcPr>
            <w:tcW w:w="586" w:type="dxa"/>
            <w:vAlign w:val="center"/>
          </w:tcPr>
          <w:p w:rsidR="00E60AEE" w:rsidRPr="004C5551" w:rsidRDefault="00E60AEE" w:rsidP="005308FD">
            <w:pPr>
              <w:jc w:val="right"/>
              <w:rPr>
                <w:sz w:val="16"/>
                <w:szCs w:val="16"/>
              </w:rPr>
            </w:pPr>
            <w:r w:rsidRPr="004C5551">
              <w:rPr>
                <w:sz w:val="16"/>
                <w:szCs w:val="16"/>
              </w:rPr>
              <w:t>16</w:t>
            </w:r>
          </w:p>
        </w:tc>
        <w:tc>
          <w:tcPr>
            <w:tcW w:w="709" w:type="dxa"/>
            <w:vAlign w:val="center"/>
          </w:tcPr>
          <w:p w:rsidR="00E60AEE" w:rsidRPr="004C5551" w:rsidRDefault="00E60AEE" w:rsidP="005308FD">
            <w:pPr>
              <w:jc w:val="right"/>
              <w:rPr>
                <w:sz w:val="16"/>
                <w:szCs w:val="16"/>
              </w:rPr>
            </w:pPr>
            <w:r w:rsidRPr="004C5551">
              <w:rPr>
                <w:sz w:val="16"/>
                <w:szCs w:val="16"/>
              </w:rPr>
              <w:t>194</w:t>
            </w:r>
          </w:p>
        </w:tc>
        <w:tc>
          <w:tcPr>
            <w:tcW w:w="964" w:type="dxa"/>
            <w:vAlign w:val="center"/>
          </w:tcPr>
          <w:p w:rsidR="00E60AEE" w:rsidRPr="004C5551" w:rsidRDefault="00E60AEE" w:rsidP="005308FD">
            <w:pPr>
              <w:jc w:val="right"/>
              <w:rPr>
                <w:sz w:val="16"/>
                <w:szCs w:val="16"/>
              </w:rPr>
            </w:pPr>
            <w:r w:rsidRPr="004C5551">
              <w:rPr>
                <w:sz w:val="16"/>
                <w:szCs w:val="16"/>
              </w:rPr>
              <w:t>126</w:t>
            </w:r>
          </w:p>
        </w:tc>
        <w:tc>
          <w:tcPr>
            <w:tcW w:w="850" w:type="dxa"/>
            <w:vAlign w:val="center"/>
          </w:tcPr>
          <w:p w:rsidR="00E60AEE" w:rsidRPr="004C5551" w:rsidRDefault="00E60AEE" w:rsidP="005308FD">
            <w:pPr>
              <w:jc w:val="right"/>
              <w:rPr>
                <w:sz w:val="16"/>
                <w:szCs w:val="16"/>
              </w:rPr>
            </w:pPr>
            <w:r w:rsidRPr="004C5551">
              <w:rPr>
                <w:sz w:val="16"/>
                <w:szCs w:val="16"/>
              </w:rPr>
              <w:t>0</w:t>
            </w:r>
          </w:p>
        </w:tc>
        <w:tc>
          <w:tcPr>
            <w:tcW w:w="709" w:type="dxa"/>
            <w:noWrap/>
            <w:vAlign w:val="center"/>
          </w:tcPr>
          <w:p w:rsidR="00E60AEE" w:rsidRPr="004C5551" w:rsidRDefault="00E60AEE" w:rsidP="005308FD">
            <w:pPr>
              <w:jc w:val="right"/>
              <w:rPr>
                <w:sz w:val="16"/>
                <w:szCs w:val="16"/>
              </w:rPr>
            </w:pPr>
            <w:r w:rsidRPr="004C5551">
              <w:rPr>
                <w:sz w:val="16"/>
                <w:szCs w:val="16"/>
              </w:rPr>
              <w:t>0</w:t>
            </w:r>
          </w:p>
        </w:tc>
        <w:tc>
          <w:tcPr>
            <w:tcW w:w="988" w:type="dxa"/>
            <w:shd w:val="clear" w:color="auto" w:fill="auto"/>
            <w:vAlign w:val="center"/>
          </w:tcPr>
          <w:p w:rsidR="00E60AEE" w:rsidRPr="004C5551" w:rsidRDefault="00E60AEE" w:rsidP="005308FD">
            <w:pPr>
              <w:jc w:val="right"/>
              <w:rPr>
                <w:sz w:val="16"/>
                <w:szCs w:val="16"/>
              </w:rPr>
            </w:pPr>
            <w:r w:rsidRPr="004C5551">
              <w:rPr>
                <w:sz w:val="16"/>
                <w:szCs w:val="16"/>
              </w:rPr>
              <w:t>61</w:t>
            </w:r>
          </w:p>
        </w:tc>
        <w:tc>
          <w:tcPr>
            <w:tcW w:w="571" w:type="dxa"/>
            <w:shd w:val="clear" w:color="auto" w:fill="auto"/>
            <w:vAlign w:val="bottom"/>
          </w:tcPr>
          <w:p w:rsidR="00E60AEE" w:rsidRPr="004C5551" w:rsidRDefault="00E60AEE" w:rsidP="005308FD">
            <w:pPr>
              <w:jc w:val="right"/>
              <w:rPr>
                <w:bCs/>
                <w:sz w:val="16"/>
                <w:szCs w:val="16"/>
              </w:rPr>
            </w:pPr>
            <w:r w:rsidRPr="004C5551">
              <w:rPr>
                <w:bCs/>
                <w:sz w:val="16"/>
                <w:szCs w:val="16"/>
              </w:rPr>
              <w:t>20</w:t>
            </w:r>
          </w:p>
        </w:tc>
        <w:tc>
          <w:tcPr>
            <w:tcW w:w="563" w:type="dxa"/>
            <w:shd w:val="clear" w:color="auto" w:fill="auto"/>
            <w:vAlign w:val="bottom"/>
          </w:tcPr>
          <w:p w:rsidR="00E60AEE" w:rsidRPr="004C5551" w:rsidRDefault="00E60AEE" w:rsidP="005308FD">
            <w:pPr>
              <w:jc w:val="right"/>
              <w:rPr>
                <w:bCs/>
                <w:sz w:val="16"/>
                <w:szCs w:val="16"/>
              </w:rPr>
            </w:pPr>
            <w:r w:rsidRPr="004C5551">
              <w:rPr>
                <w:bCs/>
                <w:sz w:val="16"/>
                <w:szCs w:val="16"/>
              </w:rPr>
              <w:t>222</w:t>
            </w:r>
          </w:p>
        </w:tc>
        <w:tc>
          <w:tcPr>
            <w:tcW w:w="851" w:type="dxa"/>
            <w:shd w:val="clear" w:color="auto" w:fill="auto"/>
            <w:vAlign w:val="bottom"/>
          </w:tcPr>
          <w:p w:rsidR="00E60AEE" w:rsidRPr="004C5551" w:rsidRDefault="00E60AEE" w:rsidP="005308FD">
            <w:pPr>
              <w:jc w:val="right"/>
              <w:rPr>
                <w:bCs/>
                <w:sz w:val="16"/>
                <w:szCs w:val="16"/>
              </w:rPr>
            </w:pPr>
            <w:r w:rsidRPr="004C5551">
              <w:rPr>
                <w:bCs/>
                <w:sz w:val="16"/>
                <w:szCs w:val="16"/>
              </w:rPr>
              <w:t>164</w:t>
            </w:r>
          </w:p>
        </w:tc>
        <w:tc>
          <w:tcPr>
            <w:tcW w:w="850" w:type="dxa"/>
            <w:shd w:val="clear" w:color="auto" w:fill="auto"/>
            <w:vAlign w:val="bottom"/>
          </w:tcPr>
          <w:p w:rsidR="00E60AEE" w:rsidRPr="004C5551" w:rsidRDefault="00E60AEE" w:rsidP="005308FD">
            <w:pPr>
              <w:jc w:val="right"/>
              <w:rPr>
                <w:bCs/>
                <w:sz w:val="16"/>
                <w:szCs w:val="16"/>
              </w:rPr>
            </w:pPr>
            <w:r w:rsidRPr="004C5551">
              <w:rPr>
                <w:bCs/>
                <w:sz w:val="16"/>
                <w:szCs w:val="16"/>
              </w:rPr>
              <w:t>0</w:t>
            </w:r>
          </w:p>
        </w:tc>
        <w:tc>
          <w:tcPr>
            <w:tcW w:w="567" w:type="dxa"/>
            <w:shd w:val="clear" w:color="auto" w:fill="auto"/>
            <w:noWrap/>
            <w:vAlign w:val="bottom"/>
          </w:tcPr>
          <w:p w:rsidR="00E60AEE" w:rsidRPr="004C5551" w:rsidRDefault="00E60AEE" w:rsidP="005308FD">
            <w:pPr>
              <w:jc w:val="right"/>
              <w:rPr>
                <w:bCs/>
                <w:sz w:val="16"/>
                <w:szCs w:val="16"/>
              </w:rPr>
            </w:pPr>
            <w:r w:rsidRPr="004C5551">
              <w:rPr>
                <w:bCs/>
                <w:sz w:val="16"/>
                <w:szCs w:val="16"/>
              </w:rPr>
              <w:t>0</w:t>
            </w:r>
          </w:p>
        </w:tc>
        <w:tc>
          <w:tcPr>
            <w:tcW w:w="1138" w:type="dxa"/>
            <w:shd w:val="clear" w:color="auto" w:fill="auto"/>
            <w:vAlign w:val="bottom"/>
          </w:tcPr>
          <w:p w:rsidR="00E60AEE" w:rsidRPr="004C5551" w:rsidRDefault="00E60AEE" w:rsidP="005308FD">
            <w:pPr>
              <w:jc w:val="right"/>
              <w:rPr>
                <w:bCs/>
                <w:sz w:val="16"/>
                <w:szCs w:val="16"/>
              </w:rPr>
            </w:pPr>
            <w:r w:rsidRPr="004C5551">
              <w:rPr>
                <w:bCs/>
                <w:sz w:val="16"/>
                <w:szCs w:val="16"/>
              </w:rPr>
              <w:t>58</w:t>
            </w:r>
          </w:p>
        </w:tc>
      </w:tr>
    </w:tbl>
    <w:p w:rsidR="0084617B" w:rsidRPr="004C5551" w:rsidRDefault="0084617B" w:rsidP="006A0F7B">
      <w:pPr>
        <w:pStyle w:val="zdroj"/>
        <w:spacing w:before="0" w:after="0"/>
        <w:ind w:firstLine="0"/>
        <w:rPr>
          <w:rFonts w:eastAsia="Calibri"/>
        </w:rPr>
      </w:pPr>
      <w:r w:rsidRPr="004C5551">
        <w:rPr>
          <w:rFonts w:eastAsia="Calibri"/>
        </w:rPr>
        <w:t xml:space="preserve">Zdroj: Vybrané údaje ŠÚ SR </w:t>
      </w:r>
      <w:r w:rsidR="00E52DFA" w:rsidRPr="004C5551">
        <w:rPr>
          <w:color w:val="000000" w:themeColor="text1"/>
        </w:rPr>
        <w:t>–</w:t>
      </w:r>
      <w:r w:rsidRPr="004C5551">
        <w:rPr>
          <w:rFonts w:eastAsia="Calibri"/>
        </w:rPr>
        <w:t xml:space="preserve"> Zariadenia sociálnych služieb v</w:t>
      </w:r>
      <w:r w:rsidR="00904F7B" w:rsidRPr="004C5551">
        <w:rPr>
          <w:rFonts w:eastAsia="Calibri"/>
        </w:rPr>
        <w:t> </w:t>
      </w:r>
      <w:r w:rsidRPr="004C5551">
        <w:rPr>
          <w:rFonts w:eastAsia="Calibri"/>
        </w:rPr>
        <w:t>SR</w:t>
      </w:r>
      <w:r w:rsidR="00904F7B" w:rsidRPr="004C5551">
        <w:rPr>
          <w:rFonts w:eastAsia="Calibri"/>
        </w:rPr>
        <w:t>;</w:t>
      </w:r>
      <w:r w:rsidR="00B875E8" w:rsidRPr="004C5551">
        <w:rPr>
          <w:rFonts w:eastAsia="Calibri"/>
        </w:rPr>
        <w:t xml:space="preserve"> </w:t>
      </w:r>
      <w:r w:rsidR="00904F7B" w:rsidRPr="004C5551">
        <w:rPr>
          <w:rFonts w:eastAsia="Calibri"/>
        </w:rPr>
        <w:t xml:space="preserve">v čase spracovania Správy údaje za rok </w:t>
      </w:r>
      <w:r w:rsidR="0035679B" w:rsidRPr="004C5551">
        <w:rPr>
          <w:rFonts w:eastAsia="Calibri"/>
        </w:rPr>
        <w:t xml:space="preserve">2014 </w:t>
      </w:r>
      <w:r w:rsidR="00904F7B" w:rsidRPr="004C5551">
        <w:rPr>
          <w:rFonts w:eastAsia="Calibri"/>
        </w:rPr>
        <w:t>nie sú k</w:t>
      </w:r>
      <w:r w:rsidR="006A0F7B" w:rsidRPr="004C5551">
        <w:rPr>
          <w:rFonts w:eastAsia="Calibri"/>
        </w:rPr>
        <w:t> </w:t>
      </w:r>
      <w:r w:rsidR="00904F7B" w:rsidRPr="004C5551">
        <w:rPr>
          <w:rFonts w:eastAsia="Calibri"/>
        </w:rPr>
        <w:t>dispozícii</w:t>
      </w:r>
      <w:r w:rsidR="006A0F7B" w:rsidRPr="004C5551">
        <w:rPr>
          <w:rFonts w:eastAsia="Calibri"/>
        </w:rPr>
        <w:t xml:space="preserve">; </w:t>
      </w:r>
      <w:r w:rsidRPr="004C5551">
        <w:rPr>
          <w:rFonts w:eastAsia="Calibri"/>
        </w:rPr>
        <w:t>pozn</w:t>
      </w:r>
      <w:r w:rsidR="00B875E8" w:rsidRPr="004C5551">
        <w:rPr>
          <w:rFonts w:eastAsia="Calibri"/>
        </w:rPr>
        <w:t>.</w:t>
      </w:r>
      <w:r w:rsidRPr="004C5551">
        <w:rPr>
          <w:rFonts w:eastAsia="Calibri"/>
        </w:rPr>
        <w:t>: DSS – domov sociálnych služieb</w:t>
      </w:r>
    </w:p>
    <w:p w:rsidR="00CB0316" w:rsidRPr="004C5551" w:rsidRDefault="00CB0316" w:rsidP="006A0F7B">
      <w:pPr>
        <w:pStyle w:val="zdroj"/>
        <w:spacing w:before="0" w:after="0"/>
        <w:ind w:firstLine="0"/>
        <w:rPr>
          <w:rFonts w:eastAsia="Calibri"/>
        </w:rPr>
      </w:pPr>
    </w:p>
    <w:p w:rsidR="0084617B" w:rsidRPr="004C5551" w:rsidRDefault="0084617B" w:rsidP="0084617B">
      <w:pPr>
        <w:rPr>
          <w:rFonts w:eastAsia="Calibri"/>
          <w:i/>
          <w:iCs/>
          <w:sz w:val="18"/>
          <w:szCs w:val="18"/>
        </w:rPr>
        <w:sectPr w:rsidR="0084617B" w:rsidRPr="004C5551" w:rsidSect="004F3C97">
          <w:pgSz w:w="16838" w:h="11906" w:orient="landscape"/>
          <w:pgMar w:top="1417" w:right="1417" w:bottom="1417" w:left="1417" w:header="708" w:footer="708" w:gutter="0"/>
          <w:cols w:space="708"/>
          <w:titlePg/>
          <w:docGrid w:linePitch="360"/>
        </w:sectPr>
      </w:pPr>
    </w:p>
    <w:p w:rsidR="0084617B" w:rsidRPr="004C5551" w:rsidRDefault="0084617B" w:rsidP="0084617B">
      <w:pPr>
        <w:pStyle w:val="Nadpis7"/>
      </w:pPr>
      <w:r w:rsidRPr="004C5551">
        <w:t>Tabuľka 2</w:t>
      </w:r>
      <w:r w:rsidR="00900E22" w:rsidRPr="004C5551">
        <w:t>4</w:t>
      </w:r>
      <w:r w:rsidRPr="004C5551">
        <w:t xml:space="preserve"> Obyvatelia zariadení sociálnych služieb</w:t>
      </w:r>
    </w:p>
    <w:tbl>
      <w:tblPr>
        <w:tblW w:w="4761" w:type="pct"/>
        <w:jc w:val="center"/>
        <w:tblInd w:w="-22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225"/>
        <w:gridCol w:w="9"/>
        <w:gridCol w:w="767"/>
        <w:gridCol w:w="767"/>
        <w:gridCol w:w="7"/>
        <w:gridCol w:w="774"/>
        <w:gridCol w:w="679"/>
        <w:gridCol w:w="772"/>
        <w:gridCol w:w="772"/>
      </w:tblGrid>
      <w:tr w:rsidR="00E60AEE" w:rsidRPr="004C5551" w:rsidTr="000720BE">
        <w:trPr>
          <w:trHeight w:val="270"/>
          <w:tblHeader/>
          <w:jc w:val="center"/>
        </w:trPr>
        <w:tc>
          <w:tcPr>
            <w:tcW w:w="2409" w:type="pct"/>
            <w:vMerge w:val="restart"/>
            <w:shd w:val="clear" w:color="auto" w:fill="FF9999" w:themeFill="accent3" w:themeFillTint="66"/>
            <w:vAlign w:val="center"/>
            <w:hideMark/>
          </w:tcPr>
          <w:p w:rsidR="00E60AEE" w:rsidRPr="004C5551" w:rsidRDefault="00E60AEE" w:rsidP="005308FD">
            <w:pPr>
              <w:jc w:val="center"/>
              <w:rPr>
                <w:b/>
                <w:bCs/>
                <w:sz w:val="20"/>
                <w:szCs w:val="20"/>
              </w:rPr>
            </w:pPr>
            <w:r w:rsidRPr="004C5551">
              <w:rPr>
                <w:b/>
                <w:bCs/>
                <w:sz w:val="20"/>
                <w:szCs w:val="20"/>
              </w:rPr>
              <w:t>Druh zariadenia</w:t>
            </w:r>
          </w:p>
        </w:tc>
        <w:tc>
          <w:tcPr>
            <w:tcW w:w="879" w:type="pct"/>
            <w:gridSpan w:val="3"/>
            <w:vMerge w:val="restart"/>
            <w:shd w:val="clear" w:color="auto" w:fill="FF9999" w:themeFill="accent3" w:themeFillTint="66"/>
            <w:noWrap/>
            <w:vAlign w:val="center"/>
            <w:hideMark/>
          </w:tcPr>
          <w:p w:rsidR="00E60AEE" w:rsidRPr="004C5551" w:rsidRDefault="00E60AEE" w:rsidP="005308FD">
            <w:pPr>
              <w:jc w:val="center"/>
              <w:rPr>
                <w:b/>
                <w:bCs/>
                <w:sz w:val="20"/>
                <w:szCs w:val="20"/>
              </w:rPr>
            </w:pPr>
            <w:r w:rsidRPr="004C5551">
              <w:rPr>
                <w:b/>
                <w:bCs/>
                <w:sz w:val="20"/>
                <w:szCs w:val="20"/>
              </w:rPr>
              <w:t>Obyvatelia</w:t>
            </w:r>
            <w:r w:rsidR="001F4183" w:rsidRPr="004C5551">
              <w:rPr>
                <w:b/>
                <w:bCs/>
                <w:sz w:val="20"/>
                <w:szCs w:val="20"/>
              </w:rPr>
              <w:t xml:space="preserve"> *</w:t>
            </w:r>
          </w:p>
        </w:tc>
        <w:tc>
          <w:tcPr>
            <w:tcW w:w="1712" w:type="pct"/>
            <w:gridSpan w:val="5"/>
            <w:shd w:val="clear" w:color="auto" w:fill="FF9999" w:themeFill="accent3" w:themeFillTint="66"/>
            <w:noWrap/>
            <w:vAlign w:val="bottom"/>
            <w:hideMark/>
          </w:tcPr>
          <w:p w:rsidR="00E60AEE" w:rsidRPr="004C5551" w:rsidRDefault="00E60AEE" w:rsidP="005308FD">
            <w:pPr>
              <w:jc w:val="center"/>
              <w:rPr>
                <w:b/>
                <w:bCs/>
                <w:sz w:val="20"/>
                <w:szCs w:val="20"/>
              </w:rPr>
            </w:pPr>
            <w:r w:rsidRPr="004C5551">
              <w:rPr>
                <w:b/>
                <w:bCs/>
                <w:sz w:val="20"/>
                <w:szCs w:val="20"/>
              </w:rPr>
              <w:t>z toho</w:t>
            </w:r>
          </w:p>
        </w:tc>
      </w:tr>
      <w:tr w:rsidR="00CB0316" w:rsidRPr="004C5551" w:rsidTr="000720BE">
        <w:trPr>
          <w:trHeight w:val="545"/>
          <w:tblHeader/>
          <w:jc w:val="center"/>
        </w:trPr>
        <w:tc>
          <w:tcPr>
            <w:tcW w:w="2409" w:type="pct"/>
            <w:vMerge/>
            <w:shd w:val="clear" w:color="auto" w:fill="FF9999" w:themeFill="accent3" w:themeFillTint="66"/>
            <w:vAlign w:val="center"/>
            <w:hideMark/>
          </w:tcPr>
          <w:p w:rsidR="00CB0316" w:rsidRPr="004C5551" w:rsidRDefault="00CB0316" w:rsidP="005308FD">
            <w:pPr>
              <w:rPr>
                <w:b/>
                <w:bCs/>
                <w:sz w:val="20"/>
                <w:szCs w:val="20"/>
              </w:rPr>
            </w:pPr>
          </w:p>
        </w:tc>
        <w:tc>
          <w:tcPr>
            <w:tcW w:w="879" w:type="pct"/>
            <w:gridSpan w:val="3"/>
            <w:vMerge/>
            <w:shd w:val="clear" w:color="auto" w:fill="FF9999" w:themeFill="accent3" w:themeFillTint="66"/>
            <w:vAlign w:val="center"/>
            <w:hideMark/>
          </w:tcPr>
          <w:p w:rsidR="00CB0316" w:rsidRPr="004C5551" w:rsidRDefault="00CB0316" w:rsidP="005308FD">
            <w:pPr>
              <w:rPr>
                <w:b/>
                <w:bCs/>
                <w:sz w:val="20"/>
                <w:szCs w:val="20"/>
              </w:rPr>
            </w:pPr>
          </w:p>
        </w:tc>
        <w:tc>
          <w:tcPr>
            <w:tcW w:w="832" w:type="pct"/>
            <w:gridSpan w:val="3"/>
            <w:shd w:val="clear" w:color="auto" w:fill="FF9999" w:themeFill="accent3" w:themeFillTint="66"/>
            <w:vAlign w:val="center"/>
            <w:hideMark/>
          </w:tcPr>
          <w:p w:rsidR="00CB0316" w:rsidRPr="004C5551" w:rsidRDefault="00CB0316" w:rsidP="005308FD">
            <w:pPr>
              <w:jc w:val="center"/>
              <w:rPr>
                <w:b/>
                <w:bCs/>
                <w:sz w:val="20"/>
                <w:szCs w:val="20"/>
              </w:rPr>
            </w:pPr>
            <w:r w:rsidRPr="004C5551">
              <w:rPr>
                <w:b/>
                <w:bCs/>
                <w:sz w:val="20"/>
                <w:szCs w:val="20"/>
              </w:rPr>
              <w:t>dlhodobo zdravotne postihnutí</w:t>
            </w:r>
          </w:p>
        </w:tc>
        <w:tc>
          <w:tcPr>
            <w:tcW w:w="881" w:type="pct"/>
            <w:gridSpan w:val="2"/>
            <w:shd w:val="clear" w:color="auto" w:fill="FF9999" w:themeFill="accent3" w:themeFillTint="66"/>
            <w:vAlign w:val="bottom"/>
            <w:hideMark/>
          </w:tcPr>
          <w:p w:rsidR="00CB0316" w:rsidRPr="004C5551" w:rsidRDefault="00CB0316" w:rsidP="005308FD">
            <w:pPr>
              <w:jc w:val="center"/>
              <w:rPr>
                <w:b/>
                <w:bCs/>
                <w:sz w:val="20"/>
                <w:szCs w:val="20"/>
              </w:rPr>
            </w:pPr>
            <w:r w:rsidRPr="004C5551">
              <w:rPr>
                <w:b/>
                <w:bCs/>
                <w:sz w:val="20"/>
                <w:szCs w:val="20"/>
              </w:rPr>
              <w:t xml:space="preserve"> osoby v dôchodkovom veku</w:t>
            </w:r>
          </w:p>
        </w:tc>
      </w:tr>
      <w:tr w:rsidR="00CB0316" w:rsidRPr="004C5551" w:rsidTr="000720BE">
        <w:trPr>
          <w:trHeight w:val="270"/>
          <w:tblHeader/>
          <w:jc w:val="center"/>
        </w:trPr>
        <w:tc>
          <w:tcPr>
            <w:tcW w:w="2409" w:type="pct"/>
            <w:vMerge/>
            <w:shd w:val="clear" w:color="auto" w:fill="FF9999" w:themeFill="accent3" w:themeFillTint="66"/>
            <w:vAlign w:val="center"/>
            <w:hideMark/>
          </w:tcPr>
          <w:p w:rsidR="00CB0316" w:rsidRPr="004C5551" w:rsidRDefault="00CB0316" w:rsidP="005308FD">
            <w:pPr>
              <w:rPr>
                <w:b/>
                <w:bCs/>
                <w:sz w:val="20"/>
                <w:szCs w:val="20"/>
              </w:rPr>
            </w:pPr>
          </w:p>
        </w:tc>
        <w:tc>
          <w:tcPr>
            <w:tcW w:w="879" w:type="pct"/>
            <w:gridSpan w:val="3"/>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v tom</w:t>
            </w:r>
          </w:p>
        </w:tc>
        <w:tc>
          <w:tcPr>
            <w:tcW w:w="832" w:type="pct"/>
            <w:gridSpan w:val="3"/>
            <w:shd w:val="clear" w:color="auto" w:fill="FF9999" w:themeFill="accent3" w:themeFillTint="66"/>
            <w:vAlign w:val="center"/>
            <w:hideMark/>
          </w:tcPr>
          <w:p w:rsidR="00CB0316" w:rsidRPr="004C5551" w:rsidRDefault="00CB0316" w:rsidP="005308FD">
            <w:pPr>
              <w:jc w:val="center"/>
              <w:rPr>
                <w:b/>
                <w:bCs/>
                <w:sz w:val="20"/>
                <w:szCs w:val="20"/>
              </w:rPr>
            </w:pPr>
            <w:r w:rsidRPr="004C5551">
              <w:rPr>
                <w:b/>
                <w:bCs/>
                <w:sz w:val="20"/>
                <w:szCs w:val="20"/>
              </w:rPr>
              <w:t>v tom</w:t>
            </w:r>
          </w:p>
        </w:tc>
        <w:tc>
          <w:tcPr>
            <w:tcW w:w="881" w:type="pct"/>
            <w:gridSpan w:val="2"/>
            <w:shd w:val="clear" w:color="auto" w:fill="FF9999" w:themeFill="accent3" w:themeFillTint="66"/>
            <w:vAlign w:val="bottom"/>
            <w:hideMark/>
          </w:tcPr>
          <w:p w:rsidR="00CB0316" w:rsidRPr="004C5551" w:rsidRDefault="00CB0316" w:rsidP="005308FD">
            <w:pPr>
              <w:jc w:val="center"/>
              <w:rPr>
                <w:b/>
                <w:bCs/>
                <w:sz w:val="20"/>
                <w:szCs w:val="20"/>
              </w:rPr>
            </w:pPr>
            <w:r w:rsidRPr="004C5551">
              <w:rPr>
                <w:b/>
                <w:bCs/>
                <w:sz w:val="20"/>
                <w:szCs w:val="20"/>
              </w:rPr>
              <w:t>v tom</w:t>
            </w:r>
          </w:p>
        </w:tc>
      </w:tr>
      <w:tr w:rsidR="00CB0316" w:rsidRPr="004C5551" w:rsidTr="000720BE">
        <w:trPr>
          <w:trHeight w:val="270"/>
          <w:tblHeader/>
          <w:jc w:val="center"/>
        </w:trPr>
        <w:tc>
          <w:tcPr>
            <w:tcW w:w="2409" w:type="pct"/>
            <w:vMerge/>
            <w:shd w:val="clear" w:color="auto" w:fill="FF9999" w:themeFill="accent3" w:themeFillTint="66"/>
            <w:vAlign w:val="center"/>
            <w:hideMark/>
          </w:tcPr>
          <w:p w:rsidR="00CB0316" w:rsidRPr="004C5551" w:rsidRDefault="00CB0316" w:rsidP="005308FD">
            <w:pPr>
              <w:rPr>
                <w:bCs/>
                <w:sz w:val="20"/>
                <w:szCs w:val="20"/>
              </w:rPr>
            </w:pPr>
          </w:p>
        </w:tc>
        <w:tc>
          <w:tcPr>
            <w:tcW w:w="442" w:type="pct"/>
            <w:gridSpan w:val="2"/>
            <w:shd w:val="clear" w:color="auto" w:fill="FF9999" w:themeFill="accent3" w:themeFillTint="66"/>
            <w:vAlign w:val="center"/>
            <w:hideMark/>
          </w:tcPr>
          <w:p w:rsidR="00CB0316" w:rsidRPr="004C5551" w:rsidRDefault="00CB0316" w:rsidP="005308FD">
            <w:pPr>
              <w:jc w:val="center"/>
              <w:rPr>
                <w:b/>
                <w:bCs/>
                <w:sz w:val="20"/>
                <w:szCs w:val="20"/>
              </w:rPr>
            </w:pPr>
            <w:r w:rsidRPr="004C5551">
              <w:rPr>
                <w:b/>
                <w:bCs/>
                <w:sz w:val="20"/>
                <w:szCs w:val="20"/>
              </w:rPr>
              <w:t>2012</w:t>
            </w:r>
          </w:p>
        </w:tc>
        <w:tc>
          <w:tcPr>
            <w:tcW w:w="441" w:type="pct"/>
            <w:gridSpan w:val="2"/>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2013</w:t>
            </w:r>
          </w:p>
        </w:tc>
        <w:tc>
          <w:tcPr>
            <w:tcW w:w="441" w:type="pct"/>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2012</w:t>
            </w:r>
          </w:p>
        </w:tc>
        <w:tc>
          <w:tcPr>
            <w:tcW w:w="387" w:type="pct"/>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2013</w:t>
            </w:r>
          </w:p>
        </w:tc>
        <w:tc>
          <w:tcPr>
            <w:tcW w:w="440" w:type="pct"/>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2012</w:t>
            </w:r>
          </w:p>
        </w:tc>
        <w:tc>
          <w:tcPr>
            <w:tcW w:w="441" w:type="pct"/>
            <w:shd w:val="clear" w:color="auto" w:fill="FF9999" w:themeFill="accent3" w:themeFillTint="66"/>
            <w:noWrap/>
            <w:vAlign w:val="bottom"/>
            <w:hideMark/>
          </w:tcPr>
          <w:p w:rsidR="00CB0316" w:rsidRPr="004C5551" w:rsidRDefault="00CB0316" w:rsidP="005308FD">
            <w:pPr>
              <w:jc w:val="center"/>
              <w:rPr>
                <w:b/>
                <w:bCs/>
                <w:sz w:val="20"/>
                <w:szCs w:val="20"/>
              </w:rPr>
            </w:pPr>
            <w:r w:rsidRPr="004C5551">
              <w:rPr>
                <w:b/>
                <w:bCs/>
                <w:sz w:val="20"/>
                <w:szCs w:val="20"/>
              </w:rPr>
              <w:t>2013</w:t>
            </w:r>
          </w:p>
        </w:tc>
      </w:tr>
      <w:tr w:rsidR="00CB0316" w:rsidRPr="004C5551" w:rsidTr="000720BE">
        <w:trPr>
          <w:trHeight w:val="283"/>
          <w:jc w:val="center"/>
        </w:trPr>
        <w:tc>
          <w:tcPr>
            <w:tcW w:w="2414" w:type="pct"/>
            <w:gridSpan w:val="2"/>
            <w:vAlign w:val="bottom"/>
            <w:hideMark/>
          </w:tcPr>
          <w:p w:rsidR="00CB0316" w:rsidRPr="004C5551" w:rsidRDefault="00CB0316" w:rsidP="005308FD">
            <w:pPr>
              <w:rPr>
                <w:b/>
                <w:bCs/>
                <w:sz w:val="20"/>
                <w:szCs w:val="20"/>
              </w:rPr>
            </w:pPr>
            <w:r w:rsidRPr="004C5551">
              <w:rPr>
                <w:b/>
                <w:bCs/>
                <w:sz w:val="20"/>
                <w:szCs w:val="20"/>
              </w:rPr>
              <w:t>zariadenia sociálnych služieb spolu</w:t>
            </w:r>
          </w:p>
        </w:tc>
        <w:tc>
          <w:tcPr>
            <w:tcW w:w="437" w:type="pct"/>
            <w:shd w:val="clear" w:color="auto" w:fill="auto"/>
            <w:vAlign w:val="bottom"/>
          </w:tcPr>
          <w:p w:rsidR="00CB0316" w:rsidRPr="004C5551" w:rsidRDefault="00CB0316" w:rsidP="005308FD">
            <w:pPr>
              <w:jc w:val="right"/>
              <w:rPr>
                <w:b/>
                <w:bCs/>
                <w:sz w:val="16"/>
                <w:szCs w:val="16"/>
              </w:rPr>
            </w:pPr>
            <w:r w:rsidRPr="004C5551">
              <w:rPr>
                <w:b/>
                <w:bCs/>
                <w:sz w:val="16"/>
                <w:szCs w:val="16"/>
              </w:rPr>
              <w:t>38 263</w:t>
            </w:r>
          </w:p>
        </w:tc>
        <w:tc>
          <w:tcPr>
            <w:tcW w:w="437" w:type="pct"/>
            <w:shd w:val="clear" w:color="auto" w:fill="auto"/>
            <w:vAlign w:val="bottom"/>
          </w:tcPr>
          <w:p w:rsidR="00CB0316" w:rsidRPr="004C5551" w:rsidRDefault="00CB0316" w:rsidP="005308FD">
            <w:pPr>
              <w:jc w:val="right"/>
              <w:rPr>
                <w:b/>
                <w:bCs/>
                <w:sz w:val="16"/>
                <w:szCs w:val="16"/>
              </w:rPr>
            </w:pPr>
            <w:r w:rsidRPr="004C5551">
              <w:rPr>
                <w:b/>
                <w:bCs/>
                <w:sz w:val="16"/>
                <w:szCs w:val="16"/>
              </w:rPr>
              <w:t>43 845</w:t>
            </w:r>
          </w:p>
        </w:tc>
        <w:tc>
          <w:tcPr>
            <w:tcW w:w="445" w:type="pct"/>
            <w:gridSpan w:val="2"/>
            <w:shd w:val="clear" w:color="auto" w:fill="auto"/>
            <w:noWrap/>
            <w:vAlign w:val="bottom"/>
          </w:tcPr>
          <w:p w:rsidR="00CB0316" w:rsidRPr="004C5551" w:rsidRDefault="00CB0316" w:rsidP="005308FD">
            <w:pPr>
              <w:jc w:val="right"/>
              <w:rPr>
                <w:b/>
                <w:bCs/>
                <w:sz w:val="16"/>
                <w:szCs w:val="16"/>
              </w:rPr>
            </w:pPr>
            <w:r w:rsidRPr="004C5551">
              <w:rPr>
                <w:b/>
                <w:bCs/>
                <w:sz w:val="16"/>
                <w:szCs w:val="16"/>
              </w:rPr>
              <w:t>28 773</w:t>
            </w:r>
          </w:p>
        </w:tc>
        <w:tc>
          <w:tcPr>
            <w:tcW w:w="387" w:type="pct"/>
            <w:shd w:val="clear" w:color="auto" w:fill="auto"/>
            <w:noWrap/>
            <w:vAlign w:val="bottom"/>
          </w:tcPr>
          <w:p w:rsidR="00CB0316" w:rsidRPr="004C5551" w:rsidRDefault="00CB0316" w:rsidP="005308FD">
            <w:pPr>
              <w:jc w:val="right"/>
              <w:rPr>
                <w:b/>
                <w:bCs/>
                <w:sz w:val="16"/>
                <w:szCs w:val="16"/>
              </w:rPr>
            </w:pPr>
            <w:r w:rsidRPr="004C5551">
              <w:rPr>
                <w:b/>
                <w:bCs/>
                <w:sz w:val="16"/>
                <w:szCs w:val="16"/>
              </w:rPr>
              <w:t>30 002</w:t>
            </w:r>
          </w:p>
        </w:tc>
        <w:tc>
          <w:tcPr>
            <w:tcW w:w="440" w:type="pct"/>
            <w:shd w:val="clear" w:color="auto" w:fill="auto"/>
            <w:noWrap/>
            <w:vAlign w:val="bottom"/>
          </w:tcPr>
          <w:p w:rsidR="00CB0316" w:rsidRPr="004C5551" w:rsidRDefault="00CB0316" w:rsidP="005308FD">
            <w:pPr>
              <w:jc w:val="right"/>
              <w:rPr>
                <w:b/>
                <w:bCs/>
                <w:sz w:val="16"/>
                <w:szCs w:val="16"/>
              </w:rPr>
            </w:pPr>
            <w:r w:rsidRPr="004C5551">
              <w:rPr>
                <w:b/>
                <w:bCs/>
                <w:sz w:val="16"/>
                <w:szCs w:val="16"/>
              </w:rPr>
              <w:t>24 014</w:t>
            </w:r>
          </w:p>
        </w:tc>
        <w:tc>
          <w:tcPr>
            <w:tcW w:w="441" w:type="pct"/>
            <w:shd w:val="clear" w:color="auto" w:fill="auto"/>
            <w:noWrap/>
            <w:vAlign w:val="bottom"/>
          </w:tcPr>
          <w:p w:rsidR="00CB0316" w:rsidRPr="004C5551" w:rsidRDefault="00CB0316" w:rsidP="005308FD">
            <w:pPr>
              <w:jc w:val="right"/>
              <w:rPr>
                <w:b/>
                <w:bCs/>
                <w:sz w:val="16"/>
                <w:szCs w:val="16"/>
              </w:rPr>
            </w:pPr>
            <w:r w:rsidRPr="004C5551">
              <w:rPr>
                <w:b/>
                <w:bCs/>
                <w:sz w:val="16"/>
                <w:szCs w:val="16"/>
              </w:rPr>
              <w:t>24 910</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Bratislavský kraj </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4 844</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4981</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2 919</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3071</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3 082</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3154</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Trnavský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4 591</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4846</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3 579</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3772</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2 893</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3275</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Trenčiansky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4 585</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4808</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3 390</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3693</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3 376</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3521</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Nitriansky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5 638</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5925</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4 603</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4872</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3 627</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3561</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Žilinský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4 516</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4918</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3 557</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3714</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2 885</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3076</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Banskobystrický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4 856</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8807</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3 736</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3828</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2 979</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2969</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Prešovský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4 829</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5093</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3 795</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3889</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2 672</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2729</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 Košický kraj</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4 404</w:t>
            </w:r>
          </w:p>
        </w:tc>
        <w:tc>
          <w:tcPr>
            <w:tcW w:w="437" w:type="pct"/>
            <w:shd w:val="clear" w:color="auto" w:fill="auto"/>
            <w:noWrap/>
            <w:vAlign w:val="bottom"/>
          </w:tcPr>
          <w:p w:rsidR="00CB0316" w:rsidRPr="004C5551" w:rsidRDefault="00CB0316" w:rsidP="005308FD">
            <w:pPr>
              <w:jc w:val="right"/>
              <w:rPr>
                <w:bCs/>
                <w:sz w:val="16"/>
                <w:szCs w:val="16"/>
              </w:rPr>
            </w:pPr>
            <w:r w:rsidRPr="004C5551">
              <w:rPr>
                <w:bCs/>
                <w:sz w:val="16"/>
                <w:szCs w:val="16"/>
              </w:rPr>
              <w:t>4467</w:t>
            </w:r>
          </w:p>
        </w:tc>
        <w:tc>
          <w:tcPr>
            <w:tcW w:w="445" w:type="pct"/>
            <w:gridSpan w:val="2"/>
            <w:shd w:val="clear" w:color="auto" w:fill="auto"/>
            <w:noWrap/>
            <w:vAlign w:val="bottom"/>
          </w:tcPr>
          <w:p w:rsidR="00CB0316" w:rsidRPr="004C5551" w:rsidRDefault="00CB0316" w:rsidP="005308FD">
            <w:pPr>
              <w:jc w:val="right"/>
              <w:rPr>
                <w:bCs/>
                <w:sz w:val="16"/>
                <w:szCs w:val="16"/>
              </w:rPr>
            </w:pPr>
            <w:r w:rsidRPr="004C5551">
              <w:rPr>
                <w:bCs/>
                <w:sz w:val="16"/>
                <w:szCs w:val="16"/>
              </w:rPr>
              <w:t>3 194</w:t>
            </w:r>
          </w:p>
        </w:tc>
        <w:tc>
          <w:tcPr>
            <w:tcW w:w="387" w:type="pct"/>
            <w:shd w:val="clear" w:color="auto" w:fill="auto"/>
            <w:noWrap/>
            <w:vAlign w:val="bottom"/>
          </w:tcPr>
          <w:p w:rsidR="00CB0316" w:rsidRPr="004C5551" w:rsidRDefault="00CB0316" w:rsidP="005308FD">
            <w:pPr>
              <w:jc w:val="right"/>
              <w:rPr>
                <w:bCs/>
                <w:sz w:val="16"/>
                <w:szCs w:val="16"/>
              </w:rPr>
            </w:pPr>
            <w:r w:rsidRPr="004C5551">
              <w:rPr>
                <w:bCs/>
                <w:sz w:val="16"/>
                <w:szCs w:val="16"/>
              </w:rPr>
              <w:t>3163</w:t>
            </w:r>
          </w:p>
        </w:tc>
        <w:tc>
          <w:tcPr>
            <w:tcW w:w="440" w:type="pct"/>
            <w:shd w:val="clear" w:color="auto" w:fill="auto"/>
            <w:noWrap/>
            <w:vAlign w:val="bottom"/>
          </w:tcPr>
          <w:p w:rsidR="00CB0316" w:rsidRPr="004C5551" w:rsidRDefault="00CB0316" w:rsidP="005308FD">
            <w:pPr>
              <w:jc w:val="right"/>
              <w:rPr>
                <w:bCs/>
                <w:sz w:val="16"/>
                <w:szCs w:val="16"/>
              </w:rPr>
            </w:pPr>
            <w:r w:rsidRPr="004C5551">
              <w:rPr>
                <w:bCs/>
                <w:sz w:val="16"/>
                <w:szCs w:val="16"/>
              </w:rPr>
              <w:t>2 500</w:t>
            </w:r>
          </w:p>
        </w:tc>
        <w:tc>
          <w:tcPr>
            <w:tcW w:w="441" w:type="pct"/>
            <w:shd w:val="clear" w:color="auto" w:fill="auto"/>
            <w:noWrap/>
            <w:vAlign w:val="bottom"/>
          </w:tcPr>
          <w:p w:rsidR="00CB0316" w:rsidRPr="004C5551" w:rsidRDefault="00CB0316" w:rsidP="005308FD">
            <w:pPr>
              <w:jc w:val="right"/>
              <w:rPr>
                <w:bCs/>
                <w:sz w:val="16"/>
                <w:szCs w:val="16"/>
              </w:rPr>
            </w:pPr>
            <w:r w:rsidRPr="004C5551">
              <w:rPr>
                <w:bCs/>
                <w:sz w:val="16"/>
                <w:szCs w:val="16"/>
              </w:rPr>
              <w:t>2625</w:t>
            </w:r>
          </w:p>
        </w:tc>
      </w:tr>
      <w:tr w:rsidR="00E60AEE" w:rsidRPr="004C5551" w:rsidTr="000720BE">
        <w:trPr>
          <w:trHeight w:val="283"/>
          <w:jc w:val="center"/>
        </w:trPr>
        <w:tc>
          <w:tcPr>
            <w:tcW w:w="5000" w:type="pct"/>
            <w:gridSpan w:val="9"/>
            <w:shd w:val="clear" w:color="auto" w:fill="auto"/>
            <w:vAlign w:val="bottom"/>
            <w:hideMark/>
          </w:tcPr>
          <w:p w:rsidR="00E60AEE" w:rsidRPr="004C5551" w:rsidRDefault="00E60AEE" w:rsidP="005308FD">
            <w:pPr>
              <w:rPr>
                <w:b/>
                <w:bCs/>
                <w:sz w:val="20"/>
                <w:szCs w:val="20"/>
              </w:rPr>
            </w:pPr>
            <w:r w:rsidRPr="004C5551">
              <w:rPr>
                <w:b/>
                <w:bCs/>
                <w:sz w:val="20"/>
                <w:szCs w:val="20"/>
              </w:rPr>
              <w:t>z toho</w:t>
            </w:r>
          </w:p>
        </w:tc>
      </w:tr>
      <w:tr w:rsidR="00CB0316" w:rsidRPr="004C5551" w:rsidTr="000720BE">
        <w:trPr>
          <w:trHeight w:val="283"/>
          <w:jc w:val="center"/>
        </w:trPr>
        <w:tc>
          <w:tcPr>
            <w:tcW w:w="2414" w:type="pct"/>
            <w:gridSpan w:val="2"/>
            <w:vAlign w:val="bottom"/>
            <w:hideMark/>
          </w:tcPr>
          <w:p w:rsidR="00CB0316" w:rsidRPr="004C5551" w:rsidRDefault="00CB0316" w:rsidP="005308FD">
            <w:pPr>
              <w:jc w:val="left"/>
              <w:rPr>
                <w:sz w:val="20"/>
                <w:szCs w:val="20"/>
              </w:rPr>
            </w:pPr>
            <w:r w:rsidRPr="004C5551">
              <w:rPr>
                <w:sz w:val="20"/>
                <w:szCs w:val="20"/>
              </w:rPr>
              <w:t>zariadenie pre seniorov</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12 077</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12237</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6 877</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6680</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11 658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11667</w:t>
            </w:r>
          </w:p>
        </w:tc>
      </w:tr>
      <w:tr w:rsidR="00CB0316" w:rsidRPr="004C5551" w:rsidTr="000720BE">
        <w:trPr>
          <w:trHeight w:val="510"/>
          <w:jc w:val="center"/>
        </w:trPr>
        <w:tc>
          <w:tcPr>
            <w:tcW w:w="2414" w:type="pct"/>
            <w:gridSpan w:val="2"/>
            <w:vAlign w:val="bottom"/>
            <w:hideMark/>
          </w:tcPr>
          <w:p w:rsidR="00CB0316" w:rsidRPr="004C5551" w:rsidRDefault="00CB0316" w:rsidP="00CB0316">
            <w:pPr>
              <w:jc w:val="left"/>
              <w:rPr>
                <w:sz w:val="20"/>
                <w:szCs w:val="20"/>
              </w:rPr>
            </w:pPr>
            <w:r w:rsidRPr="004C5551">
              <w:rPr>
                <w:sz w:val="20"/>
                <w:szCs w:val="20"/>
              </w:rPr>
              <w:t>domovy sociálnych služieb (DSS) pre dospelých s telesným postihnutím</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1 090</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1069</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1 090</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1069</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906</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764</w:t>
            </w:r>
          </w:p>
        </w:tc>
      </w:tr>
      <w:tr w:rsidR="00CB0316" w:rsidRPr="004C5551" w:rsidTr="000720BE">
        <w:trPr>
          <w:trHeight w:val="283"/>
          <w:jc w:val="center"/>
        </w:trPr>
        <w:tc>
          <w:tcPr>
            <w:tcW w:w="2414" w:type="pct"/>
            <w:gridSpan w:val="2"/>
            <w:vAlign w:val="bottom"/>
            <w:hideMark/>
          </w:tcPr>
          <w:p w:rsidR="00CB0316" w:rsidRPr="004C5551" w:rsidRDefault="00CB0316" w:rsidP="00CB0316">
            <w:pPr>
              <w:jc w:val="left"/>
              <w:rPr>
                <w:sz w:val="20"/>
                <w:szCs w:val="20"/>
              </w:rPr>
            </w:pPr>
            <w:r w:rsidRPr="004C5551">
              <w:rPr>
                <w:sz w:val="20"/>
                <w:szCs w:val="20"/>
              </w:rPr>
              <w:t>DSS pre dospelých s kombináciou postihnutí</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12 017</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13162</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12 017</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13128</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7 139</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7581</w:t>
            </w:r>
          </w:p>
        </w:tc>
      </w:tr>
      <w:tr w:rsidR="00CB0316" w:rsidRPr="004C5551" w:rsidTr="000720BE">
        <w:trPr>
          <w:trHeight w:val="283"/>
          <w:jc w:val="center"/>
        </w:trPr>
        <w:tc>
          <w:tcPr>
            <w:tcW w:w="2414" w:type="pct"/>
            <w:gridSpan w:val="2"/>
            <w:vAlign w:val="bottom"/>
            <w:hideMark/>
          </w:tcPr>
          <w:p w:rsidR="00CB0316" w:rsidRPr="004C5551" w:rsidRDefault="00CB0316" w:rsidP="00CB0316">
            <w:pPr>
              <w:jc w:val="left"/>
              <w:rPr>
                <w:sz w:val="20"/>
                <w:szCs w:val="20"/>
              </w:rPr>
            </w:pPr>
            <w:r w:rsidRPr="004C5551">
              <w:rPr>
                <w:sz w:val="20"/>
                <w:szCs w:val="20"/>
              </w:rPr>
              <w:t>DSS pre dospelých so zmyslovým postihnutím</w:t>
            </w:r>
          </w:p>
        </w:tc>
        <w:tc>
          <w:tcPr>
            <w:tcW w:w="437" w:type="pct"/>
            <w:shd w:val="clear" w:color="auto" w:fill="auto"/>
            <w:noWrap/>
            <w:vAlign w:val="bottom"/>
          </w:tcPr>
          <w:p w:rsidR="00CB0316" w:rsidRPr="004C5551" w:rsidRDefault="00CB0316" w:rsidP="005308FD">
            <w:pPr>
              <w:jc w:val="right"/>
              <w:rPr>
                <w:sz w:val="16"/>
                <w:szCs w:val="16"/>
              </w:rPr>
            </w:pPr>
          </w:p>
        </w:tc>
        <w:tc>
          <w:tcPr>
            <w:tcW w:w="437" w:type="pct"/>
            <w:shd w:val="clear" w:color="auto" w:fill="auto"/>
            <w:noWrap/>
            <w:vAlign w:val="bottom"/>
          </w:tcPr>
          <w:p w:rsidR="00CB0316" w:rsidRPr="004C5551" w:rsidRDefault="00CB0316" w:rsidP="005308FD">
            <w:pPr>
              <w:rPr>
                <w:sz w:val="16"/>
                <w:szCs w:val="16"/>
              </w:rPr>
            </w:pPr>
            <w:r w:rsidRPr="004C5551">
              <w:rPr>
                <w:sz w:val="16"/>
                <w:szCs w:val="16"/>
              </w:rPr>
              <w:t> </w:t>
            </w:r>
          </w:p>
        </w:tc>
        <w:tc>
          <w:tcPr>
            <w:tcW w:w="445" w:type="pct"/>
            <w:gridSpan w:val="2"/>
            <w:shd w:val="clear" w:color="auto" w:fill="auto"/>
            <w:noWrap/>
            <w:vAlign w:val="bottom"/>
          </w:tcPr>
          <w:p w:rsidR="00CB0316" w:rsidRPr="004C5551" w:rsidRDefault="00CB0316" w:rsidP="005308FD">
            <w:pPr>
              <w:jc w:val="right"/>
              <w:rPr>
                <w:sz w:val="16"/>
                <w:szCs w:val="16"/>
              </w:rPr>
            </w:pPr>
          </w:p>
        </w:tc>
        <w:tc>
          <w:tcPr>
            <w:tcW w:w="387" w:type="pct"/>
            <w:shd w:val="clear" w:color="auto" w:fill="auto"/>
            <w:noWrap/>
            <w:vAlign w:val="bottom"/>
          </w:tcPr>
          <w:p w:rsidR="00CB0316" w:rsidRPr="004C5551" w:rsidRDefault="00CB0316" w:rsidP="005308FD">
            <w:pPr>
              <w:rPr>
                <w:sz w:val="16"/>
                <w:szCs w:val="16"/>
              </w:rPr>
            </w:pPr>
            <w:r w:rsidRPr="004C5551">
              <w:rPr>
                <w:sz w:val="16"/>
                <w:szCs w:val="16"/>
              </w:rPr>
              <w:t> </w:t>
            </w:r>
          </w:p>
        </w:tc>
        <w:tc>
          <w:tcPr>
            <w:tcW w:w="440" w:type="pct"/>
            <w:shd w:val="clear" w:color="auto" w:fill="auto"/>
            <w:noWrap/>
            <w:vAlign w:val="bottom"/>
          </w:tcPr>
          <w:p w:rsidR="00CB0316" w:rsidRPr="004C5551" w:rsidRDefault="00CB0316" w:rsidP="005308FD">
            <w:pPr>
              <w:jc w:val="right"/>
              <w:rPr>
                <w:sz w:val="16"/>
                <w:szCs w:val="16"/>
              </w:rPr>
            </w:pP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 </w:t>
            </w:r>
          </w:p>
        </w:tc>
      </w:tr>
      <w:tr w:rsidR="00CB0316" w:rsidRPr="004C5551" w:rsidTr="000720BE">
        <w:trPr>
          <w:trHeight w:val="510"/>
          <w:jc w:val="center"/>
        </w:trPr>
        <w:tc>
          <w:tcPr>
            <w:tcW w:w="2414" w:type="pct"/>
            <w:gridSpan w:val="2"/>
            <w:vAlign w:val="bottom"/>
            <w:hideMark/>
          </w:tcPr>
          <w:p w:rsidR="00CB0316" w:rsidRPr="004C5551" w:rsidRDefault="00CB0316" w:rsidP="00CB0316">
            <w:pPr>
              <w:jc w:val="left"/>
              <w:rPr>
                <w:sz w:val="20"/>
                <w:szCs w:val="20"/>
              </w:rPr>
            </w:pPr>
            <w:r w:rsidRPr="004C5551">
              <w:rPr>
                <w:sz w:val="20"/>
                <w:szCs w:val="20"/>
              </w:rPr>
              <w:t>DSS pre dospelých s duševnými poruchami a poruchami správania</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4 206</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3965</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4 206</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3961</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1 558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1663</w:t>
            </w:r>
          </w:p>
        </w:tc>
      </w:tr>
      <w:tr w:rsidR="00CB0316" w:rsidRPr="004C5551" w:rsidTr="000720BE">
        <w:trPr>
          <w:trHeight w:val="283"/>
          <w:jc w:val="center"/>
        </w:trPr>
        <w:tc>
          <w:tcPr>
            <w:tcW w:w="2414" w:type="pct"/>
            <w:gridSpan w:val="2"/>
            <w:vAlign w:val="bottom"/>
            <w:hideMark/>
          </w:tcPr>
          <w:p w:rsidR="00CB0316" w:rsidRPr="004C5551" w:rsidRDefault="0035679B" w:rsidP="005308FD">
            <w:pPr>
              <w:jc w:val="left"/>
              <w:rPr>
                <w:sz w:val="20"/>
                <w:szCs w:val="20"/>
              </w:rPr>
            </w:pPr>
            <w:r w:rsidRPr="004C5551">
              <w:rPr>
                <w:sz w:val="20"/>
                <w:szCs w:val="20"/>
              </w:rPr>
              <w:t>š</w:t>
            </w:r>
            <w:r w:rsidR="00CB0316" w:rsidRPr="004C5551">
              <w:rPr>
                <w:sz w:val="20"/>
                <w:szCs w:val="20"/>
              </w:rPr>
              <w:t>pecializované zariadenie</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1 285</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1886</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1 285</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1882</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877</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1318</w:t>
            </w:r>
          </w:p>
        </w:tc>
      </w:tr>
      <w:tr w:rsidR="00CB0316" w:rsidRPr="004C5551" w:rsidTr="000720BE">
        <w:trPr>
          <w:trHeight w:val="283"/>
          <w:jc w:val="center"/>
        </w:trPr>
        <w:tc>
          <w:tcPr>
            <w:tcW w:w="2414" w:type="pct"/>
            <w:gridSpan w:val="2"/>
            <w:vAlign w:val="bottom"/>
            <w:hideMark/>
          </w:tcPr>
          <w:p w:rsidR="00CB0316" w:rsidRPr="004C5551" w:rsidRDefault="0035679B" w:rsidP="005308FD">
            <w:pPr>
              <w:jc w:val="left"/>
              <w:rPr>
                <w:sz w:val="20"/>
                <w:szCs w:val="20"/>
              </w:rPr>
            </w:pPr>
            <w:r w:rsidRPr="004C5551">
              <w:rPr>
                <w:sz w:val="20"/>
                <w:szCs w:val="20"/>
              </w:rPr>
              <w:t>d</w:t>
            </w:r>
            <w:r w:rsidR="00CB0316" w:rsidRPr="004C5551">
              <w:rPr>
                <w:sz w:val="20"/>
                <w:szCs w:val="20"/>
              </w:rPr>
              <w:t>enný stacionár</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314</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374</w:t>
            </w:r>
          </w:p>
        </w:tc>
        <w:tc>
          <w:tcPr>
            <w:tcW w:w="445"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314</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427</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142</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169</w:t>
            </w:r>
          </w:p>
        </w:tc>
      </w:tr>
      <w:tr w:rsidR="00CB0316" w:rsidRPr="004C5551" w:rsidTr="000720BE">
        <w:trPr>
          <w:trHeight w:val="283"/>
          <w:jc w:val="center"/>
        </w:trPr>
        <w:tc>
          <w:tcPr>
            <w:tcW w:w="2414" w:type="pct"/>
            <w:gridSpan w:val="2"/>
            <w:vAlign w:val="bottom"/>
            <w:hideMark/>
          </w:tcPr>
          <w:p w:rsidR="00CB0316" w:rsidRPr="004C5551" w:rsidRDefault="00CB0316" w:rsidP="00CB0316">
            <w:pPr>
              <w:jc w:val="left"/>
              <w:rPr>
                <w:sz w:val="20"/>
                <w:szCs w:val="20"/>
              </w:rPr>
            </w:pPr>
            <w:r w:rsidRPr="004C5551">
              <w:rPr>
                <w:sz w:val="20"/>
                <w:szCs w:val="20"/>
              </w:rPr>
              <w:t>DSS pre deti s telesným postihnutím</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36</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36</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18</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r>
      <w:tr w:rsidR="00CB0316" w:rsidRPr="004C5551" w:rsidTr="000720BE">
        <w:trPr>
          <w:trHeight w:val="510"/>
          <w:jc w:val="center"/>
        </w:trPr>
        <w:tc>
          <w:tcPr>
            <w:tcW w:w="2414" w:type="pct"/>
            <w:gridSpan w:val="2"/>
            <w:vAlign w:val="bottom"/>
            <w:hideMark/>
          </w:tcPr>
          <w:p w:rsidR="00CB0316" w:rsidRPr="004C5551" w:rsidRDefault="00CB0316" w:rsidP="005308FD">
            <w:pPr>
              <w:jc w:val="left"/>
              <w:rPr>
                <w:sz w:val="20"/>
                <w:szCs w:val="20"/>
              </w:rPr>
            </w:pPr>
            <w:r w:rsidRPr="004C5551">
              <w:rPr>
                <w:sz w:val="20"/>
                <w:szCs w:val="20"/>
              </w:rPr>
              <w:t>DSS pre deti s telesným postihnutím a duševnými poruchami a poruchami správania </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1 097</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1000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1 097</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1000</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w:t>
            </w:r>
          </w:p>
        </w:tc>
      </w:tr>
      <w:tr w:rsidR="00CB0316" w:rsidRPr="004C5551" w:rsidTr="000720BE">
        <w:trPr>
          <w:trHeight w:val="510"/>
          <w:jc w:val="center"/>
        </w:trPr>
        <w:tc>
          <w:tcPr>
            <w:tcW w:w="2414" w:type="pct"/>
            <w:gridSpan w:val="2"/>
            <w:vAlign w:val="bottom"/>
            <w:hideMark/>
          </w:tcPr>
          <w:p w:rsidR="00CB0316" w:rsidRPr="004C5551" w:rsidRDefault="00CB0316" w:rsidP="005308FD">
            <w:pPr>
              <w:jc w:val="left"/>
              <w:rPr>
                <w:sz w:val="20"/>
                <w:szCs w:val="20"/>
              </w:rPr>
            </w:pPr>
            <w:r w:rsidRPr="004C5551">
              <w:rPr>
                <w:sz w:val="20"/>
                <w:szCs w:val="20"/>
              </w:rPr>
              <w:t>DSS pre deti s duševnými poruchami a poruchami správania</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111</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187</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111</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187</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r>
      <w:tr w:rsidR="00CB0316" w:rsidRPr="004C5551" w:rsidTr="000720BE">
        <w:trPr>
          <w:trHeight w:val="283"/>
          <w:jc w:val="center"/>
        </w:trPr>
        <w:tc>
          <w:tcPr>
            <w:tcW w:w="2414" w:type="pct"/>
            <w:gridSpan w:val="2"/>
            <w:vAlign w:val="bottom"/>
            <w:hideMark/>
          </w:tcPr>
          <w:p w:rsidR="00CB0316" w:rsidRPr="004C5551" w:rsidRDefault="00CB0316" w:rsidP="005308FD">
            <w:pPr>
              <w:jc w:val="left"/>
              <w:rPr>
                <w:sz w:val="20"/>
                <w:szCs w:val="20"/>
              </w:rPr>
            </w:pPr>
            <w:r w:rsidRPr="004C5551">
              <w:rPr>
                <w:sz w:val="20"/>
                <w:szCs w:val="20"/>
              </w:rPr>
              <w:t>zariadenie dočasnej starostlivosti o deti</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342</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44</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185</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19</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17</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r>
      <w:tr w:rsidR="00CB0316" w:rsidRPr="004C5551" w:rsidTr="000720BE">
        <w:trPr>
          <w:trHeight w:val="283"/>
          <w:jc w:val="center"/>
        </w:trPr>
        <w:tc>
          <w:tcPr>
            <w:tcW w:w="2414" w:type="pct"/>
            <w:gridSpan w:val="2"/>
            <w:vAlign w:val="bottom"/>
            <w:hideMark/>
          </w:tcPr>
          <w:p w:rsidR="00CB0316" w:rsidRPr="004C5551" w:rsidRDefault="00CB0316" w:rsidP="005308FD">
            <w:pPr>
              <w:jc w:val="left"/>
              <w:rPr>
                <w:sz w:val="20"/>
                <w:szCs w:val="20"/>
              </w:rPr>
            </w:pPr>
            <w:r w:rsidRPr="004C5551">
              <w:rPr>
                <w:sz w:val="20"/>
                <w:szCs w:val="20"/>
              </w:rPr>
              <w:t>zariadenie podporovaného bývania</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998</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415</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7</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230</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17</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25</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zariadenie núdzového bývania</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20</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875</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7</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16</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útulky</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1 485</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1499</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83</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86</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186</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159</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rehabilitačné strediská</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373</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390</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283</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237</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6</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4</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zariadenia opatrovateľskej služby</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1 689</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1738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1 151</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1066</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1 478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1515</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 xml:space="preserve">nocľaháreň </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960</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4798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18</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5</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28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27</w:t>
            </w:r>
          </w:p>
        </w:tc>
      </w:tr>
      <w:tr w:rsidR="00CB0316" w:rsidRPr="004C5551" w:rsidTr="000720BE">
        <w:trPr>
          <w:trHeight w:val="283"/>
          <w:jc w:val="center"/>
        </w:trPr>
        <w:tc>
          <w:tcPr>
            <w:tcW w:w="2414" w:type="pct"/>
            <w:gridSpan w:val="2"/>
            <w:vAlign w:val="bottom"/>
            <w:hideMark/>
          </w:tcPr>
          <w:p w:rsidR="00CB0316" w:rsidRPr="004C5551" w:rsidRDefault="00CB0316" w:rsidP="005308FD">
            <w:pPr>
              <w:rPr>
                <w:sz w:val="20"/>
                <w:szCs w:val="20"/>
              </w:rPr>
            </w:pPr>
            <w:r w:rsidRPr="004C5551">
              <w:rPr>
                <w:sz w:val="20"/>
                <w:szCs w:val="20"/>
              </w:rPr>
              <w:t>domov na pol ceste</w:t>
            </w:r>
          </w:p>
        </w:tc>
        <w:tc>
          <w:tcPr>
            <w:tcW w:w="437" w:type="pct"/>
            <w:shd w:val="clear" w:color="auto" w:fill="auto"/>
            <w:noWrap/>
            <w:vAlign w:val="bottom"/>
          </w:tcPr>
          <w:p w:rsidR="00CB0316" w:rsidRPr="004C5551" w:rsidRDefault="00CB0316" w:rsidP="005308FD">
            <w:pPr>
              <w:jc w:val="right"/>
              <w:rPr>
                <w:sz w:val="16"/>
                <w:szCs w:val="16"/>
              </w:rPr>
            </w:pPr>
            <w:r w:rsidRPr="004C5551">
              <w:rPr>
                <w:sz w:val="16"/>
                <w:szCs w:val="16"/>
              </w:rPr>
              <w:t>163</w:t>
            </w:r>
          </w:p>
        </w:tc>
        <w:tc>
          <w:tcPr>
            <w:tcW w:w="441" w:type="pct"/>
            <w:gridSpan w:val="2"/>
            <w:shd w:val="clear" w:color="auto" w:fill="auto"/>
            <w:noWrap/>
            <w:vAlign w:val="bottom"/>
          </w:tcPr>
          <w:p w:rsidR="00CB0316" w:rsidRPr="004C5551" w:rsidRDefault="00CB0316" w:rsidP="005308FD">
            <w:pPr>
              <w:jc w:val="right"/>
              <w:rPr>
                <w:sz w:val="16"/>
                <w:szCs w:val="16"/>
              </w:rPr>
            </w:pPr>
            <w:r w:rsidRPr="004C5551">
              <w:rPr>
                <w:sz w:val="16"/>
                <w:szCs w:val="16"/>
              </w:rPr>
              <w:t>188</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13</w:t>
            </w:r>
          </w:p>
        </w:tc>
        <w:tc>
          <w:tcPr>
            <w:tcW w:w="387" w:type="pct"/>
            <w:shd w:val="clear" w:color="auto" w:fill="auto"/>
            <w:noWrap/>
            <w:vAlign w:val="bottom"/>
          </w:tcPr>
          <w:p w:rsidR="00CB0316" w:rsidRPr="004C5551" w:rsidRDefault="00CB0316" w:rsidP="005308FD">
            <w:pPr>
              <w:jc w:val="right"/>
              <w:rPr>
                <w:sz w:val="16"/>
                <w:szCs w:val="16"/>
              </w:rPr>
            </w:pPr>
            <w:r w:rsidRPr="004C5551">
              <w:rPr>
                <w:sz w:val="16"/>
                <w:szCs w:val="16"/>
              </w:rPr>
              <w:t>0</w:t>
            </w:r>
          </w:p>
        </w:tc>
        <w:tc>
          <w:tcPr>
            <w:tcW w:w="440" w:type="pct"/>
            <w:shd w:val="clear" w:color="auto" w:fill="auto"/>
            <w:noWrap/>
            <w:vAlign w:val="bottom"/>
          </w:tcPr>
          <w:p w:rsidR="00CB0316" w:rsidRPr="004C5551" w:rsidRDefault="00CB0316" w:rsidP="005308FD">
            <w:pPr>
              <w:jc w:val="right"/>
              <w:rPr>
                <w:sz w:val="16"/>
                <w:szCs w:val="16"/>
              </w:rPr>
            </w:pPr>
            <w:r w:rsidRPr="004C5551">
              <w:rPr>
                <w:sz w:val="16"/>
                <w:szCs w:val="16"/>
              </w:rPr>
              <w:t>2</w:t>
            </w:r>
          </w:p>
        </w:tc>
        <w:tc>
          <w:tcPr>
            <w:tcW w:w="441" w:type="pct"/>
            <w:shd w:val="clear" w:color="auto" w:fill="auto"/>
            <w:noWrap/>
            <w:vAlign w:val="bottom"/>
          </w:tcPr>
          <w:p w:rsidR="00CB0316" w:rsidRPr="004C5551" w:rsidRDefault="00CB0316" w:rsidP="005308FD">
            <w:pPr>
              <w:jc w:val="right"/>
              <w:rPr>
                <w:sz w:val="16"/>
                <w:szCs w:val="16"/>
              </w:rPr>
            </w:pPr>
            <w:r w:rsidRPr="004C5551">
              <w:rPr>
                <w:sz w:val="16"/>
                <w:szCs w:val="16"/>
              </w:rPr>
              <w:t>1</w:t>
            </w:r>
          </w:p>
        </w:tc>
      </w:tr>
      <w:tr w:rsidR="00CB0316" w:rsidRPr="004C5551" w:rsidTr="000720BE">
        <w:trPr>
          <w:trHeight w:val="283"/>
          <w:jc w:val="center"/>
        </w:trPr>
        <w:tc>
          <w:tcPr>
            <w:tcW w:w="2414" w:type="pct"/>
            <w:gridSpan w:val="2"/>
            <w:vAlign w:val="bottom"/>
            <w:hideMark/>
          </w:tcPr>
          <w:p w:rsidR="00CB0316" w:rsidRPr="004C5551" w:rsidRDefault="00CB0316" w:rsidP="005308FD">
            <w:pPr>
              <w:rPr>
                <w:b/>
                <w:bCs/>
                <w:sz w:val="20"/>
                <w:szCs w:val="20"/>
              </w:rPr>
            </w:pPr>
            <w:r w:rsidRPr="004C5551">
              <w:rPr>
                <w:b/>
                <w:bCs/>
                <w:sz w:val="20"/>
                <w:szCs w:val="20"/>
              </w:rPr>
              <w:t>SPOLU</w:t>
            </w:r>
          </w:p>
        </w:tc>
        <w:tc>
          <w:tcPr>
            <w:tcW w:w="437" w:type="pct"/>
            <w:shd w:val="clear" w:color="auto" w:fill="auto"/>
            <w:vAlign w:val="bottom"/>
          </w:tcPr>
          <w:p w:rsidR="00CB0316" w:rsidRPr="004C5551" w:rsidRDefault="00CB0316" w:rsidP="005308FD">
            <w:pPr>
              <w:jc w:val="right"/>
              <w:rPr>
                <w:b/>
                <w:sz w:val="16"/>
                <w:szCs w:val="16"/>
              </w:rPr>
            </w:pPr>
            <w:r w:rsidRPr="004C5551">
              <w:rPr>
                <w:b/>
                <w:sz w:val="16"/>
                <w:szCs w:val="16"/>
              </w:rPr>
              <w:t>38 263</w:t>
            </w:r>
          </w:p>
        </w:tc>
        <w:tc>
          <w:tcPr>
            <w:tcW w:w="441" w:type="pct"/>
            <w:gridSpan w:val="2"/>
            <w:shd w:val="clear" w:color="auto" w:fill="auto"/>
            <w:vAlign w:val="bottom"/>
          </w:tcPr>
          <w:p w:rsidR="00CB0316" w:rsidRPr="004C5551" w:rsidRDefault="00CB0316" w:rsidP="005308FD">
            <w:pPr>
              <w:jc w:val="right"/>
              <w:rPr>
                <w:b/>
                <w:sz w:val="16"/>
                <w:szCs w:val="16"/>
              </w:rPr>
            </w:pPr>
            <w:r w:rsidRPr="004C5551">
              <w:rPr>
                <w:b/>
                <w:sz w:val="16"/>
                <w:szCs w:val="16"/>
              </w:rPr>
              <w:t>43 845</w:t>
            </w:r>
          </w:p>
        </w:tc>
        <w:tc>
          <w:tcPr>
            <w:tcW w:w="441" w:type="pct"/>
            <w:shd w:val="clear" w:color="auto" w:fill="auto"/>
            <w:vAlign w:val="bottom"/>
          </w:tcPr>
          <w:p w:rsidR="00CB0316" w:rsidRPr="004C5551" w:rsidRDefault="00CB0316" w:rsidP="005308FD">
            <w:pPr>
              <w:jc w:val="right"/>
              <w:rPr>
                <w:b/>
                <w:sz w:val="16"/>
                <w:szCs w:val="16"/>
              </w:rPr>
            </w:pPr>
            <w:r w:rsidRPr="004C5551">
              <w:rPr>
                <w:b/>
                <w:sz w:val="16"/>
                <w:szCs w:val="16"/>
              </w:rPr>
              <w:t>28 773</w:t>
            </w:r>
          </w:p>
        </w:tc>
        <w:tc>
          <w:tcPr>
            <w:tcW w:w="387" w:type="pct"/>
            <w:shd w:val="clear" w:color="auto" w:fill="auto"/>
            <w:vAlign w:val="bottom"/>
          </w:tcPr>
          <w:p w:rsidR="00CB0316" w:rsidRPr="004C5551" w:rsidRDefault="00CB0316" w:rsidP="005308FD">
            <w:pPr>
              <w:jc w:val="right"/>
              <w:rPr>
                <w:b/>
                <w:sz w:val="16"/>
                <w:szCs w:val="16"/>
              </w:rPr>
            </w:pPr>
            <w:r w:rsidRPr="004C5551">
              <w:rPr>
                <w:b/>
                <w:sz w:val="16"/>
                <w:szCs w:val="16"/>
              </w:rPr>
              <w:t>30 002</w:t>
            </w:r>
          </w:p>
        </w:tc>
        <w:tc>
          <w:tcPr>
            <w:tcW w:w="440" w:type="pct"/>
            <w:shd w:val="clear" w:color="auto" w:fill="auto"/>
            <w:vAlign w:val="bottom"/>
          </w:tcPr>
          <w:p w:rsidR="00CB0316" w:rsidRPr="004C5551" w:rsidRDefault="00CB0316" w:rsidP="005308FD">
            <w:pPr>
              <w:jc w:val="right"/>
              <w:rPr>
                <w:b/>
                <w:sz w:val="16"/>
                <w:szCs w:val="16"/>
              </w:rPr>
            </w:pPr>
            <w:r w:rsidRPr="004C5551">
              <w:rPr>
                <w:b/>
                <w:sz w:val="16"/>
                <w:szCs w:val="16"/>
              </w:rPr>
              <w:t>24 014</w:t>
            </w:r>
          </w:p>
        </w:tc>
        <w:tc>
          <w:tcPr>
            <w:tcW w:w="441" w:type="pct"/>
            <w:shd w:val="clear" w:color="auto" w:fill="auto"/>
            <w:vAlign w:val="bottom"/>
          </w:tcPr>
          <w:p w:rsidR="00CB0316" w:rsidRPr="004C5551" w:rsidRDefault="00CB0316" w:rsidP="005308FD">
            <w:pPr>
              <w:jc w:val="right"/>
              <w:rPr>
                <w:b/>
                <w:sz w:val="16"/>
                <w:szCs w:val="16"/>
              </w:rPr>
            </w:pPr>
            <w:r w:rsidRPr="004C5551">
              <w:rPr>
                <w:b/>
                <w:sz w:val="16"/>
                <w:szCs w:val="16"/>
              </w:rPr>
              <w:t>24 910</w:t>
            </w:r>
          </w:p>
        </w:tc>
      </w:tr>
    </w:tbl>
    <w:p w:rsidR="0084617B" w:rsidRPr="004C5551" w:rsidRDefault="0084617B" w:rsidP="0084617B">
      <w:pPr>
        <w:pStyle w:val="zdroj"/>
        <w:spacing w:after="0"/>
        <w:ind w:firstLine="570"/>
        <w:rPr>
          <w:lang w:eastAsia="cs-CZ"/>
        </w:rPr>
      </w:pPr>
      <w:r w:rsidRPr="004C5551">
        <w:rPr>
          <w:lang w:eastAsia="cs-CZ"/>
        </w:rPr>
        <w:t xml:space="preserve">Zdroj: Vybrané údaje ŠÚ SR </w:t>
      </w:r>
      <w:r w:rsidR="00E52DFA" w:rsidRPr="004C5551">
        <w:rPr>
          <w:color w:val="000000" w:themeColor="text1"/>
        </w:rPr>
        <w:t>–</w:t>
      </w:r>
      <w:r w:rsidRPr="004C5551">
        <w:rPr>
          <w:lang w:eastAsia="cs-CZ"/>
        </w:rPr>
        <w:t xml:space="preserve"> Zariadenia </w:t>
      </w:r>
      <w:r w:rsidRPr="004C5551">
        <w:t>sociálnych</w:t>
      </w:r>
      <w:r w:rsidRPr="004C5551">
        <w:rPr>
          <w:lang w:eastAsia="cs-CZ"/>
        </w:rPr>
        <w:t xml:space="preserve"> služieb v SR</w:t>
      </w:r>
    </w:p>
    <w:p w:rsidR="0084617B" w:rsidRPr="004C5551" w:rsidRDefault="0084617B" w:rsidP="0084617B">
      <w:pPr>
        <w:pStyle w:val="zdroj"/>
        <w:spacing w:before="0"/>
        <w:ind w:firstLine="570"/>
        <w:rPr>
          <w:lang w:eastAsia="cs-CZ"/>
        </w:rPr>
      </w:pPr>
      <w:r w:rsidRPr="004C5551">
        <w:rPr>
          <w:lang w:eastAsia="cs-CZ"/>
        </w:rPr>
        <w:t>Poznámka: DSS – domov sociálnych služieb</w:t>
      </w:r>
      <w:r w:rsidR="001F4183" w:rsidRPr="004C5551">
        <w:rPr>
          <w:lang w:eastAsia="cs-CZ"/>
        </w:rPr>
        <w:t xml:space="preserve"> </w:t>
      </w:r>
    </w:p>
    <w:p w:rsidR="001F4183" w:rsidRPr="004C5551" w:rsidRDefault="001F4183" w:rsidP="00423669">
      <w:pPr>
        <w:pStyle w:val="zdroj"/>
        <w:spacing w:after="0"/>
        <w:ind w:left="567" w:firstLine="3"/>
        <w:rPr>
          <w:color w:val="auto"/>
          <w:lang w:eastAsia="cs-CZ"/>
        </w:rPr>
        <w:sectPr w:rsidR="001F4183" w:rsidRPr="004C5551" w:rsidSect="004F3C97">
          <w:pgSz w:w="11906" w:h="16838"/>
          <w:pgMar w:top="1417" w:right="1417" w:bottom="1417" w:left="1417" w:header="708" w:footer="708" w:gutter="0"/>
          <w:cols w:space="708"/>
          <w:docGrid w:linePitch="360"/>
        </w:sectPr>
      </w:pPr>
      <w:r w:rsidRPr="004C5551">
        <w:rPr>
          <w:color w:val="auto"/>
          <w:lang w:eastAsia="cs-CZ"/>
        </w:rPr>
        <w:t xml:space="preserve">*v </w:t>
      </w:r>
      <w:r w:rsidRPr="004C5551">
        <w:rPr>
          <w:lang w:eastAsia="cs-CZ"/>
        </w:rPr>
        <w:t>roku 2013 nie sú k dispozícii údaje v členení na muži/ženy /absencia údajov z dôvodu chybovosti systému</w:t>
      </w:r>
      <w:r w:rsidRPr="004C5551">
        <w:rPr>
          <w:color w:val="auto"/>
          <w:lang w:eastAsia="cs-CZ"/>
        </w:rPr>
        <w:t>/</w:t>
      </w:r>
    </w:p>
    <w:p w:rsidR="0084617B" w:rsidRPr="004C5551" w:rsidRDefault="0084617B" w:rsidP="0084617B">
      <w:pPr>
        <w:pStyle w:val="Nadpis7"/>
      </w:pPr>
      <w:r w:rsidRPr="004C5551">
        <w:t>Tabuľka</w:t>
      </w:r>
      <w:r w:rsidR="00900E22" w:rsidRPr="004C5551">
        <w:t xml:space="preserve"> 2</w:t>
      </w:r>
      <w:r w:rsidR="003F4ED2" w:rsidRPr="004C5551">
        <w:t>5</w:t>
      </w:r>
      <w:r w:rsidRPr="004C5551">
        <w:t xml:space="preserve"> Výdavky zariadení sociálnych služieb</w:t>
      </w:r>
    </w:p>
    <w:tbl>
      <w:tblPr>
        <w:tblW w:w="146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5"/>
        <w:gridCol w:w="1134"/>
        <w:gridCol w:w="992"/>
        <w:gridCol w:w="1134"/>
        <w:gridCol w:w="993"/>
        <w:gridCol w:w="992"/>
        <w:gridCol w:w="850"/>
        <w:gridCol w:w="1164"/>
        <w:gridCol w:w="1056"/>
        <w:gridCol w:w="1049"/>
        <w:gridCol w:w="984"/>
        <w:gridCol w:w="992"/>
        <w:gridCol w:w="935"/>
      </w:tblGrid>
      <w:tr w:rsidR="00B244B9" w:rsidRPr="004C5551" w:rsidTr="000720BE">
        <w:trPr>
          <w:trHeight w:val="240"/>
          <w:jc w:val="center"/>
        </w:trPr>
        <w:tc>
          <w:tcPr>
            <w:tcW w:w="2335" w:type="dxa"/>
            <w:vMerge w:val="restart"/>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Druh zariadenia / zriaďovateľ</w:t>
            </w:r>
          </w:p>
        </w:tc>
        <w:tc>
          <w:tcPr>
            <w:tcW w:w="1134" w:type="dxa"/>
            <w:vMerge w:val="restart"/>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Celkové výdavky</w:t>
            </w:r>
          </w:p>
          <w:p w:rsidR="00B244B9" w:rsidRPr="004C5551" w:rsidRDefault="00B244B9" w:rsidP="00B85283">
            <w:pPr>
              <w:jc w:val="center"/>
              <w:rPr>
                <w:b/>
                <w:bCs/>
                <w:sz w:val="16"/>
                <w:szCs w:val="16"/>
              </w:rPr>
            </w:pPr>
            <w:r w:rsidRPr="004C5551">
              <w:rPr>
                <w:b/>
                <w:bCs/>
                <w:sz w:val="16"/>
                <w:szCs w:val="16"/>
              </w:rPr>
              <w:t xml:space="preserve">(v </w:t>
            </w:r>
            <w:r w:rsidR="00A96FDE" w:rsidRPr="004C5551">
              <w:rPr>
                <w:b/>
                <w:bCs/>
                <w:sz w:val="16"/>
                <w:szCs w:val="16"/>
              </w:rPr>
              <w:t>€</w:t>
            </w:r>
            <w:r w:rsidRPr="004C5551">
              <w:rPr>
                <w:b/>
                <w:bCs/>
                <w:sz w:val="16"/>
                <w:szCs w:val="16"/>
              </w:rPr>
              <w:t xml:space="preserve">) </w:t>
            </w:r>
            <w:r w:rsidRPr="004C5551">
              <w:rPr>
                <w:b/>
                <w:bCs/>
                <w:sz w:val="16"/>
                <w:szCs w:val="16"/>
              </w:rPr>
              <w:br/>
              <w:t>v roku 2012</w:t>
            </w:r>
          </w:p>
        </w:tc>
        <w:tc>
          <w:tcPr>
            <w:tcW w:w="4961" w:type="dxa"/>
            <w:gridSpan w:val="5"/>
            <w:shd w:val="clear" w:color="auto" w:fill="FF9999" w:themeFill="accent3" w:themeFillTint="66"/>
            <w:noWrap/>
            <w:vAlign w:val="center"/>
            <w:hideMark/>
          </w:tcPr>
          <w:p w:rsidR="00B244B9" w:rsidRPr="004C5551" w:rsidRDefault="00B244B9" w:rsidP="00B85283">
            <w:pPr>
              <w:jc w:val="center"/>
              <w:rPr>
                <w:b/>
                <w:bCs/>
                <w:sz w:val="16"/>
                <w:szCs w:val="16"/>
              </w:rPr>
            </w:pPr>
            <w:r w:rsidRPr="004C5551">
              <w:rPr>
                <w:b/>
                <w:bCs/>
                <w:sz w:val="16"/>
                <w:szCs w:val="16"/>
              </w:rPr>
              <w:t>v tom</w:t>
            </w:r>
          </w:p>
        </w:tc>
        <w:tc>
          <w:tcPr>
            <w:tcW w:w="1164" w:type="dxa"/>
            <w:vMerge w:val="restart"/>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Celkové výdavky</w:t>
            </w:r>
          </w:p>
          <w:p w:rsidR="00B244B9" w:rsidRPr="004C5551" w:rsidRDefault="00B244B9" w:rsidP="00B85283">
            <w:pPr>
              <w:jc w:val="center"/>
              <w:rPr>
                <w:b/>
                <w:bCs/>
                <w:sz w:val="16"/>
                <w:szCs w:val="16"/>
              </w:rPr>
            </w:pPr>
            <w:r w:rsidRPr="004C5551">
              <w:rPr>
                <w:b/>
                <w:bCs/>
                <w:sz w:val="16"/>
                <w:szCs w:val="16"/>
              </w:rPr>
              <w:t xml:space="preserve">(v </w:t>
            </w:r>
            <w:r w:rsidR="00A96FDE" w:rsidRPr="004C5551">
              <w:rPr>
                <w:b/>
                <w:bCs/>
                <w:sz w:val="16"/>
                <w:szCs w:val="16"/>
              </w:rPr>
              <w:t>€</w:t>
            </w:r>
            <w:r w:rsidRPr="004C5551">
              <w:rPr>
                <w:b/>
                <w:bCs/>
                <w:sz w:val="16"/>
                <w:szCs w:val="16"/>
              </w:rPr>
              <w:t>)</w:t>
            </w:r>
            <w:r w:rsidRPr="004C5551">
              <w:rPr>
                <w:b/>
                <w:bCs/>
                <w:sz w:val="16"/>
                <w:szCs w:val="16"/>
              </w:rPr>
              <w:br/>
              <w:t xml:space="preserve"> v roku 2013</w:t>
            </w:r>
          </w:p>
        </w:tc>
        <w:tc>
          <w:tcPr>
            <w:tcW w:w="5016" w:type="dxa"/>
            <w:gridSpan w:val="5"/>
            <w:shd w:val="clear" w:color="auto" w:fill="FF9999" w:themeFill="accent3" w:themeFillTint="66"/>
            <w:noWrap/>
            <w:vAlign w:val="center"/>
            <w:hideMark/>
          </w:tcPr>
          <w:p w:rsidR="00B244B9" w:rsidRPr="004C5551" w:rsidRDefault="00B244B9" w:rsidP="00B85283">
            <w:pPr>
              <w:jc w:val="center"/>
              <w:rPr>
                <w:b/>
                <w:bCs/>
                <w:sz w:val="16"/>
                <w:szCs w:val="16"/>
              </w:rPr>
            </w:pPr>
            <w:r w:rsidRPr="004C5551">
              <w:rPr>
                <w:b/>
                <w:bCs/>
                <w:sz w:val="16"/>
                <w:szCs w:val="16"/>
              </w:rPr>
              <w:t>v tom</w:t>
            </w:r>
          </w:p>
        </w:tc>
      </w:tr>
      <w:tr w:rsidR="00B244B9" w:rsidRPr="004C5551" w:rsidTr="000720BE">
        <w:trPr>
          <w:trHeight w:val="1125"/>
          <w:jc w:val="center"/>
        </w:trPr>
        <w:tc>
          <w:tcPr>
            <w:tcW w:w="2335" w:type="dxa"/>
            <w:vMerge/>
            <w:shd w:val="clear" w:color="auto" w:fill="FF9999" w:themeFill="accent3" w:themeFillTint="66"/>
            <w:vAlign w:val="center"/>
            <w:hideMark/>
          </w:tcPr>
          <w:p w:rsidR="00B244B9" w:rsidRPr="004C5551" w:rsidRDefault="00B244B9" w:rsidP="00B85283">
            <w:pPr>
              <w:jc w:val="center"/>
              <w:rPr>
                <w:b/>
                <w:bCs/>
                <w:sz w:val="16"/>
                <w:szCs w:val="16"/>
              </w:rPr>
            </w:pPr>
          </w:p>
        </w:tc>
        <w:tc>
          <w:tcPr>
            <w:tcW w:w="1134" w:type="dxa"/>
            <w:vMerge/>
            <w:shd w:val="clear" w:color="auto" w:fill="FF9999" w:themeFill="accent3" w:themeFillTint="66"/>
            <w:vAlign w:val="center"/>
            <w:hideMark/>
          </w:tcPr>
          <w:p w:rsidR="00B244B9" w:rsidRPr="004C5551" w:rsidRDefault="00B244B9" w:rsidP="00B85283">
            <w:pPr>
              <w:jc w:val="center"/>
              <w:rPr>
                <w:b/>
                <w:bCs/>
                <w:sz w:val="16"/>
                <w:szCs w:val="16"/>
              </w:rPr>
            </w:pPr>
          </w:p>
        </w:tc>
        <w:tc>
          <w:tcPr>
            <w:tcW w:w="992"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bežné výdavky</w:t>
            </w:r>
          </w:p>
        </w:tc>
        <w:tc>
          <w:tcPr>
            <w:tcW w:w="1134"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mzdové náklady</w:t>
            </w:r>
          </w:p>
        </w:tc>
        <w:tc>
          <w:tcPr>
            <w:tcW w:w="993"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povinné sociálne poistenie</w:t>
            </w:r>
          </w:p>
        </w:tc>
        <w:tc>
          <w:tcPr>
            <w:tcW w:w="992"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obstaranie majetku</w:t>
            </w:r>
          </w:p>
        </w:tc>
        <w:tc>
          <w:tcPr>
            <w:tcW w:w="850"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 xml:space="preserve">na </w:t>
            </w:r>
            <w:proofErr w:type="spellStart"/>
            <w:r w:rsidRPr="004C5551">
              <w:rPr>
                <w:b/>
                <w:bCs/>
                <w:sz w:val="16"/>
                <w:szCs w:val="16"/>
              </w:rPr>
              <w:t>zdravot-nú</w:t>
            </w:r>
            <w:proofErr w:type="spellEnd"/>
            <w:r w:rsidRPr="004C5551">
              <w:rPr>
                <w:b/>
                <w:bCs/>
                <w:sz w:val="16"/>
                <w:szCs w:val="16"/>
              </w:rPr>
              <w:t xml:space="preserve"> </w:t>
            </w:r>
            <w:proofErr w:type="spellStart"/>
            <w:r w:rsidRPr="004C5551">
              <w:rPr>
                <w:b/>
                <w:bCs/>
                <w:sz w:val="16"/>
                <w:szCs w:val="16"/>
              </w:rPr>
              <w:t>starostli-vosť</w:t>
            </w:r>
            <w:proofErr w:type="spellEnd"/>
          </w:p>
        </w:tc>
        <w:tc>
          <w:tcPr>
            <w:tcW w:w="1164" w:type="dxa"/>
            <w:vMerge/>
            <w:shd w:val="clear" w:color="auto" w:fill="FF9999" w:themeFill="accent3" w:themeFillTint="66"/>
            <w:vAlign w:val="center"/>
            <w:hideMark/>
          </w:tcPr>
          <w:p w:rsidR="00B244B9" w:rsidRPr="004C5551" w:rsidRDefault="00B244B9" w:rsidP="00B85283">
            <w:pPr>
              <w:jc w:val="center"/>
              <w:rPr>
                <w:b/>
                <w:bCs/>
                <w:sz w:val="16"/>
                <w:szCs w:val="16"/>
              </w:rPr>
            </w:pPr>
          </w:p>
        </w:tc>
        <w:tc>
          <w:tcPr>
            <w:tcW w:w="1056"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bežné výdavky</w:t>
            </w:r>
          </w:p>
        </w:tc>
        <w:tc>
          <w:tcPr>
            <w:tcW w:w="1049"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mzdové náklady</w:t>
            </w:r>
          </w:p>
        </w:tc>
        <w:tc>
          <w:tcPr>
            <w:tcW w:w="984"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povinné sociálne poistenie</w:t>
            </w:r>
          </w:p>
        </w:tc>
        <w:tc>
          <w:tcPr>
            <w:tcW w:w="992"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obstaranie majetku</w:t>
            </w:r>
          </w:p>
        </w:tc>
        <w:tc>
          <w:tcPr>
            <w:tcW w:w="935" w:type="dxa"/>
            <w:shd w:val="clear" w:color="auto" w:fill="FF9999" w:themeFill="accent3" w:themeFillTint="66"/>
            <w:vAlign w:val="center"/>
            <w:hideMark/>
          </w:tcPr>
          <w:p w:rsidR="00B244B9" w:rsidRPr="004C5551" w:rsidRDefault="00B244B9" w:rsidP="00B85283">
            <w:pPr>
              <w:jc w:val="center"/>
              <w:rPr>
                <w:b/>
                <w:bCs/>
                <w:sz w:val="16"/>
                <w:szCs w:val="16"/>
              </w:rPr>
            </w:pPr>
            <w:r w:rsidRPr="004C5551">
              <w:rPr>
                <w:b/>
                <w:bCs/>
                <w:sz w:val="16"/>
                <w:szCs w:val="16"/>
              </w:rPr>
              <w:t xml:space="preserve">na zdravotnú </w:t>
            </w:r>
            <w:proofErr w:type="spellStart"/>
            <w:r w:rsidRPr="004C5551">
              <w:rPr>
                <w:b/>
                <w:bCs/>
                <w:sz w:val="16"/>
                <w:szCs w:val="16"/>
              </w:rPr>
              <w:t>starostli-vosť</w:t>
            </w:r>
            <w:proofErr w:type="spellEnd"/>
          </w:p>
        </w:tc>
      </w:tr>
      <w:tr w:rsidR="00B244B9" w:rsidRPr="004C5551" w:rsidTr="000720BE">
        <w:trPr>
          <w:trHeight w:val="240"/>
          <w:jc w:val="center"/>
        </w:trPr>
        <w:tc>
          <w:tcPr>
            <w:tcW w:w="2335" w:type="dxa"/>
            <w:noWrap/>
            <w:vAlign w:val="center"/>
            <w:hideMark/>
          </w:tcPr>
          <w:p w:rsidR="00B244B9" w:rsidRPr="004C5551" w:rsidRDefault="00B244B9" w:rsidP="00B85283">
            <w:pPr>
              <w:rPr>
                <w:b/>
                <w:bCs/>
                <w:sz w:val="16"/>
                <w:szCs w:val="16"/>
              </w:rPr>
            </w:pPr>
            <w:r w:rsidRPr="004C5551">
              <w:rPr>
                <w:b/>
                <w:bCs/>
                <w:sz w:val="16"/>
                <w:szCs w:val="16"/>
              </w:rPr>
              <w:t>SPOLU</w:t>
            </w:r>
          </w:p>
        </w:tc>
        <w:tc>
          <w:tcPr>
            <w:tcW w:w="1134" w:type="dxa"/>
            <w:noWrap/>
            <w:vAlign w:val="center"/>
          </w:tcPr>
          <w:p w:rsidR="00B244B9" w:rsidRPr="004C5551" w:rsidRDefault="00B244B9" w:rsidP="00B85283">
            <w:pPr>
              <w:jc w:val="right"/>
              <w:rPr>
                <w:b/>
                <w:color w:val="000000"/>
                <w:sz w:val="16"/>
                <w:szCs w:val="16"/>
              </w:rPr>
            </w:pPr>
            <w:r w:rsidRPr="004C5551">
              <w:rPr>
                <w:b/>
                <w:color w:val="000000"/>
                <w:sz w:val="16"/>
                <w:szCs w:val="16"/>
              </w:rPr>
              <w:t>372 685 815</w:t>
            </w:r>
          </w:p>
        </w:tc>
        <w:tc>
          <w:tcPr>
            <w:tcW w:w="992" w:type="dxa"/>
            <w:noWrap/>
            <w:vAlign w:val="center"/>
          </w:tcPr>
          <w:p w:rsidR="00B244B9" w:rsidRPr="004C5551" w:rsidRDefault="00B244B9" w:rsidP="00B85283">
            <w:pPr>
              <w:jc w:val="right"/>
              <w:rPr>
                <w:b/>
                <w:color w:val="000000"/>
                <w:sz w:val="16"/>
                <w:szCs w:val="16"/>
              </w:rPr>
            </w:pPr>
            <w:r w:rsidRPr="004C5551">
              <w:rPr>
                <w:b/>
                <w:color w:val="000000"/>
                <w:sz w:val="16"/>
                <w:szCs w:val="16"/>
              </w:rPr>
              <w:t>131 432 438</w:t>
            </w:r>
          </w:p>
        </w:tc>
        <w:tc>
          <w:tcPr>
            <w:tcW w:w="1134" w:type="dxa"/>
            <w:noWrap/>
            <w:vAlign w:val="center"/>
          </w:tcPr>
          <w:p w:rsidR="00B244B9" w:rsidRPr="004C5551" w:rsidRDefault="00B244B9" w:rsidP="00B85283">
            <w:pPr>
              <w:jc w:val="right"/>
              <w:rPr>
                <w:b/>
                <w:color w:val="000000"/>
                <w:sz w:val="16"/>
                <w:szCs w:val="16"/>
              </w:rPr>
            </w:pPr>
            <w:r w:rsidRPr="004C5551">
              <w:rPr>
                <w:b/>
                <w:color w:val="000000"/>
                <w:sz w:val="16"/>
                <w:szCs w:val="16"/>
              </w:rPr>
              <w:t>162 115 017</w:t>
            </w:r>
          </w:p>
        </w:tc>
        <w:tc>
          <w:tcPr>
            <w:tcW w:w="993" w:type="dxa"/>
            <w:noWrap/>
            <w:vAlign w:val="center"/>
          </w:tcPr>
          <w:p w:rsidR="00B244B9" w:rsidRPr="004C5551" w:rsidRDefault="00B244B9" w:rsidP="00B85283">
            <w:pPr>
              <w:jc w:val="right"/>
              <w:rPr>
                <w:b/>
                <w:color w:val="000000"/>
                <w:sz w:val="16"/>
                <w:szCs w:val="16"/>
              </w:rPr>
            </w:pPr>
            <w:r w:rsidRPr="004C5551">
              <w:rPr>
                <w:b/>
                <w:color w:val="000000"/>
                <w:sz w:val="16"/>
                <w:szCs w:val="16"/>
              </w:rPr>
              <w:t>55 268 460</w:t>
            </w:r>
          </w:p>
        </w:tc>
        <w:tc>
          <w:tcPr>
            <w:tcW w:w="992" w:type="dxa"/>
            <w:noWrap/>
            <w:vAlign w:val="center"/>
          </w:tcPr>
          <w:p w:rsidR="00B244B9" w:rsidRPr="004C5551" w:rsidRDefault="00B244B9" w:rsidP="00B85283">
            <w:pPr>
              <w:jc w:val="right"/>
              <w:rPr>
                <w:b/>
                <w:color w:val="000000"/>
                <w:sz w:val="16"/>
                <w:szCs w:val="16"/>
              </w:rPr>
            </w:pPr>
            <w:r w:rsidRPr="004C5551">
              <w:rPr>
                <w:b/>
                <w:color w:val="000000"/>
                <w:sz w:val="16"/>
                <w:szCs w:val="16"/>
              </w:rPr>
              <w:t>17 235 080</w:t>
            </w:r>
          </w:p>
        </w:tc>
        <w:tc>
          <w:tcPr>
            <w:tcW w:w="850" w:type="dxa"/>
            <w:noWrap/>
            <w:vAlign w:val="center"/>
          </w:tcPr>
          <w:p w:rsidR="00B244B9" w:rsidRPr="004C5551" w:rsidRDefault="00B244B9" w:rsidP="00B85283">
            <w:pPr>
              <w:jc w:val="right"/>
              <w:rPr>
                <w:b/>
                <w:color w:val="000000"/>
                <w:sz w:val="16"/>
                <w:szCs w:val="16"/>
              </w:rPr>
            </w:pPr>
            <w:r w:rsidRPr="004C5551">
              <w:rPr>
                <w:b/>
                <w:color w:val="000000"/>
                <w:sz w:val="16"/>
                <w:szCs w:val="16"/>
              </w:rPr>
              <w:t>405 423</w:t>
            </w:r>
          </w:p>
        </w:tc>
        <w:tc>
          <w:tcPr>
            <w:tcW w:w="1164"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312 759 344</w:t>
            </w:r>
          </w:p>
        </w:tc>
        <w:tc>
          <w:tcPr>
            <w:tcW w:w="1056"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115 420 432</w:t>
            </w:r>
          </w:p>
        </w:tc>
        <w:tc>
          <w:tcPr>
            <w:tcW w:w="1049"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133 605 118</w:t>
            </w:r>
          </w:p>
        </w:tc>
        <w:tc>
          <w:tcPr>
            <w:tcW w:w="984"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46 189 742</w:t>
            </w:r>
          </w:p>
        </w:tc>
        <w:tc>
          <w:tcPr>
            <w:tcW w:w="992"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12 690 080</w:t>
            </w:r>
          </w:p>
        </w:tc>
        <w:tc>
          <w:tcPr>
            <w:tcW w:w="935" w:type="dxa"/>
            <w:shd w:val="clear" w:color="auto" w:fill="auto"/>
            <w:noWrap/>
            <w:vAlign w:val="bottom"/>
          </w:tcPr>
          <w:p w:rsidR="00B244B9" w:rsidRPr="004C5551" w:rsidRDefault="00B244B9" w:rsidP="00B85283">
            <w:pPr>
              <w:jc w:val="right"/>
              <w:rPr>
                <w:b/>
                <w:color w:val="000000"/>
                <w:sz w:val="16"/>
                <w:szCs w:val="16"/>
              </w:rPr>
            </w:pPr>
            <w:r w:rsidRPr="004C5551">
              <w:rPr>
                <w:b/>
                <w:color w:val="000000"/>
                <w:sz w:val="16"/>
                <w:szCs w:val="16"/>
              </w:rPr>
              <w:t>390 805</w:t>
            </w:r>
          </w:p>
        </w:tc>
      </w:tr>
      <w:tr w:rsidR="00B244B9" w:rsidRPr="004C5551" w:rsidTr="000720BE">
        <w:trPr>
          <w:trHeight w:val="193"/>
          <w:jc w:val="center"/>
        </w:trPr>
        <w:tc>
          <w:tcPr>
            <w:tcW w:w="2335" w:type="dxa"/>
            <w:vAlign w:val="center"/>
            <w:hideMark/>
          </w:tcPr>
          <w:p w:rsidR="00B244B9" w:rsidRPr="004C5551" w:rsidRDefault="00B244B9" w:rsidP="00B85283">
            <w:pPr>
              <w:jc w:val="left"/>
              <w:rPr>
                <w:sz w:val="16"/>
                <w:szCs w:val="16"/>
              </w:rPr>
            </w:pPr>
            <w:r w:rsidRPr="004C5551">
              <w:rPr>
                <w:sz w:val="16"/>
                <w:szCs w:val="16"/>
              </w:rPr>
              <w:t>zariadenie pre seniorov</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98 960 013</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39 239 647</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38 383 474</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12 997 630</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6 577 824</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35 618</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101 692 880</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40 656 901</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39 337 508</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13 622 967</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7 207 059</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172 822</w:t>
            </w:r>
          </w:p>
        </w:tc>
      </w:tr>
      <w:tr w:rsidR="00B244B9" w:rsidRPr="004C5551" w:rsidTr="000720BE">
        <w:trPr>
          <w:trHeight w:val="561"/>
          <w:jc w:val="center"/>
        </w:trPr>
        <w:tc>
          <w:tcPr>
            <w:tcW w:w="2335" w:type="dxa"/>
            <w:vAlign w:val="center"/>
            <w:hideMark/>
          </w:tcPr>
          <w:p w:rsidR="00B244B9" w:rsidRPr="004C5551" w:rsidRDefault="00B244B9" w:rsidP="00B85283">
            <w:pPr>
              <w:jc w:val="left"/>
              <w:rPr>
                <w:sz w:val="16"/>
                <w:szCs w:val="16"/>
              </w:rPr>
            </w:pPr>
            <w:r w:rsidRPr="004C5551">
              <w:rPr>
                <w:sz w:val="16"/>
                <w:szCs w:val="16"/>
              </w:rPr>
              <w:t>domovy sociálnych služieb (DSS) pre dospelých s telesným postihnutím</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10 907 995</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4 199 490</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4 824 499</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1 650 411</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147 060</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83 644</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9 139 244</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3 702 209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3 892 613</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1 307 516</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231 927</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2 395</w:t>
            </w:r>
          </w:p>
        </w:tc>
      </w:tr>
      <w:tr w:rsidR="00B244B9" w:rsidRPr="004C5551" w:rsidTr="000720BE">
        <w:trPr>
          <w:trHeight w:val="413"/>
          <w:jc w:val="center"/>
        </w:trPr>
        <w:tc>
          <w:tcPr>
            <w:tcW w:w="2335" w:type="dxa"/>
            <w:vAlign w:val="center"/>
            <w:hideMark/>
          </w:tcPr>
          <w:p w:rsidR="00B244B9" w:rsidRPr="004C5551" w:rsidRDefault="00B244B9" w:rsidP="00B85283">
            <w:pPr>
              <w:jc w:val="left"/>
              <w:rPr>
                <w:sz w:val="16"/>
                <w:szCs w:val="16"/>
              </w:rPr>
            </w:pPr>
            <w:r w:rsidRPr="004C5551">
              <w:rPr>
                <w:sz w:val="16"/>
                <w:szCs w:val="16"/>
              </w:rPr>
              <w:t>DSS pre dospelých s kombináciou postihnutí</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105 560 248</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37 685 362</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45 431 630</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15 431 075</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4 734 401</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141 309</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111 233 104</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40 323 472</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49 497 776</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17 130 978</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3 035 617</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119 218</w:t>
            </w:r>
          </w:p>
        </w:tc>
      </w:tr>
      <w:tr w:rsidR="00B244B9" w:rsidRPr="004C5551" w:rsidTr="000720BE">
        <w:trPr>
          <w:trHeight w:val="428"/>
          <w:jc w:val="center"/>
        </w:trPr>
        <w:tc>
          <w:tcPr>
            <w:tcW w:w="2335" w:type="dxa"/>
            <w:vAlign w:val="center"/>
            <w:hideMark/>
          </w:tcPr>
          <w:p w:rsidR="00B244B9" w:rsidRPr="004C5551" w:rsidRDefault="00B244B9" w:rsidP="00B85283">
            <w:pPr>
              <w:jc w:val="left"/>
              <w:rPr>
                <w:sz w:val="16"/>
                <w:szCs w:val="16"/>
              </w:rPr>
            </w:pPr>
            <w:r w:rsidRPr="004C5551">
              <w:rPr>
                <w:sz w:val="16"/>
                <w:szCs w:val="16"/>
              </w:rPr>
              <w:t>DSS pre dospelých s duševnými poruchami a poruchami správania</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35 793 610</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12 145 061</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16 804 029</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5 830 718</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328 335</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9 512</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34 073 684</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11 042 710</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15 650 380</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5 458 817</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1 079 214</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47 219</w:t>
            </w:r>
          </w:p>
        </w:tc>
      </w:tr>
      <w:tr w:rsidR="00B244B9" w:rsidRPr="004C5551" w:rsidTr="000720BE">
        <w:trPr>
          <w:trHeight w:val="271"/>
          <w:jc w:val="center"/>
        </w:trPr>
        <w:tc>
          <w:tcPr>
            <w:tcW w:w="2335" w:type="dxa"/>
            <w:vAlign w:val="center"/>
            <w:hideMark/>
          </w:tcPr>
          <w:p w:rsidR="00B244B9" w:rsidRPr="004C5551" w:rsidRDefault="00B244B9" w:rsidP="00B85283">
            <w:pPr>
              <w:jc w:val="left"/>
              <w:rPr>
                <w:sz w:val="16"/>
                <w:szCs w:val="16"/>
              </w:rPr>
            </w:pPr>
            <w:r w:rsidRPr="004C5551">
              <w:rPr>
                <w:sz w:val="16"/>
                <w:szCs w:val="16"/>
              </w:rPr>
              <w:t>špecializované zariadenie</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11 484 597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3 886 401</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5 282 438</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1 801 580</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316 455</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31 888</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16 263 022</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5 728 876</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7 443 884</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2 558 042</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424 014</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39 944</w:t>
            </w:r>
          </w:p>
        </w:tc>
      </w:tr>
      <w:tr w:rsidR="00B244B9" w:rsidRPr="004C5551" w:rsidTr="000720BE">
        <w:trPr>
          <w:trHeight w:val="255"/>
          <w:jc w:val="center"/>
        </w:trPr>
        <w:tc>
          <w:tcPr>
            <w:tcW w:w="2335" w:type="dxa"/>
            <w:vAlign w:val="center"/>
            <w:hideMark/>
          </w:tcPr>
          <w:p w:rsidR="00B244B9" w:rsidRPr="004C5551" w:rsidRDefault="00B244B9" w:rsidP="00B85283">
            <w:pPr>
              <w:jc w:val="left"/>
              <w:rPr>
                <w:sz w:val="16"/>
                <w:szCs w:val="16"/>
              </w:rPr>
            </w:pPr>
            <w:r w:rsidRPr="004C5551">
              <w:rPr>
                <w:sz w:val="16"/>
                <w:szCs w:val="16"/>
              </w:rPr>
              <w:t>denný stacionár</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951 546</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365 255</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412 980</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122 400</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40 963</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1 076</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 </w:t>
            </w:r>
          </w:p>
        </w:tc>
      </w:tr>
      <w:tr w:rsidR="00B244B9" w:rsidRPr="004C5551" w:rsidTr="000720BE">
        <w:trPr>
          <w:trHeight w:val="435"/>
          <w:jc w:val="center"/>
        </w:trPr>
        <w:tc>
          <w:tcPr>
            <w:tcW w:w="2335" w:type="dxa"/>
            <w:vAlign w:val="center"/>
            <w:hideMark/>
          </w:tcPr>
          <w:p w:rsidR="00B244B9" w:rsidRPr="004C5551" w:rsidRDefault="00B244B9" w:rsidP="00B85283">
            <w:pPr>
              <w:jc w:val="left"/>
              <w:rPr>
                <w:sz w:val="16"/>
                <w:szCs w:val="16"/>
              </w:rPr>
            </w:pPr>
            <w:r w:rsidRPr="004C5551">
              <w:rPr>
                <w:sz w:val="16"/>
                <w:szCs w:val="16"/>
              </w:rPr>
              <w:t>DSS pre deti s telesným postihnutím</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989 602</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442 984</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387 783</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135 395</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19 091</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178 872</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121 189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40 740</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12 970</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r>
      <w:tr w:rsidR="00B244B9" w:rsidRPr="004C5551" w:rsidTr="000720BE">
        <w:trPr>
          <w:trHeight w:val="680"/>
          <w:jc w:val="center"/>
        </w:trPr>
        <w:tc>
          <w:tcPr>
            <w:tcW w:w="2335" w:type="dxa"/>
            <w:vAlign w:val="center"/>
            <w:hideMark/>
          </w:tcPr>
          <w:p w:rsidR="00B244B9" w:rsidRPr="004C5551" w:rsidRDefault="00B244B9" w:rsidP="00B85283">
            <w:pPr>
              <w:jc w:val="left"/>
              <w:rPr>
                <w:sz w:val="16"/>
                <w:szCs w:val="16"/>
              </w:rPr>
            </w:pPr>
            <w:r w:rsidRPr="004C5551">
              <w:rPr>
                <w:sz w:val="16"/>
                <w:szCs w:val="16"/>
              </w:rPr>
              <w:t>DSS pre deti s telesným postihnutím a duševnými poruchami a poruchami správania</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10 083 327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2 922 403</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5 145 769</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1 761 936</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224 515</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9 217</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9 549 012</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2 746 751</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4 758 276</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1 644 172</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276 879</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838</w:t>
            </w:r>
          </w:p>
        </w:tc>
      </w:tr>
      <w:tr w:rsidR="00B244B9" w:rsidRPr="004C5551" w:rsidTr="000720BE">
        <w:trPr>
          <w:trHeight w:val="523"/>
          <w:jc w:val="center"/>
        </w:trPr>
        <w:tc>
          <w:tcPr>
            <w:tcW w:w="2335" w:type="dxa"/>
            <w:vAlign w:val="center"/>
            <w:hideMark/>
          </w:tcPr>
          <w:p w:rsidR="00B244B9" w:rsidRPr="004C5551" w:rsidRDefault="00B244B9" w:rsidP="00B85283">
            <w:pPr>
              <w:jc w:val="left"/>
              <w:rPr>
                <w:sz w:val="16"/>
                <w:szCs w:val="16"/>
              </w:rPr>
            </w:pPr>
            <w:r w:rsidRPr="004C5551">
              <w:rPr>
                <w:sz w:val="16"/>
                <w:szCs w:val="16"/>
              </w:rPr>
              <w:t>DSS pre deti s duševnými poruchami a poruchami správania</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588 476</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167 119</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309 416</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108 324</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927 823</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233 236</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455 303</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159 151</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75 300</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r>
      <w:tr w:rsidR="00B244B9" w:rsidRPr="004C5551" w:rsidTr="000720BE">
        <w:trPr>
          <w:trHeight w:val="419"/>
          <w:jc w:val="center"/>
        </w:trPr>
        <w:tc>
          <w:tcPr>
            <w:tcW w:w="2335" w:type="dxa"/>
            <w:vAlign w:val="center"/>
            <w:hideMark/>
          </w:tcPr>
          <w:p w:rsidR="00B244B9" w:rsidRPr="004C5551" w:rsidRDefault="00B244B9" w:rsidP="00B85283">
            <w:pPr>
              <w:jc w:val="left"/>
              <w:rPr>
                <w:sz w:val="16"/>
                <w:szCs w:val="16"/>
              </w:rPr>
            </w:pPr>
            <w:r w:rsidRPr="004C5551">
              <w:rPr>
                <w:sz w:val="16"/>
                <w:szCs w:val="16"/>
              </w:rPr>
              <w:t>zariadenie dočasnej starostlivosti o deti</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104 505</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34 366</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51 845</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18 176</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366 365</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114 629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103 220</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36 332</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r>
      <w:tr w:rsidR="00B244B9" w:rsidRPr="004C5551" w:rsidTr="000720BE">
        <w:trPr>
          <w:trHeight w:val="398"/>
          <w:jc w:val="center"/>
        </w:trPr>
        <w:tc>
          <w:tcPr>
            <w:tcW w:w="2335" w:type="dxa"/>
            <w:vAlign w:val="center"/>
            <w:hideMark/>
          </w:tcPr>
          <w:p w:rsidR="00B244B9" w:rsidRPr="004C5551" w:rsidRDefault="00B244B9" w:rsidP="00B85283">
            <w:pPr>
              <w:jc w:val="left"/>
              <w:rPr>
                <w:sz w:val="16"/>
                <w:szCs w:val="16"/>
              </w:rPr>
            </w:pPr>
            <w:r w:rsidRPr="004C5551">
              <w:rPr>
                <w:sz w:val="16"/>
                <w:szCs w:val="16"/>
              </w:rPr>
              <w:t>zariadenie podporovaného bývania</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2 287 962</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883 728</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907 811</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302 988</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185 826</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347</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2 380 654</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920 511</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1 068 509</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365 070</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20 549</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590</w:t>
            </w:r>
          </w:p>
        </w:tc>
      </w:tr>
      <w:tr w:rsidR="00B244B9" w:rsidRPr="004C5551" w:rsidTr="000720BE">
        <w:trPr>
          <w:trHeight w:val="275"/>
          <w:jc w:val="center"/>
        </w:trPr>
        <w:tc>
          <w:tcPr>
            <w:tcW w:w="2335" w:type="dxa"/>
            <w:vAlign w:val="center"/>
            <w:hideMark/>
          </w:tcPr>
          <w:p w:rsidR="00B244B9" w:rsidRPr="004C5551" w:rsidRDefault="00B244B9" w:rsidP="00B85283">
            <w:pPr>
              <w:jc w:val="left"/>
              <w:rPr>
                <w:sz w:val="16"/>
                <w:szCs w:val="16"/>
              </w:rPr>
            </w:pPr>
            <w:r w:rsidRPr="004C5551">
              <w:rPr>
                <w:sz w:val="16"/>
                <w:szCs w:val="16"/>
              </w:rPr>
              <w:t>zariadenie núdzového bývania</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2 636 563</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1 123 731</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1 070 631</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352 813</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62 307</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748</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4 153 836</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1 206 028</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1 190 117</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408 947</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31 037</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201</w:t>
            </w:r>
          </w:p>
        </w:tc>
      </w:tr>
      <w:tr w:rsidR="00B244B9" w:rsidRPr="004C5551" w:rsidTr="000720BE">
        <w:trPr>
          <w:trHeight w:val="255"/>
          <w:jc w:val="center"/>
        </w:trPr>
        <w:tc>
          <w:tcPr>
            <w:tcW w:w="2335" w:type="dxa"/>
            <w:vAlign w:val="center"/>
            <w:hideMark/>
          </w:tcPr>
          <w:p w:rsidR="00B244B9" w:rsidRPr="004C5551" w:rsidRDefault="00B244B9" w:rsidP="00B85283">
            <w:pPr>
              <w:jc w:val="left"/>
              <w:rPr>
                <w:sz w:val="16"/>
                <w:szCs w:val="16"/>
              </w:rPr>
            </w:pPr>
            <w:r w:rsidRPr="004C5551">
              <w:rPr>
                <w:sz w:val="16"/>
                <w:szCs w:val="16"/>
              </w:rPr>
              <w:t>útulky</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4 029 682</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1 788 136</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1 556 257</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493 427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100 257</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569</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4 033 696</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1 721 279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1 651 013</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557 821</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68 932</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713</w:t>
            </w:r>
          </w:p>
        </w:tc>
      </w:tr>
      <w:tr w:rsidR="00B244B9" w:rsidRPr="004C5551" w:rsidTr="000720BE">
        <w:trPr>
          <w:trHeight w:val="255"/>
          <w:jc w:val="center"/>
        </w:trPr>
        <w:tc>
          <w:tcPr>
            <w:tcW w:w="2335" w:type="dxa"/>
            <w:vAlign w:val="center"/>
            <w:hideMark/>
          </w:tcPr>
          <w:p w:rsidR="00B244B9" w:rsidRPr="004C5551" w:rsidRDefault="00B244B9" w:rsidP="00B85283">
            <w:pPr>
              <w:jc w:val="left"/>
              <w:rPr>
                <w:sz w:val="16"/>
                <w:szCs w:val="16"/>
              </w:rPr>
            </w:pPr>
            <w:r w:rsidRPr="004C5551">
              <w:rPr>
                <w:sz w:val="16"/>
                <w:szCs w:val="16"/>
              </w:rPr>
              <w:t>rehabilitačné strediská</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3 148 572</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969 945</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1 625 725</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533 278</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18 602</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260</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3 310 561</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924 279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1 757 661</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606 004</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15 233</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0</w:t>
            </w:r>
          </w:p>
        </w:tc>
      </w:tr>
      <w:tr w:rsidR="00B244B9" w:rsidRPr="004C5551" w:rsidTr="000720BE">
        <w:trPr>
          <w:trHeight w:val="347"/>
          <w:jc w:val="center"/>
        </w:trPr>
        <w:tc>
          <w:tcPr>
            <w:tcW w:w="2335" w:type="dxa"/>
            <w:vAlign w:val="center"/>
            <w:hideMark/>
          </w:tcPr>
          <w:p w:rsidR="00B244B9" w:rsidRPr="004C5551" w:rsidRDefault="00B244B9" w:rsidP="00B85283">
            <w:pPr>
              <w:jc w:val="left"/>
              <w:rPr>
                <w:sz w:val="16"/>
                <w:szCs w:val="16"/>
              </w:rPr>
            </w:pPr>
            <w:r w:rsidRPr="004C5551">
              <w:rPr>
                <w:sz w:val="16"/>
                <w:szCs w:val="16"/>
              </w:rPr>
              <w:t>zariadenia opatrovateľskej služby</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15 470 871</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4 897 706</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5 767 215</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1 953 677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2 740 329</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8 555</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13 424 494</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5 088 117</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5 948 347</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2 049 193</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184 636</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6 215</w:t>
            </w:r>
          </w:p>
        </w:tc>
      </w:tr>
      <w:tr w:rsidR="00B244B9" w:rsidRPr="004C5551" w:rsidTr="000720BE">
        <w:trPr>
          <w:trHeight w:val="255"/>
          <w:jc w:val="center"/>
        </w:trPr>
        <w:tc>
          <w:tcPr>
            <w:tcW w:w="2335" w:type="dxa"/>
            <w:vAlign w:val="center"/>
            <w:hideMark/>
          </w:tcPr>
          <w:p w:rsidR="00B244B9" w:rsidRPr="004C5551" w:rsidRDefault="00B244B9" w:rsidP="00B85283">
            <w:pPr>
              <w:jc w:val="left"/>
              <w:rPr>
                <w:sz w:val="16"/>
                <w:szCs w:val="16"/>
              </w:rPr>
            </w:pPr>
            <w:r w:rsidRPr="004C5551">
              <w:rPr>
                <w:sz w:val="16"/>
                <w:szCs w:val="16"/>
              </w:rPr>
              <w:t>nocľaháreň</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1 369 441</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605 719</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535 754</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174 127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23 212</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1 877</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1 385 545</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606 379</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554 331</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185 291</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30 683</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150</w:t>
            </w:r>
          </w:p>
        </w:tc>
      </w:tr>
      <w:tr w:rsidR="00B244B9" w:rsidRPr="004C5551" w:rsidTr="000720BE">
        <w:trPr>
          <w:trHeight w:val="270"/>
          <w:jc w:val="center"/>
        </w:trPr>
        <w:tc>
          <w:tcPr>
            <w:tcW w:w="2335" w:type="dxa"/>
            <w:vAlign w:val="center"/>
            <w:hideMark/>
          </w:tcPr>
          <w:p w:rsidR="00B244B9" w:rsidRPr="004C5551" w:rsidRDefault="00B244B9" w:rsidP="00B85283">
            <w:pPr>
              <w:jc w:val="left"/>
              <w:rPr>
                <w:sz w:val="16"/>
                <w:szCs w:val="16"/>
              </w:rPr>
            </w:pPr>
            <w:r w:rsidRPr="004C5551">
              <w:rPr>
                <w:sz w:val="16"/>
                <w:szCs w:val="16"/>
              </w:rPr>
              <w:t>domov na polceste</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562 105</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295 727</w:t>
            </w:r>
          </w:p>
        </w:tc>
        <w:tc>
          <w:tcPr>
            <w:tcW w:w="1134" w:type="dxa"/>
            <w:vAlign w:val="center"/>
          </w:tcPr>
          <w:p w:rsidR="00B244B9" w:rsidRPr="004C5551" w:rsidRDefault="00B244B9" w:rsidP="00B85283">
            <w:pPr>
              <w:jc w:val="right"/>
              <w:rPr>
                <w:color w:val="000000"/>
                <w:sz w:val="16"/>
                <w:szCs w:val="16"/>
              </w:rPr>
            </w:pPr>
            <w:r w:rsidRPr="004C5551">
              <w:rPr>
                <w:color w:val="000000"/>
                <w:sz w:val="16"/>
                <w:szCs w:val="16"/>
              </w:rPr>
              <w:t>201 169</w:t>
            </w:r>
          </w:p>
        </w:tc>
        <w:tc>
          <w:tcPr>
            <w:tcW w:w="993" w:type="dxa"/>
            <w:vAlign w:val="center"/>
          </w:tcPr>
          <w:p w:rsidR="00B244B9" w:rsidRPr="004C5551" w:rsidRDefault="00B244B9" w:rsidP="00B85283">
            <w:pPr>
              <w:jc w:val="right"/>
              <w:rPr>
                <w:color w:val="000000"/>
                <w:sz w:val="16"/>
                <w:szCs w:val="16"/>
              </w:rPr>
            </w:pPr>
            <w:r w:rsidRPr="004C5551">
              <w:rPr>
                <w:color w:val="000000"/>
                <w:sz w:val="16"/>
                <w:szCs w:val="16"/>
              </w:rPr>
              <w:t>64 837</w:t>
            </w:r>
          </w:p>
        </w:tc>
        <w:tc>
          <w:tcPr>
            <w:tcW w:w="992" w:type="dxa"/>
            <w:vAlign w:val="center"/>
          </w:tcPr>
          <w:p w:rsidR="00B244B9" w:rsidRPr="004C5551" w:rsidRDefault="00B244B9" w:rsidP="00B85283">
            <w:pPr>
              <w:jc w:val="right"/>
              <w:rPr>
                <w:color w:val="000000"/>
                <w:sz w:val="16"/>
                <w:szCs w:val="16"/>
              </w:rPr>
            </w:pPr>
            <w:r w:rsidRPr="004C5551">
              <w:rPr>
                <w:color w:val="000000"/>
                <w:sz w:val="16"/>
                <w:szCs w:val="16"/>
              </w:rPr>
              <w:t>0</w:t>
            </w:r>
          </w:p>
        </w:tc>
        <w:tc>
          <w:tcPr>
            <w:tcW w:w="850" w:type="dxa"/>
            <w:vAlign w:val="center"/>
          </w:tcPr>
          <w:p w:rsidR="00B244B9" w:rsidRPr="004C5551" w:rsidRDefault="00B244B9" w:rsidP="00B85283">
            <w:pPr>
              <w:jc w:val="right"/>
              <w:rPr>
                <w:color w:val="000000"/>
                <w:sz w:val="16"/>
                <w:szCs w:val="16"/>
              </w:rPr>
            </w:pPr>
            <w:r w:rsidRPr="004C5551">
              <w:rPr>
                <w:color w:val="000000"/>
                <w:sz w:val="16"/>
                <w:szCs w:val="16"/>
              </w:rPr>
              <w:t>220</w:t>
            </w:r>
          </w:p>
        </w:tc>
        <w:tc>
          <w:tcPr>
            <w:tcW w:w="116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563 186</w:t>
            </w:r>
          </w:p>
        </w:tc>
        <w:tc>
          <w:tcPr>
            <w:tcW w:w="1056"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256 244</w:t>
            </w:r>
          </w:p>
        </w:tc>
        <w:tc>
          <w:tcPr>
            <w:tcW w:w="1049"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214 004</w:t>
            </w:r>
          </w:p>
        </w:tc>
        <w:tc>
          <w:tcPr>
            <w:tcW w:w="984"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72 163</w:t>
            </w:r>
          </w:p>
        </w:tc>
        <w:tc>
          <w:tcPr>
            <w:tcW w:w="992"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9 000</w:t>
            </w:r>
          </w:p>
        </w:tc>
        <w:tc>
          <w:tcPr>
            <w:tcW w:w="935" w:type="dxa"/>
            <w:shd w:val="clear" w:color="auto" w:fill="auto"/>
            <w:vAlign w:val="bottom"/>
          </w:tcPr>
          <w:p w:rsidR="00B244B9" w:rsidRPr="004C5551" w:rsidRDefault="00B244B9" w:rsidP="00B85283">
            <w:pPr>
              <w:jc w:val="right"/>
              <w:rPr>
                <w:color w:val="000000"/>
                <w:sz w:val="16"/>
                <w:szCs w:val="16"/>
              </w:rPr>
            </w:pPr>
            <w:r w:rsidRPr="004C5551">
              <w:rPr>
                <w:color w:val="000000"/>
                <w:sz w:val="16"/>
                <w:szCs w:val="16"/>
              </w:rPr>
              <w:t>500</w:t>
            </w:r>
          </w:p>
        </w:tc>
      </w:tr>
    </w:tbl>
    <w:p w:rsidR="00963C38" w:rsidRPr="004C5551" w:rsidRDefault="00963C38" w:rsidP="004A598D">
      <w:pPr>
        <w:pStyle w:val="zdroj"/>
        <w:spacing w:after="0"/>
        <w:rPr>
          <w:color w:val="auto"/>
          <w:lang w:eastAsia="cs-CZ"/>
        </w:rPr>
      </w:pPr>
      <w:r w:rsidRPr="004C5551">
        <w:rPr>
          <w:color w:val="auto"/>
          <w:lang w:eastAsia="cs-CZ"/>
        </w:rPr>
        <w:t xml:space="preserve">Zdroj: Vybrané údaje Štatistického úradu SR </w:t>
      </w:r>
      <w:r w:rsidRPr="004C5551">
        <w:rPr>
          <w:color w:val="000000" w:themeColor="text1"/>
        </w:rPr>
        <w:t>–</w:t>
      </w:r>
      <w:r w:rsidRPr="004C5551">
        <w:rPr>
          <w:color w:val="auto"/>
          <w:lang w:eastAsia="cs-CZ"/>
        </w:rPr>
        <w:t xml:space="preserve"> Zariadenia sociálnych služieb v SR</w:t>
      </w:r>
    </w:p>
    <w:p w:rsidR="0084617B" w:rsidRPr="004C5551" w:rsidRDefault="0084617B" w:rsidP="00BE76F0">
      <w:pPr>
        <w:pStyle w:val="Nadpis7"/>
      </w:pPr>
      <w:r w:rsidRPr="004C5551">
        <w:t>Tabuľka 2</w:t>
      </w:r>
      <w:r w:rsidR="003F4ED2" w:rsidRPr="004C5551">
        <w:t>6</w:t>
      </w:r>
      <w:r w:rsidRPr="004C5551">
        <w:t xml:space="preserve"> Zamestnanci zariadení sociálnych služieb (spolu) za rok</w:t>
      </w:r>
      <w:r w:rsidR="00DF3AA5" w:rsidRPr="004C5551">
        <w:t>y 201</w:t>
      </w:r>
      <w:r w:rsidR="00E60AEE" w:rsidRPr="004C5551">
        <w:t>2</w:t>
      </w:r>
      <w:r w:rsidR="00DF3AA5" w:rsidRPr="004C5551">
        <w:t xml:space="preserve"> a 201</w:t>
      </w:r>
      <w:r w:rsidR="00E60AEE" w:rsidRPr="004C5551">
        <w:t>3</w:t>
      </w:r>
    </w:p>
    <w:tbl>
      <w:tblPr>
        <w:tblW w:w="11406"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6"/>
        <w:gridCol w:w="2340"/>
        <w:gridCol w:w="2340"/>
      </w:tblGrid>
      <w:tr w:rsidR="00E60AEE" w:rsidRPr="004C5551" w:rsidTr="00960E97">
        <w:trPr>
          <w:trHeight w:val="1328"/>
          <w:jc w:val="center"/>
        </w:trPr>
        <w:tc>
          <w:tcPr>
            <w:tcW w:w="6726" w:type="dxa"/>
            <w:vMerge w:val="restart"/>
            <w:shd w:val="clear" w:color="auto" w:fill="FF9999" w:themeFill="accent3" w:themeFillTint="66"/>
            <w:noWrap/>
            <w:vAlign w:val="center"/>
            <w:hideMark/>
          </w:tcPr>
          <w:p w:rsidR="00E60AEE" w:rsidRPr="004C5551" w:rsidRDefault="00E60AEE" w:rsidP="005308FD">
            <w:pPr>
              <w:jc w:val="center"/>
              <w:rPr>
                <w:b/>
                <w:bCs/>
                <w:sz w:val="18"/>
                <w:szCs w:val="18"/>
              </w:rPr>
            </w:pPr>
            <w:r w:rsidRPr="004C5551">
              <w:rPr>
                <w:b/>
                <w:bCs/>
              </w:rPr>
              <w:t>Druh zariadenia</w:t>
            </w:r>
          </w:p>
        </w:tc>
        <w:tc>
          <w:tcPr>
            <w:tcW w:w="2340" w:type="dxa"/>
            <w:shd w:val="clear" w:color="auto" w:fill="FF9999" w:themeFill="accent3" w:themeFillTint="66"/>
            <w:noWrap/>
            <w:vAlign w:val="bottom"/>
            <w:hideMark/>
          </w:tcPr>
          <w:p w:rsidR="00E60AEE" w:rsidRPr="004C5551" w:rsidRDefault="00E60AEE" w:rsidP="005308FD">
            <w:pPr>
              <w:jc w:val="center"/>
              <w:rPr>
                <w:b/>
                <w:bCs/>
              </w:rPr>
            </w:pPr>
            <w:r w:rsidRPr="004C5551">
              <w:rPr>
                <w:b/>
                <w:bCs/>
                <w:szCs w:val="22"/>
              </w:rPr>
              <w:t>Priemerný</w:t>
            </w:r>
          </w:p>
          <w:p w:rsidR="00E60AEE" w:rsidRPr="004C5551" w:rsidRDefault="00E60AEE" w:rsidP="005308FD">
            <w:pPr>
              <w:jc w:val="center"/>
              <w:rPr>
                <w:b/>
                <w:bCs/>
              </w:rPr>
            </w:pPr>
            <w:r w:rsidRPr="004C5551">
              <w:rPr>
                <w:b/>
                <w:bCs/>
                <w:szCs w:val="22"/>
              </w:rPr>
              <w:t>evidenčný počet</w:t>
            </w:r>
          </w:p>
          <w:p w:rsidR="00E60AEE" w:rsidRPr="004C5551" w:rsidRDefault="00E60AEE" w:rsidP="005308FD">
            <w:pPr>
              <w:jc w:val="center"/>
              <w:rPr>
                <w:b/>
                <w:bCs/>
              </w:rPr>
            </w:pPr>
            <w:r w:rsidRPr="004C5551">
              <w:rPr>
                <w:b/>
                <w:bCs/>
                <w:szCs w:val="22"/>
              </w:rPr>
              <w:t>zamestnancov</w:t>
            </w:r>
          </w:p>
          <w:p w:rsidR="00E60AEE" w:rsidRPr="004C5551" w:rsidRDefault="00E60AEE" w:rsidP="005308FD">
            <w:pPr>
              <w:jc w:val="center"/>
              <w:rPr>
                <w:b/>
                <w:bCs/>
              </w:rPr>
            </w:pPr>
            <w:r w:rsidRPr="004C5551">
              <w:rPr>
                <w:b/>
                <w:bCs/>
                <w:szCs w:val="22"/>
              </w:rPr>
              <w:t>prepočítaný</w:t>
            </w:r>
          </w:p>
          <w:p w:rsidR="00E60AEE" w:rsidRPr="004C5551" w:rsidRDefault="00E60AEE" w:rsidP="005308FD">
            <w:pPr>
              <w:jc w:val="center"/>
              <w:rPr>
                <w:b/>
                <w:bCs/>
              </w:rPr>
            </w:pPr>
            <w:r w:rsidRPr="004C5551">
              <w:rPr>
                <w:b/>
                <w:bCs/>
                <w:szCs w:val="22"/>
              </w:rPr>
              <w:t>(osoby)</w:t>
            </w:r>
          </w:p>
        </w:tc>
        <w:tc>
          <w:tcPr>
            <w:tcW w:w="2340" w:type="dxa"/>
            <w:shd w:val="clear" w:color="auto" w:fill="FF9999" w:themeFill="accent3" w:themeFillTint="66"/>
            <w:noWrap/>
            <w:vAlign w:val="bottom"/>
            <w:hideMark/>
          </w:tcPr>
          <w:p w:rsidR="00E60AEE" w:rsidRPr="004C5551" w:rsidRDefault="00E60AEE" w:rsidP="005308FD">
            <w:pPr>
              <w:jc w:val="center"/>
              <w:rPr>
                <w:b/>
                <w:bCs/>
              </w:rPr>
            </w:pPr>
            <w:r w:rsidRPr="004C5551">
              <w:rPr>
                <w:b/>
                <w:bCs/>
                <w:szCs w:val="22"/>
              </w:rPr>
              <w:t>Priemerný</w:t>
            </w:r>
          </w:p>
          <w:p w:rsidR="00E60AEE" w:rsidRPr="004C5551" w:rsidRDefault="00E60AEE" w:rsidP="005308FD">
            <w:pPr>
              <w:jc w:val="center"/>
              <w:rPr>
                <w:b/>
                <w:bCs/>
              </w:rPr>
            </w:pPr>
            <w:r w:rsidRPr="004C5551">
              <w:rPr>
                <w:b/>
                <w:bCs/>
                <w:szCs w:val="22"/>
              </w:rPr>
              <w:t>evidenčný počet</w:t>
            </w:r>
          </w:p>
          <w:p w:rsidR="00E60AEE" w:rsidRPr="004C5551" w:rsidRDefault="00E60AEE" w:rsidP="005308FD">
            <w:pPr>
              <w:jc w:val="center"/>
              <w:rPr>
                <w:b/>
                <w:bCs/>
              </w:rPr>
            </w:pPr>
            <w:r w:rsidRPr="004C5551">
              <w:rPr>
                <w:b/>
                <w:bCs/>
                <w:szCs w:val="22"/>
              </w:rPr>
              <w:t>zamestnancov</w:t>
            </w:r>
          </w:p>
          <w:p w:rsidR="00E60AEE" w:rsidRPr="004C5551" w:rsidRDefault="00E60AEE" w:rsidP="005308FD">
            <w:pPr>
              <w:jc w:val="center"/>
              <w:rPr>
                <w:b/>
                <w:bCs/>
              </w:rPr>
            </w:pPr>
            <w:r w:rsidRPr="004C5551">
              <w:rPr>
                <w:b/>
                <w:bCs/>
                <w:szCs w:val="22"/>
              </w:rPr>
              <w:t>prepočítaný</w:t>
            </w:r>
          </w:p>
          <w:p w:rsidR="00E60AEE" w:rsidRPr="004C5551" w:rsidRDefault="00E60AEE" w:rsidP="005308FD">
            <w:pPr>
              <w:jc w:val="center"/>
              <w:rPr>
                <w:b/>
                <w:bCs/>
              </w:rPr>
            </w:pPr>
            <w:r w:rsidRPr="004C5551">
              <w:rPr>
                <w:b/>
                <w:bCs/>
                <w:szCs w:val="22"/>
              </w:rPr>
              <w:t>(osoby)</w:t>
            </w:r>
          </w:p>
        </w:tc>
      </w:tr>
      <w:tr w:rsidR="00E60AEE" w:rsidRPr="004C5551" w:rsidTr="00960E97">
        <w:trPr>
          <w:trHeight w:val="270"/>
          <w:jc w:val="center"/>
        </w:trPr>
        <w:tc>
          <w:tcPr>
            <w:tcW w:w="6726" w:type="dxa"/>
            <w:vMerge/>
            <w:shd w:val="clear" w:color="auto" w:fill="FF9999" w:themeFill="accent3" w:themeFillTint="66"/>
            <w:noWrap/>
            <w:vAlign w:val="bottom"/>
            <w:hideMark/>
          </w:tcPr>
          <w:p w:rsidR="00E60AEE" w:rsidRPr="004C5551" w:rsidRDefault="00E60AEE" w:rsidP="005308FD">
            <w:pPr>
              <w:jc w:val="center"/>
              <w:rPr>
                <w:b/>
                <w:bCs/>
              </w:rPr>
            </w:pPr>
          </w:p>
        </w:tc>
        <w:tc>
          <w:tcPr>
            <w:tcW w:w="2340" w:type="dxa"/>
            <w:shd w:val="clear" w:color="auto" w:fill="FF9999" w:themeFill="accent3" w:themeFillTint="66"/>
            <w:noWrap/>
            <w:vAlign w:val="bottom"/>
            <w:hideMark/>
          </w:tcPr>
          <w:p w:rsidR="00E60AEE" w:rsidRPr="004C5551" w:rsidRDefault="00E60AEE" w:rsidP="005308FD">
            <w:pPr>
              <w:jc w:val="center"/>
              <w:rPr>
                <w:b/>
                <w:bCs/>
              </w:rPr>
            </w:pPr>
            <w:r w:rsidRPr="004C5551">
              <w:rPr>
                <w:b/>
                <w:bCs/>
                <w:szCs w:val="22"/>
              </w:rPr>
              <w:t>2012</w:t>
            </w:r>
          </w:p>
        </w:tc>
        <w:tc>
          <w:tcPr>
            <w:tcW w:w="2340" w:type="dxa"/>
            <w:shd w:val="clear" w:color="auto" w:fill="FF9999" w:themeFill="accent3" w:themeFillTint="66"/>
            <w:noWrap/>
            <w:vAlign w:val="bottom"/>
            <w:hideMark/>
          </w:tcPr>
          <w:p w:rsidR="00E60AEE" w:rsidRPr="004C5551" w:rsidRDefault="00E60AEE" w:rsidP="005308FD">
            <w:pPr>
              <w:jc w:val="center"/>
              <w:rPr>
                <w:b/>
                <w:bCs/>
              </w:rPr>
            </w:pPr>
            <w:r w:rsidRPr="004C5551">
              <w:rPr>
                <w:b/>
                <w:bCs/>
                <w:szCs w:val="22"/>
              </w:rPr>
              <w:t>2013</w:t>
            </w:r>
          </w:p>
        </w:tc>
      </w:tr>
      <w:tr w:rsidR="00E60AEE" w:rsidRPr="004C5551" w:rsidTr="00960E97">
        <w:trPr>
          <w:trHeight w:val="255"/>
          <w:jc w:val="center"/>
        </w:trPr>
        <w:tc>
          <w:tcPr>
            <w:tcW w:w="6726" w:type="dxa"/>
            <w:vAlign w:val="bottom"/>
            <w:hideMark/>
          </w:tcPr>
          <w:p w:rsidR="00E60AEE" w:rsidRPr="004C5551" w:rsidRDefault="00E60AEE" w:rsidP="005308FD">
            <w:r w:rsidRPr="004C5551">
              <w:t>zariadenie pre seniorov</w:t>
            </w:r>
          </w:p>
        </w:tc>
        <w:tc>
          <w:tcPr>
            <w:tcW w:w="2340" w:type="dxa"/>
            <w:shd w:val="clear" w:color="auto" w:fill="auto"/>
            <w:vAlign w:val="bottom"/>
          </w:tcPr>
          <w:p w:rsidR="00E60AEE" w:rsidRPr="004C5551" w:rsidRDefault="00E60AEE" w:rsidP="005308FD">
            <w:pPr>
              <w:ind w:right="774"/>
              <w:jc w:val="right"/>
            </w:pPr>
            <w:r w:rsidRPr="004C5551">
              <w:t>6 023</w:t>
            </w:r>
          </w:p>
        </w:tc>
        <w:tc>
          <w:tcPr>
            <w:tcW w:w="2340" w:type="dxa"/>
            <w:shd w:val="clear" w:color="auto" w:fill="auto"/>
            <w:vAlign w:val="bottom"/>
          </w:tcPr>
          <w:p w:rsidR="00E60AEE" w:rsidRPr="004C5551" w:rsidRDefault="00E60AEE" w:rsidP="005308FD">
            <w:pPr>
              <w:ind w:right="774"/>
              <w:jc w:val="right"/>
            </w:pPr>
            <w:r w:rsidRPr="004C5551">
              <w:t>6 040</w:t>
            </w:r>
          </w:p>
        </w:tc>
      </w:tr>
      <w:tr w:rsidR="00E60AEE" w:rsidRPr="004C5551" w:rsidTr="00960E97">
        <w:trPr>
          <w:trHeight w:val="270"/>
          <w:jc w:val="center"/>
        </w:trPr>
        <w:tc>
          <w:tcPr>
            <w:tcW w:w="6726" w:type="dxa"/>
            <w:vAlign w:val="bottom"/>
            <w:hideMark/>
          </w:tcPr>
          <w:p w:rsidR="00E60AEE" w:rsidRPr="004C5551" w:rsidRDefault="00E60AEE" w:rsidP="005308FD">
            <w:r w:rsidRPr="004C5551">
              <w:t>domovy sociálnych služieb (DSS) pre dospelých s telesným postihnutím</w:t>
            </w:r>
          </w:p>
        </w:tc>
        <w:tc>
          <w:tcPr>
            <w:tcW w:w="2340" w:type="dxa"/>
            <w:shd w:val="clear" w:color="auto" w:fill="auto"/>
            <w:vAlign w:val="bottom"/>
          </w:tcPr>
          <w:p w:rsidR="00E60AEE" w:rsidRPr="004C5551" w:rsidRDefault="00E60AEE" w:rsidP="005308FD">
            <w:pPr>
              <w:ind w:right="774"/>
              <w:jc w:val="right"/>
            </w:pPr>
            <w:r w:rsidRPr="004C5551">
              <w:t>745</w:t>
            </w:r>
          </w:p>
        </w:tc>
        <w:tc>
          <w:tcPr>
            <w:tcW w:w="2340" w:type="dxa"/>
            <w:shd w:val="clear" w:color="auto" w:fill="auto"/>
            <w:vAlign w:val="bottom"/>
          </w:tcPr>
          <w:p w:rsidR="00E60AEE" w:rsidRPr="004C5551" w:rsidRDefault="00E60AEE" w:rsidP="005308FD">
            <w:pPr>
              <w:ind w:right="774"/>
              <w:jc w:val="right"/>
            </w:pPr>
            <w:r w:rsidRPr="004C5551">
              <w:t>638</w:t>
            </w:r>
          </w:p>
        </w:tc>
      </w:tr>
      <w:tr w:rsidR="00E60AEE" w:rsidRPr="004C5551" w:rsidTr="00960E97">
        <w:trPr>
          <w:trHeight w:val="255"/>
          <w:jc w:val="center"/>
        </w:trPr>
        <w:tc>
          <w:tcPr>
            <w:tcW w:w="6726" w:type="dxa"/>
            <w:vAlign w:val="bottom"/>
            <w:hideMark/>
          </w:tcPr>
          <w:p w:rsidR="00E60AEE" w:rsidRPr="004C5551" w:rsidRDefault="00E60AEE" w:rsidP="005308FD">
            <w:r w:rsidRPr="004C5551">
              <w:t>DSS pre dospelých s kombináciou postihnutí</w:t>
            </w:r>
          </w:p>
        </w:tc>
        <w:tc>
          <w:tcPr>
            <w:tcW w:w="2340" w:type="dxa"/>
            <w:shd w:val="clear" w:color="auto" w:fill="auto"/>
            <w:vAlign w:val="bottom"/>
          </w:tcPr>
          <w:p w:rsidR="00E60AEE" w:rsidRPr="004C5551" w:rsidRDefault="00E60AEE" w:rsidP="005308FD">
            <w:pPr>
              <w:ind w:right="774"/>
              <w:jc w:val="right"/>
            </w:pPr>
            <w:r w:rsidRPr="004C5551">
              <w:t>7 100</w:t>
            </w:r>
          </w:p>
        </w:tc>
        <w:tc>
          <w:tcPr>
            <w:tcW w:w="2340" w:type="dxa"/>
            <w:shd w:val="clear" w:color="auto" w:fill="auto"/>
            <w:vAlign w:val="bottom"/>
          </w:tcPr>
          <w:p w:rsidR="00E60AEE" w:rsidRPr="004C5551" w:rsidRDefault="00E60AEE" w:rsidP="005308FD">
            <w:pPr>
              <w:ind w:right="774"/>
              <w:jc w:val="right"/>
            </w:pPr>
            <w:r w:rsidRPr="004C5551">
              <w:t>7 536</w:t>
            </w:r>
          </w:p>
        </w:tc>
      </w:tr>
      <w:tr w:rsidR="00E60AEE" w:rsidRPr="004C5551" w:rsidTr="00960E97">
        <w:trPr>
          <w:trHeight w:val="255"/>
          <w:jc w:val="center"/>
        </w:trPr>
        <w:tc>
          <w:tcPr>
            <w:tcW w:w="6726" w:type="dxa"/>
            <w:vAlign w:val="bottom"/>
            <w:hideMark/>
          </w:tcPr>
          <w:p w:rsidR="00E60AEE" w:rsidRPr="004C5551" w:rsidRDefault="00E60AEE" w:rsidP="005308FD">
            <w:r w:rsidRPr="004C5551">
              <w:t>DSS pre dospelých so zmyslovým postihnutím</w:t>
            </w:r>
          </w:p>
        </w:tc>
        <w:tc>
          <w:tcPr>
            <w:tcW w:w="2340" w:type="dxa"/>
            <w:shd w:val="clear" w:color="auto" w:fill="auto"/>
            <w:vAlign w:val="bottom"/>
          </w:tcPr>
          <w:p w:rsidR="00E60AEE" w:rsidRPr="004C5551" w:rsidRDefault="00E60AEE" w:rsidP="005308FD">
            <w:pPr>
              <w:ind w:right="774"/>
              <w:jc w:val="right"/>
            </w:pPr>
            <w:r w:rsidRPr="004C5551">
              <w:t>0</w:t>
            </w:r>
          </w:p>
        </w:tc>
        <w:tc>
          <w:tcPr>
            <w:tcW w:w="2340" w:type="dxa"/>
            <w:shd w:val="clear" w:color="auto" w:fill="auto"/>
            <w:vAlign w:val="bottom"/>
          </w:tcPr>
          <w:p w:rsidR="00E60AEE" w:rsidRPr="004C5551" w:rsidRDefault="00E60AEE" w:rsidP="005308FD">
            <w:pPr>
              <w:ind w:right="774"/>
              <w:jc w:val="right"/>
            </w:pPr>
            <w:r w:rsidRPr="004C5551">
              <w:t>2 316</w:t>
            </w:r>
          </w:p>
        </w:tc>
      </w:tr>
      <w:tr w:rsidR="00E60AEE" w:rsidRPr="004C5551" w:rsidTr="00960E97">
        <w:trPr>
          <w:trHeight w:val="324"/>
          <w:jc w:val="center"/>
        </w:trPr>
        <w:tc>
          <w:tcPr>
            <w:tcW w:w="6726" w:type="dxa"/>
            <w:vAlign w:val="bottom"/>
            <w:hideMark/>
          </w:tcPr>
          <w:p w:rsidR="00E60AEE" w:rsidRPr="004C5551" w:rsidRDefault="00E60AEE" w:rsidP="005308FD">
            <w:r w:rsidRPr="004C5551">
              <w:t>DSS pre dospelých s duševnými poruchami a poruchami správania</w:t>
            </w:r>
          </w:p>
        </w:tc>
        <w:tc>
          <w:tcPr>
            <w:tcW w:w="2340" w:type="dxa"/>
            <w:shd w:val="clear" w:color="auto" w:fill="auto"/>
            <w:vAlign w:val="bottom"/>
          </w:tcPr>
          <w:p w:rsidR="00E60AEE" w:rsidRPr="004C5551" w:rsidRDefault="00E60AEE" w:rsidP="005308FD">
            <w:pPr>
              <w:ind w:right="774"/>
              <w:jc w:val="right"/>
            </w:pPr>
            <w:r w:rsidRPr="004C5551">
              <w:t>2 453</w:t>
            </w:r>
          </w:p>
        </w:tc>
        <w:tc>
          <w:tcPr>
            <w:tcW w:w="2340" w:type="dxa"/>
            <w:shd w:val="clear" w:color="auto" w:fill="auto"/>
            <w:vAlign w:val="bottom"/>
          </w:tcPr>
          <w:p w:rsidR="00E60AEE" w:rsidRPr="004C5551" w:rsidRDefault="00E60AEE" w:rsidP="005308FD">
            <w:pPr>
              <w:ind w:right="774"/>
              <w:jc w:val="right"/>
            </w:pPr>
            <w:r w:rsidRPr="004C5551">
              <w:t>1 179</w:t>
            </w:r>
          </w:p>
        </w:tc>
      </w:tr>
      <w:tr w:rsidR="00E60AEE" w:rsidRPr="004C5551" w:rsidTr="00960E97">
        <w:trPr>
          <w:trHeight w:val="255"/>
          <w:jc w:val="center"/>
        </w:trPr>
        <w:tc>
          <w:tcPr>
            <w:tcW w:w="6726" w:type="dxa"/>
            <w:vAlign w:val="bottom"/>
            <w:hideMark/>
          </w:tcPr>
          <w:p w:rsidR="00E60AEE" w:rsidRPr="004C5551" w:rsidRDefault="00E60AEE" w:rsidP="005308FD">
            <w:r w:rsidRPr="004C5551">
              <w:t>Špecializované zariadenie</w:t>
            </w:r>
          </w:p>
        </w:tc>
        <w:tc>
          <w:tcPr>
            <w:tcW w:w="2340" w:type="dxa"/>
            <w:shd w:val="clear" w:color="auto" w:fill="auto"/>
            <w:vAlign w:val="bottom"/>
          </w:tcPr>
          <w:p w:rsidR="00E60AEE" w:rsidRPr="004C5551" w:rsidRDefault="00E60AEE" w:rsidP="005308FD">
            <w:pPr>
              <w:ind w:right="774"/>
              <w:jc w:val="right"/>
            </w:pPr>
            <w:r w:rsidRPr="004C5551">
              <w:t>795</w:t>
            </w:r>
          </w:p>
        </w:tc>
        <w:tc>
          <w:tcPr>
            <w:tcW w:w="2340" w:type="dxa"/>
            <w:shd w:val="clear" w:color="auto" w:fill="auto"/>
            <w:vAlign w:val="bottom"/>
          </w:tcPr>
          <w:p w:rsidR="00E60AEE" w:rsidRPr="004C5551" w:rsidRDefault="00E60AEE" w:rsidP="005308FD">
            <w:pPr>
              <w:ind w:right="774"/>
              <w:jc w:val="right"/>
            </w:pPr>
            <w:r w:rsidRPr="004C5551">
              <w:t> </w:t>
            </w:r>
          </w:p>
        </w:tc>
      </w:tr>
      <w:tr w:rsidR="00E60AEE" w:rsidRPr="004C5551" w:rsidTr="00960E97">
        <w:trPr>
          <w:trHeight w:val="255"/>
          <w:jc w:val="center"/>
        </w:trPr>
        <w:tc>
          <w:tcPr>
            <w:tcW w:w="6726" w:type="dxa"/>
            <w:vAlign w:val="bottom"/>
            <w:hideMark/>
          </w:tcPr>
          <w:p w:rsidR="00E60AEE" w:rsidRPr="004C5551" w:rsidRDefault="00E60AEE" w:rsidP="005308FD">
            <w:r w:rsidRPr="004C5551">
              <w:t>Denný stacionár</w:t>
            </w:r>
          </w:p>
        </w:tc>
        <w:tc>
          <w:tcPr>
            <w:tcW w:w="2340" w:type="dxa"/>
            <w:shd w:val="clear" w:color="auto" w:fill="auto"/>
            <w:vAlign w:val="bottom"/>
          </w:tcPr>
          <w:p w:rsidR="00E60AEE" w:rsidRPr="004C5551" w:rsidRDefault="00E60AEE" w:rsidP="005308FD">
            <w:pPr>
              <w:ind w:right="774"/>
              <w:jc w:val="right"/>
            </w:pPr>
            <w:r w:rsidRPr="004C5551">
              <w:t>79</w:t>
            </w:r>
          </w:p>
        </w:tc>
        <w:tc>
          <w:tcPr>
            <w:tcW w:w="2340" w:type="dxa"/>
            <w:shd w:val="clear" w:color="auto" w:fill="auto"/>
            <w:vAlign w:val="bottom"/>
          </w:tcPr>
          <w:p w:rsidR="00E60AEE" w:rsidRPr="004C5551" w:rsidRDefault="00E60AEE" w:rsidP="005308FD">
            <w:pPr>
              <w:ind w:right="774"/>
              <w:jc w:val="right"/>
            </w:pPr>
            <w:r w:rsidRPr="004C5551">
              <w:t>6</w:t>
            </w:r>
          </w:p>
        </w:tc>
      </w:tr>
      <w:tr w:rsidR="00E60AEE" w:rsidRPr="004C5551" w:rsidTr="00960E97">
        <w:trPr>
          <w:trHeight w:val="255"/>
          <w:jc w:val="center"/>
        </w:trPr>
        <w:tc>
          <w:tcPr>
            <w:tcW w:w="6726" w:type="dxa"/>
            <w:vAlign w:val="bottom"/>
            <w:hideMark/>
          </w:tcPr>
          <w:p w:rsidR="00E60AEE" w:rsidRPr="004C5551" w:rsidRDefault="00E60AEE" w:rsidP="005308FD">
            <w:r w:rsidRPr="004C5551">
              <w:t>DSS pre deti s telesným postihnutím</w:t>
            </w:r>
          </w:p>
        </w:tc>
        <w:tc>
          <w:tcPr>
            <w:tcW w:w="2340" w:type="dxa"/>
            <w:shd w:val="clear" w:color="auto" w:fill="auto"/>
            <w:vAlign w:val="bottom"/>
          </w:tcPr>
          <w:p w:rsidR="00E60AEE" w:rsidRPr="004C5551" w:rsidRDefault="00E60AEE" w:rsidP="005308FD">
            <w:pPr>
              <w:ind w:right="774"/>
              <w:jc w:val="right"/>
            </w:pPr>
            <w:r w:rsidRPr="004C5551">
              <w:t>62</w:t>
            </w:r>
          </w:p>
        </w:tc>
        <w:tc>
          <w:tcPr>
            <w:tcW w:w="2340" w:type="dxa"/>
            <w:shd w:val="clear" w:color="auto" w:fill="auto"/>
            <w:vAlign w:val="bottom"/>
          </w:tcPr>
          <w:p w:rsidR="00E60AEE" w:rsidRPr="004C5551" w:rsidRDefault="00E60AEE" w:rsidP="005308FD">
            <w:pPr>
              <w:ind w:right="774"/>
              <w:jc w:val="right"/>
            </w:pPr>
            <w:r w:rsidRPr="004C5551">
              <w:t>698</w:t>
            </w:r>
          </w:p>
        </w:tc>
      </w:tr>
      <w:tr w:rsidR="00E60AEE" w:rsidRPr="004C5551" w:rsidTr="00960E97">
        <w:trPr>
          <w:trHeight w:val="480"/>
          <w:jc w:val="center"/>
        </w:trPr>
        <w:tc>
          <w:tcPr>
            <w:tcW w:w="6726" w:type="dxa"/>
            <w:vAlign w:val="bottom"/>
            <w:hideMark/>
          </w:tcPr>
          <w:p w:rsidR="00E60AEE" w:rsidRPr="004C5551" w:rsidRDefault="00E60AEE" w:rsidP="005308FD">
            <w:r w:rsidRPr="004C5551">
              <w:t>DSS pre deti s telesným postihnutím a duševnými poruchami</w:t>
            </w:r>
          </w:p>
          <w:p w:rsidR="00E60AEE" w:rsidRPr="004C5551" w:rsidRDefault="00E60AEE" w:rsidP="005308FD">
            <w:r w:rsidRPr="004C5551">
              <w:t xml:space="preserve"> a poruchami správania</w:t>
            </w:r>
          </w:p>
        </w:tc>
        <w:tc>
          <w:tcPr>
            <w:tcW w:w="2340" w:type="dxa"/>
            <w:shd w:val="clear" w:color="auto" w:fill="auto"/>
            <w:vAlign w:val="bottom"/>
          </w:tcPr>
          <w:p w:rsidR="00E60AEE" w:rsidRPr="004C5551" w:rsidRDefault="00E60AEE" w:rsidP="005308FD">
            <w:pPr>
              <w:ind w:right="774"/>
              <w:jc w:val="right"/>
            </w:pPr>
            <w:r w:rsidRPr="004C5551">
              <w:t>743</w:t>
            </w:r>
          </w:p>
        </w:tc>
        <w:tc>
          <w:tcPr>
            <w:tcW w:w="2340" w:type="dxa"/>
            <w:shd w:val="clear" w:color="auto" w:fill="auto"/>
            <w:vAlign w:val="bottom"/>
          </w:tcPr>
          <w:p w:rsidR="00E60AEE" w:rsidRPr="004C5551" w:rsidRDefault="00E60AEE" w:rsidP="005308FD">
            <w:pPr>
              <w:ind w:right="774"/>
              <w:jc w:val="right"/>
            </w:pPr>
            <w:r w:rsidRPr="004C5551">
              <w:t>63</w:t>
            </w:r>
          </w:p>
        </w:tc>
      </w:tr>
      <w:tr w:rsidR="00E60AEE" w:rsidRPr="004C5551" w:rsidTr="00960E97">
        <w:trPr>
          <w:trHeight w:val="270"/>
          <w:jc w:val="center"/>
        </w:trPr>
        <w:tc>
          <w:tcPr>
            <w:tcW w:w="6726" w:type="dxa"/>
            <w:vAlign w:val="bottom"/>
            <w:hideMark/>
          </w:tcPr>
          <w:p w:rsidR="00E60AEE" w:rsidRPr="004C5551" w:rsidRDefault="00E60AEE" w:rsidP="005308FD">
            <w:r w:rsidRPr="004C5551">
              <w:t>DSS pre deti s duševnými poruchami a poruchami správania</w:t>
            </w:r>
          </w:p>
        </w:tc>
        <w:tc>
          <w:tcPr>
            <w:tcW w:w="2340" w:type="dxa"/>
            <w:shd w:val="clear" w:color="auto" w:fill="auto"/>
            <w:vAlign w:val="bottom"/>
          </w:tcPr>
          <w:p w:rsidR="00E60AEE" w:rsidRPr="004C5551" w:rsidRDefault="00E60AEE" w:rsidP="005308FD">
            <w:pPr>
              <w:ind w:right="774"/>
              <w:jc w:val="right"/>
            </w:pPr>
            <w:r w:rsidRPr="004C5551">
              <w:t>43</w:t>
            </w:r>
          </w:p>
        </w:tc>
        <w:tc>
          <w:tcPr>
            <w:tcW w:w="2340" w:type="dxa"/>
            <w:shd w:val="clear" w:color="auto" w:fill="auto"/>
            <w:vAlign w:val="bottom"/>
          </w:tcPr>
          <w:p w:rsidR="00E60AEE" w:rsidRPr="004C5551" w:rsidRDefault="00E60AEE" w:rsidP="005308FD">
            <w:pPr>
              <w:ind w:right="774"/>
              <w:jc w:val="right"/>
            </w:pPr>
            <w:r w:rsidRPr="004C5551">
              <w:t>16</w:t>
            </w:r>
          </w:p>
        </w:tc>
      </w:tr>
      <w:tr w:rsidR="00E60AEE" w:rsidRPr="004C5551" w:rsidTr="00960E97">
        <w:trPr>
          <w:trHeight w:val="255"/>
          <w:jc w:val="center"/>
        </w:trPr>
        <w:tc>
          <w:tcPr>
            <w:tcW w:w="6726" w:type="dxa"/>
            <w:vAlign w:val="bottom"/>
            <w:hideMark/>
          </w:tcPr>
          <w:p w:rsidR="00E60AEE" w:rsidRPr="004C5551" w:rsidRDefault="00E60AEE" w:rsidP="005308FD">
            <w:r w:rsidRPr="004C5551">
              <w:t>zariadenie dočasnej starostlivosti o deti</w:t>
            </w:r>
          </w:p>
        </w:tc>
        <w:tc>
          <w:tcPr>
            <w:tcW w:w="2340" w:type="dxa"/>
            <w:shd w:val="clear" w:color="auto" w:fill="auto"/>
            <w:vAlign w:val="bottom"/>
          </w:tcPr>
          <w:p w:rsidR="00E60AEE" w:rsidRPr="004C5551" w:rsidRDefault="00E60AEE" w:rsidP="005308FD">
            <w:pPr>
              <w:ind w:right="774"/>
              <w:jc w:val="right"/>
            </w:pPr>
            <w:r w:rsidRPr="004C5551">
              <w:t>7</w:t>
            </w:r>
          </w:p>
        </w:tc>
        <w:tc>
          <w:tcPr>
            <w:tcW w:w="2340" w:type="dxa"/>
            <w:shd w:val="clear" w:color="auto" w:fill="auto"/>
            <w:vAlign w:val="bottom"/>
          </w:tcPr>
          <w:p w:rsidR="00E60AEE" w:rsidRPr="004C5551" w:rsidRDefault="00E60AEE" w:rsidP="005308FD">
            <w:pPr>
              <w:ind w:right="774"/>
              <w:jc w:val="right"/>
            </w:pPr>
            <w:r w:rsidRPr="004C5551">
              <w:t>170</w:t>
            </w:r>
          </w:p>
        </w:tc>
      </w:tr>
      <w:tr w:rsidR="00E60AEE" w:rsidRPr="004C5551" w:rsidTr="00960E97">
        <w:trPr>
          <w:trHeight w:val="255"/>
          <w:jc w:val="center"/>
        </w:trPr>
        <w:tc>
          <w:tcPr>
            <w:tcW w:w="6726" w:type="dxa"/>
            <w:vAlign w:val="bottom"/>
            <w:hideMark/>
          </w:tcPr>
          <w:p w:rsidR="00E60AEE" w:rsidRPr="004C5551" w:rsidRDefault="00E60AEE" w:rsidP="005308FD">
            <w:r w:rsidRPr="004C5551">
              <w:t>zariadenie podporovaného bývania</w:t>
            </w:r>
          </w:p>
        </w:tc>
        <w:tc>
          <w:tcPr>
            <w:tcW w:w="2340" w:type="dxa"/>
            <w:shd w:val="clear" w:color="auto" w:fill="auto"/>
            <w:vAlign w:val="bottom"/>
          </w:tcPr>
          <w:p w:rsidR="00E60AEE" w:rsidRPr="004C5551" w:rsidRDefault="00E60AEE" w:rsidP="005308FD">
            <w:pPr>
              <w:ind w:right="774"/>
              <w:jc w:val="right"/>
            </w:pPr>
            <w:r w:rsidRPr="004C5551">
              <w:t>134</w:t>
            </w:r>
          </w:p>
        </w:tc>
        <w:tc>
          <w:tcPr>
            <w:tcW w:w="2340" w:type="dxa"/>
            <w:shd w:val="clear" w:color="auto" w:fill="auto"/>
            <w:vAlign w:val="bottom"/>
          </w:tcPr>
          <w:p w:rsidR="00E60AEE" w:rsidRPr="004C5551" w:rsidRDefault="00E60AEE" w:rsidP="005308FD">
            <w:pPr>
              <w:ind w:right="774"/>
              <w:jc w:val="right"/>
            </w:pPr>
            <w:r w:rsidRPr="004C5551">
              <w:t>170</w:t>
            </w:r>
          </w:p>
        </w:tc>
      </w:tr>
      <w:tr w:rsidR="00E60AEE" w:rsidRPr="004C5551" w:rsidTr="00960E97">
        <w:trPr>
          <w:trHeight w:val="255"/>
          <w:jc w:val="center"/>
        </w:trPr>
        <w:tc>
          <w:tcPr>
            <w:tcW w:w="6726" w:type="dxa"/>
            <w:vAlign w:val="bottom"/>
            <w:hideMark/>
          </w:tcPr>
          <w:p w:rsidR="00E60AEE" w:rsidRPr="004C5551" w:rsidRDefault="00E60AEE" w:rsidP="005308FD">
            <w:r w:rsidRPr="004C5551">
              <w:t>zariadenie núdzového bývania</w:t>
            </w:r>
          </w:p>
        </w:tc>
        <w:tc>
          <w:tcPr>
            <w:tcW w:w="2340" w:type="dxa"/>
            <w:shd w:val="clear" w:color="auto" w:fill="auto"/>
            <w:vAlign w:val="bottom"/>
          </w:tcPr>
          <w:p w:rsidR="00E60AEE" w:rsidRPr="004C5551" w:rsidRDefault="00E60AEE" w:rsidP="005308FD">
            <w:pPr>
              <w:ind w:right="774"/>
              <w:jc w:val="right"/>
            </w:pPr>
            <w:r w:rsidRPr="004C5551">
              <w:t>169</w:t>
            </w:r>
          </w:p>
        </w:tc>
        <w:tc>
          <w:tcPr>
            <w:tcW w:w="2340" w:type="dxa"/>
            <w:shd w:val="clear" w:color="auto" w:fill="auto"/>
            <w:vAlign w:val="bottom"/>
          </w:tcPr>
          <w:p w:rsidR="00E60AEE" w:rsidRPr="004C5551" w:rsidRDefault="00E60AEE" w:rsidP="005308FD">
            <w:pPr>
              <w:ind w:right="774"/>
              <w:jc w:val="right"/>
            </w:pPr>
            <w:r w:rsidRPr="004C5551">
              <w:t>8</w:t>
            </w:r>
          </w:p>
        </w:tc>
      </w:tr>
      <w:tr w:rsidR="00E60AEE" w:rsidRPr="004C5551" w:rsidTr="00960E97">
        <w:trPr>
          <w:trHeight w:val="255"/>
          <w:jc w:val="center"/>
        </w:trPr>
        <w:tc>
          <w:tcPr>
            <w:tcW w:w="6726" w:type="dxa"/>
            <w:vAlign w:val="bottom"/>
            <w:hideMark/>
          </w:tcPr>
          <w:p w:rsidR="00E60AEE" w:rsidRPr="004C5551" w:rsidRDefault="00E60AEE" w:rsidP="005308FD">
            <w:r w:rsidRPr="004C5551">
              <w:t>útulky</w:t>
            </w:r>
          </w:p>
        </w:tc>
        <w:tc>
          <w:tcPr>
            <w:tcW w:w="2340" w:type="dxa"/>
            <w:shd w:val="clear" w:color="auto" w:fill="auto"/>
            <w:vAlign w:val="bottom"/>
          </w:tcPr>
          <w:p w:rsidR="00E60AEE" w:rsidRPr="004C5551" w:rsidRDefault="00E60AEE" w:rsidP="005308FD">
            <w:pPr>
              <w:ind w:right="774"/>
              <w:jc w:val="right"/>
            </w:pPr>
            <w:r w:rsidRPr="004C5551">
              <w:t>279</w:t>
            </w:r>
          </w:p>
        </w:tc>
        <w:tc>
          <w:tcPr>
            <w:tcW w:w="2340" w:type="dxa"/>
            <w:shd w:val="clear" w:color="auto" w:fill="auto"/>
            <w:vAlign w:val="bottom"/>
          </w:tcPr>
          <w:p w:rsidR="00E60AEE" w:rsidRPr="004C5551" w:rsidRDefault="00E60AEE" w:rsidP="005308FD">
            <w:pPr>
              <w:ind w:right="774"/>
              <w:jc w:val="right"/>
            </w:pPr>
            <w:r w:rsidRPr="004C5551">
              <w:t>282</w:t>
            </w:r>
          </w:p>
        </w:tc>
      </w:tr>
      <w:tr w:rsidR="00E60AEE" w:rsidRPr="004C5551" w:rsidTr="00960E97">
        <w:trPr>
          <w:trHeight w:val="255"/>
          <w:jc w:val="center"/>
        </w:trPr>
        <w:tc>
          <w:tcPr>
            <w:tcW w:w="6726" w:type="dxa"/>
            <w:vAlign w:val="bottom"/>
            <w:hideMark/>
          </w:tcPr>
          <w:p w:rsidR="00E60AEE" w:rsidRPr="004C5551" w:rsidRDefault="00E60AEE" w:rsidP="005308FD">
            <w:r w:rsidRPr="004C5551">
              <w:t>rehabilitačné strediská</w:t>
            </w:r>
          </w:p>
        </w:tc>
        <w:tc>
          <w:tcPr>
            <w:tcW w:w="2340" w:type="dxa"/>
            <w:shd w:val="clear" w:color="auto" w:fill="auto"/>
            <w:vAlign w:val="bottom"/>
          </w:tcPr>
          <w:p w:rsidR="00E60AEE" w:rsidRPr="004C5551" w:rsidRDefault="00E60AEE" w:rsidP="005308FD">
            <w:pPr>
              <w:ind w:right="774"/>
              <w:jc w:val="right"/>
            </w:pPr>
            <w:r w:rsidRPr="004C5551">
              <w:t>250</w:t>
            </w:r>
          </w:p>
        </w:tc>
        <w:tc>
          <w:tcPr>
            <w:tcW w:w="2340" w:type="dxa"/>
            <w:shd w:val="clear" w:color="auto" w:fill="auto"/>
            <w:vAlign w:val="bottom"/>
          </w:tcPr>
          <w:p w:rsidR="00E60AEE" w:rsidRPr="004C5551" w:rsidRDefault="00E60AEE" w:rsidP="005308FD">
            <w:pPr>
              <w:ind w:right="774"/>
              <w:jc w:val="right"/>
            </w:pPr>
            <w:r w:rsidRPr="004C5551">
              <w:t>229</w:t>
            </w:r>
          </w:p>
        </w:tc>
      </w:tr>
      <w:tr w:rsidR="00E60AEE" w:rsidRPr="004C5551" w:rsidTr="00960E97">
        <w:trPr>
          <w:trHeight w:val="255"/>
          <w:jc w:val="center"/>
        </w:trPr>
        <w:tc>
          <w:tcPr>
            <w:tcW w:w="6726" w:type="dxa"/>
            <w:vAlign w:val="bottom"/>
            <w:hideMark/>
          </w:tcPr>
          <w:p w:rsidR="00E60AEE" w:rsidRPr="004C5551" w:rsidRDefault="00E60AEE" w:rsidP="005308FD">
            <w:r w:rsidRPr="004C5551">
              <w:t>zariadenia opatrovateľskej služby</w:t>
            </w:r>
          </w:p>
        </w:tc>
        <w:tc>
          <w:tcPr>
            <w:tcW w:w="2340" w:type="dxa"/>
            <w:shd w:val="clear" w:color="auto" w:fill="auto"/>
            <w:vAlign w:val="bottom"/>
          </w:tcPr>
          <w:p w:rsidR="00E60AEE" w:rsidRPr="004C5551" w:rsidRDefault="00E60AEE" w:rsidP="005308FD">
            <w:pPr>
              <w:ind w:right="774"/>
              <w:jc w:val="right"/>
            </w:pPr>
            <w:r w:rsidRPr="004C5551">
              <w:t>896</w:t>
            </w:r>
          </w:p>
        </w:tc>
        <w:tc>
          <w:tcPr>
            <w:tcW w:w="2340" w:type="dxa"/>
            <w:shd w:val="clear" w:color="auto" w:fill="auto"/>
            <w:vAlign w:val="bottom"/>
          </w:tcPr>
          <w:p w:rsidR="00E60AEE" w:rsidRPr="004C5551" w:rsidRDefault="00E60AEE" w:rsidP="005308FD">
            <w:pPr>
              <w:ind w:right="774"/>
              <w:jc w:val="right"/>
            </w:pPr>
            <w:r w:rsidRPr="004C5551">
              <w:t>919</w:t>
            </w:r>
          </w:p>
        </w:tc>
      </w:tr>
      <w:tr w:rsidR="00E60AEE" w:rsidRPr="004C5551" w:rsidTr="00960E97">
        <w:trPr>
          <w:trHeight w:val="255"/>
          <w:jc w:val="center"/>
        </w:trPr>
        <w:tc>
          <w:tcPr>
            <w:tcW w:w="6726" w:type="dxa"/>
            <w:vAlign w:val="bottom"/>
            <w:hideMark/>
          </w:tcPr>
          <w:p w:rsidR="00E60AEE" w:rsidRPr="004C5551" w:rsidRDefault="00E60AEE" w:rsidP="005308FD">
            <w:r w:rsidRPr="004C5551">
              <w:t xml:space="preserve">nocľaháreň </w:t>
            </w:r>
          </w:p>
        </w:tc>
        <w:tc>
          <w:tcPr>
            <w:tcW w:w="2340" w:type="dxa"/>
            <w:shd w:val="clear" w:color="auto" w:fill="auto"/>
            <w:vAlign w:val="bottom"/>
          </w:tcPr>
          <w:p w:rsidR="00E60AEE" w:rsidRPr="004C5551" w:rsidRDefault="00E60AEE" w:rsidP="005308FD">
            <w:pPr>
              <w:ind w:right="774"/>
              <w:jc w:val="right"/>
            </w:pPr>
            <w:r w:rsidRPr="004C5551">
              <w:t>106</w:t>
            </w:r>
          </w:p>
        </w:tc>
        <w:tc>
          <w:tcPr>
            <w:tcW w:w="2340" w:type="dxa"/>
            <w:shd w:val="clear" w:color="auto" w:fill="auto"/>
            <w:vAlign w:val="bottom"/>
          </w:tcPr>
          <w:p w:rsidR="00E60AEE" w:rsidRPr="004C5551" w:rsidRDefault="00E60AEE" w:rsidP="005308FD">
            <w:pPr>
              <w:ind w:right="774"/>
              <w:jc w:val="right"/>
            </w:pPr>
            <w:r w:rsidRPr="004C5551">
              <w:t>102</w:t>
            </w:r>
          </w:p>
        </w:tc>
      </w:tr>
      <w:tr w:rsidR="00E60AEE" w:rsidRPr="004C5551" w:rsidTr="00960E97">
        <w:trPr>
          <w:trHeight w:val="270"/>
          <w:jc w:val="center"/>
        </w:trPr>
        <w:tc>
          <w:tcPr>
            <w:tcW w:w="6726" w:type="dxa"/>
            <w:vAlign w:val="bottom"/>
            <w:hideMark/>
          </w:tcPr>
          <w:p w:rsidR="00E60AEE" w:rsidRPr="004C5551" w:rsidRDefault="00E60AEE" w:rsidP="005308FD">
            <w:r w:rsidRPr="004C5551">
              <w:t>domov na pol ceste</w:t>
            </w:r>
          </w:p>
        </w:tc>
        <w:tc>
          <w:tcPr>
            <w:tcW w:w="2340" w:type="dxa"/>
            <w:shd w:val="clear" w:color="auto" w:fill="auto"/>
            <w:vAlign w:val="bottom"/>
          </w:tcPr>
          <w:p w:rsidR="00E60AEE" w:rsidRPr="004C5551" w:rsidRDefault="00E60AEE" w:rsidP="005308FD">
            <w:pPr>
              <w:ind w:right="774"/>
              <w:jc w:val="right"/>
            </w:pPr>
            <w:r w:rsidRPr="004C5551">
              <w:t>33</w:t>
            </w:r>
          </w:p>
        </w:tc>
        <w:tc>
          <w:tcPr>
            <w:tcW w:w="2340" w:type="dxa"/>
            <w:shd w:val="clear" w:color="auto" w:fill="auto"/>
            <w:vAlign w:val="bottom"/>
          </w:tcPr>
          <w:p w:rsidR="00E60AEE" w:rsidRPr="004C5551" w:rsidRDefault="00E60AEE" w:rsidP="005308FD">
            <w:pPr>
              <w:ind w:right="774"/>
              <w:jc w:val="right"/>
            </w:pPr>
            <w:r w:rsidRPr="004C5551">
              <w:t>37</w:t>
            </w:r>
          </w:p>
        </w:tc>
      </w:tr>
      <w:tr w:rsidR="00E60AEE" w:rsidRPr="004C5551" w:rsidTr="00960E97">
        <w:trPr>
          <w:trHeight w:val="270"/>
          <w:jc w:val="center"/>
        </w:trPr>
        <w:tc>
          <w:tcPr>
            <w:tcW w:w="6726" w:type="dxa"/>
            <w:vAlign w:val="bottom"/>
            <w:hideMark/>
          </w:tcPr>
          <w:p w:rsidR="00E60AEE" w:rsidRPr="004C5551" w:rsidRDefault="00E60AEE" w:rsidP="005308FD">
            <w:pPr>
              <w:rPr>
                <w:b/>
                <w:bCs/>
              </w:rPr>
            </w:pPr>
            <w:r w:rsidRPr="004C5551">
              <w:rPr>
                <w:b/>
                <w:bCs/>
              </w:rPr>
              <w:t>SPOLU</w:t>
            </w:r>
          </w:p>
        </w:tc>
        <w:tc>
          <w:tcPr>
            <w:tcW w:w="2340" w:type="dxa"/>
            <w:shd w:val="clear" w:color="auto" w:fill="auto"/>
            <w:noWrap/>
            <w:vAlign w:val="bottom"/>
          </w:tcPr>
          <w:p w:rsidR="00E60AEE" w:rsidRPr="004C5551" w:rsidRDefault="004A1760" w:rsidP="005308FD">
            <w:pPr>
              <w:ind w:right="774"/>
              <w:jc w:val="right"/>
              <w:rPr>
                <w:b/>
              </w:rPr>
            </w:pPr>
            <w:r w:rsidRPr="004C5551">
              <w:rPr>
                <w:b/>
              </w:rPr>
              <w:t>19 917</w:t>
            </w:r>
          </w:p>
        </w:tc>
        <w:tc>
          <w:tcPr>
            <w:tcW w:w="2340" w:type="dxa"/>
            <w:shd w:val="clear" w:color="auto" w:fill="auto"/>
            <w:noWrap/>
            <w:vAlign w:val="bottom"/>
          </w:tcPr>
          <w:p w:rsidR="00E60AEE" w:rsidRPr="004C5551" w:rsidRDefault="00E60AEE" w:rsidP="005308FD">
            <w:pPr>
              <w:ind w:right="774"/>
              <w:jc w:val="right"/>
              <w:rPr>
                <w:b/>
              </w:rPr>
            </w:pPr>
            <w:r w:rsidRPr="004C5551">
              <w:rPr>
                <w:b/>
              </w:rPr>
              <w:t>20 409</w:t>
            </w:r>
          </w:p>
        </w:tc>
      </w:tr>
    </w:tbl>
    <w:p w:rsidR="0084617B" w:rsidRPr="004C5551" w:rsidRDefault="0084617B" w:rsidP="00C40E9C">
      <w:pPr>
        <w:pStyle w:val="zdroj"/>
        <w:spacing w:after="0"/>
        <w:ind w:left="709"/>
        <w:rPr>
          <w:color w:val="auto"/>
          <w:lang w:eastAsia="cs-CZ"/>
        </w:rPr>
      </w:pPr>
      <w:r w:rsidRPr="004C5551">
        <w:rPr>
          <w:color w:val="auto"/>
          <w:lang w:eastAsia="cs-CZ"/>
        </w:rPr>
        <w:t xml:space="preserve">Zdroj: Vybrané údaje Štatistického úradu SR </w:t>
      </w:r>
      <w:r w:rsidR="00E52DFA" w:rsidRPr="004C5551">
        <w:rPr>
          <w:color w:val="000000" w:themeColor="text1"/>
        </w:rPr>
        <w:t>–</w:t>
      </w:r>
      <w:r w:rsidRPr="004C5551">
        <w:rPr>
          <w:color w:val="auto"/>
          <w:lang w:eastAsia="cs-CZ"/>
        </w:rPr>
        <w:t xml:space="preserve"> Zariadenia sociálnych služieb v SR</w:t>
      </w:r>
    </w:p>
    <w:p w:rsidR="0084617B" w:rsidRPr="004C5551" w:rsidRDefault="0084617B" w:rsidP="005245FE">
      <w:pPr>
        <w:pStyle w:val="zdroj"/>
        <w:spacing w:before="0"/>
        <w:ind w:firstLine="1276"/>
        <w:rPr>
          <w:b/>
        </w:rPr>
      </w:pPr>
      <w:r w:rsidRPr="004C5551">
        <w:rPr>
          <w:b/>
        </w:rPr>
        <w:br w:type="page"/>
      </w:r>
    </w:p>
    <w:p w:rsidR="0084617B" w:rsidRPr="004C5551" w:rsidRDefault="0084617B" w:rsidP="0084617B">
      <w:pPr>
        <w:pStyle w:val="Nadpis7"/>
      </w:pPr>
      <w:r w:rsidRPr="004C5551">
        <w:t>Tabuľka 2</w:t>
      </w:r>
      <w:r w:rsidR="003F4ED2" w:rsidRPr="004C5551">
        <w:t>7</w:t>
      </w:r>
      <w:r w:rsidRPr="004C5551">
        <w:t xml:space="preserve"> Vybrané zariadenia sociálnych služieb zriadené alebo založené obcou alebo vyšším územným celkom</w:t>
      </w:r>
    </w:p>
    <w:tbl>
      <w:tblPr>
        <w:tblW w:w="1349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gridCol w:w="1701"/>
        <w:gridCol w:w="1634"/>
        <w:gridCol w:w="1824"/>
        <w:gridCol w:w="1825"/>
        <w:gridCol w:w="1825"/>
      </w:tblGrid>
      <w:tr w:rsidR="007B3CD5" w:rsidRPr="004C5551" w:rsidTr="007B3CD5">
        <w:trPr>
          <w:trHeight w:val="1027"/>
        </w:trPr>
        <w:tc>
          <w:tcPr>
            <w:tcW w:w="4688" w:type="dxa"/>
            <w:shd w:val="clear" w:color="auto" w:fill="FF9999" w:themeFill="accent3" w:themeFillTint="66"/>
            <w:vAlign w:val="center"/>
            <w:hideMark/>
          </w:tcPr>
          <w:p w:rsidR="007B3CD5" w:rsidRPr="004C5551" w:rsidRDefault="007B3CD5" w:rsidP="007B3CD5">
            <w:pPr>
              <w:jc w:val="center"/>
              <w:rPr>
                <w:b/>
                <w:bCs/>
              </w:rPr>
            </w:pPr>
            <w:r w:rsidRPr="004C5551">
              <w:rPr>
                <w:b/>
                <w:bCs/>
              </w:rPr>
              <w:t>Poskytovatelia sociálnych služieb zriadení alebo založení obcou alebo vyšším územným celkom k 31. 12. 2014</w:t>
            </w:r>
          </w:p>
        </w:tc>
        <w:tc>
          <w:tcPr>
            <w:tcW w:w="1701" w:type="dxa"/>
            <w:shd w:val="clear" w:color="auto" w:fill="FF9999" w:themeFill="accent3" w:themeFillTint="66"/>
            <w:vAlign w:val="center"/>
            <w:hideMark/>
          </w:tcPr>
          <w:p w:rsidR="007B3CD5" w:rsidRPr="004C5551" w:rsidRDefault="007B3CD5" w:rsidP="007B3CD5">
            <w:pPr>
              <w:jc w:val="center"/>
              <w:rPr>
                <w:b/>
                <w:bCs/>
              </w:rPr>
            </w:pPr>
            <w:r w:rsidRPr="004C5551">
              <w:rPr>
                <w:b/>
                <w:bCs/>
              </w:rPr>
              <w:t>Počet poskytovateľov</w:t>
            </w:r>
          </w:p>
        </w:tc>
        <w:tc>
          <w:tcPr>
            <w:tcW w:w="1634" w:type="dxa"/>
            <w:shd w:val="clear" w:color="auto" w:fill="FF9999" w:themeFill="accent3" w:themeFillTint="66"/>
            <w:vAlign w:val="center"/>
            <w:hideMark/>
          </w:tcPr>
          <w:p w:rsidR="007B3CD5" w:rsidRPr="004C5551" w:rsidRDefault="007B3CD5" w:rsidP="007B3CD5">
            <w:pPr>
              <w:jc w:val="center"/>
              <w:rPr>
                <w:b/>
                <w:bCs/>
              </w:rPr>
            </w:pPr>
            <w:r w:rsidRPr="004C5551">
              <w:rPr>
                <w:b/>
                <w:bCs/>
              </w:rPr>
              <w:t>Počet klientov</w:t>
            </w:r>
          </w:p>
        </w:tc>
        <w:tc>
          <w:tcPr>
            <w:tcW w:w="1824" w:type="dxa"/>
            <w:shd w:val="clear" w:color="auto" w:fill="FF9999" w:themeFill="accent3" w:themeFillTint="66"/>
            <w:vAlign w:val="center"/>
            <w:hideMark/>
          </w:tcPr>
          <w:p w:rsidR="007B3CD5" w:rsidRPr="004C5551" w:rsidRDefault="007B3CD5" w:rsidP="007B3CD5">
            <w:pPr>
              <w:jc w:val="center"/>
              <w:rPr>
                <w:b/>
                <w:bCs/>
              </w:rPr>
            </w:pPr>
            <w:r w:rsidRPr="004C5551">
              <w:rPr>
                <w:b/>
                <w:bCs/>
              </w:rPr>
              <w:t>Zamestnanci poskytovateľov (v prepočítaných stavoch)</w:t>
            </w:r>
          </w:p>
        </w:tc>
        <w:tc>
          <w:tcPr>
            <w:tcW w:w="1825" w:type="dxa"/>
            <w:shd w:val="clear" w:color="auto" w:fill="FF9999" w:themeFill="accent3" w:themeFillTint="66"/>
            <w:vAlign w:val="center"/>
            <w:hideMark/>
          </w:tcPr>
          <w:p w:rsidR="007B3CD5" w:rsidRPr="004C5551" w:rsidRDefault="007B3CD5" w:rsidP="007B3CD5">
            <w:pPr>
              <w:jc w:val="center"/>
              <w:rPr>
                <w:b/>
                <w:bCs/>
              </w:rPr>
            </w:pPr>
            <w:r w:rsidRPr="004C5551">
              <w:rPr>
                <w:b/>
                <w:bCs/>
              </w:rPr>
              <w:t xml:space="preserve">Príjmy poskytovateľov (v </w:t>
            </w:r>
            <w:r w:rsidR="00A96FDE" w:rsidRPr="004C5551">
              <w:rPr>
                <w:b/>
                <w:bCs/>
              </w:rPr>
              <w:t>€</w:t>
            </w:r>
            <w:r w:rsidRPr="004C5551">
              <w:rPr>
                <w:b/>
                <w:bCs/>
              </w:rPr>
              <w:t>)</w:t>
            </w:r>
          </w:p>
        </w:tc>
        <w:tc>
          <w:tcPr>
            <w:tcW w:w="1825" w:type="dxa"/>
            <w:shd w:val="clear" w:color="auto" w:fill="FF9999" w:themeFill="accent3" w:themeFillTint="66"/>
            <w:vAlign w:val="center"/>
            <w:hideMark/>
          </w:tcPr>
          <w:p w:rsidR="007B3CD5" w:rsidRPr="004C5551" w:rsidRDefault="007B3CD5" w:rsidP="007B3CD5">
            <w:pPr>
              <w:jc w:val="center"/>
              <w:rPr>
                <w:b/>
                <w:bCs/>
              </w:rPr>
            </w:pPr>
            <w:r w:rsidRPr="004C5551">
              <w:rPr>
                <w:b/>
                <w:bCs/>
              </w:rPr>
              <w:t xml:space="preserve">Výdavky poskytovateľov (v </w:t>
            </w:r>
            <w:r w:rsidR="00A96FDE" w:rsidRPr="004C5551">
              <w:rPr>
                <w:b/>
                <w:bCs/>
              </w:rPr>
              <w:t>€</w:t>
            </w:r>
            <w:r w:rsidRPr="004C5551">
              <w:rPr>
                <w:b/>
                <w:bCs/>
              </w:rPr>
              <w:t>)</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nízkoprahové denné centrum</w:t>
            </w:r>
          </w:p>
        </w:tc>
        <w:tc>
          <w:tcPr>
            <w:tcW w:w="1701" w:type="dxa"/>
            <w:vAlign w:val="center"/>
          </w:tcPr>
          <w:p w:rsidR="007B3CD5" w:rsidRPr="004C5551" w:rsidRDefault="007B3CD5" w:rsidP="007B3CD5">
            <w:pPr>
              <w:ind w:right="774"/>
              <w:jc w:val="right"/>
            </w:pPr>
            <w:r w:rsidRPr="004C5551">
              <w:t>8</w:t>
            </w:r>
          </w:p>
        </w:tc>
        <w:tc>
          <w:tcPr>
            <w:tcW w:w="1634" w:type="dxa"/>
            <w:vAlign w:val="center"/>
          </w:tcPr>
          <w:p w:rsidR="007B3CD5" w:rsidRPr="004C5551" w:rsidRDefault="007B3CD5" w:rsidP="007B3CD5">
            <w:pPr>
              <w:ind w:right="774"/>
              <w:jc w:val="right"/>
            </w:pPr>
            <w:r w:rsidRPr="004C5551">
              <w:t>216</w:t>
            </w:r>
          </w:p>
        </w:tc>
        <w:tc>
          <w:tcPr>
            <w:tcW w:w="1824" w:type="dxa"/>
            <w:vAlign w:val="center"/>
          </w:tcPr>
          <w:p w:rsidR="007B3CD5" w:rsidRPr="004C5551" w:rsidRDefault="007B3CD5" w:rsidP="007B3CD5">
            <w:pPr>
              <w:ind w:right="774"/>
              <w:jc w:val="right"/>
            </w:pPr>
            <w:r w:rsidRPr="004C5551">
              <w:t>9</w:t>
            </w:r>
          </w:p>
        </w:tc>
        <w:tc>
          <w:tcPr>
            <w:tcW w:w="1825" w:type="dxa"/>
            <w:vAlign w:val="center"/>
          </w:tcPr>
          <w:p w:rsidR="007B3CD5" w:rsidRPr="004C5551" w:rsidRDefault="007B3CD5" w:rsidP="000720BE">
            <w:pPr>
              <w:ind w:right="535"/>
              <w:jc w:val="right"/>
            </w:pPr>
            <w:r w:rsidRPr="004C5551">
              <w:t>17 240</w:t>
            </w:r>
          </w:p>
        </w:tc>
        <w:tc>
          <w:tcPr>
            <w:tcW w:w="1825" w:type="dxa"/>
            <w:vAlign w:val="center"/>
          </w:tcPr>
          <w:p w:rsidR="007B3CD5" w:rsidRPr="004C5551" w:rsidRDefault="007B3CD5" w:rsidP="000720BE">
            <w:pPr>
              <w:ind w:right="517"/>
              <w:jc w:val="right"/>
            </w:pPr>
            <w:r w:rsidRPr="004C5551">
              <w:t>61 903</w:t>
            </w:r>
          </w:p>
        </w:tc>
      </w:tr>
      <w:tr w:rsidR="007B3CD5" w:rsidRPr="004C5551" w:rsidTr="007B3CD5">
        <w:trPr>
          <w:trHeight w:val="546"/>
        </w:trPr>
        <w:tc>
          <w:tcPr>
            <w:tcW w:w="4688" w:type="dxa"/>
            <w:vAlign w:val="bottom"/>
            <w:hideMark/>
          </w:tcPr>
          <w:p w:rsidR="007B3CD5" w:rsidRPr="004C5551" w:rsidRDefault="007B3CD5" w:rsidP="007B3CD5">
            <w:pPr>
              <w:jc w:val="left"/>
            </w:pPr>
            <w:r w:rsidRPr="004C5551">
              <w:t>pomoc pri osobnej starostlivosti o dieťa a podpora zosúlaďovania osobného a pracovného života</w:t>
            </w:r>
          </w:p>
        </w:tc>
        <w:tc>
          <w:tcPr>
            <w:tcW w:w="1701" w:type="dxa"/>
            <w:vAlign w:val="center"/>
          </w:tcPr>
          <w:p w:rsidR="007B3CD5" w:rsidRPr="004C5551" w:rsidRDefault="007B3CD5" w:rsidP="007B3CD5">
            <w:pPr>
              <w:ind w:right="774"/>
              <w:jc w:val="right"/>
            </w:pPr>
            <w:r w:rsidRPr="004C5551">
              <w:t>3</w:t>
            </w:r>
          </w:p>
        </w:tc>
        <w:tc>
          <w:tcPr>
            <w:tcW w:w="1634" w:type="dxa"/>
            <w:vAlign w:val="center"/>
          </w:tcPr>
          <w:p w:rsidR="007B3CD5" w:rsidRPr="004C5551" w:rsidRDefault="007B3CD5" w:rsidP="007B3CD5">
            <w:pPr>
              <w:ind w:right="774"/>
              <w:jc w:val="right"/>
            </w:pPr>
            <w:r w:rsidRPr="004C5551">
              <w:t>3</w:t>
            </w:r>
          </w:p>
        </w:tc>
        <w:tc>
          <w:tcPr>
            <w:tcW w:w="1824" w:type="dxa"/>
            <w:vAlign w:val="center"/>
          </w:tcPr>
          <w:p w:rsidR="007B3CD5" w:rsidRPr="004C5551" w:rsidRDefault="007B3CD5" w:rsidP="007B3CD5">
            <w:pPr>
              <w:ind w:right="774"/>
              <w:jc w:val="right"/>
            </w:pPr>
            <w:r w:rsidRPr="004C5551">
              <w:t>2</w:t>
            </w:r>
          </w:p>
        </w:tc>
        <w:tc>
          <w:tcPr>
            <w:tcW w:w="1825" w:type="dxa"/>
            <w:vAlign w:val="center"/>
          </w:tcPr>
          <w:p w:rsidR="007B3CD5" w:rsidRPr="004C5551" w:rsidRDefault="007B3CD5" w:rsidP="000720BE">
            <w:pPr>
              <w:ind w:right="535"/>
              <w:jc w:val="right"/>
            </w:pPr>
            <w:r w:rsidRPr="004C5551">
              <w:t>13 594</w:t>
            </w:r>
          </w:p>
        </w:tc>
        <w:tc>
          <w:tcPr>
            <w:tcW w:w="1825" w:type="dxa"/>
            <w:vAlign w:val="center"/>
          </w:tcPr>
          <w:p w:rsidR="007B3CD5" w:rsidRPr="004C5551" w:rsidRDefault="007B3CD5" w:rsidP="000720BE">
            <w:pPr>
              <w:ind w:right="517"/>
              <w:jc w:val="right"/>
            </w:pPr>
            <w:r w:rsidRPr="004C5551">
              <w:t>11 716</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zariadenie dočasnej starostlivosti o deti</w:t>
            </w:r>
          </w:p>
        </w:tc>
        <w:tc>
          <w:tcPr>
            <w:tcW w:w="1701" w:type="dxa"/>
            <w:vAlign w:val="center"/>
          </w:tcPr>
          <w:p w:rsidR="007B3CD5" w:rsidRPr="004C5551" w:rsidRDefault="007B3CD5" w:rsidP="007B3CD5">
            <w:pPr>
              <w:ind w:right="774"/>
              <w:jc w:val="right"/>
            </w:pPr>
            <w:r w:rsidRPr="004C5551">
              <w:t>1</w:t>
            </w:r>
          </w:p>
        </w:tc>
        <w:tc>
          <w:tcPr>
            <w:tcW w:w="1634" w:type="dxa"/>
            <w:vAlign w:val="center"/>
          </w:tcPr>
          <w:p w:rsidR="007B3CD5" w:rsidRPr="004C5551" w:rsidRDefault="007B3CD5" w:rsidP="007B3CD5">
            <w:pPr>
              <w:ind w:right="774"/>
              <w:jc w:val="right"/>
            </w:pPr>
            <w:r w:rsidRPr="004C5551">
              <w:t>2</w:t>
            </w:r>
          </w:p>
        </w:tc>
        <w:tc>
          <w:tcPr>
            <w:tcW w:w="1824" w:type="dxa"/>
            <w:vAlign w:val="center"/>
          </w:tcPr>
          <w:p w:rsidR="007B3CD5" w:rsidRPr="004C5551" w:rsidRDefault="007B3CD5" w:rsidP="007B3CD5">
            <w:pPr>
              <w:ind w:right="774"/>
              <w:jc w:val="right"/>
            </w:pPr>
            <w:r w:rsidRPr="004C5551">
              <w:t>2</w:t>
            </w:r>
          </w:p>
        </w:tc>
        <w:tc>
          <w:tcPr>
            <w:tcW w:w="1825" w:type="dxa"/>
            <w:vAlign w:val="center"/>
          </w:tcPr>
          <w:p w:rsidR="007B3CD5" w:rsidRPr="004C5551" w:rsidRDefault="007B3CD5" w:rsidP="000720BE">
            <w:pPr>
              <w:ind w:right="535"/>
              <w:jc w:val="right"/>
            </w:pPr>
            <w:r w:rsidRPr="004C5551">
              <w:t>26 783</w:t>
            </w:r>
          </w:p>
        </w:tc>
        <w:tc>
          <w:tcPr>
            <w:tcW w:w="1825" w:type="dxa"/>
            <w:vAlign w:val="center"/>
          </w:tcPr>
          <w:p w:rsidR="007B3CD5" w:rsidRPr="004C5551" w:rsidRDefault="007B3CD5" w:rsidP="000720BE">
            <w:pPr>
              <w:ind w:right="517"/>
              <w:jc w:val="right"/>
            </w:pPr>
            <w:r w:rsidRPr="004C5551">
              <w:t>26 225</w:t>
            </w:r>
          </w:p>
        </w:tc>
      </w:tr>
      <w:tr w:rsidR="007B3CD5" w:rsidRPr="004C5551" w:rsidTr="007B3CD5">
        <w:trPr>
          <w:trHeight w:val="302"/>
        </w:trPr>
        <w:tc>
          <w:tcPr>
            <w:tcW w:w="4688" w:type="dxa"/>
            <w:vAlign w:val="bottom"/>
            <w:hideMark/>
          </w:tcPr>
          <w:p w:rsidR="007B3CD5" w:rsidRPr="004C5551" w:rsidRDefault="007B3CD5" w:rsidP="007B3CD5">
            <w:pPr>
              <w:jc w:val="left"/>
            </w:pPr>
            <w:proofErr w:type="spellStart"/>
            <w:r w:rsidRPr="004C5551">
              <w:t>nízkoprahová</w:t>
            </w:r>
            <w:proofErr w:type="spellEnd"/>
            <w:r w:rsidRPr="004C5551">
              <w:t xml:space="preserve"> sociálna služba pre deti a rodinu</w:t>
            </w:r>
          </w:p>
        </w:tc>
        <w:tc>
          <w:tcPr>
            <w:tcW w:w="1701" w:type="dxa"/>
            <w:vAlign w:val="center"/>
          </w:tcPr>
          <w:p w:rsidR="007B3CD5" w:rsidRPr="004C5551" w:rsidRDefault="007B3CD5" w:rsidP="007B3CD5">
            <w:pPr>
              <w:ind w:right="774"/>
              <w:jc w:val="right"/>
            </w:pPr>
            <w:r w:rsidRPr="004C5551">
              <w:t>14</w:t>
            </w:r>
          </w:p>
        </w:tc>
        <w:tc>
          <w:tcPr>
            <w:tcW w:w="1634" w:type="dxa"/>
            <w:vAlign w:val="center"/>
          </w:tcPr>
          <w:p w:rsidR="007B3CD5" w:rsidRPr="004C5551" w:rsidRDefault="007B3CD5" w:rsidP="007B3CD5">
            <w:pPr>
              <w:ind w:right="774"/>
              <w:jc w:val="right"/>
            </w:pPr>
            <w:r w:rsidRPr="004C5551">
              <w:t>2 209</w:t>
            </w:r>
          </w:p>
        </w:tc>
        <w:tc>
          <w:tcPr>
            <w:tcW w:w="1824" w:type="dxa"/>
            <w:vAlign w:val="center"/>
          </w:tcPr>
          <w:p w:rsidR="007B3CD5" w:rsidRPr="004C5551" w:rsidRDefault="007B3CD5" w:rsidP="007B3CD5">
            <w:pPr>
              <w:ind w:right="774"/>
              <w:jc w:val="right"/>
            </w:pPr>
            <w:r w:rsidRPr="004C5551">
              <w:t>45</w:t>
            </w:r>
          </w:p>
        </w:tc>
        <w:tc>
          <w:tcPr>
            <w:tcW w:w="1825" w:type="dxa"/>
            <w:vAlign w:val="center"/>
          </w:tcPr>
          <w:p w:rsidR="007B3CD5" w:rsidRPr="004C5551" w:rsidRDefault="007B3CD5" w:rsidP="000720BE">
            <w:pPr>
              <w:ind w:right="535"/>
              <w:jc w:val="right"/>
            </w:pPr>
            <w:r w:rsidRPr="004C5551">
              <w:t>126 213</w:t>
            </w:r>
          </w:p>
        </w:tc>
        <w:tc>
          <w:tcPr>
            <w:tcW w:w="1825" w:type="dxa"/>
            <w:vAlign w:val="center"/>
          </w:tcPr>
          <w:p w:rsidR="007B3CD5" w:rsidRPr="004C5551" w:rsidRDefault="007B3CD5" w:rsidP="000720BE">
            <w:pPr>
              <w:ind w:right="517"/>
              <w:jc w:val="right"/>
            </w:pPr>
            <w:r w:rsidRPr="004C5551">
              <w:t>242 699</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sprievodcovská a predčitateľská služba</w:t>
            </w:r>
          </w:p>
        </w:tc>
        <w:tc>
          <w:tcPr>
            <w:tcW w:w="1701" w:type="dxa"/>
            <w:vAlign w:val="center"/>
          </w:tcPr>
          <w:p w:rsidR="007B3CD5" w:rsidRPr="004C5551" w:rsidRDefault="007B3CD5" w:rsidP="007B3CD5">
            <w:pPr>
              <w:ind w:right="774"/>
              <w:jc w:val="right"/>
            </w:pPr>
            <w:r w:rsidRPr="004C5551">
              <w:t>0</w:t>
            </w:r>
          </w:p>
        </w:tc>
        <w:tc>
          <w:tcPr>
            <w:tcW w:w="1634" w:type="dxa"/>
            <w:vAlign w:val="center"/>
          </w:tcPr>
          <w:p w:rsidR="007B3CD5" w:rsidRPr="004C5551" w:rsidRDefault="007B3CD5" w:rsidP="007B3CD5">
            <w:pPr>
              <w:ind w:right="774"/>
              <w:jc w:val="right"/>
            </w:pPr>
            <w:r w:rsidRPr="004C5551">
              <w:t>0</w:t>
            </w:r>
          </w:p>
        </w:tc>
        <w:tc>
          <w:tcPr>
            <w:tcW w:w="1824" w:type="dxa"/>
            <w:vAlign w:val="center"/>
          </w:tcPr>
          <w:p w:rsidR="007B3CD5" w:rsidRPr="004C5551" w:rsidRDefault="007B3CD5" w:rsidP="007B3CD5">
            <w:pPr>
              <w:ind w:right="774"/>
              <w:jc w:val="right"/>
            </w:pPr>
            <w:r w:rsidRPr="004C5551">
              <w:t>0</w:t>
            </w:r>
          </w:p>
        </w:tc>
        <w:tc>
          <w:tcPr>
            <w:tcW w:w="1825" w:type="dxa"/>
            <w:vAlign w:val="center"/>
          </w:tcPr>
          <w:p w:rsidR="007B3CD5" w:rsidRPr="004C5551" w:rsidRDefault="007B3CD5" w:rsidP="000720BE">
            <w:pPr>
              <w:ind w:right="535"/>
              <w:jc w:val="right"/>
            </w:pPr>
            <w:r w:rsidRPr="004C5551">
              <w:t>0</w:t>
            </w:r>
          </w:p>
        </w:tc>
        <w:tc>
          <w:tcPr>
            <w:tcW w:w="1825" w:type="dxa"/>
            <w:vAlign w:val="center"/>
          </w:tcPr>
          <w:p w:rsidR="007B3CD5" w:rsidRPr="004C5551" w:rsidRDefault="007B3CD5" w:rsidP="000720BE">
            <w:pPr>
              <w:ind w:right="517"/>
              <w:jc w:val="right"/>
            </w:pPr>
            <w:r w:rsidRPr="004C5551">
              <w:t>0</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tlmočnícka služba</w:t>
            </w:r>
          </w:p>
        </w:tc>
        <w:tc>
          <w:tcPr>
            <w:tcW w:w="1701" w:type="dxa"/>
            <w:vAlign w:val="center"/>
          </w:tcPr>
          <w:p w:rsidR="007B3CD5" w:rsidRPr="004C5551" w:rsidRDefault="007B3CD5" w:rsidP="007B3CD5">
            <w:pPr>
              <w:ind w:right="774"/>
              <w:jc w:val="right"/>
            </w:pPr>
            <w:r w:rsidRPr="004C5551">
              <w:t>0</w:t>
            </w:r>
          </w:p>
        </w:tc>
        <w:tc>
          <w:tcPr>
            <w:tcW w:w="1634" w:type="dxa"/>
            <w:vAlign w:val="center"/>
          </w:tcPr>
          <w:p w:rsidR="007B3CD5" w:rsidRPr="004C5551" w:rsidRDefault="007B3CD5" w:rsidP="007B3CD5">
            <w:pPr>
              <w:ind w:right="774"/>
              <w:jc w:val="right"/>
            </w:pPr>
            <w:r w:rsidRPr="004C5551">
              <w:t>0</w:t>
            </w:r>
          </w:p>
        </w:tc>
        <w:tc>
          <w:tcPr>
            <w:tcW w:w="1824" w:type="dxa"/>
            <w:vAlign w:val="center"/>
          </w:tcPr>
          <w:p w:rsidR="007B3CD5" w:rsidRPr="004C5551" w:rsidRDefault="007B3CD5" w:rsidP="007B3CD5">
            <w:pPr>
              <w:ind w:right="774"/>
              <w:jc w:val="right"/>
            </w:pPr>
            <w:r w:rsidRPr="004C5551">
              <w:t>0</w:t>
            </w:r>
          </w:p>
        </w:tc>
        <w:tc>
          <w:tcPr>
            <w:tcW w:w="1825" w:type="dxa"/>
            <w:vAlign w:val="center"/>
          </w:tcPr>
          <w:p w:rsidR="007B3CD5" w:rsidRPr="004C5551" w:rsidRDefault="007B3CD5" w:rsidP="000720BE">
            <w:pPr>
              <w:ind w:right="535"/>
              <w:jc w:val="right"/>
            </w:pPr>
            <w:r w:rsidRPr="004C5551">
              <w:t>0</w:t>
            </w:r>
          </w:p>
        </w:tc>
        <w:tc>
          <w:tcPr>
            <w:tcW w:w="1825" w:type="dxa"/>
            <w:vAlign w:val="center"/>
          </w:tcPr>
          <w:p w:rsidR="007B3CD5" w:rsidRPr="004C5551" w:rsidRDefault="007B3CD5" w:rsidP="000720BE">
            <w:pPr>
              <w:ind w:right="517"/>
              <w:jc w:val="right"/>
            </w:pPr>
            <w:r w:rsidRPr="004C5551">
              <w:t>0</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sprostredkovanie tlmočníckej služby</w:t>
            </w:r>
          </w:p>
        </w:tc>
        <w:tc>
          <w:tcPr>
            <w:tcW w:w="1701" w:type="dxa"/>
            <w:vAlign w:val="center"/>
          </w:tcPr>
          <w:p w:rsidR="007B3CD5" w:rsidRPr="004C5551" w:rsidRDefault="007B3CD5" w:rsidP="007B3CD5">
            <w:pPr>
              <w:ind w:right="774"/>
              <w:jc w:val="right"/>
            </w:pPr>
            <w:r w:rsidRPr="004C5551">
              <w:t>0</w:t>
            </w:r>
          </w:p>
        </w:tc>
        <w:tc>
          <w:tcPr>
            <w:tcW w:w="1634" w:type="dxa"/>
            <w:vAlign w:val="center"/>
          </w:tcPr>
          <w:p w:rsidR="007B3CD5" w:rsidRPr="004C5551" w:rsidRDefault="007B3CD5" w:rsidP="007B3CD5">
            <w:pPr>
              <w:ind w:right="774"/>
              <w:jc w:val="right"/>
            </w:pPr>
            <w:r w:rsidRPr="004C5551">
              <w:t>0</w:t>
            </w:r>
          </w:p>
        </w:tc>
        <w:tc>
          <w:tcPr>
            <w:tcW w:w="1824" w:type="dxa"/>
            <w:vAlign w:val="center"/>
          </w:tcPr>
          <w:p w:rsidR="007B3CD5" w:rsidRPr="004C5551" w:rsidRDefault="007B3CD5" w:rsidP="007B3CD5">
            <w:pPr>
              <w:ind w:right="774"/>
              <w:jc w:val="right"/>
            </w:pPr>
            <w:r w:rsidRPr="004C5551">
              <w:t>0</w:t>
            </w:r>
          </w:p>
        </w:tc>
        <w:tc>
          <w:tcPr>
            <w:tcW w:w="1825" w:type="dxa"/>
            <w:vAlign w:val="center"/>
          </w:tcPr>
          <w:p w:rsidR="007B3CD5" w:rsidRPr="004C5551" w:rsidRDefault="007B3CD5" w:rsidP="000720BE">
            <w:pPr>
              <w:ind w:right="535"/>
              <w:jc w:val="right"/>
            </w:pPr>
            <w:r w:rsidRPr="004C5551">
              <w:t>0</w:t>
            </w:r>
          </w:p>
        </w:tc>
        <w:tc>
          <w:tcPr>
            <w:tcW w:w="1825" w:type="dxa"/>
            <w:vAlign w:val="center"/>
          </w:tcPr>
          <w:p w:rsidR="007B3CD5" w:rsidRPr="004C5551" w:rsidRDefault="007B3CD5" w:rsidP="000720BE">
            <w:pPr>
              <w:ind w:right="517"/>
              <w:jc w:val="right"/>
            </w:pPr>
            <w:r w:rsidRPr="004C5551">
              <w:t>0</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sprostredkovanie osobnej asistencie</w:t>
            </w:r>
          </w:p>
        </w:tc>
        <w:tc>
          <w:tcPr>
            <w:tcW w:w="1701" w:type="dxa"/>
            <w:vAlign w:val="center"/>
          </w:tcPr>
          <w:p w:rsidR="007B3CD5" w:rsidRPr="004C5551" w:rsidRDefault="007B3CD5" w:rsidP="007B3CD5">
            <w:pPr>
              <w:ind w:right="774"/>
              <w:jc w:val="right"/>
            </w:pPr>
            <w:r w:rsidRPr="004C5551">
              <w:t>1</w:t>
            </w:r>
          </w:p>
        </w:tc>
        <w:tc>
          <w:tcPr>
            <w:tcW w:w="1634" w:type="dxa"/>
            <w:vAlign w:val="center"/>
          </w:tcPr>
          <w:p w:rsidR="007B3CD5" w:rsidRPr="004C5551" w:rsidRDefault="007B3CD5" w:rsidP="007B3CD5">
            <w:pPr>
              <w:ind w:right="774"/>
              <w:jc w:val="right"/>
            </w:pPr>
            <w:r w:rsidRPr="004C5551">
              <w:t>1</w:t>
            </w:r>
          </w:p>
        </w:tc>
        <w:tc>
          <w:tcPr>
            <w:tcW w:w="1824" w:type="dxa"/>
            <w:vAlign w:val="center"/>
          </w:tcPr>
          <w:p w:rsidR="007B3CD5" w:rsidRPr="004C5551" w:rsidRDefault="007B3CD5" w:rsidP="007B3CD5">
            <w:pPr>
              <w:ind w:right="774"/>
              <w:jc w:val="right"/>
            </w:pPr>
            <w:r w:rsidRPr="004C5551">
              <w:t>1</w:t>
            </w:r>
          </w:p>
        </w:tc>
        <w:tc>
          <w:tcPr>
            <w:tcW w:w="1825" w:type="dxa"/>
            <w:vAlign w:val="center"/>
          </w:tcPr>
          <w:p w:rsidR="007B3CD5" w:rsidRPr="004C5551" w:rsidRDefault="007B3CD5" w:rsidP="000720BE">
            <w:pPr>
              <w:ind w:right="535"/>
              <w:jc w:val="right"/>
            </w:pPr>
            <w:r w:rsidRPr="004C5551">
              <w:t>187</w:t>
            </w:r>
          </w:p>
        </w:tc>
        <w:tc>
          <w:tcPr>
            <w:tcW w:w="1825" w:type="dxa"/>
            <w:vAlign w:val="center"/>
          </w:tcPr>
          <w:p w:rsidR="007B3CD5" w:rsidRPr="004C5551" w:rsidRDefault="007B3CD5" w:rsidP="000720BE">
            <w:pPr>
              <w:ind w:right="517"/>
              <w:jc w:val="right"/>
            </w:pPr>
            <w:r w:rsidRPr="004C5551">
              <w:t>5 323</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požičiavanie pomôcok</w:t>
            </w:r>
          </w:p>
        </w:tc>
        <w:tc>
          <w:tcPr>
            <w:tcW w:w="1701" w:type="dxa"/>
            <w:vAlign w:val="center"/>
          </w:tcPr>
          <w:p w:rsidR="007B3CD5" w:rsidRPr="004C5551" w:rsidRDefault="007B3CD5" w:rsidP="007B3CD5">
            <w:pPr>
              <w:ind w:right="774"/>
              <w:jc w:val="right"/>
            </w:pPr>
            <w:r w:rsidRPr="004C5551">
              <w:t>15</w:t>
            </w:r>
          </w:p>
        </w:tc>
        <w:tc>
          <w:tcPr>
            <w:tcW w:w="1634" w:type="dxa"/>
            <w:vAlign w:val="center"/>
          </w:tcPr>
          <w:p w:rsidR="007B3CD5" w:rsidRPr="004C5551" w:rsidRDefault="007B3CD5" w:rsidP="007B3CD5">
            <w:pPr>
              <w:ind w:right="774"/>
              <w:jc w:val="right"/>
            </w:pPr>
            <w:r w:rsidRPr="004C5551">
              <w:t>233</w:t>
            </w:r>
          </w:p>
        </w:tc>
        <w:tc>
          <w:tcPr>
            <w:tcW w:w="1824" w:type="dxa"/>
            <w:vAlign w:val="center"/>
          </w:tcPr>
          <w:p w:rsidR="007B3CD5" w:rsidRPr="004C5551" w:rsidRDefault="007B3CD5" w:rsidP="007B3CD5">
            <w:pPr>
              <w:ind w:right="774"/>
              <w:jc w:val="right"/>
            </w:pPr>
            <w:r w:rsidRPr="004C5551">
              <w:t>4</w:t>
            </w:r>
          </w:p>
        </w:tc>
        <w:tc>
          <w:tcPr>
            <w:tcW w:w="1825" w:type="dxa"/>
            <w:vAlign w:val="center"/>
          </w:tcPr>
          <w:p w:rsidR="007B3CD5" w:rsidRPr="004C5551" w:rsidRDefault="007B3CD5" w:rsidP="000720BE">
            <w:pPr>
              <w:ind w:right="535"/>
              <w:jc w:val="right"/>
            </w:pPr>
            <w:r w:rsidRPr="004C5551">
              <w:t>14 018</w:t>
            </w:r>
          </w:p>
        </w:tc>
        <w:tc>
          <w:tcPr>
            <w:tcW w:w="1825" w:type="dxa"/>
            <w:vAlign w:val="center"/>
          </w:tcPr>
          <w:p w:rsidR="007B3CD5" w:rsidRPr="004C5551" w:rsidRDefault="007B3CD5" w:rsidP="000720BE">
            <w:pPr>
              <w:ind w:right="517"/>
              <w:jc w:val="right"/>
            </w:pPr>
            <w:r w:rsidRPr="004C5551">
              <w:t>13 192</w:t>
            </w:r>
          </w:p>
        </w:tc>
      </w:tr>
      <w:tr w:rsidR="007B3CD5" w:rsidRPr="004C5551" w:rsidTr="007B3CD5">
        <w:trPr>
          <w:trHeight w:val="249"/>
        </w:trPr>
        <w:tc>
          <w:tcPr>
            <w:tcW w:w="4688" w:type="dxa"/>
            <w:vAlign w:val="bottom"/>
            <w:hideMark/>
          </w:tcPr>
          <w:p w:rsidR="007B3CD5" w:rsidRPr="004C5551" w:rsidRDefault="007B3CD5" w:rsidP="007B3CD5">
            <w:pPr>
              <w:jc w:val="left"/>
            </w:pPr>
            <w:r w:rsidRPr="004C5551">
              <w:t>monitorovanie a signalizácia potreby pomoci</w:t>
            </w:r>
          </w:p>
        </w:tc>
        <w:tc>
          <w:tcPr>
            <w:tcW w:w="1701" w:type="dxa"/>
            <w:vAlign w:val="center"/>
          </w:tcPr>
          <w:p w:rsidR="007B3CD5" w:rsidRPr="004C5551" w:rsidRDefault="007B3CD5" w:rsidP="007B3CD5">
            <w:pPr>
              <w:ind w:right="774"/>
              <w:jc w:val="right"/>
            </w:pPr>
            <w:r w:rsidRPr="004C5551">
              <w:t>7</w:t>
            </w:r>
          </w:p>
        </w:tc>
        <w:tc>
          <w:tcPr>
            <w:tcW w:w="1634" w:type="dxa"/>
            <w:vAlign w:val="center"/>
          </w:tcPr>
          <w:p w:rsidR="007B3CD5" w:rsidRPr="004C5551" w:rsidRDefault="007B3CD5" w:rsidP="007B3CD5">
            <w:pPr>
              <w:ind w:right="774"/>
              <w:jc w:val="right"/>
            </w:pPr>
            <w:r w:rsidRPr="004C5551">
              <w:t>62</w:t>
            </w:r>
          </w:p>
        </w:tc>
        <w:tc>
          <w:tcPr>
            <w:tcW w:w="1824" w:type="dxa"/>
            <w:vAlign w:val="center"/>
          </w:tcPr>
          <w:p w:rsidR="007B3CD5" w:rsidRPr="004C5551" w:rsidRDefault="007B3CD5" w:rsidP="007B3CD5">
            <w:pPr>
              <w:ind w:right="774"/>
              <w:jc w:val="right"/>
            </w:pPr>
            <w:r w:rsidRPr="004C5551">
              <w:t>8</w:t>
            </w:r>
          </w:p>
        </w:tc>
        <w:tc>
          <w:tcPr>
            <w:tcW w:w="1825" w:type="dxa"/>
            <w:vAlign w:val="center"/>
          </w:tcPr>
          <w:p w:rsidR="007B3CD5" w:rsidRPr="004C5551" w:rsidRDefault="007B3CD5" w:rsidP="000720BE">
            <w:pPr>
              <w:ind w:right="535"/>
              <w:jc w:val="right"/>
            </w:pPr>
            <w:r w:rsidRPr="004C5551">
              <w:t>13 001</w:t>
            </w:r>
          </w:p>
        </w:tc>
        <w:tc>
          <w:tcPr>
            <w:tcW w:w="1825" w:type="dxa"/>
            <w:vAlign w:val="center"/>
          </w:tcPr>
          <w:p w:rsidR="007B3CD5" w:rsidRPr="004C5551" w:rsidRDefault="007B3CD5" w:rsidP="000720BE">
            <w:pPr>
              <w:ind w:right="517"/>
              <w:jc w:val="right"/>
            </w:pPr>
            <w:r w:rsidRPr="004C5551">
              <w:t>24 072</w:t>
            </w:r>
          </w:p>
        </w:tc>
      </w:tr>
      <w:tr w:rsidR="007B3CD5" w:rsidRPr="004C5551" w:rsidTr="007B3CD5">
        <w:trPr>
          <w:trHeight w:val="469"/>
        </w:trPr>
        <w:tc>
          <w:tcPr>
            <w:tcW w:w="4688" w:type="dxa"/>
            <w:vAlign w:val="bottom"/>
            <w:hideMark/>
          </w:tcPr>
          <w:p w:rsidR="007B3CD5" w:rsidRPr="004C5551" w:rsidRDefault="007B3CD5" w:rsidP="007B3CD5">
            <w:pPr>
              <w:jc w:val="left"/>
            </w:pPr>
            <w:r w:rsidRPr="004C5551">
              <w:t>krízová pomoc prostredníctvom telekomunikačných technológií</w:t>
            </w:r>
          </w:p>
        </w:tc>
        <w:tc>
          <w:tcPr>
            <w:tcW w:w="1701" w:type="dxa"/>
            <w:vAlign w:val="center"/>
          </w:tcPr>
          <w:p w:rsidR="007B3CD5" w:rsidRPr="004C5551" w:rsidRDefault="007B3CD5" w:rsidP="007B3CD5">
            <w:pPr>
              <w:ind w:right="774"/>
              <w:jc w:val="right"/>
            </w:pPr>
            <w:r w:rsidRPr="004C5551">
              <w:t>1</w:t>
            </w:r>
          </w:p>
        </w:tc>
        <w:tc>
          <w:tcPr>
            <w:tcW w:w="1634" w:type="dxa"/>
            <w:vAlign w:val="center"/>
          </w:tcPr>
          <w:p w:rsidR="007B3CD5" w:rsidRPr="004C5551" w:rsidRDefault="007B3CD5" w:rsidP="007B3CD5">
            <w:pPr>
              <w:ind w:right="774"/>
              <w:jc w:val="right"/>
            </w:pPr>
            <w:r w:rsidRPr="004C5551">
              <w:t>0</w:t>
            </w:r>
          </w:p>
        </w:tc>
        <w:tc>
          <w:tcPr>
            <w:tcW w:w="1824" w:type="dxa"/>
            <w:vAlign w:val="center"/>
          </w:tcPr>
          <w:p w:rsidR="007B3CD5" w:rsidRPr="004C5551" w:rsidRDefault="007B3CD5" w:rsidP="007B3CD5">
            <w:pPr>
              <w:ind w:right="774"/>
              <w:jc w:val="right"/>
            </w:pPr>
            <w:r w:rsidRPr="004C5551">
              <w:t>0</w:t>
            </w:r>
          </w:p>
        </w:tc>
        <w:tc>
          <w:tcPr>
            <w:tcW w:w="1825" w:type="dxa"/>
            <w:vAlign w:val="center"/>
          </w:tcPr>
          <w:p w:rsidR="007B3CD5" w:rsidRPr="004C5551" w:rsidRDefault="007B3CD5" w:rsidP="000720BE">
            <w:pPr>
              <w:ind w:right="535"/>
              <w:jc w:val="right"/>
            </w:pPr>
            <w:r w:rsidRPr="004C5551">
              <w:t>0</w:t>
            </w:r>
          </w:p>
        </w:tc>
        <w:tc>
          <w:tcPr>
            <w:tcW w:w="1825" w:type="dxa"/>
            <w:vAlign w:val="center"/>
          </w:tcPr>
          <w:p w:rsidR="007B3CD5" w:rsidRPr="004C5551" w:rsidRDefault="007B3CD5" w:rsidP="000720BE">
            <w:pPr>
              <w:ind w:right="517"/>
              <w:jc w:val="right"/>
            </w:pPr>
            <w:r w:rsidRPr="004C5551">
              <w:t>0</w:t>
            </w:r>
          </w:p>
        </w:tc>
      </w:tr>
      <w:tr w:rsidR="007B3CD5" w:rsidRPr="004C5551" w:rsidTr="007B3CD5">
        <w:trPr>
          <w:trHeight w:val="469"/>
        </w:trPr>
        <w:tc>
          <w:tcPr>
            <w:tcW w:w="4688" w:type="dxa"/>
            <w:vAlign w:val="bottom"/>
            <w:hideMark/>
          </w:tcPr>
          <w:p w:rsidR="007B3CD5" w:rsidRPr="004C5551" w:rsidRDefault="007B3CD5" w:rsidP="007B3CD5">
            <w:pPr>
              <w:jc w:val="left"/>
            </w:pPr>
            <w:r w:rsidRPr="004C5551">
              <w:t>pomoc pri výkone opatrovníckych práv a povinností</w:t>
            </w:r>
          </w:p>
        </w:tc>
        <w:tc>
          <w:tcPr>
            <w:tcW w:w="1701" w:type="dxa"/>
            <w:vAlign w:val="center"/>
          </w:tcPr>
          <w:p w:rsidR="007B3CD5" w:rsidRPr="004C5551" w:rsidRDefault="007B3CD5" w:rsidP="007B3CD5">
            <w:pPr>
              <w:ind w:right="774"/>
              <w:jc w:val="right"/>
            </w:pPr>
            <w:r w:rsidRPr="004C5551">
              <w:t>16</w:t>
            </w:r>
          </w:p>
        </w:tc>
        <w:tc>
          <w:tcPr>
            <w:tcW w:w="1634" w:type="dxa"/>
            <w:vAlign w:val="center"/>
          </w:tcPr>
          <w:p w:rsidR="007B3CD5" w:rsidRPr="004C5551" w:rsidRDefault="007B3CD5" w:rsidP="007B3CD5">
            <w:pPr>
              <w:ind w:right="774"/>
              <w:jc w:val="right"/>
            </w:pPr>
            <w:r w:rsidRPr="004C5551">
              <w:t>47</w:t>
            </w:r>
          </w:p>
        </w:tc>
        <w:tc>
          <w:tcPr>
            <w:tcW w:w="1824" w:type="dxa"/>
            <w:vAlign w:val="center"/>
          </w:tcPr>
          <w:p w:rsidR="007B3CD5" w:rsidRPr="004C5551" w:rsidRDefault="007B3CD5" w:rsidP="007B3CD5">
            <w:pPr>
              <w:ind w:right="774"/>
              <w:jc w:val="right"/>
            </w:pPr>
            <w:r w:rsidRPr="004C5551">
              <w:t>2 060</w:t>
            </w:r>
          </w:p>
        </w:tc>
        <w:tc>
          <w:tcPr>
            <w:tcW w:w="1825" w:type="dxa"/>
            <w:vAlign w:val="center"/>
          </w:tcPr>
          <w:p w:rsidR="007B3CD5" w:rsidRPr="004C5551" w:rsidRDefault="007B3CD5" w:rsidP="000720BE">
            <w:pPr>
              <w:ind w:right="535"/>
              <w:jc w:val="right"/>
            </w:pPr>
            <w:r w:rsidRPr="004C5551">
              <w:t>197 604</w:t>
            </w:r>
          </w:p>
        </w:tc>
        <w:tc>
          <w:tcPr>
            <w:tcW w:w="1825" w:type="dxa"/>
            <w:vAlign w:val="center"/>
          </w:tcPr>
          <w:p w:rsidR="007B3CD5" w:rsidRPr="004C5551" w:rsidRDefault="007B3CD5" w:rsidP="000720BE">
            <w:pPr>
              <w:ind w:right="517"/>
              <w:jc w:val="right"/>
            </w:pPr>
            <w:r w:rsidRPr="004C5551">
              <w:t>219 081</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denné centrum</w:t>
            </w:r>
          </w:p>
        </w:tc>
        <w:tc>
          <w:tcPr>
            <w:tcW w:w="1701" w:type="dxa"/>
            <w:vAlign w:val="center"/>
          </w:tcPr>
          <w:p w:rsidR="007B3CD5" w:rsidRPr="004C5551" w:rsidRDefault="007B3CD5" w:rsidP="007B3CD5">
            <w:pPr>
              <w:ind w:right="774"/>
              <w:jc w:val="right"/>
            </w:pPr>
            <w:r w:rsidRPr="004C5551">
              <w:t>218</w:t>
            </w:r>
          </w:p>
        </w:tc>
        <w:tc>
          <w:tcPr>
            <w:tcW w:w="1634" w:type="dxa"/>
            <w:vAlign w:val="center"/>
          </w:tcPr>
          <w:p w:rsidR="007B3CD5" w:rsidRPr="004C5551" w:rsidRDefault="007B3CD5" w:rsidP="007B3CD5">
            <w:pPr>
              <w:ind w:right="774"/>
              <w:jc w:val="right"/>
            </w:pPr>
            <w:r w:rsidRPr="004C5551">
              <w:t>40 707</w:t>
            </w:r>
          </w:p>
        </w:tc>
        <w:tc>
          <w:tcPr>
            <w:tcW w:w="1824" w:type="dxa"/>
            <w:vAlign w:val="center"/>
          </w:tcPr>
          <w:p w:rsidR="007B3CD5" w:rsidRPr="004C5551" w:rsidRDefault="007B3CD5" w:rsidP="007B3CD5">
            <w:pPr>
              <w:ind w:right="774"/>
              <w:jc w:val="right"/>
            </w:pPr>
            <w:r w:rsidRPr="004C5551">
              <w:t>7 050</w:t>
            </w:r>
          </w:p>
        </w:tc>
        <w:tc>
          <w:tcPr>
            <w:tcW w:w="1825" w:type="dxa"/>
            <w:vAlign w:val="center"/>
          </w:tcPr>
          <w:p w:rsidR="007B3CD5" w:rsidRPr="004C5551" w:rsidRDefault="007B3CD5" w:rsidP="000720BE">
            <w:pPr>
              <w:ind w:right="535"/>
              <w:jc w:val="right"/>
            </w:pPr>
            <w:r w:rsidRPr="004C5551">
              <w:t>2 288 720</w:t>
            </w:r>
          </w:p>
        </w:tc>
        <w:tc>
          <w:tcPr>
            <w:tcW w:w="1825" w:type="dxa"/>
            <w:vAlign w:val="center"/>
          </w:tcPr>
          <w:p w:rsidR="007B3CD5" w:rsidRPr="004C5551" w:rsidRDefault="007B3CD5" w:rsidP="000720BE">
            <w:pPr>
              <w:ind w:right="517"/>
              <w:jc w:val="right"/>
            </w:pPr>
            <w:r w:rsidRPr="004C5551">
              <w:t>2 269 116</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integračné centrum</w:t>
            </w:r>
          </w:p>
        </w:tc>
        <w:tc>
          <w:tcPr>
            <w:tcW w:w="1701" w:type="dxa"/>
            <w:vAlign w:val="center"/>
          </w:tcPr>
          <w:p w:rsidR="007B3CD5" w:rsidRPr="004C5551" w:rsidRDefault="007B3CD5" w:rsidP="007B3CD5">
            <w:pPr>
              <w:ind w:right="774"/>
              <w:jc w:val="right"/>
            </w:pPr>
            <w:r w:rsidRPr="004C5551">
              <w:t>2</w:t>
            </w:r>
          </w:p>
        </w:tc>
        <w:tc>
          <w:tcPr>
            <w:tcW w:w="1634" w:type="dxa"/>
            <w:vAlign w:val="center"/>
          </w:tcPr>
          <w:p w:rsidR="007B3CD5" w:rsidRPr="004C5551" w:rsidRDefault="007B3CD5" w:rsidP="007B3CD5">
            <w:pPr>
              <w:ind w:right="774"/>
              <w:jc w:val="right"/>
            </w:pPr>
            <w:r w:rsidRPr="004C5551">
              <w:t>55</w:t>
            </w:r>
          </w:p>
        </w:tc>
        <w:tc>
          <w:tcPr>
            <w:tcW w:w="1824" w:type="dxa"/>
            <w:vAlign w:val="center"/>
          </w:tcPr>
          <w:p w:rsidR="007B3CD5" w:rsidRPr="004C5551" w:rsidRDefault="007B3CD5" w:rsidP="007B3CD5">
            <w:pPr>
              <w:ind w:right="774"/>
              <w:jc w:val="right"/>
            </w:pPr>
            <w:r w:rsidRPr="004C5551">
              <w:t>1</w:t>
            </w:r>
          </w:p>
        </w:tc>
        <w:tc>
          <w:tcPr>
            <w:tcW w:w="1825" w:type="dxa"/>
            <w:vAlign w:val="center"/>
          </w:tcPr>
          <w:p w:rsidR="007B3CD5" w:rsidRPr="004C5551" w:rsidRDefault="007B3CD5" w:rsidP="000720BE">
            <w:pPr>
              <w:ind w:right="535"/>
              <w:jc w:val="right"/>
            </w:pPr>
            <w:r w:rsidRPr="004C5551">
              <w:t>3 667</w:t>
            </w:r>
          </w:p>
        </w:tc>
        <w:tc>
          <w:tcPr>
            <w:tcW w:w="1825" w:type="dxa"/>
            <w:vAlign w:val="center"/>
          </w:tcPr>
          <w:p w:rsidR="007B3CD5" w:rsidRPr="004C5551" w:rsidRDefault="007B3CD5" w:rsidP="000720BE">
            <w:pPr>
              <w:ind w:right="517"/>
              <w:jc w:val="right"/>
            </w:pPr>
            <w:r w:rsidRPr="004C5551">
              <w:t>3 597</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jedáleň</w:t>
            </w:r>
          </w:p>
        </w:tc>
        <w:tc>
          <w:tcPr>
            <w:tcW w:w="1701" w:type="dxa"/>
            <w:vAlign w:val="center"/>
          </w:tcPr>
          <w:p w:rsidR="007B3CD5" w:rsidRPr="004C5551" w:rsidRDefault="007B3CD5" w:rsidP="007B3CD5">
            <w:pPr>
              <w:ind w:right="774"/>
              <w:jc w:val="right"/>
            </w:pPr>
            <w:r w:rsidRPr="004C5551">
              <w:t>117</w:t>
            </w:r>
          </w:p>
        </w:tc>
        <w:tc>
          <w:tcPr>
            <w:tcW w:w="1634" w:type="dxa"/>
            <w:vAlign w:val="center"/>
          </w:tcPr>
          <w:p w:rsidR="007B3CD5" w:rsidRPr="004C5551" w:rsidRDefault="007B3CD5" w:rsidP="007B3CD5">
            <w:pPr>
              <w:ind w:right="774"/>
              <w:jc w:val="right"/>
            </w:pPr>
            <w:r w:rsidRPr="004C5551">
              <w:t>13 115</w:t>
            </w:r>
          </w:p>
        </w:tc>
        <w:tc>
          <w:tcPr>
            <w:tcW w:w="1824" w:type="dxa"/>
            <w:vAlign w:val="center"/>
          </w:tcPr>
          <w:p w:rsidR="007B3CD5" w:rsidRPr="004C5551" w:rsidRDefault="007B3CD5" w:rsidP="007B3CD5">
            <w:pPr>
              <w:ind w:right="774"/>
              <w:jc w:val="right"/>
            </w:pPr>
            <w:r w:rsidRPr="004C5551">
              <w:t>237</w:t>
            </w:r>
          </w:p>
        </w:tc>
        <w:tc>
          <w:tcPr>
            <w:tcW w:w="1825" w:type="dxa"/>
            <w:vAlign w:val="center"/>
          </w:tcPr>
          <w:p w:rsidR="007B3CD5" w:rsidRPr="004C5551" w:rsidRDefault="007B3CD5" w:rsidP="000720BE">
            <w:pPr>
              <w:ind w:right="535"/>
              <w:jc w:val="right"/>
            </w:pPr>
            <w:r w:rsidRPr="004C5551">
              <w:t>5 416 765</w:t>
            </w:r>
          </w:p>
        </w:tc>
        <w:tc>
          <w:tcPr>
            <w:tcW w:w="1825" w:type="dxa"/>
            <w:vAlign w:val="center"/>
          </w:tcPr>
          <w:p w:rsidR="007B3CD5" w:rsidRPr="004C5551" w:rsidRDefault="007B3CD5" w:rsidP="000720BE">
            <w:pPr>
              <w:ind w:right="517"/>
              <w:jc w:val="right"/>
            </w:pPr>
            <w:r w:rsidRPr="004C5551">
              <w:t>4 933 303</w:t>
            </w:r>
          </w:p>
        </w:tc>
      </w:tr>
      <w:tr w:rsidR="007B3CD5" w:rsidRPr="004C5551" w:rsidTr="007B3CD5">
        <w:trPr>
          <w:trHeight w:val="250"/>
        </w:trPr>
        <w:tc>
          <w:tcPr>
            <w:tcW w:w="4688" w:type="dxa"/>
            <w:vAlign w:val="bottom"/>
            <w:hideMark/>
          </w:tcPr>
          <w:p w:rsidR="007B3CD5" w:rsidRPr="004C5551" w:rsidRDefault="007B3CD5" w:rsidP="007B3CD5">
            <w:pPr>
              <w:jc w:val="left"/>
            </w:pPr>
            <w:r w:rsidRPr="004C5551">
              <w:t>práčovňa</w:t>
            </w:r>
          </w:p>
        </w:tc>
        <w:tc>
          <w:tcPr>
            <w:tcW w:w="1701" w:type="dxa"/>
            <w:vAlign w:val="center"/>
          </w:tcPr>
          <w:p w:rsidR="007B3CD5" w:rsidRPr="004C5551" w:rsidRDefault="007B3CD5" w:rsidP="007B3CD5">
            <w:pPr>
              <w:ind w:right="774"/>
              <w:jc w:val="right"/>
            </w:pPr>
            <w:r w:rsidRPr="004C5551">
              <w:t>21</w:t>
            </w:r>
          </w:p>
        </w:tc>
        <w:tc>
          <w:tcPr>
            <w:tcW w:w="1634" w:type="dxa"/>
            <w:vAlign w:val="center"/>
          </w:tcPr>
          <w:p w:rsidR="007B3CD5" w:rsidRPr="004C5551" w:rsidRDefault="007B3CD5" w:rsidP="007B3CD5">
            <w:pPr>
              <w:ind w:right="774"/>
              <w:jc w:val="right"/>
            </w:pPr>
            <w:r w:rsidRPr="004C5551">
              <w:t>2 281</w:t>
            </w:r>
          </w:p>
        </w:tc>
        <w:tc>
          <w:tcPr>
            <w:tcW w:w="1824" w:type="dxa"/>
            <w:vAlign w:val="center"/>
          </w:tcPr>
          <w:p w:rsidR="007B3CD5" w:rsidRPr="004C5551" w:rsidRDefault="007B3CD5" w:rsidP="007B3CD5">
            <w:pPr>
              <w:ind w:right="774"/>
              <w:jc w:val="right"/>
            </w:pPr>
            <w:r w:rsidRPr="004C5551">
              <w:t>22</w:t>
            </w:r>
          </w:p>
        </w:tc>
        <w:tc>
          <w:tcPr>
            <w:tcW w:w="1825" w:type="dxa"/>
            <w:vAlign w:val="center"/>
          </w:tcPr>
          <w:p w:rsidR="007B3CD5" w:rsidRPr="004C5551" w:rsidRDefault="007B3CD5" w:rsidP="000720BE">
            <w:pPr>
              <w:ind w:right="535"/>
              <w:jc w:val="right"/>
            </w:pPr>
            <w:r w:rsidRPr="004C5551">
              <w:t>64 928</w:t>
            </w:r>
          </w:p>
        </w:tc>
        <w:tc>
          <w:tcPr>
            <w:tcW w:w="1825" w:type="dxa"/>
            <w:vAlign w:val="center"/>
          </w:tcPr>
          <w:p w:rsidR="007B3CD5" w:rsidRPr="004C5551" w:rsidRDefault="007B3CD5" w:rsidP="000720BE">
            <w:pPr>
              <w:ind w:right="517"/>
              <w:jc w:val="right"/>
            </w:pPr>
            <w:r w:rsidRPr="004C5551">
              <w:t>105 082</w:t>
            </w:r>
          </w:p>
        </w:tc>
      </w:tr>
      <w:tr w:rsidR="007B3CD5" w:rsidRPr="004C5551" w:rsidTr="007B3CD5">
        <w:trPr>
          <w:trHeight w:val="265"/>
        </w:trPr>
        <w:tc>
          <w:tcPr>
            <w:tcW w:w="4688" w:type="dxa"/>
            <w:vAlign w:val="bottom"/>
            <w:hideMark/>
          </w:tcPr>
          <w:p w:rsidR="007B3CD5" w:rsidRPr="004C5551" w:rsidRDefault="007B3CD5" w:rsidP="007B3CD5">
            <w:pPr>
              <w:jc w:val="left"/>
            </w:pPr>
            <w:r w:rsidRPr="004C5551">
              <w:t>stredisko osobnej hygieny</w:t>
            </w:r>
          </w:p>
        </w:tc>
        <w:tc>
          <w:tcPr>
            <w:tcW w:w="1701" w:type="dxa"/>
            <w:vAlign w:val="center"/>
          </w:tcPr>
          <w:p w:rsidR="007B3CD5" w:rsidRPr="004C5551" w:rsidRDefault="007B3CD5" w:rsidP="007B3CD5">
            <w:pPr>
              <w:ind w:right="774"/>
              <w:jc w:val="right"/>
            </w:pPr>
            <w:r w:rsidRPr="004C5551">
              <w:t>22</w:t>
            </w:r>
          </w:p>
        </w:tc>
        <w:tc>
          <w:tcPr>
            <w:tcW w:w="1634" w:type="dxa"/>
            <w:vAlign w:val="center"/>
          </w:tcPr>
          <w:p w:rsidR="007B3CD5" w:rsidRPr="004C5551" w:rsidRDefault="007B3CD5" w:rsidP="007B3CD5">
            <w:pPr>
              <w:ind w:right="774"/>
              <w:jc w:val="right"/>
            </w:pPr>
            <w:r w:rsidRPr="004C5551">
              <w:t>6 000</w:t>
            </w:r>
          </w:p>
        </w:tc>
        <w:tc>
          <w:tcPr>
            <w:tcW w:w="1824" w:type="dxa"/>
            <w:vAlign w:val="center"/>
          </w:tcPr>
          <w:p w:rsidR="007B3CD5" w:rsidRPr="004C5551" w:rsidRDefault="007B3CD5" w:rsidP="007B3CD5">
            <w:pPr>
              <w:ind w:right="774"/>
              <w:jc w:val="right"/>
            </w:pPr>
            <w:r w:rsidRPr="004C5551">
              <w:t>14</w:t>
            </w:r>
          </w:p>
        </w:tc>
        <w:tc>
          <w:tcPr>
            <w:tcW w:w="1825" w:type="dxa"/>
            <w:vAlign w:val="center"/>
          </w:tcPr>
          <w:p w:rsidR="007B3CD5" w:rsidRPr="004C5551" w:rsidRDefault="007B3CD5" w:rsidP="000720BE">
            <w:pPr>
              <w:ind w:right="535"/>
              <w:jc w:val="right"/>
            </w:pPr>
            <w:r w:rsidRPr="004C5551">
              <w:t>28 745</w:t>
            </w:r>
          </w:p>
        </w:tc>
        <w:tc>
          <w:tcPr>
            <w:tcW w:w="1825" w:type="dxa"/>
            <w:vAlign w:val="center"/>
          </w:tcPr>
          <w:p w:rsidR="007B3CD5" w:rsidRPr="004C5551" w:rsidRDefault="007B3CD5" w:rsidP="000720BE">
            <w:pPr>
              <w:ind w:right="517"/>
              <w:jc w:val="right"/>
            </w:pPr>
            <w:r w:rsidRPr="004C5551">
              <w:t>89 040</w:t>
            </w:r>
          </w:p>
        </w:tc>
      </w:tr>
    </w:tbl>
    <w:p w:rsidR="00BA7062" w:rsidRPr="004C5551" w:rsidRDefault="00BA7062" w:rsidP="00BA7062">
      <w:pPr>
        <w:pStyle w:val="zdroj"/>
        <w:ind w:firstLine="0"/>
        <w:rPr>
          <w:color w:val="auto"/>
          <w:lang w:eastAsia="cs-CZ"/>
        </w:rPr>
      </w:pPr>
      <w:r w:rsidRPr="004C5551">
        <w:rPr>
          <w:color w:val="auto"/>
          <w:lang w:eastAsia="cs-CZ"/>
        </w:rPr>
        <w:t xml:space="preserve">Zdroj: V(MPSVR SR) 10- 01 </w:t>
      </w:r>
    </w:p>
    <w:p w:rsidR="0084617B" w:rsidRPr="004C5551" w:rsidRDefault="0084617B" w:rsidP="0084617B">
      <w:pPr>
        <w:pStyle w:val="zdroj"/>
        <w:ind w:firstLine="0"/>
        <w:rPr>
          <w:color w:val="auto"/>
          <w:lang w:eastAsia="cs-CZ"/>
        </w:rPr>
      </w:pPr>
    </w:p>
    <w:p w:rsidR="0084617B" w:rsidRPr="004C5551" w:rsidRDefault="0084617B" w:rsidP="0084617B">
      <w:pPr>
        <w:pStyle w:val="zdroj"/>
        <w:ind w:firstLine="0"/>
        <w:rPr>
          <w:color w:val="auto"/>
          <w:lang w:eastAsia="cs-CZ"/>
        </w:rPr>
      </w:pPr>
    </w:p>
    <w:p w:rsidR="0084617B" w:rsidRPr="004C5551" w:rsidRDefault="0084617B" w:rsidP="0084617B">
      <w:pPr>
        <w:spacing w:after="200" w:line="276" w:lineRule="auto"/>
        <w:jc w:val="left"/>
        <w:rPr>
          <w:b/>
        </w:rPr>
      </w:pPr>
      <w:r w:rsidRPr="004C5551">
        <w:rPr>
          <w:b/>
        </w:rPr>
        <w:br w:type="page"/>
      </w:r>
    </w:p>
    <w:p w:rsidR="0084617B" w:rsidRPr="004C5551" w:rsidRDefault="0084617B" w:rsidP="0084617B">
      <w:pPr>
        <w:pStyle w:val="Nadpis7"/>
      </w:pPr>
      <w:r w:rsidRPr="004C5551">
        <w:t xml:space="preserve">Tabuľka </w:t>
      </w:r>
      <w:r w:rsidR="00900E22" w:rsidRPr="004C5551">
        <w:t>2</w:t>
      </w:r>
      <w:r w:rsidR="003F4ED2" w:rsidRPr="004C5551">
        <w:t>8</w:t>
      </w:r>
      <w:r w:rsidRPr="004C5551">
        <w:t xml:space="preserve"> Počet občanov zaradených do poradovníka čakateľov na poskytovanie starostlivosti vo vybraných zariadeniach</w:t>
      </w:r>
    </w:p>
    <w:tbl>
      <w:tblPr>
        <w:tblW w:w="13448" w:type="dxa"/>
        <w:jc w:val="center"/>
        <w:tblInd w:w="496" w:type="dxa"/>
        <w:tblCellMar>
          <w:left w:w="70" w:type="dxa"/>
          <w:right w:w="70" w:type="dxa"/>
        </w:tblCellMar>
        <w:tblLook w:val="04A0" w:firstRow="1" w:lastRow="0" w:firstColumn="1" w:lastColumn="0" w:noHBand="0" w:noVBand="1"/>
      </w:tblPr>
      <w:tblGrid>
        <w:gridCol w:w="737"/>
        <w:gridCol w:w="1885"/>
        <w:gridCol w:w="6942"/>
        <w:gridCol w:w="1899"/>
        <w:gridCol w:w="1985"/>
      </w:tblGrid>
      <w:tr w:rsidR="007B3CD5" w:rsidRPr="004C5551" w:rsidTr="000720BE">
        <w:trPr>
          <w:trHeight w:val="1074"/>
          <w:jc w:val="center"/>
        </w:trPr>
        <w:tc>
          <w:tcPr>
            <w:tcW w:w="956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B3CD5" w:rsidRPr="004C5551" w:rsidRDefault="007B3CD5" w:rsidP="007B3CD5">
            <w:pPr>
              <w:jc w:val="center"/>
              <w:rPr>
                <w:b/>
                <w:bCs/>
              </w:rPr>
            </w:pPr>
            <w:r w:rsidRPr="004C5551">
              <w:rPr>
                <w:b/>
                <w:bCs/>
              </w:rPr>
              <w:t>Druh zariadenia sociálnych služieb</w:t>
            </w:r>
          </w:p>
        </w:tc>
        <w:tc>
          <w:tcPr>
            <w:tcW w:w="1899"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B3CD5" w:rsidRPr="004C5551" w:rsidRDefault="007B3CD5" w:rsidP="007B3CD5">
            <w:pPr>
              <w:jc w:val="center"/>
              <w:rPr>
                <w:b/>
                <w:bCs/>
              </w:rPr>
            </w:pPr>
            <w:r w:rsidRPr="004C5551">
              <w:rPr>
                <w:b/>
                <w:bCs/>
              </w:rPr>
              <w:t>Počet občanov k 31.12.2013</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B3CD5" w:rsidRPr="004C5551" w:rsidRDefault="007B3CD5" w:rsidP="007B3CD5">
            <w:pPr>
              <w:jc w:val="center"/>
              <w:rPr>
                <w:b/>
                <w:bCs/>
              </w:rPr>
            </w:pPr>
            <w:r w:rsidRPr="004C5551">
              <w:rPr>
                <w:b/>
                <w:bCs/>
              </w:rPr>
              <w:t>Počet občanov k 31.12.2014</w:t>
            </w:r>
          </w:p>
        </w:tc>
      </w:tr>
      <w:tr w:rsidR="007B3CD5" w:rsidRPr="004C5551" w:rsidTr="000720BE">
        <w:trPr>
          <w:trHeight w:val="284"/>
          <w:jc w:val="center"/>
        </w:trPr>
        <w:tc>
          <w:tcPr>
            <w:tcW w:w="737"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B3CD5" w:rsidRPr="004C5551" w:rsidRDefault="007B3CD5" w:rsidP="007B3CD5">
            <w:pPr>
              <w:jc w:val="center"/>
              <w:rPr>
                <w:bCs/>
              </w:rPr>
            </w:pPr>
            <w:r w:rsidRPr="004C5551">
              <w:rPr>
                <w:bCs/>
              </w:rPr>
              <w:t>Domovy sociálnych služieb</w:t>
            </w: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r w:rsidRPr="004C5551">
              <w:t>pre deti</w:t>
            </w:r>
          </w:p>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telesným postihnutím</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pPr>
            <w:r w:rsidRPr="004C5551">
              <w:rPr>
                <w:szCs w:val="22"/>
              </w:rPr>
              <w:t>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pPr>
            <w:r w:rsidRPr="004C5551">
              <w:rPr>
                <w:szCs w:val="22"/>
              </w:rPr>
              <w:t>0</w:t>
            </w:r>
          </w:p>
        </w:tc>
      </w:tr>
      <w:tr w:rsidR="007B3CD5" w:rsidRPr="004C5551" w:rsidTr="000720BE">
        <w:trPr>
          <w:trHeight w:val="368"/>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32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59</w:t>
            </w:r>
          </w:p>
        </w:tc>
      </w:tr>
      <w:tr w:rsidR="007B3CD5" w:rsidRPr="004C5551" w:rsidTr="000720BE">
        <w:trPr>
          <w:trHeight w:val="467"/>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telesným postihnutím a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87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69</w:t>
            </w:r>
          </w:p>
        </w:tc>
      </w:tr>
      <w:tr w:rsidR="007B3CD5" w:rsidRPr="004C5551" w:rsidTr="000720BE">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jc w:val="center"/>
              <w:rPr>
                <w:b/>
                <w:bCs/>
              </w:rPr>
            </w:pP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r w:rsidRPr="004C5551">
              <w:t>pre dospelých</w:t>
            </w:r>
          </w:p>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telesným postihnutím</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182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228</w:t>
            </w:r>
          </w:p>
        </w:tc>
      </w:tr>
      <w:tr w:rsidR="007B3CD5" w:rsidRPr="004C5551" w:rsidTr="000720BE">
        <w:trPr>
          <w:trHeight w:val="321"/>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642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721</w:t>
            </w:r>
          </w:p>
        </w:tc>
      </w:tr>
      <w:tr w:rsidR="007B3CD5" w:rsidRPr="004C5551" w:rsidTr="000720BE">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so zmyslovým postihnutím</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15</w:t>
            </w:r>
          </w:p>
        </w:tc>
      </w:tr>
      <w:tr w:rsidR="007B3CD5" w:rsidRPr="004C5551" w:rsidTr="000720BE">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B3CD5" w:rsidRPr="004C5551" w:rsidRDefault="007B3CD5" w:rsidP="007B3CD5"/>
        </w:tc>
        <w:tc>
          <w:tcPr>
            <w:tcW w:w="6942" w:type="dxa"/>
            <w:tcBorders>
              <w:top w:val="single" w:sz="4" w:space="0" w:color="auto"/>
              <w:left w:val="nil"/>
              <w:bottom w:val="single" w:sz="4" w:space="0" w:color="auto"/>
              <w:right w:val="single" w:sz="4" w:space="0" w:color="auto"/>
            </w:tcBorders>
            <w:vAlign w:val="center"/>
            <w:hideMark/>
          </w:tcPr>
          <w:p w:rsidR="007B3CD5" w:rsidRPr="004C5551" w:rsidRDefault="007B3CD5" w:rsidP="007B3CD5">
            <w:r w:rsidRPr="004C5551">
              <w:t>s kombináciou postihnutí</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1 384</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1 421</w:t>
            </w:r>
          </w:p>
        </w:tc>
      </w:tr>
      <w:tr w:rsidR="007B3CD5" w:rsidRPr="004C5551" w:rsidTr="000720BE">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B3CD5" w:rsidRPr="004C5551" w:rsidRDefault="007B3CD5" w:rsidP="007B3CD5">
            <w:r w:rsidRPr="004C5551">
              <w:t>Zariadenia pre seniorov</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1 707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1 717</w:t>
            </w:r>
          </w:p>
        </w:tc>
      </w:tr>
      <w:tr w:rsidR="007B3CD5" w:rsidRPr="004C5551" w:rsidTr="000720BE">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vAlign w:val="bottom"/>
            <w:hideMark/>
          </w:tcPr>
          <w:p w:rsidR="007B3CD5" w:rsidRPr="004C5551" w:rsidRDefault="007B3CD5" w:rsidP="007B3CD5">
            <w:r w:rsidRPr="004C5551">
              <w:t>Zariadenia podporovaného bývania</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18</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24</w:t>
            </w:r>
          </w:p>
        </w:tc>
      </w:tr>
      <w:tr w:rsidR="007B3CD5" w:rsidRPr="004C5551" w:rsidTr="000720BE">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B3CD5" w:rsidRPr="004C5551" w:rsidRDefault="007B3CD5" w:rsidP="007B3CD5">
            <w:r w:rsidRPr="004C5551">
              <w:t>Rehabilitačné strediská</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1</w:t>
            </w:r>
          </w:p>
        </w:tc>
      </w:tr>
      <w:tr w:rsidR="007B3CD5" w:rsidRPr="004C5551" w:rsidTr="000720BE">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B3CD5" w:rsidRPr="004C5551" w:rsidRDefault="007B3CD5" w:rsidP="007B3CD5">
            <w:r w:rsidRPr="004C5551">
              <w:t>Špecializované zariadenie</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szCs w:val="22"/>
              </w:rPr>
            </w:pPr>
            <w:r w:rsidRPr="004C5551">
              <w:rPr>
                <w:szCs w:val="22"/>
              </w:rPr>
              <w:t>88</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szCs w:val="22"/>
              </w:rPr>
            </w:pPr>
            <w:r w:rsidRPr="004C5551">
              <w:rPr>
                <w:szCs w:val="22"/>
              </w:rPr>
              <w:t>266</w:t>
            </w:r>
          </w:p>
        </w:tc>
      </w:tr>
      <w:tr w:rsidR="007B3CD5" w:rsidRPr="004C5551" w:rsidTr="000720BE">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B3CD5" w:rsidRPr="004C5551" w:rsidRDefault="007B3CD5" w:rsidP="007B3CD5">
            <w:pPr>
              <w:rPr>
                <w:b/>
                <w:bCs/>
              </w:rPr>
            </w:pPr>
            <w:r w:rsidRPr="004C5551">
              <w:rPr>
                <w:b/>
                <w:bCs/>
              </w:rPr>
              <w:t>SPOLU v SR</w:t>
            </w:r>
          </w:p>
        </w:tc>
        <w:tc>
          <w:tcPr>
            <w:tcW w:w="1899" w:type="dxa"/>
            <w:tcBorders>
              <w:top w:val="single" w:sz="4" w:space="0" w:color="auto"/>
              <w:left w:val="nil"/>
              <w:bottom w:val="single" w:sz="4" w:space="0" w:color="auto"/>
              <w:right w:val="single" w:sz="4" w:space="0" w:color="auto"/>
            </w:tcBorders>
            <w:noWrap/>
            <w:vAlign w:val="bottom"/>
          </w:tcPr>
          <w:p w:rsidR="007B3CD5" w:rsidRPr="004C5551" w:rsidRDefault="007B3CD5" w:rsidP="000720BE">
            <w:pPr>
              <w:ind w:right="472"/>
              <w:jc w:val="right"/>
              <w:rPr>
                <w:b/>
                <w:szCs w:val="22"/>
              </w:rPr>
            </w:pPr>
            <w:r w:rsidRPr="004C5551">
              <w:rPr>
                <w:b/>
                <w:szCs w:val="22"/>
              </w:rPr>
              <w:t>4 156</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B3CD5" w:rsidRPr="004C5551" w:rsidRDefault="007B3CD5" w:rsidP="00842642">
            <w:pPr>
              <w:ind w:right="473"/>
              <w:jc w:val="right"/>
              <w:rPr>
                <w:b/>
                <w:szCs w:val="22"/>
              </w:rPr>
            </w:pPr>
            <w:r w:rsidRPr="004C5551">
              <w:rPr>
                <w:b/>
                <w:szCs w:val="22"/>
              </w:rPr>
              <w:t>4 521</w:t>
            </w:r>
          </w:p>
        </w:tc>
      </w:tr>
    </w:tbl>
    <w:p w:rsidR="007B3CD5" w:rsidRPr="004C5551" w:rsidRDefault="007B3CD5" w:rsidP="007B3CD5">
      <w:pPr>
        <w:pStyle w:val="zdroj"/>
        <w:ind w:left="567"/>
        <w:rPr>
          <w:color w:val="auto"/>
          <w:lang w:eastAsia="cs-CZ"/>
        </w:rPr>
      </w:pPr>
      <w:r w:rsidRPr="004C5551">
        <w:rPr>
          <w:color w:val="auto"/>
          <w:lang w:eastAsia="cs-CZ"/>
        </w:rPr>
        <w:t xml:space="preserve">Zdroj: V(MPSVR SR) 10- 01 </w:t>
      </w: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rPr>
          <w:b/>
        </w:rPr>
      </w:pPr>
    </w:p>
    <w:p w:rsidR="0084617B" w:rsidRPr="004C5551" w:rsidRDefault="0084617B" w:rsidP="0084617B">
      <w:pPr>
        <w:spacing w:after="200" w:line="276" w:lineRule="auto"/>
        <w:jc w:val="left"/>
        <w:rPr>
          <w:rFonts w:eastAsia="Calibri"/>
          <w:b/>
          <w:bCs/>
        </w:rPr>
      </w:pPr>
      <w:r w:rsidRPr="004C5551">
        <w:rPr>
          <w:rFonts w:eastAsia="Calibri"/>
          <w:b/>
          <w:bCs/>
        </w:rPr>
        <w:br w:type="page"/>
      </w:r>
    </w:p>
    <w:p w:rsidR="0084617B" w:rsidRPr="004C5551" w:rsidRDefault="0084617B" w:rsidP="0084617B">
      <w:pPr>
        <w:pStyle w:val="Nadpis7"/>
        <w:rPr>
          <w:rFonts w:eastAsia="Calibri"/>
        </w:rPr>
      </w:pPr>
      <w:r w:rsidRPr="004C5551">
        <w:rPr>
          <w:rFonts w:eastAsia="Calibri"/>
        </w:rPr>
        <w:t xml:space="preserve">Tabuľka </w:t>
      </w:r>
      <w:r w:rsidR="003F4ED2" w:rsidRPr="004C5551">
        <w:rPr>
          <w:rFonts w:eastAsia="Calibri"/>
        </w:rPr>
        <w:t>29</w:t>
      </w:r>
      <w:r w:rsidRPr="004C5551">
        <w:rPr>
          <w:rFonts w:eastAsia="Calibri"/>
        </w:rPr>
        <w:t xml:space="preserve"> Vybrané druhy sociálnych služieb poskytované neverejnými poskytovateľmi sociálnych služieb</w:t>
      </w:r>
    </w:p>
    <w:tbl>
      <w:tblPr>
        <w:tblW w:w="13633"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0"/>
        <w:gridCol w:w="1185"/>
        <w:gridCol w:w="1119"/>
        <w:gridCol w:w="1281"/>
        <w:gridCol w:w="1240"/>
        <w:gridCol w:w="1622"/>
        <w:gridCol w:w="1573"/>
        <w:gridCol w:w="1573"/>
      </w:tblGrid>
      <w:tr w:rsidR="00E60AEE" w:rsidRPr="004C5551" w:rsidTr="00842642">
        <w:trPr>
          <w:trHeight w:val="1050"/>
          <w:jc w:val="center"/>
        </w:trPr>
        <w:tc>
          <w:tcPr>
            <w:tcW w:w="4040" w:type="dxa"/>
            <w:vMerge w:val="restart"/>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Neverejní poskytovatelia vybraných sociálnych služieb k 31. 12. 2014</w:t>
            </w:r>
          </w:p>
        </w:tc>
        <w:tc>
          <w:tcPr>
            <w:tcW w:w="2304" w:type="dxa"/>
            <w:gridSpan w:val="2"/>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Počet poskytovateľov</w:t>
            </w:r>
          </w:p>
        </w:tc>
        <w:tc>
          <w:tcPr>
            <w:tcW w:w="2521" w:type="dxa"/>
            <w:gridSpan w:val="2"/>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Počet klientov</w:t>
            </w:r>
          </w:p>
        </w:tc>
        <w:tc>
          <w:tcPr>
            <w:tcW w:w="1622"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Zamestnanci poskytovateľov (v prepočítaných stavoch)</w:t>
            </w:r>
          </w:p>
        </w:tc>
        <w:tc>
          <w:tcPr>
            <w:tcW w:w="1573"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 xml:space="preserve">Príjmy poskytovateľov </w:t>
            </w:r>
          </w:p>
          <w:p w:rsidR="00E60AEE" w:rsidRPr="004C5551" w:rsidRDefault="00E60AEE" w:rsidP="005308FD">
            <w:pPr>
              <w:jc w:val="center"/>
              <w:rPr>
                <w:b/>
                <w:bCs/>
                <w:sz w:val="18"/>
                <w:szCs w:val="18"/>
              </w:rPr>
            </w:pPr>
            <w:r w:rsidRPr="004C5551">
              <w:rPr>
                <w:b/>
                <w:bCs/>
                <w:sz w:val="18"/>
                <w:szCs w:val="18"/>
              </w:rPr>
              <w:t xml:space="preserve"> (v </w:t>
            </w:r>
            <w:r w:rsidR="00AA0137" w:rsidRPr="004C5551">
              <w:rPr>
                <w:b/>
                <w:bCs/>
                <w:sz w:val="18"/>
                <w:szCs w:val="18"/>
              </w:rPr>
              <w:t>€</w:t>
            </w:r>
            <w:r w:rsidRPr="004C5551">
              <w:rPr>
                <w:b/>
                <w:bCs/>
                <w:sz w:val="18"/>
                <w:szCs w:val="18"/>
              </w:rPr>
              <w:t>)</w:t>
            </w:r>
          </w:p>
        </w:tc>
        <w:tc>
          <w:tcPr>
            <w:tcW w:w="1573"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 xml:space="preserve">Výdavky poskytovateľov </w:t>
            </w:r>
          </w:p>
          <w:p w:rsidR="00E60AEE" w:rsidRPr="004C5551" w:rsidRDefault="00E60AEE" w:rsidP="005308FD">
            <w:pPr>
              <w:jc w:val="center"/>
              <w:rPr>
                <w:b/>
                <w:bCs/>
                <w:sz w:val="18"/>
                <w:szCs w:val="18"/>
              </w:rPr>
            </w:pPr>
            <w:r w:rsidRPr="004C5551">
              <w:rPr>
                <w:b/>
                <w:bCs/>
                <w:sz w:val="18"/>
                <w:szCs w:val="18"/>
              </w:rPr>
              <w:t xml:space="preserve"> (v </w:t>
            </w:r>
            <w:r w:rsidR="00AA0137" w:rsidRPr="004C5551">
              <w:rPr>
                <w:b/>
                <w:bCs/>
                <w:sz w:val="18"/>
                <w:szCs w:val="18"/>
              </w:rPr>
              <w:t>€</w:t>
            </w:r>
            <w:r w:rsidRPr="004C5551">
              <w:rPr>
                <w:b/>
                <w:bCs/>
                <w:sz w:val="18"/>
                <w:szCs w:val="18"/>
              </w:rPr>
              <w:t>)</w:t>
            </w:r>
          </w:p>
        </w:tc>
      </w:tr>
      <w:tr w:rsidR="00E60AEE" w:rsidRPr="004C5551" w:rsidTr="00842642">
        <w:trPr>
          <w:trHeight w:val="60"/>
          <w:jc w:val="center"/>
        </w:trPr>
        <w:tc>
          <w:tcPr>
            <w:tcW w:w="4040" w:type="dxa"/>
            <w:vMerge/>
            <w:shd w:val="clear" w:color="auto" w:fill="FF9999" w:themeFill="accent3" w:themeFillTint="66"/>
            <w:vAlign w:val="center"/>
            <w:hideMark/>
          </w:tcPr>
          <w:p w:rsidR="00E60AEE" w:rsidRPr="004C5551" w:rsidRDefault="00E60AEE" w:rsidP="005308FD">
            <w:pPr>
              <w:rPr>
                <w:b/>
                <w:bCs/>
                <w:sz w:val="18"/>
                <w:szCs w:val="18"/>
              </w:rPr>
            </w:pPr>
          </w:p>
        </w:tc>
        <w:tc>
          <w:tcPr>
            <w:tcW w:w="1185"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2013</w:t>
            </w:r>
          </w:p>
        </w:tc>
        <w:tc>
          <w:tcPr>
            <w:tcW w:w="1119"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2014</w:t>
            </w:r>
          </w:p>
        </w:tc>
        <w:tc>
          <w:tcPr>
            <w:tcW w:w="1281"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2013</w:t>
            </w:r>
          </w:p>
        </w:tc>
        <w:tc>
          <w:tcPr>
            <w:tcW w:w="1240"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2014</w:t>
            </w:r>
          </w:p>
        </w:tc>
        <w:tc>
          <w:tcPr>
            <w:tcW w:w="1622"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2014</w:t>
            </w:r>
          </w:p>
        </w:tc>
        <w:tc>
          <w:tcPr>
            <w:tcW w:w="1573"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2014</w:t>
            </w:r>
          </w:p>
        </w:tc>
        <w:tc>
          <w:tcPr>
            <w:tcW w:w="1573" w:type="dxa"/>
            <w:shd w:val="clear" w:color="auto" w:fill="FF9999" w:themeFill="accent3" w:themeFillTint="66"/>
            <w:vAlign w:val="center"/>
            <w:hideMark/>
          </w:tcPr>
          <w:p w:rsidR="00E60AEE" w:rsidRPr="004C5551" w:rsidRDefault="00E60AEE" w:rsidP="005308FD">
            <w:pPr>
              <w:jc w:val="center"/>
              <w:rPr>
                <w:b/>
                <w:bCs/>
                <w:sz w:val="18"/>
                <w:szCs w:val="18"/>
              </w:rPr>
            </w:pPr>
            <w:r w:rsidRPr="004C5551">
              <w:rPr>
                <w:b/>
                <w:bCs/>
                <w:sz w:val="18"/>
                <w:szCs w:val="18"/>
              </w:rPr>
              <w:t>2014</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opatrovateľská služba</w:t>
            </w:r>
          </w:p>
        </w:tc>
        <w:tc>
          <w:tcPr>
            <w:tcW w:w="1185" w:type="dxa"/>
            <w:noWrap/>
            <w:vAlign w:val="center"/>
          </w:tcPr>
          <w:p w:rsidR="00E60AEE" w:rsidRPr="004C5551" w:rsidRDefault="00E60AEE" w:rsidP="00842642">
            <w:pPr>
              <w:ind w:right="225"/>
              <w:jc w:val="right"/>
              <w:rPr>
                <w:sz w:val="18"/>
                <w:szCs w:val="18"/>
              </w:rPr>
            </w:pPr>
            <w:r w:rsidRPr="004C5551">
              <w:rPr>
                <w:sz w:val="18"/>
                <w:szCs w:val="18"/>
              </w:rPr>
              <w:t>92</w:t>
            </w:r>
          </w:p>
        </w:tc>
        <w:tc>
          <w:tcPr>
            <w:tcW w:w="1119" w:type="dxa"/>
            <w:noWrap/>
            <w:vAlign w:val="center"/>
          </w:tcPr>
          <w:p w:rsidR="00E60AEE" w:rsidRPr="004C5551" w:rsidRDefault="00E60AEE" w:rsidP="00842642">
            <w:pPr>
              <w:ind w:right="225"/>
              <w:jc w:val="right"/>
              <w:rPr>
                <w:sz w:val="18"/>
                <w:szCs w:val="18"/>
              </w:rPr>
            </w:pPr>
            <w:r w:rsidRPr="004C5551">
              <w:rPr>
                <w:sz w:val="18"/>
                <w:szCs w:val="18"/>
              </w:rPr>
              <w:t>99</w:t>
            </w:r>
          </w:p>
        </w:tc>
        <w:tc>
          <w:tcPr>
            <w:tcW w:w="1281" w:type="dxa"/>
            <w:noWrap/>
            <w:vAlign w:val="center"/>
          </w:tcPr>
          <w:p w:rsidR="00E60AEE" w:rsidRPr="004C5551" w:rsidRDefault="00E60AEE" w:rsidP="00842642">
            <w:pPr>
              <w:ind w:right="225"/>
              <w:jc w:val="right"/>
              <w:rPr>
                <w:sz w:val="18"/>
                <w:szCs w:val="18"/>
              </w:rPr>
            </w:pPr>
            <w:r w:rsidRPr="004C5551">
              <w:rPr>
                <w:sz w:val="18"/>
                <w:szCs w:val="18"/>
              </w:rPr>
              <w:t>1 738</w:t>
            </w:r>
          </w:p>
        </w:tc>
        <w:tc>
          <w:tcPr>
            <w:tcW w:w="1240" w:type="dxa"/>
            <w:noWrap/>
            <w:vAlign w:val="center"/>
          </w:tcPr>
          <w:p w:rsidR="00E60AEE" w:rsidRPr="004C5551" w:rsidRDefault="00E60AEE" w:rsidP="00842642">
            <w:pPr>
              <w:ind w:right="225"/>
              <w:jc w:val="right"/>
              <w:rPr>
                <w:sz w:val="18"/>
                <w:szCs w:val="18"/>
              </w:rPr>
            </w:pPr>
            <w:r w:rsidRPr="004C5551">
              <w:rPr>
                <w:sz w:val="18"/>
                <w:szCs w:val="18"/>
              </w:rPr>
              <w:t>4 074</w:t>
            </w:r>
          </w:p>
        </w:tc>
        <w:tc>
          <w:tcPr>
            <w:tcW w:w="1622" w:type="dxa"/>
            <w:noWrap/>
            <w:vAlign w:val="center"/>
          </w:tcPr>
          <w:p w:rsidR="00E60AEE" w:rsidRPr="004C5551" w:rsidRDefault="00E60AEE" w:rsidP="00842642">
            <w:pPr>
              <w:ind w:right="225"/>
              <w:jc w:val="right"/>
              <w:rPr>
                <w:sz w:val="18"/>
                <w:szCs w:val="18"/>
              </w:rPr>
            </w:pPr>
            <w:r w:rsidRPr="004C5551">
              <w:rPr>
                <w:sz w:val="18"/>
                <w:szCs w:val="18"/>
              </w:rPr>
              <w:t>3 013</w:t>
            </w:r>
          </w:p>
        </w:tc>
        <w:tc>
          <w:tcPr>
            <w:tcW w:w="1573" w:type="dxa"/>
            <w:noWrap/>
            <w:vAlign w:val="center"/>
          </w:tcPr>
          <w:p w:rsidR="00E60AEE" w:rsidRPr="004C5551" w:rsidRDefault="00E60AEE" w:rsidP="00842642">
            <w:pPr>
              <w:ind w:right="225"/>
              <w:jc w:val="right"/>
              <w:rPr>
                <w:sz w:val="18"/>
                <w:szCs w:val="18"/>
              </w:rPr>
            </w:pPr>
            <w:r w:rsidRPr="004C5551">
              <w:rPr>
                <w:sz w:val="18"/>
                <w:szCs w:val="18"/>
              </w:rPr>
              <w:t>8 872 013</w:t>
            </w:r>
          </w:p>
        </w:tc>
        <w:tc>
          <w:tcPr>
            <w:tcW w:w="1573" w:type="dxa"/>
            <w:noWrap/>
            <w:vAlign w:val="center"/>
          </w:tcPr>
          <w:p w:rsidR="00E60AEE" w:rsidRPr="004C5551" w:rsidRDefault="00E60AEE" w:rsidP="00842642">
            <w:pPr>
              <w:ind w:right="225"/>
              <w:jc w:val="right"/>
              <w:rPr>
                <w:sz w:val="18"/>
                <w:szCs w:val="18"/>
              </w:rPr>
            </w:pPr>
            <w:r w:rsidRPr="004C5551">
              <w:rPr>
                <w:sz w:val="18"/>
                <w:szCs w:val="18"/>
              </w:rPr>
              <w:t>7 618 733</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nízko prahové denné centrum</w:t>
            </w:r>
          </w:p>
        </w:tc>
        <w:tc>
          <w:tcPr>
            <w:tcW w:w="1185" w:type="dxa"/>
            <w:noWrap/>
            <w:vAlign w:val="center"/>
          </w:tcPr>
          <w:p w:rsidR="00E60AEE" w:rsidRPr="004C5551" w:rsidRDefault="00E60AEE" w:rsidP="00842642">
            <w:pPr>
              <w:ind w:right="225"/>
              <w:jc w:val="right"/>
              <w:rPr>
                <w:sz w:val="18"/>
                <w:szCs w:val="18"/>
              </w:rPr>
            </w:pPr>
            <w:r w:rsidRPr="004C5551">
              <w:rPr>
                <w:sz w:val="18"/>
                <w:szCs w:val="18"/>
              </w:rPr>
              <w:t>11</w:t>
            </w:r>
          </w:p>
        </w:tc>
        <w:tc>
          <w:tcPr>
            <w:tcW w:w="1119" w:type="dxa"/>
            <w:noWrap/>
            <w:vAlign w:val="center"/>
          </w:tcPr>
          <w:p w:rsidR="00E60AEE" w:rsidRPr="004C5551" w:rsidRDefault="00E60AEE" w:rsidP="00842642">
            <w:pPr>
              <w:ind w:right="225"/>
              <w:jc w:val="right"/>
              <w:rPr>
                <w:sz w:val="18"/>
                <w:szCs w:val="18"/>
              </w:rPr>
            </w:pPr>
            <w:r w:rsidRPr="004C5551">
              <w:rPr>
                <w:sz w:val="18"/>
                <w:szCs w:val="18"/>
              </w:rPr>
              <w:t>13</w:t>
            </w:r>
          </w:p>
        </w:tc>
        <w:tc>
          <w:tcPr>
            <w:tcW w:w="1281" w:type="dxa"/>
            <w:noWrap/>
            <w:vAlign w:val="center"/>
          </w:tcPr>
          <w:p w:rsidR="00E60AEE" w:rsidRPr="004C5551" w:rsidRDefault="00E60AEE" w:rsidP="00842642">
            <w:pPr>
              <w:ind w:right="225"/>
              <w:jc w:val="right"/>
              <w:rPr>
                <w:sz w:val="18"/>
                <w:szCs w:val="18"/>
              </w:rPr>
            </w:pPr>
            <w:r w:rsidRPr="004C5551">
              <w:rPr>
                <w:sz w:val="18"/>
                <w:szCs w:val="18"/>
              </w:rPr>
              <w:t>9 182</w:t>
            </w:r>
          </w:p>
        </w:tc>
        <w:tc>
          <w:tcPr>
            <w:tcW w:w="1240" w:type="dxa"/>
            <w:noWrap/>
            <w:vAlign w:val="center"/>
          </w:tcPr>
          <w:p w:rsidR="00E60AEE" w:rsidRPr="004C5551" w:rsidRDefault="00E60AEE" w:rsidP="00842642">
            <w:pPr>
              <w:ind w:right="225"/>
              <w:jc w:val="right"/>
              <w:rPr>
                <w:sz w:val="18"/>
                <w:szCs w:val="18"/>
              </w:rPr>
            </w:pPr>
            <w:r w:rsidRPr="004C5551">
              <w:rPr>
                <w:sz w:val="18"/>
                <w:szCs w:val="18"/>
              </w:rPr>
              <w:t>16 066</w:t>
            </w:r>
          </w:p>
        </w:tc>
        <w:tc>
          <w:tcPr>
            <w:tcW w:w="1622" w:type="dxa"/>
            <w:noWrap/>
            <w:vAlign w:val="center"/>
          </w:tcPr>
          <w:p w:rsidR="00E60AEE" w:rsidRPr="004C5551" w:rsidRDefault="00E60AEE" w:rsidP="00842642">
            <w:pPr>
              <w:ind w:right="225"/>
              <w:jc w:val="right"/>
              <w:rPr>
                <w:sz w:val="18"/>
                <w:szCs w:val="18"/>
              </w:rPr>
            </w:pPr>
            <w:r w:rsidRPr="004C5551">
              <w:rPr>
                <w:sz w:val="18"/>
                <w:szCs w:val="18"/>
              </w:rPr>
              <w:t>98</w:t>
            </w:r>
          </w:p>
        </w:tc>
        <w:tc>
          <w:tcPr>
            <w:tcW w:w="1573" w:type="dxa"/>
            <w:noWrap/>
            <w:vAlign w:val="center"/>
          </w:tcPr>
          <w:p w:rsidR="00E60AEE" w:rsidRPr="004C5551" w:rsidRDefault="00E60AEE" w:rsidP="00842642">
            <w:pPr>
              <w:ind w:right="225"/>
              <w:jc w:val="right"/>
              <w:rPr>
                <w:sz w:val="18"/>
                <w:szCs w:val="18"/>
              </w:rPr>
            </w:pPr>
            <w:r w:rsidRPr="004C5551">
              <w:rPr>
                <w:sz w:val="18"/>
                <w:szCs w:val="18"/>
              </w:rPr>
              <w:t>204 991</w:t>
            </w:r>
          </w:p>
        </w:tc>
        <w:tc>
          <w:tcPr>
            <w:tcW w:w="1573" w:type="dxa"/>
            <w:noWrap/>
            <w:vAlign w:val="center"/>
          </w:tcPr>
          <w:p w:rsidR="00E60AEE" w:rsidRPr="004C5551" w:rsidRDefault="00E60AEE" w:rsidP="00842642">
            <w:pPr>
              <w:ind w:right="225"/>
              <w:jc w:val="right"/>
              <w:rPr>
                <w:sz w:val="18"/>
                <w:szCs w:val="18"/>
              </w:rPr>
            </w:pPr>
            <w:r w:rsidRPr="004C5551">
              <w:rPr>
                <w:sz w:val="18"/>
                <w:szCs w:val="18"/>
              </w:rPr>
              <w:t>302 993</w:t>
            </w:r>
          </w:p>
        </w:tc>
      </w:tr>
      <w:tr w:rsidR="00E60AEE" w:rsidRPr="004C5551" w:rsidTr="00842642">
        <w:trPr>
          <w:trHeight w:val="510"/>
          <w:jc w:val="center"/>
        </w:trPr>
        <w:tc>
          <w:tcPr>
            <w:tcW w:w="4040" w:type="dxa"/>
            <w:vAlign w:val="center"/>
            <w:hideMark/>
          </w:tcPr>
          <w:p w:rsidR="00E60AEE" w:rsidRPr="004C5551" w:rsidRDefault="00E60AEE" w:rsidP="00842642">
            <w:pPr>
              <w:jc w:val="left"/>
              <w:rPr>
                <w:sz w:val="18"/>
                <w:szCs w:val="18"/>
              </w:rPr>
            </w:pPr>
            <w:r w:rsidRPr="004C5551">
              <w:rPr>
                <w:sz w:val="18"/>
                <w:szCs w:val="18"/>
              </w:rPr>
              <w:t>pomoc pri osobnej starostlivosti o dieťa a podpora zosúlaďovania osobného a pracovného života</w:t>
            </w:r>
          </w:p>
        </w:tc>
        <w:tc>
          <w:tcPr>
            <w:tcW w:w="1185" w:type="dxa"/>
            <w:noWrap/>
            <w:vAlign w:val="center"/>
          </w:tcPr>
          <w:p w:rsidR="00E60AEE" w:rsidRPr="004C5551" w:rsidRDefault="00E60AEE" w:rsidP="00842642">
            <w:pPr>
              <w:ind w:right="225"/>
              <w:jc w:val="right"/>
              <w:rPr>
                <w:sz w:val="18"/>
                <w:szCs w:val="18"/>
              </w:rPr>
            </w:pPr>
            <w:r w:rsidRPr="004C5551">
              <w:rPr>
                <w:sz w:val="18"/>
                <w:szCs w:val="18"/>
              </w:rPr>
              <w:t>1</w:t>
            </w:r>
          </w:p>
        </w:tc>
        <w:tc>
          <w:tcPr>
            <w:tcW w:w="1119" w:type="dxa"/>
            <w:noWrap/>
            <w:vAlign w:val="center"/>
          </w:tcPr>
          <w:p w:rsidR="00E60AEE" w:rsidRPr="004C5551" w:rsidRDefault="00E60AEE" w:rsidP="00842642">
            <w:pPr>
              <w:ind w:right="225"/>
              <w:jc w:val="right"/>
              <w:rPr>
                <w:sz w:val="18"/>
                <w:szCs w:val="18"/>
              </w:rPr>
            </w:pPr>
            <w:r w:rsidRPr="004C5551">
              <w:rPr>
                <w:sz w:val="18"/>
                <w:szCs w:val="18"/>
              </w:rPr>
              <w:t>0</w:t>
            </w:r>
          </w:p>
        </w:tc>
        <w:tc>
          <w:tcPr>
            <w:tcW w:w="1281" w:type="dxa"/>
            <w:noWrap/>
            <w:vAlign w:val="center"/>
          </w:tcPr>
          <w:p w:rsidR="00E60AEE" w:rsidRPr="004C5551" w:rsidRDefault="00E60AEE" w:rsidP="00842642">
            <w:pPr>
              <w:ind w:right="225"/>
              <w:jc w:val="right"/>
              <w:rPr>
                <w:sz w:val="18"/>
                <w:szCs w:val="18"/>
              </w:rPr>
            </w:pPr>
            <w:r w:rsidRPr="004C5551">
              <w:rPr>
                <w:sz w:val="18"/>
                <w:szCs w:val="18"/>
              </w:rPr>
              <w:t>3</w:t>
            </w:r>
          </w:p>
        </w:tc>
        <w:tc>
          <w:tcPr>
            <w:tcW w:w="1240" w:type="dxa"/>
            <w:noWrap/>
            <w:vAlign w:val="center"/>
          </w:tcPr>
          <w:p w:rsidR="00E60AEE" w:rsidRPr="004C5551" w:rsidRDefault="00E60AEE" w:rsidP="00842642">
            <w:pPr>
              <w:ind w:right="225"/>
              <w:jc w:val="right"/>
              <w:rPr>
                <w:sz w:val="18"/>
                <w:szCs w:val="18"/>
              </w:rPr>
            </w:pPr>
            <w:r w:rsidRPr="004C5551">
              <w:rPr>
                <w:sz w:val="18"/>
                <w:szCs w:val="18"/>
              </w:rPr>
              <w:t>3</w:t>
            </w:r>
          </w:p>
        </w:tc>
        <w:tc>
          <w:tcPr>
            <w:tcW w:w="1622" w:type="dxa"/>
            <w:noWrap/>
            <w:vAlign w:val="center"/>
          </w:tcPr>
          <w:p w:rsidR="00E60AEE" w:rsidRPr="004C5551" w:rsidRDefault="00E60AEE" w:rsidP="00842642">
            <w:pPr>
              <w:ind w:right="225"/>
              <w:jc w:val="right"/>
              <w:rPr>
                <w:sz w:val="18"/>
                <w:szCs w:val="18"/>
              </w:rPr>
            </w:pPr>
            <w:r w:rsidRPr="004C5551">
              <w:rPr>
                <w:sz w:val="18"/>
                <w:szCs w:val="18"/>
              </w:rPr>
              <w:t>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 xml:space="preserve">zariadenie dočasnej starostlivosti o deti </w:t>
            </w:r>
          </w:p>
        </w:tc>
        <w:tc>
          <w:tcPr>
            <w:tcW w:w="1185" w:type="dxa"/>
            <w:noWrap/>
            <w:vAlign w:val="center"/>
          </w:tcPr>
          <w:p w:rsidR="00E60AEE" w:rsidRPr="004C5551" w:rsidRDefault="00E60AEE" w:rsidP="00842642">
            <w:pPr>
              <w:ind w:right="225"/>
              <w:jc w:val="right"/>
              <w:rPr>
                <w:sz w:val="18"/>
                <w:szCs w:val="18"/>
              </w:rPr>
            </w:pPr>
            <w:r w:rsidRPr="004C5551">
              <w:rPr>
                <w:sz w:val="18"/>
                <w:szCs w:val="18"/>
              </w:rPr>
              <w:t>1</w:t>
            </w:r>
          </w:p>
        </w:tc>
        <w:tc>
          <w:tcPr>
            <w:tcW w:w="1119" w:type="dxa"/>
            <w:noWrap/>
            <w:vAlign w:val="center"/>
          </w:tcPr>
          <w:p w:rsidR="00E60AEE" w:rsidRPr="004C5551" w:rsidRDefault="00E60AEE" w:rsidP="00842642">
            <w:pPr>
              <w:ind w:right="225"/>
              <w:jc w:val="right"/>
              <w:rPr>
                <w:sz w:val="18"/>
                <w:szCs w:val="18"/>
              </w:rPr>
            </w:pPr>
            <w:r w:rsidRPr="004C5551">
              <w:rPr>
                <w:sz w:val="18"/>
                <w:szCs w:val="18"/>
              </w:rPr>
              <w:t>1</w:t>
            </w:r>
          </w:p>
        </w:tc>
        <w:tc>
          <w:tcPr>
            <w:tcW w:w="1281" w:type="dxa"/>
            <w:noWrap/>
            <w:vAlign w:val="center"/>
          </w:tcPr>
          <w:p w:rsidR="00E60AEE" w:rsidRPr="004C5551" w:rsidRDefault="00E60AEE" w:rsidP="00842642">
            <w:pPr>
              <w:ind w:right="225"/>
              <w:jc w:val="right"/>
              <w:rPr>
                <w:sz w:val="18"/>
                <w:szCs w:val="18"/>
              </w:rPr>
            </w:pPr>
            <w:r w:rsidRPr="004C5551">
              <w:rPr>
                <w:sz w:val="18"/>
                <w:szCs w:val="18"/>
              </w:rPr>
              <w:t>7</w:t>
            </w:r>
          </w:p>
        </w:tc>
        <w:tc>
          <w:tcPr>
            <w:tcW w:w="1240" w:type="dxa"/>
            <w:noWrap/>
            <w:vAlign w:val="center"/>
          </w:tcPr>
          <w:p w:rsidR="00E60AEE" w:rsidRPr="004C5551" w:rsidRDefault="00E60AEE" w:rsidP="00842642">
            <w:pPr>
              <w:ind w:right="225"/>
              <w:jc w:val="right"/>
              <w:rPr>
                <w:sz w:val="18"/>
                <w:szCs w:val="18"/>
              </w:rPr>
            </w:pPr>
            <w:r w:rsidRPr="004C5551">
              <w:rPr>
                <w:sz w:val="18"/>
                <w:szCs w:val="18"/>
              </w:rPr>
              <w:t>7</w:t>
            </w:r>
          </w:p>
        </w:tc>
        <w:tc>
          <w:tcPr>
            <w:tcW w:w="1622" w:type="dxa"/>
            <w:noWrap/>
            <w:vAlign w:val="center"/>
          </w:tcPr>
          <w:p w:rsidR="00E60AEE" w:rsidRPr="004C5551" w:rsidRDefault="00E60AEE" w:rsidP="00842642">
            <w:pPr>
              <w:ind w:right="225"/>
              <w:jc w:val="right"/>
              <w:rPr>
                <w:sz w:val="18"/>
                <w:szCs w:val="18"/>
              </w:rPr>
            </w:pPr>
            <w:r w:rsidRPr="004C5551">
              <w:rPr>
                <w:sz w:val="18"/>
                <w:szCs w:val="18"/>
              </w:rPr>
              <w:t>5</w:t>
            </w:r>
          </w:p>
        </w:tc>
        <w:tc>
          <w:tcPr>
            <w:tcW w:w="1573" w:type="dxa"/>
            <w:noWrap/>
            <w:vAlign w:val="center"/>
          </w:tcPr>
          <w:p w:rsidR="00E60AEE" w:rsidRPr="004C5551" w:rsidRDefault="00E60AEE" w:rsidP="00842642">
            <w:pPr>
              <w:ind w:right="225"/>
              <w:jc w:val="right"/>
              <w:rPr>
                <w:sz w:val="18"/>
                <w:szCs w:val="18"/>
              </w:rPr>
            </w:pPr>
            <w:r w:rsidRPr="004C5551">
              <w:rPr>
                <w:sz w:val="18"/>
                <w:szCs w:val="18"/>
              </w:rPr>
              <w:t>17 360</w:t>
            </w:r>
          </w:p>
        </w:tc>
        <w:tc>
          <w:tcPr>
            <w:tcW w:w="1573" w:type="dxa"/>
            <w:noWrap/>
            <w:vAlign w:val="center"/>
          </w:tcPr>
          <w:p w:rsidR="00E60AEE" w:rsidRPr="004C5551" w:rsidRDefault="00E60AEE" w:rsidP="00842642">
            <w:pPr>
              <w:ind w:right="225"/>
              <w:jc w:val="right"/>
              <w:rPr>
                <w:sz w:val="18"/>
                <w:szCs w:val="18"/>
              </w:rPr>
            </w:pPr>
            <w:r w:rsidRPr="004C5551">
              <w:rPr>
                <w:sz w:val="18"/>
                <w:szCs w:val="18"/>
              </w:rPr>
              <w:t>39 240</w:t>
            </w:r>
          </w:p>
        </w:tc>
      </w:tr>
      <w:tr w:rsidR="00E60AEE" w:rsidRPr="004C5551" w:rsidTr="00842642">
        <w:trPr>
          <w:trHeight w:val="270"/>
          <w:jc w:val="center"/>
        </w:trPr>
        <w:tc>
          <w:tcPr>
            <w:tcW w:w="4040" w:type="dxa"/>
            <w:vAlign w:val="center"/>
            <w:hideMark/>
          </w:tcPr>
          <w:p w:rsidR="00E60AEE" w:rsidRPr="004C5551" w:rsidRDefault="00E60AEE" w:rsidP="00842642">
            <w:pPr>
              <w:jc w:val="left"/>
              <w:rPr>
                <w:sz w:val="18"/>
                <w:szCs w:val="18"/>
              </w:rPr>
            </w:pPr>
            <w:r w:rsidRPr="004C5551">
              <w:rPr>
                <w:sz w:val="18"/>
                <w:szCs w:val="18"/>
              </w:rPr>
              <w:t xml:space="preserve">nízko prahové denné centrum pre deti a rodinu </w:t>
            </w:r>
          </w:p>
        </w:tc>
        <w:tc>
          <w:tcPr>
            <w:tcW w:w="1185" w:type="dxa"/>
            <w:noWrap/>
            <w:vAlign w:val="center"/>
          </w:tcPr>
          <w:p w:rsidR="00E60AEE" w:rsidRPr="004C5551" w:rsidRDefault="00E60AEE" w:rsidP="00842642">
            <w:pPr>
              <w:ind w:right="225"/>
              <w:jc w:val="right"/>
              <w:rPr>
                <w:sz w:val="18"/>
                <w:szCs w:val="18"/>
              </w:rPr>
            </w:pPr>
            <w:r w:rsidRPr="004C5551">
              <w:rPr>
                <w:sz w:val="18"/>
                <w:szCs w:val="18"/>
              </w:rPr>
              <w:t>15</w:t>
            </w:r>
          </w:p>
        </w:tc>
        <w:tc>
          <w:tcPr>
            <w:tcW w:w="1119" w:type="dxa"/>
            <w:noWrap/>
            <w:vAlign w:val="center"/>
          </w:tcPr>
          <w:p w:rsidR="00E60AEE" w:rsidRPr="004C5551" w:rsidRDefault="00E60AEE" w:rsidP="00842642">
            <w:pPr>
              <w:ind w:right="225"/>
              <w:jc w:val="right"/>
              <w:rPr>
                <w:sz w:val="18"/>
                <w:szCs w:val="18"/>
              </w:rPr>
            </w:pPr>
            <w:r w:rsidRPr="004C5551">
              <w:rPr>
                <w:sz w:val="18"/>
                <w:szCs w:val="18"/>
              </w:rPr>
              <w:t>14</w:t>
            </w:r>
          </w:p>
        </w:tc>
        <w:tc>
          <w:tcPr>
            <w:tcW w:w="1281" w:type="dxa"/>
            <w:noWrap/>
            <w:vAlign w:val="center"/>
          </w:tcPr>
          <w:p w:rsidR="00E60AEE" w:rsidRPr="004C5551" w:rsidRDefault="00E60AEE" w:rsidP="00842642">
            <w:pPr>
              <w:ind w:right="225"/>
              <w:jc w:val="right"/>
              <w:rPr>
                <w:sz w:val="18"/>
                <w:szCs w:val="18"/>
              </w:rPr>
            </w:pPr>
            <w:r w:rsidRPr="004C5551">
              <w:rPr>
                <w:sz w:val="18"/>
                <w:szCs w:val="18"/>
              </w:rPr>
              <w:t>6 107</w:t>
            </w:r>
          </w:p>
        </w:tc>
        <w:tc>
          <w:tcPr>
            <w:tcW w:w="1240" w:type="dxa"/>
            <w:noWrap/>
            <w:vAlign w:val="center"/>
          </w:tcPr>
          <w:p w:rsidR="00E60AEE" w:rsidRPr="004C5551" w:rsidRDefault="00E60AEE" w:rsidP="00842642">
            <w:pPr>
              <w:ind w:right="225"/>
              <w:jc w:val="right"/>
              <w:rPr>
                <w:sz w:val="18"/>
                <w:szCs w:val="18"/>
              </w:rPr>
            </w:pPr>
            <w:r w:rsidRPr="004C5551">
              <w:rPr>
                <w:sz w:val="18"/>
                <w:szCs w:val="18"/>
              </w:rPr>
              <w:t>2 317</w:t>
            </w:r>
          </w:p>
        </w:tc>
        <w:tc>
          <w:tcPr>
            <w:tcW w:w="1622" w:type="dxa"/>
            <w:noWrap/>
            <w:vAlign w:val="center"/>
          </w:tcPr>
          <w:p w:rsidR="00E60AEE" w:rsidRPr="004C5551" w:rsidRDefault="00E60AEE" w:rsidP="00842642">
            <w:pPr>
              <w:ind w:right="225"/>
              <w:jc w:val="right"/>
              <w:rPr>
                <w:sz w:val="18"/>
                <w:szCs w:val="18"/>
              </w:rPr>
            </w:pPr>
            <w:r w:rsidRPr="004C5551">
              <w:rPr>
                <w:sz w:val="18"/>
                <w:szCs w:val="18"/>
              </w:rPr>
              <w:t>118</w:t>
            </w:r>
          </w:p>
        </w:tc>
        <w:tc>
          <w:tcPr>
            <w:tcW w:w="1573" w:type="dxa"/>
            <w:noWrap/>
            <w:vAlign w:val="center"/>
          </w:tcPr>
          <w:p w:rsidR="00E60AEE" w:rsidRPr="004C5551" w:rsidRDefault="00E60AEE" w:rsidP="00842642">
            <w:pPr>
              <w:ind w:right="225"/>
              <w:jc w:val="right"/>
              <w:rPr>
                <w:sz w:val="18"/>
                <w:szCs w:val="18"/>
              </w:rPr>
            </w:pPr>
            <w:r w:rsidRPr="004C5551">
              <w:rPr>
                <w:sz w:val="18"/>
                <w:szCs w:val="18"/>
              </w:rPr>
              <w:t>631 607</w:t>
            </w:r>
          </w:p>
        </w:tc>
        <w:tc>
          <w:tcPr>
            <w:tcW w:w="1573" w:type="dxa"/>
            <w:noWrap/>
            <w:vAlign w:val="center"/>
          </w:tcPr>
          <w:p w:rsidR="00E60AEE" w:rsidRPr="004C5551" w:rsidRDefault="00E60AEE" w:rsidP="00842642">
            <w:pPr>
              <w:ind w:right="225"/>
              <w:jc w:val="right"/>
              <w:rPr>
                <w:sz w:val="18"/>
                <w:szCs w:val="18"/>
              </w:rPr>
            </w:pPr>
            <w:r w:rsidRPr="004C5551">
              <w:rPr>
                <w:sz w:val="18"/>
                <w:szCs w:val="18"/>
              </w:rPr>
              <w:t>520 590</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prepravná služba</w:t>
            </w:r>
          </w:p>
        </w:tc>
        <w:tc>
          <w:tcPr>
            <w:tcW w:w="1185" w:type="dxa"/>
            <w:noWrap/>
            <w:vAlign w:val="center"/>
          </w:tcPr>
          <w:p w:rsidR="00E60AEE" w:rsidRPr="004C5551" w:rsidRDefault="00E60AEE" w:rsidP="00842642">
            <w:pPr>
              <w:ind w:right="225"/>
              <w:jc w:val="right"/>
              <w:rPr>
                <w:sz w:val="18"/>
                <w:szCs w:val="18"/>
              </w:rPr>
            </w:pPr>
            <w:r w:rsidRPr="004C5551">
              <w:rPr>
                <w:sz w:val="18"/>
                <w:szCs w:val="18"/>
              </w:rPr>
              <w:t>23</w:t>
            </w:r>
          </w:p>
        </w:tc>
        <w:tc>
          <w:tcPr>
            <w:tcW w:w="1119" w:type="dxa"/>
            <w:noWrap/>
            <w:vAlign w:val="center"/>
          </w:tcPr>
          <w:p w:rsidR="00E60AEE" w:rsidRPr="004C5551" w:rsidRDefault="00E60AEE" w:rsidP="00842642">
            <w:pPr>
              <w:ind w:right="225"/>
              <w:jc w:val="right"/>
              <w:rPr>
                <w:sz w:val="18"/>
                <w:szCs w:val="18"/>
              </w:rPr>
            </w:pPr>
            <w:r w:rsidRPr="004C5551">
              <w:rPr>
                <w:sz w:val="18"/>
                <w:szCs w:val="18"/>
              </w:rPr>
              <w:t>34</w:t>
            </w:r>
          </w:p>
        </w:tc>
        <w:tc>
          <w:tcPr>
            <w:tcW w:w="1281" w:type="dxa"/>
            <w:noWrap/>
            <w:vAlign w:val="center"/>
          </w:tcPr>
          <w:p w:rsidR="00E60AEE" w:rsidRPr="004C5551" w:rsidRDefault="00E60AEE" w:rsidP="00842642">
            <w:pPr>
              <w:ind w:right="225"/>
              <w:jc w:val="right"/>
              <w:rPr>
                <w:sz w:val="18"/>
                <w:szCs w:val="18"/>
              </w:rPr>
            </w:pPr>
            <w:r w:rsidRPr="004C5551">
              <w:rPr>
                <w:sz w:val="18"/>
                <w:szCs w:val="18"/>
              </w:rPr>
              <w:t>4 515</w:t>
            </w:r>
          </w:p>
        </w:tc>
        <w:tc>
          <w:tcPr>
            <w:tcW w:w="1240" w:type="dxa"/>
            <w:noWrap/>
            <w:vAlign w:val="center"/>
          </w:tcPr>
          <w:p w:rsidR="00E60AEE" w:rsidRPr="004C5551" w:rsidRDefault="00E60AEE" w:rsidP="00842642">
            <w:pPr>
              <w:ind w:right="225"/>
              <w:jc w:val="right"/>
              <w:rPr>
                <w:sz w:val="18"/>
                <w:szCs w:val="18"/>
              </w:rPr>
            </w:pPr>
            <w:r w:rsidRPr="004C5551">
              <w:rPr>
                <w:sz w:val="18"/>
                <w:szCs w:val="18"/>
              </w:rPr>
              <w:t>7 819</w:t>
            </w:r>
          </w:p>
        </w:tc>
        <w:tc>
          <w:tcPr>
            <w:tcW w:w="1622" w:type="dxa"/>
            <w:noWrap/>
            <w:vAlign w:val="center"/>
          </w:tcPr>
          <w:p w:rsidR="00E60AEE" w:rsidRPr="004C5551" w:rsidRDefault="00E60AEE" w:rsidP="00842642">
            <w:pPr>
              <w:ind w:right="225"/>
              <w:jc w:val="right"/>
              <w:rPr>
                <w:sz w:val="18"/>
                <w:szCs w:val="18"/>
              </w:rPr>
            </w:pPr>
            <w:r w:rsidRPr="004C5551">
              <w:rPr>
                <w:sz w:val="18"/>
                <w:szCs w:val="18"/>
              </w:rPr>
              <w:t>64</w:t>
            </w:r>
          </w:p>
        </w:tc>
        <w:tc>
          <w:tcPr>
            <w:tcW w:w="1573" w:type="dxa"/>
            <w:noWrap/>
            <w:vAlign w:val="center"/>
          </w:tcPr>
          <w:p w:rsidR="00E60AEE" w:rsidRPr="004C5551" w:rsidRDefault="00E60AEE" w:rsidP="00842642">
            <w:pPr>
              <w:ind w:right="225"/>
              <w:jc w:val="right"/>
              <w:rPr>
                <w:sz w:val="18"/>
                <w:szCs w:val="18"/>
              </w:rPr>
            </w:pPr>
            <w:r w:rsidRPr="004C5551">
              <w:rPr>
                <w:sz w:val="18"/>
                <w:szCs w:val="18"/>
              </w:rPr>
              <w:t>258 617</w:t>
            </w:r>
          </w:p>
        </w:tc>
        <w:tc>
          <w:tcPr>
            <w:tcW w:w="1573" w:type="dxa"/>
            <w:noWrap/>
            <w:vAlign w:val="center"/>
          </w:tcPr>
          <w:p w:rsidR="00E60AEE" w:rsidRPr="004C5551" w:rsidRDefault="00E60AEE" w:rsidP="00842642">
            <w:pPr>
              <w:ind w:right="225"/>
              <w:jc w:val="right"/>
              <w:rPr>
                <w:sz w:val="18"/>
                <w:szCs w:val="18"/>
              </w:rPr>
            </w:pPr>
            <w:r w:rsidRPr="004C5551">
              <w:rPr>
                <w:sz w:val="18"/>
                <w:szCs w:val="18"/>
              </w:rPr>
              <w:t>310 872</w:t>
            </w:r>
          </w:p>
        </w:tc>
      </w:tr>
      <w:tr w:rsidR="00E60AEE" w:rsidRPr="004C5551" w:rsidTr="00842642">
        <w:trPr>
          <w:trHeight w:val="255"/>
          <w:jc w:val="center"/>
        </w:trPr>
        <w:tc>
          <w:tcPr>
            <w:tcW w:w="4040" w:type="dxa"/>
            <w:vAlign w:val="center"/>
            <w:hideMark/>
          </w:tcPr>
          <w:p w:rsidR="00E60AEE" w:rsidRPr="004C5551" w:rsidRDefault="00E60AEE" w:rsidP="00842642">
            <w:pPr>
              <w:jc w:val="left"/>
              <w:rPr>
                <w:sz w:val="18"/>
                <w:szCs w:val="18"/>
              </w:rPr>
            </w:pPr>
            <w:r w:rsidRPr="004C5551">
              <w:rPr>
                <w:sz w:val="18"/>
                <w:szCs w:val="18"/>
              </w:rPr>
              <w:t>sprievodcovská a predčitateľská služba</w:t>
            </w:r>
          </w:p>
        </w:tc>
        <w:tc>
          <w:tcPr>
            <w:tcW w:w="1185" w:type="dxa"/>
            <w:noWrap/>
            <w:vAlign w:val="center"/>
          </w:tcPr>
          <w:p w:rsidR="00E60AEE" w:rsidRPr="004C5551" w:rsidRDefault="00E60AEE" w:rsidP="00842642">
            <w:pPr>
              <w:ind w:right="225"/>
              <w:jc w:val="right"/>
              <w:rPr>
                <w:sz w:val="18"/>
                <w:szCs w:val="18"/>
              </w:rPr>
            </w:pPr>
            <w:r w:rsidRPr="004C5551">
              <w:rPr>
                <w:sz w:val="18"/>
                <w:szCs w:val="18"/>
              </w:rPr>
              <w:t>6</w:t>
            </w:r>
          </w:p>
        </w:tc>
        <w:tc>
          <w:tcPr>
            <w:tcW w:w="1119" w:type="dxa"/>
            <w:noWrap/>
            <w:vAlign w:val="center"/>
          </w:tcPr>
          <w:p w:rsidR="00E60AEE" w:rsidRPr="004C5551" w:rsidRDefault="00E60AEE" w:rsidP="00842642">
            <w:pPr>
              <w:ind w:right="225"/>
              <w:jc w:val="right"/>
              <w:rPr>
                <w:sz w:val="18"/>
                <w:szCs w:val="18"/>
              </w:rPr>
            </w:pPr>
            <w:r w:rsidRPr="004C5551">
              <w:rPr>
                <w:sz w:val="18"/>
                <w:szCs w:val="18"/>
              </w:rPr>
              <w:t>6</w:t>
            </w:r>
          </w:p>
        </w:tc>
        <w:tc>
          <w:tcPr>
            <w:tcW w:w="1281" w:type="dxa"/>
            <w:noWrap/>
            <w:vAlign w:val="center"/>
          </w:tcPr>
          <w:p w:rsidR="00E60AEE" w:rsidRPr="004C5551" w:rsidRDefault="00E60AEE" w:rsidP="00842642">
            <w:pPr>
              <w:ind w:right="225"/>
              <w:jc w:val="right"/>
              <w:rPr>
                <w:sz w:val="18"/>
                <w:szCs w:val="18"/>
              </w:rPr>
            </w:pPr>
            <w:r w:rsidRPr="004C5551">
              <w:rPr>
                <w:sz w:val="18"/>
                <w:szCs w:val="18"/>
              </w:rPr>
              <w:t>108</w:t>
            </w:r>
          </w:p>
        </w:tc>
        <w:tc>
          <w:tcPr>
            <w:tcW w:w="1240" w:type="dxa"/>
            <w:noWrap/>
            <w:vAlign w:val="center"/>
          </w:tcPr>
          <w:p w:rsidR="00E60AEE" w:rsidRPr="004C5551" w:rsidRDefault="00E60AEE" w:rsidP="00842642">
            <w:pPr>
              <w:ind w:right="225"/>
              <w:jc w:val="right"/>
              <w:rPr>
                <w:sz w:val="18"/>
                <w:szCs w:val="18"/>
              </w:rPr>
            </w:pPr>
            <w:r w:rsidRPr="004C5551">
              <w:rPr>
                <w:sz w:val="18"/>
                <w:szCs w:val="18"/>
              </w:rPr>
              <w:t>198</w:t>
            </w:r>
          </w:p>
        </w:tc>
        <w:tc>
          <w:tcPr>
            <w:tcW w:w="1622" w:type="dxa"/>
            <w:noWrap/>
            <w:vAlign w:val="center"/>
          </w:tcPr>
          <w:p w:rsidR="00E60AEE" w:rsidRPr="004C5551" w:rsidRDefault="00E60AEE" w:rsidP="00842642">
            <w:pPr>
              <w:ind w:right="225"/>
              <w:jc w:val="right"/>
              <w:rPr>
                <w:sz w:val="18"/>
                <w:szCs w:val="18"/>
              </w:rPr>
            </w:pPr>
            <w:r w:rsidRPr="004C5551">
              <w:rPr>
                <w:sz w:val="18"/>
                <w:szCs w:val="18"/>
              </w:rPr>
              <w:t>4</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tlmočnícka služba</w:t>
            </w:r>
          </w:p>
        </w:tc>
        <w:tc>
          <w:tcPr>
            <w:tcW w:w="1185" w:type="dxa"/>
            <w:noWrap/>
            <w:vAlign w:val="center"/>
          </w:tcPr>
          <w:p w:rsidR="00E60AEE" w:rsidRPr="004C5551" w:rsidRDefault="00E60AEE" w:rsidP="00842642">
            <w:pPr>
              <w:ind w:right="225"/>
              <w:jc w:val="right"/>
              <w:rPr>
                <w:sz w:val="18"/>
                <w:szCs w:val="18"/>
              </w:rPr>
            </w:pPr>
            <w:r w:rsidRPr="004C5551">
              <w:rPr>
                <w:sz w:val="18"/>
                <w:szCs w:val="18"/>
              </w:rPr>
              <w:t>9</w:t>
            </w:r>
          </w:p>
        </w:tc>
        <w:tc>
          <w:tcPr>
            <w:tcW w:w="1119" w:type="dxa"/>
            <w:noWrap/>
            <w:vAlign w:val="center"/>
          </w:tcPr>
          <w:p w:rsidR="00E60AEE" w:rsidRPr="004C5551" w:rsidRDefault="00E60AEE" w:rsidP="00842642">
            <w:pPr>
              <w:ind w:right="225"/>
              <w:jc w:val="right"/>
              <w:rPr>
                <w:sz w:val="18"/>
                <w:szCs w:val="18"/>
              </w:rPr>
            </w:pPr>
            <w:r w:rsidRPr="004C5551">
              <w:rPr>
                <w:sz w:val="18"/>
                <w:szCs w:val="18"/>
              </w:rPr>
              <w:t>11</w:t>
            </w:r>
          </w:p>
        </w:tc>
        <w:tc>
          <w:tcPr>
            <w:tcW w:w="1281" w:type="dxa"/>
            <w:noWrap/>
            <w:vAlign w:val="center"/>
          </w:tcPr>
          <w:p w:rsidR="00E60AEE" w:rsidRPr="004C5551" w:rsidRDefault="00E60AEE" w:rsidP="00842642">
            <w:pPr>
              <w:ind w:right="225"/>
              <w:jc w:val="right"/>
              <w:rPr>
                <w:sz w:val="18"/>
                <w:szCs w:val="18"/>
              </w:rPr>
            </w:pPr>
            <w:r w:rsidRPr="004C5551">
              <w:rPr>
                <w:sz w:val="18"/>
                <w:szCs w:val="18"/>
              </w:rPr>
              <w:t>3 134</w:t>
            </w:r>
          </w:p>
        </w:tc>
        <w:tc>
          <w:tcPr>
            <w:tcW w:w="1240" w:type="dxa"/>
            <w:noWrap/>
            <w:vAlign w:val="center"/>
          </w:tcPr>
          <w:p w:rsidR="00E60AEE" w:rsidRPr="004C5551" w:rsidRDefault="00E60AEE" w:rsidP="00842642">
            <w:pPr>
              <w:ind w:right="225"/>
              <w:jc w:val="right"/>
              <w:rPr>
                <w:sz w:val="18"/>
                <w:szCs w:val="18"/>
              </w:rPr>
            </w:pPr>
            <w:r w:rsidRPr="004C5551">
              <w:rPr>
                <w:sz w:val="18"/>
                <w:szCs w:val="18"/>
              </w:rPr>
              <w:t>3 371</w:t>
            </w:r>
          </w:p>
        </w:tc>
        <w:tc>
          <w:tcPr>
            <w:tcW w:w="1622" w:type="dxa"/>
            <w:noWrap/>
            <w:vAlign w:val="center"/>
          </w:tcPr>
          <w:p w:rsidR="00E60AEE" w:rsidRPr="004C5551" w:rsidRDefault="00E60AEE" w:rsidP="00842642">
            <w:pPr>
              <w:ind w:right="225"/>
              <w:jc w:val="right"/>
              <w:rPr>
                <w:sz w:val="18"/>
                <w:szCs w:val="18"/>
              </w:rPr>
            </w:pPr>
            <w:r w:rsidRPr="004C5551">
              <w:rPr>
                <w:sz w:val="18"/>
                <w:szCs w:val="18"/>
              </w:rPr>
              <w:t>22</w:t>
            </w:r>
          </w:p>
        </w:tc>
        <w:tc>
          <w:tcPr>
            <w:tcW w:w="1573" w:type="dxa"/>
            <w:noWrap/>
            <w:vAlign w:val="center"/>
          </w:tcPr>
          <w:p w:rsidR="00E60AEE" w:rsidRPr="004C5551" w:rsidRDefault="00E60AEE" w:rsidP="00842642">
            <w:pPr>
              <w:ind w:right="225"/>
              <w:jc w:val="right"/>
              <w:rPr>
                <w:sz w:val="18"/>
                <w:szCs w:val="18"/>
              </w:rPr>
            </w:pPr>
            <w:r w:rsidRPr="004C5551">
              <w:rPr>
                <w:sz w:val="18"/>
                <w:szCs w:val="18"/>
              </w:rPr>
              <w:t>105 576</w:t>
            </w:r>
          </w:p>
        </w:tc>
        <w:tc>
          <w:tcPr>
            <w:tcW w:w="1573" w:type="dxa"/>
            <w:noWrap/>
            <w:vAlign w:val="center"/>
          </w:tcPr>
          <w:p w:rsidR="00E60AEE" w:rsidRPr="004C5551" w:rsidRDefault="00E60AEE" w:rsidP="00842642">
            <w:pPr>
              <w:ind w:right="225"/>
              <w:jc w:val="right"/>
              <w:rPr>
                <w:sz w:val="18"/>
                <w:szCs w:val="18"/>
              </w:rPr>
            </w:pPr>
            <w:r w:rsidRPr="004C5551">
              <w:rPr>
                <w:sz w:val="18"/>
                <w:szCs w:val="18"/>
              </w:rPr>
              <w:t>108 781</w:t>
            </w:r>
          </w:p>
        </w:tc>
      </w:tr>
      <w:tr w:rsidR="00E60AEE" w:rsidRPr="004C5551" w:rsidTr="00842642">
        <w:trPr>
          <w:trHeight w:val="255"/>
          <w:jc w:val="center"/>
        </w:trPr>
        <w:tc>
          <w:tcPr>
            <w:tcW w:w="4040" w:type="dxa"/>
            <w:vAlign w:val="center"/>
            <w:hideMark/>
          </w:tcPr>
          <w:p w:rsidR="00E60AEE" w:rsidRPr="004C5551" w:rsidRDefault="00E60AEE" w:rsidP="00842642">
            <w:pPr>
              <w:jc w:val="left"/>
              <w:rPr>
                <w:sz w:val="18"/>
                <w:szCs w:val="18"/>
              </w:rPr>
            </w:pPr>
            <w:r w:rsidRPr="004C5551">
              <w:rPr>
                <w:sz w:val="18"/>
                <w:szCs w:val="18"/>
              </w:rPr>
              <w:t>sprostredkovanie tlmočníckej služby</w:t>
            </w:r>
          </w:p>
        </w:tc>
        <w:tc>
          <w:tcPr>
            <w:tcW w:w="1185" w:type="dxa"/>
            <w:noWrap/>
            <w:vAlign w:val="center"/>
          </w:tcPr>
          <w:p w:rsidR="00E60AEE" w:rsidRPr="004C5551" w:rsidRDefault="00E60AEE" w:rsidP="00842642">
            <w:pPr>
              <w:ind w:right="225"/>
              <w:jc w:val="right"/>
              <w:rPr>
                <w:sz w:val="18"/>
                <w:szCs w:val="18"/>
              </w:rPr>
            </w:pPr>
            <w:r w:rsidRPr="004C5551">
              <w:rPr>
                <w:sz w:val="18"/>
                <w:szCs w:val="18"/>
              </w:rPr>
              <w:t>0</w:t>
            </w:r>
          </w:p>
        </w:tc>
        <w:tc>
          <w:tcPr>
            <w:tcW w:w="1119" w:type="dxa"/>
            <w:noWrap/>
            <w:vAlign w:val="center"/>
          </w:tcPr>
          <w:p w:rsidR="00E60AEE" w:rsidRPr="004C5551" w:rsidRDefault="00E60AEE" w:rsidP="00842642">
            <w:pPr>
              <w:ind w:right="225"/>
              <w:jc w:val="right"/>
              <w:rPr>
                <w:sz w:val="18"/>
                <w:szCs w:val="18"/>
              </w:rPr>
            </w:pPr>
            <w:r w:rsidRPr="004C5551">
              <w:rPr>
                <w:sz w:val="18"/>
                <w:szCs w:val="18"/>
              </w:rPr>
              <w:t>0</w:t>
            </w:r>
          </w:p>
        </w:tc>
        <w:tc>
          <w:tcPr>
            <w:tcW w:w="1281" w:type="dxa"/>
            <w:noWrap/>
            <w:vAlign w:val="center"/>
          </w:tcPr>
          <w:p w:rsidR="00E60AEE" w:rsidRPr="004C5551" w:rsidRDefault="00E60AEE" w:rsidP="00842642">
            <w:pPr>
              <w:ind w:right="225"/>
              <w:jc w:val="right"/>
              <w:rPr>
                <w:sz w:val="18"/>
                <w:szCs w:val="18"/>
              </w:rPr>
            </w:pPr>
            <w:r w:rsidRPr="004C5551">
              <w:rPr>
                <w:sz w:val="18"/>
                <w:szCs w:val="18"/>
              </w:rPr>
              <w:t>0</w:t>
            </w:r>
          </w:p>
        </w:tc>
        <w:tc>
          <w:tcPr>
            <w:tcW w:w="1240" w:type="dxa"/>
            <w:noWrap/>
            <w:vAlign w:val="center"/>
          </w:tcPr>
          <w:p w:rsidR="00E60AEE" w:rsidRPr="004C5551" w:rsidRDefault="00E60AEE" w:rsidP="00842642">
            <w:pPr>
              <w:ind w:right="225"/>
              <w:jc w:val="right"/>
              <w:rPr>
                <w:sz w:val="18"/>
                <w:szCs w:val="18"/>
              </w:rPr>
            </w:pPr>
            <w:r w:rsidRPr="004C5551">
              <w:rPr>
                <w:sz w:val="18"/>
                <w:szCs w:val="18"/>
              </w:rPr>
              <w:t>0</w:t>
            </w:r>
          </w:p>
        </w:tc>
        <w:tc>
          <w:tcPr>
            <w:tcW w:w="1622" w:type="dxa"/>
            <w:noWrap/>
            <w:vAlign w:val="center"/>
          </w:tcPr>
          <w:p w:rsidR="00E60AEE" w:rsidRPr="004C5551" w:rsidRDefault="00E60AEE" w:rsidP="00842642">
            <w:pPr>
              <w:ind w:right="225"/>
              <w:jc w:val="right"/>
              <w:rPr>
                <w:sz w:val="18"/>
                <w:szCs w:val="18"/>
              </w:rPr>
            </w:pPr>
            <w:r w:rsidRPr="004C5551">
              <w:rPr>
                <w:sz w:val="18"/>
                <w:szCs w:val="18"/>
              </w:rPr>
              <w:t>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r>
      <w:tr w:rsidR="00E60AEE" w:rsidRPr="004C5551" w:rsidTr="00842642">
        <w:trPr>
          <w:trHeight w:val="255"/>
          <w:jc w:val="center"/>
        </w:trPr>
        <w:tc>
          <w:tcPr>
            <w:tcW w:w="4040" w:type="dxa"/>
            <w:vAlign w:val="center"/>
            <w:hideMark/>
          </w:tcPr>
          <w:p w:rsidR="00E60AEE" w:rsidRPr="004C5551" w:rsidRDefault="00E60AEE" w:rsidP="00842642">
            <w:pPr>
              <w:jc w:val="left"/>
              <w:rPr>
                <w:sz w:val="18"/>
                <w:szCs w:val="18"/>
              </w:rPr>
            </w:pPr>
            <w:r w:rsidRPr="004C5551">
              <w:rPr>
                <w:sz w:val="18"/>
                <w:szCs w:val="18"/>
              </w:rPr>
              <w:t>sprostredkovanie osobnej asistencie</w:t>
            </w:r>
          </w:p>
        </w:tc>
        <w:tc>
          <w:tcPr>
            <w:tcW w:w="1185" w:type="dxa"/>
            <w:noWrap/>
            <w:vAlign w:val="center"/>
          </w:tcPr>
          <w:p w:rsidR="00E60AEE" w:rsidRPr="004C5551" w:rsidRDefault="00E60AEE" w:rsidP="00842642">
            <w:pPr>
              <w:ind w:right="225"/>
              <w:jc w:val="right"/>
              <w:rPr>
                <w:sz w:val="18"/>
                <w:szCs w:val="18"/>
              </w:rPr>
            </w:pPr>
            <w:r w:rsidRPr="004C5551">
              <w:rPr>
                <w:sz w:val="18"/>
                <w:szCs w:val="18"/>
              </w:rPr>
              <w:t>6</w:t>
            </w:r>
          </w:p>
        </w:tc>
        <w:tc>
          <w:tcPr>
            <w:tcW w:w="1119" w:type="dxa"/>
            <w:noWrap/>
            <w:vAlign w:val="center"/>
          </w:tcPr>
          <w:p w:rsidR="00E60AEE" w:rsidRPr="004C5551" w:rsidRDefault="00E60AEE" w:rsidP="00842642">
            <w:pPr>
              <w:ind w:right="225"/>
              <w:jc w:val="right"/>
              <w:rPr>
                <w:sz w:val="18"/>
                <w:szCs w:val="18"/>
              </w:rPr>
            </w:pPr>
            <w:r w:rsidRPr="004C5551">
              <w:rPr>
                <w:sz w:val="18"/>
                <w:szCs w:val="18"/>
              </w:rPr>
              <w:t>7</w:t>
            </w:r>
          </w:p>
        </w:tc>
        <w:tc>
          <w:tcPr>
            <w:tcW w:w="1281" w:type="dxa"/>
            <w:noWrap/>
            <w:vAlign w:val="center"/>
          </w:tcPr>
          <w:p w:rsidR="00E60AEE" w:rsidRPr="004C5551" w:rsidRDefault="00E60AEE" w:rsidP="00842642">
            <w:pPr>
              <w:ind w:right="225"/>
              <w:jc w:val="right"/>
              <w:rPr>
                <w:sz w:val="18"/>
                <w:szCs w:val="18"/>
              </w:rPr>
            </w:pPr>
            <w:r w:rsidRPr="004C5551">
              <w:rPr>
                <w:sz w:val="18"/>
                <w:szCs w:val="18"/>
              </w:rPr>
              <w:t>557</w:t>
            </w:r>
          </w:p>
        </w:tc>
        <w:tc>
          <w:tcPr>
            <w:tcW w:w="1240" w:type="dxa"/>
            <w:noWrap/>
            <w:vAlign w:val="center"/>
          </w:tcPr>
          <w:p w:rsidR="00E60AEE" w:rsidRPr="004C5551" w:rsidRDefault="00E60AEE" w:rsidP="00842642">
            <w:pPr>
              <w:ind w:right="225"/>
              <w:jc w:val="right"/>
              <w:rPr>
                <w:sz w:val="18"/>
                <w:szCs w:val="18"/>
              </w:rPr>
            </w:pPr>
            <w:r w:rsidRPr="004C5551">
              <w:rPr>
                <w:sz w:val="18"/>
                <w:szCs w:val="18"/>
              </w:rPr>
              <w:t>553</w:t>
            </w:r>
          </w:p>
        </w:tc>
        <w:tc>
          <w:tcPr>
            <w:tcW w:w="1622" w:type="dxa"/>
            <w:noWrap/>
            <w:vAlign w:val="center"/>
          </w:tcPr>
          <w:p w:rsidR="00E60AEE" w:rsidRPr="004C5551" w:rsidRDefault="00E60AEE" w:rsidP="00842642">
            <w:pPr>
              <w:ind w:right="225"/>
              <w:jc w:val="right"/>
              <w:rPr>
                <w:sz w:val="18"/>
                <w:szCs w:val="18"/>
              </w:rPr>
            </w:pPr>
            <w:r w:rsidRPr="004C5551">
              <w:rPr>
                <w:sz w:val="18"/>
                <w:szCs w:val="18"/>
              </w:rPr>
              <w:t>50</w:t>
            </w:r>
          </w:p>
        </w:tc>
        <w:tc>
          <w:tcPr>
            <w:tcW w:w="1573" w:type="dxa"/>
            <w:noWrap/>
            <w:vAlign w:val="center"/>
          </w:tcPr>
          <w:p w:rsidR="00E60AEE" w:rsidRPr="004C5551" w:rsidRDefault="00E60AEE" w:rsidP="00842642">
            <w:pPr>
              <w:ind w:right="225"/>
              <w:jc w:val="right"/>
              <w:rPr>
                <w:sz w:val="18"/>
                <w:szCs w:val="18"/>
              </w:rPr>
            </w:pPr>
            <w:r w:rsidRPr="004C5551">
              <w:rPr>
                <w:sz w:val="18"/>
                <w:szCs w:val="18"/>
              </w:rPr>
              <w:t>237 417</w:t>
            </w:r>
          </w:p>
        </w:tc>
        <w:tc>
          <w:tcPr>
            <w:tcW w:w="1573" w:type="dxa"/>
            <w:noWrap/>
            <w:vAlign w:val="center"/>
          </w:tcPr>
          <w:p w:rsidR="00E60AEE" w:rsidRPr="004C5551" w:rsidRDefault="00E60AEE" w:rsidP="00842642">
            <w:pPr>
              <w:ind w:right="225"/>
              <w:jc w:val="right"/>
              <w:rPr>
                <w:sz w:val="18"/>
                <w:szCs w:val="18"/>
              </w:rPr>
            </w:pPr>
            <w:r w:rsidRPr="004C5551">
              <w:rPr>
                <w:sz w:val="18"/>
                <w:szCs w:val="18"/>
              </w:rPr>
              <w:t>235 393</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požičiavanie pomôcok</w:t>
            </w:r>
          </w:p>
        </w:tc>
        <w:tc>
          <w:tcPr>
            <w:tcW w:w="1185" w:type="dxa"/>
            <w:noWrap/>
            <w:vAlign w:val="center"/>
          </w:tcPr>
          <w:p w:rsidR="00E60AEE" w:rsidRPr="004C5551" w:rsidRDefault="00E60AEE" w:rsidP="00842642">
            <w:pPr>
              <w:ind w:right="225"/>
              <w:jc w:val="right"/>
              <w:rPr>
                <w:sz w:val="18"/>
                <w:szCs w:val="18"/>
              </w:rPr>
            </w:pPr>
            <w:r w:rsidRPr="004C5551">
              <w:rPr>
                <w:sz w:val="18"/>
                <w:szCs w:val="18"/>
              </w:rPr>
              <w:t>19</w:t>
            </w:r>
          </w:p>
        </w:tc>
        <w:tc>
          <w:tcPr>
            <w:tcW w:w="1119" w:type="dxa"/>
            <w:noWrap/>
            <w:vAlign w:val="center"/>
          </w:tcPr>
          <w:p w:rsidR="00E60AEE" w:rsidRPr="004C5551" w:rsidRDefault="00E60AEE" w:rsidP="00842642">
            <w:pPr>
              <w:ind w:right="225"/>
              <w:jc w:val="right"/>
              <w:rPr>
                <w:sz w:val="18"/>
                <w:szCs w:val="18"/>
              </w:rPr>
            </w:pPr>
            <w:r w:rsidRPr="004C5551">
              <w:rPr>
                <w:sz w:val="18"/>
                <w:szCs w:val="18"/>
              </w:rPr>
              <w:t>29</w:t>
            </w:r>
          </w:p>
        </w:tc>
        <w:tc>
          <w:tcPr>
            <w:tcW w:w="1281" w:type="dxa"/>
            <w:noWrap/>
            <w:vAlign w:val="center"/>
          </w:tcPr>
          <w:p w:rsidR="00E60AEE" w:rsidRPr="004C5551" w:rsidRDefault="00E60AEE" w:rsidP="00842642">
            <w:pPr>
              <w:ind w:right="225"/>
              <w:jc w:val="right"/>
              <w:rPr>
                <w:sz w:val="18"/>
                <w:szCs w:val="18"/>
              </w:rPr>
            </w:pPr>
            <w:r w:rsidRPr="004C5551">
              <w:rPr>
                <w:sz w:val="18"/>
                <w:szCs w:val="18"/>
              </w:rPr>
              <w:t>697</w:t>
            </w:r>
          </w:p>
        </w:tc>
        <w:tc>
          <w:tcPr>
            <w:tcW w:w="1240" w:type="dxa"/>
            <w:noWrap/>
            <w:vAlign w:val="center"/>
          </w:tcPr>
          <w:p w:rsidR="00E60AEE" w:rsidRPr="004C5551" w:rsidRDefault="00E60AEE" w:rsidP="00842642">
            <w:pPr>
              <w:ind w:right="225"/>
              <w:jc w:val="right"/>
              <w:rPr>
                <w:sz w:val="18"/>
                <w:szCs w:val="18"/>
              </w:rPr>
            </w:pPr>
            <w:r w:rsidRPr="004C5551">
              <w:rPr>
                <w:sz w:val="18"/>
                <w:szCs w:val="18"/>
              </w:rPr>
              <w:t>1 292</w:t>
            </w:r>
          </w:p>
        </w:tc>
        <w:tc>
          <w:tcPr>
            <w:tcW w:w="1622" w:type="dxa"/>
            <w:noWrap/>
            <w:vAlign w:val="center"/>
          </w:tcPr>
          <w:p w:rsidR="00E60AEE" w:rsidRPr="004C5551" w:rsidRDefault="00E60AEE" w:rsidP="00842642">
            <w:pPr>
              <w:ind w:right="225"/>
              <w:jc w:val="right"/>
              <w:rPr>
                <w:sz w:val="18"/>
                <w:szCs w:val="18"/>
              </w:rPr>
            </w:pPr>
            <w:r w:rsidRPr="004C5551">
              <w:rPr>
                <w:sz w:val="18"/>
                <w:szCs w:val="18"/>
              </w:rPr>
              <w:t>20</w:t>
            </w:r>
          </w:p>
        </w:tc>
        <w:tc>
          <w:tcPr>
            <w:tcW w:w="1573" w:type="dxa"/>
            <w:noWrap/>
            <w:vAlign w:val="center"/>
          </w:tcPr>
          <w:p w:rsidR="00E60AEE" w:rsidRPr="004C5551" w:rsidRDefault="00E60AEE" w:rsidP="00842642">
            <w:pPr>
              <w:ind w:right="225"/>
              <w:jc w:val="right"/>
              <w:rPr>
                <w:sz w:val="18"/>
                <w:szCs w:val="18"/>
              </w:rPr>
            </w:pPr>
            <w:r w:rsidRPr="004C5551">
              <w:rPr>
                <w:sz w:val="18"/>
                <w:szCs w:val="18"/>
              </w:rPr>
              <w:t>60 395</w:t>
            </w:r>
          </w:p>
        </w:tc>
        <w:tc>
          <w:tcPr>
            <w:tcW w:w="1573" w:type="dxa"/>
            <w:noWrap/>
            <w:vAlign w:val="center"/>
          </w:tcPr>
          <w:p w:rsidR="00E60AEE" w:rsidRPr="004C5551" w:rsidRDefault="00E60AEE" w:rsidP="00842642">
            <w:pPr>
              <w:ind w:right="225"/>
              <w:jc w:val="right"/>
              <w:rPr>
                <w:sz w:val="18"/>
                <w:szCs w:val="18"/>
              </w:rPr>
            </w:pPr>
            <w:r w:rsidRPr="004C5551">
              <w:rPr>
                <w:sz w:val="18"/>
                <w:szCs w:val="18"/>
              </w:rPr>
              <w:t>44 954</w:t>
            </w:r>
          </w:p>
        </w:tc>
      </w:tr>
      <w:tr w:rsidR="00E60AEE" w:rsidRPr="004C5551" w:rsidTr="00842642">
        <w:trPr>
          <w:trHeight w:val="255"/>
          <w:jc w:val="center"/>
        </w:trPr>
        <w:tc>
          <w:tcPr>
            <w:tcW w:w="4040" w:type="dxa"/>
            <w:vAlign w:val="center"/>
            <w:hideMark/>
          </w:tcPr>
          <w:p w:rsidR="00E60AEE" w:rsidRPr="004C5551" w:rsidRDefault="00E60AEE" w:rsidP="00842642">
            <w:pPr>
              <w:jc w:val="left"/>
              <w:rPr>
                <w:sz w:val="18"/>
                <w:szCs w:val="18"/>
              </w:rPr>
            </w:pPr>
            <w:r w:rsidRPr="004C5551">
              <w:rPr>
                <w:sz w:val="18"/>
                <w:szCs w:val="18"/>
              </w:rPr>
              <w:t xml:space="preserve">monitorovanie a signalizácia potreby pomoci </w:t>
            </w:r>
          </w:p>
        </w:tc>
        <w:tc>
          <w:tcPr>
            <w:tcW w:w="1185" w:type="dxa"/>
            <w:noWrap/>
            <w:vAlign w:val="center"/>
          </w:tcPr>
          <w:p w:rsidR="00E60AEE" w:rsidRPr="004C5551" w:rsidRDefault="00E60AEE" w:rsidP="00842642">
            <w:pPr>
              <w:ind w:right="225"/>
              <w:jc w:val="right"/>
              <w:rPr>
                <w:sz w:val="18"/>
                <w:szCs w:val="18"/>
              </w:rPr>
            </w:pPr>
            <w:r w:rsidRPr="004C5551">
              <w:rPr>
                <w:sz w:val="18"/>
                <w:szCs w:val="18"/>
              </w:rPr>
              <w:t>1</w:t>
            </w:r>
          </w:p>
        </w:tc>
        <w:tc>
          <w:tcPr>
            <w:tcW w:w="1119" w:type="dxa"/>
            <w:noWrap/>
            <w:vAlign w:val="center"/>
          </w:tcPr>
          <w:p w:rsidR="00E60AEE" w:rsidRPr="004C5551" w:rsidRDefault="00E60AEE" w:rsidP="00842642">
            <w:pPr>
              <w:ind w:right="225"/>
              <w:jc w:val="right"/>
              <w:rPr>
                <w:sz w:val="18"/>
                <w:szCs w:val="18"/>
              </w:rPr>
            </w:pPr>
            <w:r w:rsidRPr="004C5551">
              <w:rPr>
                <w:sz w:val="18"/>
                <w:szCs w:val="18"/>
              </w:rPr>
              <w:t>2</w:t>
            </w:r>
          </w:p>
        </w:tc>
        <w:tc>
          <w:tcPr>
            <w:tcW w:w="1281" w:type="dxa"/>
            <w:noWrap/>
            <w:vAlign w:val="center"/>
          </w:tcPr>
          <w:p w:rsidR="00E60AEE" w:rsidRPr="004C5551" w:rsidRDefault="00E60AEE" w:rsidP="00842642">
            <w:pPr>
              <w:ind w:right="225"/>
              <w:jc w:val="right"/>
              <w:rPr>
                <w:sz w:val="18"/>
                <w:szCs w:val="18"/>
              </w:rPr>
            </w:pPr>
            <w:r w:rsidRPr="004C5551">
              <w:rPr>
                <w:sz w:val="18"/>
                <w:szCs w:val="18"/>
              </w:rPr>
              <w:t>217</w:t>
            </w:r>
          </w:p>
        </w:tc>
        <w:tc>
          <w:tcPr>
            <w:tcW w:w="1240" w:type="dxa"/>
            <w:noWrap/>
            <w:vAlign w:val="center"/>
          </w:tcPr>
          <w:p w:rsidR="00E60AEE" w:rsidRPr="004C5551" w:rsidRDefault="00E60AEE" w:rsidP="00842642">
            <w:pPr>
              <w:ind w:right="225"/>
              <w:jc w:val="right"/>
              <w:rPr>
                <w:sz w:val="18"/>
                <w:szCs w:val="18"/>
              </w:rPr>
            </w:pPr>
            <w:r w:rsidRPr="004C5551">
              <w:rPr>
                <w:sz w:val="18"/>
                <w:szCs w:val="18"/>
              </w:rPr>
              <w:t>270</w:t>
            </w:r>
          </w:p>
        </w:tc>
        <w:tc>
          <w:tcPr>
            <w:tcW w:w="1622" w:type="dxa"/>
            <w:noWrap/>
            <w:vAlign w:val="center"/>
          </w:tcPr>
          <w:p w:rsidR="00E60AEE" w:rsidRPr="004C5551" w:rsidRDefault="00E60AEE" w:rsidP="00842642">
            <w:pPr>
              <w:ind w:right="225"/>
              <w:jc w:val="right"/>
              <w:rPr>
                <w:sz w:val="18"/>
                <w:szCs w:val="18"/>
              </w:rPr>
            </w:pPr>
            <w:r w:rsidRPr="004C5551">
              <w:rPr>
                <w:sz w:val="18"/>
                <w:szCs w:val="18"/>
              </w:rPr>
              <w:t>14</w:t>
            </w:r>
          </w:p>
        </w:tc>
        <w:tc>
          <w:tcPr>
            <w:tcW w:w="1573" w:type="dxa"/>
            <w:noWrap/>
            <w:vAlign w:val="center"/>
          </w:tcPr>
          <w:p w:rsidR="00E60AEE" w:rsidRPr="004C5551" w:rsidRDefault="00E60AEE" w:rsidP="00842642">
            <w:pPr>
              <w:ind w:right="225"/>
              <w:jc w:val="right"/>
              <w:rPr>
                <w:sz w:val="18"/>
                <w:szCs w:val="18"/>
              </w:rPr>
            </w:pPr>
            <w:r w:rsidRPr="004C5551">
              <w:rPr>
                <w:sz w:val="18"/>
                <w:szCs w:val="18"/>
              </w:rPr>
              <w:t>126 081</w:t>
            </w:r>
          </w:p>
        </w:tc>
        <w:tc>
          <w:tcPr>
            <w:tcW w:w="1573" w:type="dxa"/>
            <w:noWrap/>
            <w:vAlign w:val="center"/>
          </w:tcPr>
          <w:p w:rsidR="00E60AEE" w:rsidRPr="004C5551" w:rsidRDefault="00E60AEE" w:rsidP="00842642">
            <w:pPr>
              <w:ind w:right="225"/>
              <w:jc w:val="right"/>
              <w:rPr>
                <w:sz w:val="18"/>
                <w:szCs w:val="18"/>
              </w:rPr>
            </w:pPr>
            <w:r w:rsidRPr="004C5551">
              <w:rPr>
                <w:sz w:val="18"/>
                <w:szCs w:val="18"/>
              </w:rPr>
              <w:t>156 647</w:t>
            </w:r>
          </w:p>
        </w:tc>
      </w:tr>
      <w:tr w:rsidR="00E60AEE" w:rsidRPr="004C5551" w:rsidTr="00842642">
        <w:trPr>
          <w:trHeight w:val="332"/>
          <w:jc w:val="center"/>
        </w:trPr>
        <w:tc>
          <w:tcPr>
            <w:tcW w:w="4040" w:type="dxa"/>
            <w:vAlign w:val="center"/>
            <w:hideMark/>
          </w:tcPr>
          <w:p w:rsidR="00E60AEE" w:rsidRPr="004C5551" w:rsidRDefault="00E60AEE" w:rsidP="00842642">
            <w:pPr>
              <w:jc w:val="left"/>
              <w:rPr>
                <w:sz w:val="18"/>
                <w:szCs w:val="18"/>
              </w:rPr>
            </w:pPr>
            <w:r w:rsidRPr="004C5551">
              <w:rPr>
                <w:sz w:val="18"/>
                <w:szCs w:val="18"/>
              </w:rPr>
              <w:t>krízová pomoc prostredníctvom telekomunikačných technológií</w:t>
            </w:r>
          </w:p>
        </w:tc>
        <w:tc>
          <w:tcPr>
            <w:tcW w:w="1185" w:type="dxa"/>
            <w:noWrap/>
            <w:vAlign w:val="center"/>
          </w:tcPr>
          <w:p w:rsidR="00E60AEE" w:rsidRPr="004C5551" w:rsidRDefault="00E60AEE" w:rsidP="00842642">
            <w:pPr>
              <w:ind w:right="225"/>
              <w:jc w:val="right"/>
              <w:rPr>
                <w:sz w:val="18"/>
                <w:szCs w:val="18"/>
              </w:rPr>
            </w:pPr>
            <w:r w:rsidRPr="004C5551">
              <w:rPr>
                <w:sz w:val="18"/>
                <w:szCs w:val="18"/>
              </w:rPr>
              <w:t>4</w:t>
            </w:r>
          </w:p>
        </w:tc>
        <w:tc>
          <w:tcPr>
            <w:tcW w:w="1119" w:type="dxa"/>
            <w:noWrap/>
            <w:vAlign w:val="center"/>
          </w:tcPr>
          <w:p w:rsidR="00E60AEE" w:rsidRPr="004C5551" w:rsidRDefault="00E60AEE" w:rsidP="00842642">
            <w:pPr>
              <w:ind w:right="225"/>
              <w:jc w:val="right"/>
              <w:rPr>
                <w:sz w:val="18"/>
                <w:szCs w:val="18"/>
              </w:rPr>
            </w:pPr>
            <w:r w:rsidRPr="004C5551">
              <w:rPr>
                <w:sz w:val="18"/>
                <w:szCs w:val="18"/>
              </w:rPr>
              <w:t>4</w:t>
            </w:r>
          </w:p>
        </w:tc>
        <w:tc>
          <w:tcPr>
            <w:tcW w:w="1281" w:type="dxa"/>
            <w:noWrap/>
            <w:vAlign w:val="center"/>
          </w:tcPr>
          <w:p w:rsidR="00E60AEE" w:rsidRPr="004C5551" w:rsidRDefault="00E60AEE" w:rsidP="00842642">
            <w:pPr>
              <w:ind w:right="225"/>
              <w:jc w:val="right"/>
              <w:rPr>
                <w:sz w:val="18"/>
                <w:szCs w:val="18"/>
              </w:rPr>
            </w:pPr>
            <w:r w:rsidRPr="004C5551">
              <w:rPr>
                <w:sz w:val="18"/>
                <w:szCs w:val="18"/>
              </w:rPr>
              <w:t>1 526</w:t>
            </w:r>
          </w:p>
        </w:tc>
        <w:tc>
          <w:tcPr>
            <w:tcW w:w="1240" w:type="dxa"/>
            <w:noWrap/>
            <w:vAlign w:val="center"/>
          </w:tcPr>
          <w:p w:rsidR="00E60AEE" w:rsidRPr="004C5551" w:rsidRDefault="00E60AEE" w:rsidP="00842642">
            <w:pPr>
              <w:ind w:right="225"/>
              <w:jc w:val="right"/>
              <w:rPr>
                <w:sz w:val="18"/>
                <w:szCs w:val="18"/>
              </w:rPr>
            </w:pPr>
            <w:r w:rsidRPr="004C5551">
              <w:rPr>
                <w:sz w:val="18"/>
                <w:szCs w:val="18"/>
              </w:rPr>
              <w:t>62</w:t>
            </w:r>
          </w:p>
        </w:tc>
        <w:tc>
          <w:tcPr>
            <w:tcW w:w="1622" w:type="dxa"/>
            <w:noWrap/>
            <w:vAlign w:val="center"/>
          </w:tcPr>
          <w:p w:rsidR="00E60AEE" w:rsidRPr="004C5551" w:rsidRDefault="00E60AEE" w:rsidP="00842642">
            <w:pPr>
              <w:ind w:right="225"/>
              <w:jc w:val="right"/>
              <w:rPr>
                <w:sz w:val="18"/>
                <w:szCs w:val="18"/>
              </w:rPr>
            </w:pPr>
            <w:r w:rsidRPr="004C5551">
              <w:rPr>
                <w:sz w:val="18"/>
                <w:szCs w:val="18"/>
              </w:rPr>
              <w:t>12</w:t>
            </w:r>
          </w:p>
        </w:tc>
        <w:tc>
          <w:tcPr>
            <w:tcW w:w="1573" w:type="dxa"/>
            <w:noWrap/>
            <w:vAlign w:val="center"/>
          </w:tcPr>
          <w:p w:rsidR="00E60AEE" w:rsidRPr="004C5551" w:rsidRDefault="00E60AEE" w:rsidP="00842642">
            <w:pPr>
              <w:ind w:right="225"/>
              <w:jc w:val="right"/>
              <w:rPr>
                <w:sz w:val="18"/>
                <w:szCs w:val="18"/>
              </w:rPr>
            </w:pPr>
            <w:r w:rsidRPr="004C5551">
              <w:rPr>
                <w:sz w:val="18"/>
                <w:szCs w:val="18"/>
              </w:rPr>
              <w:t>19 914</w:t>
            </w:r>
          </w:p>
        </w:tc>
        <w:tc>
          <w:tcPr>
            <w:tcW w:w="1573" w:type="dxa"/>
            <w:noWrap/>
            <w:vAlign w:val="center"/>
          </w:tcPr>
          <w:p w:rsidR="00E60AEE" w:rsidRPr="004C5551" w:rsidRDefault="00E60AEE" w:rsidP="00842642">
            <w:pPr>
              <w:ind w:right="225"/>
              <w:jc w:val="right"/>
              <w:rPr>
                <w:sz w:val="18"/>
                <w:szCs w:val="18"/>
              </w:rPr>
            </w:pPr>
            <w:r w:rsidRPr="004C5551">
              <w:rPr>
                <w:sz w:val="18"/>
                <w:szCs w:val="18"/>
              </w:rPr>
              <w:t>19 864</w:t>
            </w:r>
          </w:p>
        </w:tc>
      </w:tr>
      <w:tr w:rsidR="00E60AEE" w:rsidRPr="004C5551" w:rsidTr="00842642">
        <w:trPr>
          <w:trHeight w:val="270"/>
          <w:jc w:val="center"/>
        </w:trPr>
        <w:tc>
          <w:tcPr>
            <w:tcW w:w="4040" w:type="dxa"/>
            <w:vAlign w:val="center"/>
            <w:hideMark/>
          </w:tcPr>
          <w:p w:rsidR="00E60AEE" w:rsidRPr="004C5551" w:rsidRDefault="00E60AEE" w:rsidP="00842642">
            <w:pPr>
              <w:jc w:val="left"/>
              <w:rPr>
                <w:sz w:val="18"/>
                <w:szCs w:val="18"/>
              </w:rPr>
            </w:pPr>
            <w:r w:rsidRPr="004C5551">
              <w:rPr>
                <w:sz w:val="18"/>
                <w:szCs w:val="18"/>
              </w:rPr>
              <w:t>pomoc pri výkone opatrovníckych práv a povinností</w:t>
            </w:r>
          </w:p>
        </w:tc>
        <w:tc>
          <w:tcPr>
            <w:tcW w:w="1185" w:type="dxa"/>
            <w:noWrap/>
            <w:vAlign w:val="center"/>
          </w:tcPr>
          <w:p w:rsidR="00E60AEE" w:rsidRPr="004C5551" w:rsidRDefault="00E60AEE" w:rsidP="00842642">
            <w:pPr>
              <w:ind w:right="225"/>
              <w:jc w:val="right"/>
              <w:rPr>
                <w:sz w:val="18"/>
                <w:szCs w:val="18"/>
              </w:rPr>
            </w:pPr>
            <w:r w:rsidRPr="004C5551">
              <w:rPr>
                <w:sz w:val="18"/>
                <w:szCs w:val="18"/>
              </w:rPr>
              <w:t>2</w:t>
            </w:r>
          </w:p>
        </w:tc>
        <w:tc>
          <w:tcPr>
            <w:tcW w:w="1119" w:type="dxa"/>
            <w:noWrap/>
            <w:vAlign w:val="center"/>
          </w:tcPr>
          <w:p w:rsidR="00E60AEE" w:rsidRPr="004C5551" w:rsidRDefault="00E60AEE" w:rsidP="00842642">
            <w:pPr>
              <w:ind w:right="225"/>
              <w:jc w:val="right"/>
              <w:rPr>
                <w:sz w:val="18"/>
                <w:szCs w:val="18"/>
              </w:rPr>
            </w:pPr>
            <w:r w:rsidRPr="004C5551">
              <w:rPr>
                <w:sz w:val="18"/>
                <w:szCs w:val="18"/>
              </w:rPr>
              <w:t>1</w:t>
            </w:r>
          </w:p>
        </w:tc>
        <w:tc>
          <w:tcPr>
            <w:tcW w:w="1281" w:type="dxa"/>
            <w:noWrap/>
            <w:vAlign w:val="center"/>
          </w:tcPr>
          <w:p w:rsidR="00E60AEE" w:rsidRPr="004C5551" w:rsidRDefault="00E60AEE" w:rsidP="00842642">
            <w:pPr>
              <w:ind w:right="225"/>
              <w:jc w:val="right"/>
              <w:rPr>
                <w:sz w:val="18"/>
                <w:szCs w:val="18"/>
              </w:rPr>
            </w:pPr>
            <w:r w:rsidRPr="004C5551">
              <w:rPr>
                <w:sz w:val="18"/>
                <w:szCs w:val="18"/>
              </w:rPr>
              <w:t>39</w:t>
            </w:r>
          </w:p>
        </w:tc>
        <w:tc>
          <w:tcPr>
            <w:tcW w:w="1240" w:type="dxa"/>
            <w:noWrap/>
            <w:vAlign w:val="center"/>
          </w:tcPr>
          <w:p w:rsidR="00E60AEE" w:rsidRPr="004C5551" w:rsidRDefault="00E60AEE" w:rsidP="00842642">
            <w:pPr>
              <w:ind w:right="225"/>
              <w:jc w:val="right"/>
              <w:rPr>
                <w:sz w:val="18"/>
                <w:szCs w:val="18"/>
              </w:rPr>
            </w:pPr>
            <w:r w:rsidRPr="004C5551">
              <w:rPr>
                <w:sz w:val="18"/>
                <w:szCs w:val="18"/>
              </w:rPr>
              <w:t>42</w:t>
            </w:r>
          </w:p>
        </w:tc>
        <w:tc>
          <w:tcPr>
            <w:tcW w:w="1622" w:type="dxa"/>
            <w:noWrap/>
            <w:vAlign w:val="center"/>
          </w:tcPr>
          <w:p w:rsidR="00E60AEE" w:rsidRPr="004C5551" w:rsidRDefault="00E60AEE" w:rsidP="00842642">
            <w:pPr>
              <w:ind w:right="225"/>
              <w:jc w:val="right"/>
              <w:rPr>
                <w:sz w:val="18"/>
                <w:szCs w:val="18"/>
              </w:rPr>
            </w:pPr>
            <w:r w:rsidRPr="004C5551">
              <w:rPr>
                <w:sz w:val="18"/>
                <w:szCs w:val="18"/>
              </w:rPr>
              <w:t>2</w:t>
            </w:r>
          </w:p>
        </w:tc>
        <w:tc>
          <w:tcPr>
            <w:tcW w:w="1573" w:type="dxa"/>
            <w:noWrap/>
            <w:vAlign w:val="center"/>
          </w:tcPr>
          <w:p w:rsidR="00E60AEE" w:rsidRPr="004C5551" w:rsidRDefault="00E60AEE" w:rsidP="00842642">
            <w:pPr>
              <w:ind w:right="225"/>
              <w:jc w:val="right"/>
              <w:rPr>
                <w:sz w:val="18"/>
                <w:szCs w:val="18"/>
              </w:rPr>
            </w:pPr>
            <w:r w:rsidRPr="004C5551">
              <w:rPr>
                <w:sz w:val="18"/>
                <w:szCs w:val="18"/>
              </w:rPr>
              <w:t>50</w:t>
            </w:r>
          </w:p>
        </w:tc>
        <w:tc>
          <w:tcPr>
            <w:tcW w:w="1573" w:type="dxa"/>
            <w:noWrap/>
            <w:vAlign w:val="center"/>
          </w:tcPr>
          <w:p w:rsidR="00E60AEE" w:rsidRPr="004C5551" w:rsidRDefault="00E60AEE" w:rsidP="00842642">
            <w:pPr>
              <w:ind w:right="225"/>
              <w:jc w:val="right"/>
              <w:rPr>
                <w:sz w:val="18"/>
                <w:szCs w:val="18"/>
              </w:rPr>
            </w:pPr>
            <w:r w:rsidRPr="004C5551">
              <w:rPr>
                <w:sz w:val="18"/>
                <w:szCs w:val="18"/>
              </w:rPr>
              <w:t>0</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 xml:space="preserve">denné centrum </w:t>
            </w:r>
          </w:p>
        </w:tc>
        <w:tc>
          <w:tcPr>
            <w:tcW w:w="1185" w:type="dxa"/>
            <w:noWrap/>
            <w:vAlign w:val="center"/>
          </w:tcPr>
          <w:p w:rsidR="00E60AEE" w:rsidRPr="004C5551" w:rsidRDefault="00E60AEE" w:rsidP="00842642">
            <w:pPr>
              <w:ind w:right="225"/>
              <w:jc w:val="right"/>
              <w:rPr>
                <w:sz w:val="18"/>
                <w:szCs w:val="18"/>
              </w:rPr>
            </w:pPr>
            <w:r w:rsidRPr="004C5551">
              <w:rPr>
                <w:sz w:val="18"/>
                <w:szCs w:val="18"/>
              </w:rPr>
              <w:t>7</w:t>
            </w:r>
          </w:p>
        </w:tc>
        <w:tc>
          <w:tcPr>
            <w:tcW w:w="1119" w:type="dxa"/>
            <w:noWrap/>
            <w:vAlign w:val="center"/>
          </w:tcPr>
          <w:p w:rsidR="00E60AEE" w:rsidRPr="004C5551" w:rsidRDefault="00E60AEE" w:rsidP="00842642">
            <w:pPr>
              <w:ind w:right="225"/>
              <w:jc w:val="right"/>
              <w:rPr>
                <w:sz w:val="18"/>
                <w:szCs w:val="18"/>
              </w:rPr>
            </w:pPr>
            <w:r w:rsidRPr="004C5551">
              <w:rPr>
                <w:sz w:val="18"/>
                <w:szCs w:val="18"/>
              </w:rPr>
              <w:t>8</w:t>
            </w:r>
          </w:p>
        </w:tc>
        <w:tc>
          <w:tcPr>
            <w:tcW w:w="1281" w:type="dxa"/>
            <w:noWrap/>
            <w:vAlign w:val="center"/>
          </w:tcPr>
          <w:p w:rsidR="00E60AEE" w:rsidRPr="004C5551" w:rsidRDefault="00E60AEE" w:rsidP="00842642">
            <w:pPr>
              <w:ind w:right="225"/>
              <w:jc w:val="right"/>
              <w:rPr>
                <w:sz w:val="18"/>
                <w:szCs w:val="18"/>
              </w:rPr>
            </w:pPr>
            <w:r w:rsidRPr="004C5551">
              <w:rPr>
                <w:sz w:val="18"/>
                <w:szCs w:val="18"/>
              </w:rPr>
              <w:t>111</w:t>
            </w:r>
          </w:p>
        </w:tc>
        <w:tc>
          <w:tcPr>
            <w:tcW w:w="1240" w:type="dxa"/>
            <w:noWrap/>
            <w:vAlign w:val="center"/>
          </w:tcPr>
          <w:p w:rsidR="00E60AEE" w:rsidRPr="004C5551" w:rsidRDefault="00E60AEE" w:rsidP="00842642">
            <w:pPr>
              <w:ind w:right="225"/>
              <w:jc w:val="right"/>
              <w:rPr>
                <w:sz w:val="18"/>
                <w:szCs w:val="18"/>
              </w:rPr>
            </w:pPr>
            <w:r w:rsidRPr="004C5551">
              <w:rPr>
                <w:sz w:val="18"/>
                <w:szCs w:val="18"/>
              </w:rPr>
              <w:t>178</w:t>
            </w:r>
          </w:p>
        </w:tc>
        <w:tc>
          <w:tcPr>
            <w:tcW w:w="1622" w:type="dxa"/>
            <w:noWrap/>
            <w:vAlign w:val="center"/>
          </w:tcPr>
          <w:p w:rsidR="00E60AEE" w:rsidRPr="004C5551" w:rsidRDefault="00E60AEE" w:rsidP="00842642">
            <w:pPr>
              <w:ind w:right="225"/>
              <w:jc w:val="right"/>
              <w:rPr>
                <w:sz w:val="18"/>
                <w:szCs w:val="18"/>
              </w:rPr>
            </w:pPr>
            <w:r w:rsidRPr="004C5551">
              <w:rPr>
                <w:sz w:val="18"/>
                <w:szCs w:val="18"/>
              </w:rPr>
              <w:t>34</w:t>
            </w:r>
          </w:p>
        </w:tc>
        <w:tc>
          <w:tcPr>
            <w:tcW w:w="1573" w:type="dxa"/>
            <w:noWrap/>
            <w:vAlign w:val="center"/>
          </w:tcPr>
          <w:p w:rsidR="00E60AEE" w:rsidRPr="004C5551" w:rsidRDefault="00E60AEE" w:rsidP="00842642">
            <w:pPr>
              <w:ind w:right="225"/>
              <w:jc w:val="right"/>
              <w:rPr>
                <w:sz w:val="18"/>
                <w:szCs w:val="18"/>
              </w:rPr>
            </w:pPr>
            <w:r w:rsidRPr="004C5551">
              <w:rPr>
                <w:sz w:val="18"/>
                <w:szCs w:val="18"/>
              </w:rPr>
              <w:t>294 311</w:t>
            </w:r>
          </w:p>
        </w:tc>
        <w:tc>
          <w:tcPr>
            <w:tcW w:w="1573" w:type="dxa"/>
            <w:noWrap/>
            <w:vAlign w:val="center"/>
          </w:tcPr>
          <w:p w:rsidR="00E60AEE" w:rsidRPr="004C5551" w:rsidRDefault="00E60AEE" w:rsidP="00842642">
            <w:pPr>
              <w:ind w:right="225"/>
              <w:jc w:val="right"/>
              <w:rPr>
                <w:sz w:val="18"/>
                <w:szCs w:val="18"/>
              </w:rPr>
            </w:pPr>
            <w:r w:rsidRPr="004C5551">
              <w:rPr>
                <w:sz w:val="18"/>
                <w:szCs w:val="18"/>
              </w:rPr>
              <w:t>235 064</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integračné centrum</w:t>
            </w:r>
          </w:p>
        </w:tc>
        <w:tc>
          <w:tcPr>
            <w:tcW w:w="1185" w:type="dxa"/>
            <w:noWrap/>
            <w:vAlign w:val="center"/>
          </w:tcPr>
          <w:p w:rsidR="00E60AEE" w:rsidRPr="004C5551" w:rsidRDefault="00E60AEE" w:rsidP="00842642">
            <w:pPr>
              <w:ind w:right="225"/>
              <w:jc w:val="right"/>
              <w:rPr>
                <w:sz w:val="18"/>
                <w:szCs w:val="18"/>
              </w:rPr>
            </w:pPr>
            <w:r w:rsidRPr="004C5551">
              <w:rPr>
                <w:sz w:val="18"/>
                <w:szCs w:val="18"/>
              </w:rPr>
              <w:t>6</w:t>
            </w:r>
          </w:p>
        </w:tc>
        <w:tc>
          <w:tcPr>
            <w:tcW w:w="1119" w:type="dxa"/>
            <w:noWrap/>
            <w:vAlign w:val="center"/>
          </w:tcPr>
          <w:p w:rsidR="00E60AEE" w:rsidRPr="004C5551" w:rsidRDefault="00E60AEE" w:rsidP="00842642">
            <w:pPr>
              <w:ind w:right="225"/>
              <w:jc w:val="right"/>
              <w:rPr>
                <w:sz w:val="18"/>
                <w:szCs w:val="18"/>
              </w:rPr>
            </w:pPr>
            <w:r w:rsidRPr="004C5551">
              <w:rPr>
                <w:sz w:val="18"/>
                <w:szCs w:val="18"/>
              </w:rPr>
              <w:t>3</w:t>
            </w:r>
          </w:p>
        </w:tc>
        <w:tc>
          <w:tcPr>
            <w:tcW w:w="1281" w:type="dxa"/>
            <w:noWrap/>
            <w:vAlign w:val="center"/>
          </w:tcPr>
          <w:p w:rsidR="00E60AEE" w:rsidRPr="004C5551" w:rsidRDefault="00E60AEE" w:rsidP="00842642">
            <w:pPr>
              <w:ind w:right="225"/>
              <w:jc w:val="right"/>
              <w:rPr>
                <w:sz w:val="18"/>
                <w:szCs w:val="18"/>
              </w:rPr>
            </w:pPr>
            <w:r w:rsidRPr="004C5551">
              <w:rPr>
                <w:sz w:val="18"/>
                <w:szCs w:val="18"/>
              </w:rPr>
              <w:t>317</w:t>
            </w:r>
          </w:p>
        </w:tc>
        <w:tc>
          <w:tcPr>
            <w:tcW w:w="1240" w:type="dxa"/>
            <w:noWrap/>
            <w:vAlign w:val="center"/>
          </w:tcPr>
          <w:p w:rsidR="00E60AEE" w:rsidRPr="004C5551" w:rsidRDefault="00E60AEE" w:rsidP="00842642">
            <w:pPr>
              <w:ind w:right="225"/>
              <w:jc w:val="right"/>
              <w:rPr>
                <w:sz w:val="18"/>
                <w:szCs w:val="18"/>
              </w:rPr>
            </w:pPr>
            <w:r w:rsidRPr="004C5551">
              <w:rPr>
                <w:sz w:val="18"/>
                <w:szCs w:val="18"/>
              </w:rPr>
              <w:t>2 633</w:t>
            </w:r>
          </w:p>
        </w:tc>
        <w:tc>
          <w:tcPr>
            <w:tcW w:w="1622" w:type="dxa"/>
            <w:noWrap/>
            <w:vAlign w:val="center"/>
          </w:tcPr>
          <w:p w:rsidR="00E60AEE" w:rsidRPr="004C5551" w:rsidRDefault="00E60AEE" w:rsidP="00842642">
            <w:pPr>
              <w:ind w:right="225"/>
              <w:jc w:val="right"/>
              <w:rPr>
                <w:sz w:val="18"/>
                <w:szCs w:val="18"/>
              </w:rPr>
            </w:pPr>
            <w:r w:rsidRPr="004C5551">
              <w:rPr>
                <w:sz w:val="18"/>
                <w:szCs w:val="18"/>
              </w:rPr>
              <w:t>25</w:t>
            </w:r>
          </w:p>
        </w:tc>
        <w:tc>
          <w:tcPr>
            <w:tcW w:w="1573" w:type="dxa"/>
            <w:noWrap/>
            <w:vAlign w:val="center"/>
          </w:tcPr>
          <w:p w:rsidR="00E60AEE" w:rsidRPr="004C5551" w:rsidRDefault="00E60AEE" w:rsidP="00842642">
            <w:pPr>
              <w:ind w:right="225"/>
              <w:jc w:val="right"/>
              <w:rPr>
                <w:sz w:val="18"/>
                <w:szCs w:val="18"/>
              </w:rPr>
            </w:pPr>
            <w:r w:rsidRPr="004C5551">
              <w:rPr>
                <w:sz w:val="18"/>
                <w:szCs w:val="18"/>
              </w:rPr>
              <w:t>35 244</w:t>
            </w:r>
          </w:p>
        </w:tc>
        <w:tc>
          <w:tcPr>
            <w:tcW w:w="1573" w:type="dxa"/>
            <w:noWrap/>
            <w:vAlign w:val="center"/>
          </w:tcPr>
          <w:p w:rsidR="00E60AEE" w:rsidRPr="004C5551" w:rsidRDefault="00E60AEE" w:rsidP="00842642">
            <w:pPr>
              <w:ind w:right="225"/>
              <w:jc w:val="right"/>
              <w:rPr>
                <w:sz w:val="18"/>
                <w:szCs w:val="18"/>
              </w:rPr>
            </w:pPr>
            <w:r w:rsidRPr="004C5551">
              <w:rPr>
                <w:sz w:val="18"/>
                <w:szCs w:val="18"/>
              </w:rPr>
              <w:t>103 738</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 xml:space="preserve">jedáleň </w:t>
            </w:r>
          </w:p>
        </w:tc>
        <w:tc>
          <w:tcPr>
            <w:tcW w:w="1185" w:type="dxa"/>
            <w:noWrap/>
            <w:vAlign w:val="center"/>
          </w:tcPr>
          <w:p w:rsidR="00E60AEE" w:rsidRPr="004C5551" w:rsidRDefault="00E60AEE" w:rsidP="00842642">
            <w:pPr>
              <w:ind w:right="225"/>
              <w:jc w:val="right"/>
              <w:rPr>
                <w:sz w:val="18"/>
                <w:szCs w:val="18"/>
              </w:rPr>
            </w:pPr>
            <w:r w:rsidRPr="004C5551">
              <w:rPr>
                <w:sz w:val="18"/>
                <w:szCs w:val="18"/>
              </w:rPr>
              <w:t>18</w:t>
            </w:r>
          </w:p>
        </w:tc>
        <w:tc>
          <w:tcPr>
            <w:tcW w:w="1119" w:type="dxa"/>
            <w:noWrap/>
            <w:vAlign w:val="center"/>
          </w:tcPr>
          <w:p w:rsidR="00E60AEE" w:rsidRPr="004C5551" w:rsidRDefault="00E60AEE" w:rsidP="00842642">
            <w:pPr>
              <w:ind w:right="225"/>
              <w:jc w:val="right"/>
              <w:rPr>
                <w:sz w:val="18"/>
                <w:szCs w:val="18"/>
              </w:rPr>
            </w:pPr>
            <w:r w:rsidRPr="004C5551">
              <w:rPr>
                <w:sz w:val="18"/>
                <w:szCs w:val="18"/>
              </w:rPr>
              <w:t>17</w:t>
            </w:r>
          </w:p>
        </w:tc>
        <w:tc>
          <w:tcPr>
            <w:tcW w:w="1281" w:type="dxa"/>
            <w:noWrap/>
            <w:vAlign w:val="center"/>
          </w:tcPr>
          <w:p w:rsidR="00E60AEE" w:rsidRPr="004C5551" w:rsidRDefault="00E60AEE" w:rsidP="00842642">
            <w:pPr>
              <w:ind w:right="225"/>
              <w:jc w:val="right"/>
              <w:rPr>
                <w:sz w:val="18"/>
                <w:szCs w:val="18"/>
              </w:rPr>
            </w:pPr>
            <w:r w:rsidRPr="004C5551">
              <w:rPr>
                <w:sz w:val="18"/>
                <w:szCs w:val="18"/>
              </w:rPr>
              <w:t>7 618</w:t>
            </w:r>
          </w:p>
        </w:tc>
        <w:tc>
          <w:tcPr>
            <w:tcW w:w="1240" w:type="dxa"/>
            <w:noWrap/>
            <w:vAlign w:val="center"/>
          </w:tcPr>
          <w:p w:rsidR="00E60AEE" w:rsidRPr="004C5551" w:rsidRDefault="00E60AEE" w:rsidP="00842642">
            <w:pPr>
              <w:ind w:right="225"/>
              <w:jc w:val="right"/>
              <w:rPr>
                <w:sz w:val="18"/>
                <w:szCs w:val="18"/>
              </w:rPr>
            </w:pPr>
            <w:r w:rsidRPr="004C5551">
              <w:rPr>
                <w:sz w:val="18"/>
                <w:szCs w:val="18"/>
              </w:rPr>
              <w:t>6 608</w:t>
            </w:r>
          </w:p>
        </w:tc>
        <w:tc>
          <w:tcPr>
            <w:tcW w:w="1622" w:type="dxa"/>
            <w:noWrap/>
            <w:vAlign w:val="center"/>
          </w:tcPr>
          <w:p w:rsidR="00E60AEE" w:rsidRPr="004C5551" w:rsidRDefault="00E60AEE" w:rsidP="00842642">
            <w:pPr>
              <w:ind w:right="225"/>
              <w:jc w:val="right"/>
              <w:rPr>
                <w:sz w:val="18"/>
                <w:szCs w:val="18"/>
              </w:rPr>
            </w:pPr>
            <w:r w:rsidRPr="004C5551">
              <w:rPr>
                <w:sz w:val="18"/>
                <w:szCs w:val="18"/>
              </w:rPr>
              <w:t>50</w:t>
            </w:r>
          </w:p>
        </w:tc>
        <w:tc>
          <w:tcPr>
            <w:tcW w:w="1573" w:type="dxa"/>
            <w:noWrap/>
            <w:vAlign w:val="center"/>
          </w:tcPr>
          <w:p w:rsidR="00E60AEE" w:rsidRPr="004C5551" w:rsidRDefault="00E60AEE" w:rsidP="00842642">
            <w:pPr>
              <w:ind w:right="225"/>
              <w:jc w:val="right"/>
              <w:rPr>
                <w:sz w:val="18"/>
                <w:szCs w:val="18"/>
              </w:rPr>
            </w:pPr>
            <w:r w:rsidRPr="004C5551">
              <w:rPr>
                <w:sz w:val="18"/>
                <w:szCs w:val="18"/>
              </w:rPr>
              <w:t>504 083</w:t>
            </w:r>
          </w:p>
        </w:tc>
        <w:tc>
          <w:tcPr>
            <w:tcW w:w="1573" w:type="dxa"/>
            <w:noWrap/>
            <w:vAlign w:val="center"/>
          </w:tcPr>
          <w:p w:rsidR="00E60AEE" w:rsidRPr="004C5551" w:rsidRDefault="00E60AEE" w:rsidP="00842642">
            <w:pPr>
              <w:ind w:right="225"/>
              <w:jc w:val="right"/>
              <w:rPr>
                <w:sz w:val="18"/>
                <w:szCs w:val="18"/>
              </w:rPr>
            </w:pPr>
            <w:r w:rsidRPr="004C5551">
              <w:rPr>
                <w:sz w:val="18"/>
                <w:szCs w:val="18"/>
              </w:rPr>
              <w:t>561 456</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práčovňa</w:t>
            </w:r>
          </w:p>
        </w:tc>
        <w:tc>
          <w:tcPr>
            <w:tcW w:w="1185" w:type="dxa"/>
            <w:noWrap/>
            <w:vAlign w:val="center"/>
          </w:tcPr>
          <w:p w:rsidR="00E60AEE" w:rsidRPr="004C5551" w:rsidRDefault="00E60AEE" w:rsidP="00842642">
            <w:pPr>
              <w:ind w:right="225"/>
              <w:jc w:val="right"/>
              <w:rPr>
                <w:sz w:val="18"/>
                <w:szCs w:val="18"/>
              </w:rPr>
            </w:pPr>
            <w:r w:rsidRPr="004C5551">
              <w:rPr>
                <w:sz w:val="18"/>
                <w:szCs w:val="18"/>
              </w:rPr>
              <w:t>7</w:t>
            </w:r>
          </w:p>
        </w:tc>
        <w:tc>
          <w:tcPr>
            <w:tcW w:w="1119" w:type="dxa"/>
            <w:noWrap/>
            <w:vAlign w:val="center"/>
          </w:tcPr>
          <w:p w:rsidR="00E60AEE" w:rsidRPr="004C5551" w:rsidRDefault="00E60AEE" w:rsidP="00842642">
            <w:pPr>
              <w:ind w:right="225"/>
              <w:jc w:val="right"/>
              <w:rPr>
                <w:sz w:val="18"/>
                <w:szCs w:val="18"/>
              </w:rPr>
            </w:pPr>
            <w:r w:rsidRPr="004C5551">
              <w:rPr>
                <w:sz w:val="18"/>
                <w:szCs w:val="18"/>
              </w:rPr>
              <w:t>3</w:t>
            </w:r>
          </w:p>
        </w:tc>
        <w:tc>
          <w:tcPr>
            <w:tcW w:w="1281" w:type="dxa"/>
            <w:noWrap/>
            <w:vAlign w:val="center"/>
          </w:tcPr>
          <w:p w:rsidR="00E60AEE" w:rsidRPr="004C5551" w:rsidRDefault="00E60AEE" w:rsidP="00842642">
            <w:pPr>
              <w:ind w:right="225"/>
              <w:jc w:val="right"/>
              <w:rPr>
                <w:sz w:val="18"/>
                <w:szCs w:val="18"/>
              </w:rPr>
            </w:pPr>
            <w:r w:rsidRPr="004C5551">
              <w:rPr>
                <w:sz w:val="18"/>
                <w:szCs w:val="18"/>
              </w:rPr>
              <w:t>2 953</w:t>
            </w:r>
          </w:p>
        </w:tc>
        <w:tc>
          <w:tcPr>
            <w:tcW w:w="1240" w:type="dxa"/>
            <w:noWrap/>
            <w:vAlign w:val="center"/>
          </w:tcPr>
          <w:p w:rsidR="00E60AEE" w:rsidRPr="004C5551" w:rsidRDefault="00E60AEE" w:rsidP="00842642">
            <w:pPr>
              <w:ind w:right="225"/>
              <w:jc w:val="right"/>
              <w:rPr>
                <w:sz w:val="18"/>
                <w:szCs w:val="18"/>
              </w:rPr>
            </w:pPr>
            <w:r w:rsidRPr="004C5551">
              <w:rPr>
                <w:sz w:val="18"/>
                <w:szCs w:val="18"/>
              </w:rPr>
              <w:t>582</w:t>
            </w:r>
          </w:p>
        </w:tc>
        <w:tc>
          <w:tcPr>
            <w:tcW w:w="1622" w:type="dxa"/>
            <w:noWrap/>
            <w:vAlign w:val="center"/>
          </w:tcPr>
          <w:p w:rsidR="00E60AEE" w:rsidRPr="004C5551" w:rsidRDefault="00E60AEE" w:rsidP="00842642">
            <w:pPr>
              <w:ind w:right="225"/>
              <w:jc w:val="right"/>
              <w:rPr>
                <w:sz w:val="18"/>
                <w:szCs w:val="18"/>
              </w:rPr>
            </w:pPr>
            <w:r w:rsidRPr="004C5551">
              <w:rPr>
                <w:sz w:val="18"/>
                <w:szCs w:val="18"/>
              </w:rPr>
              <w:t>1</w:t>
            </w:r>
          </w:p>
        </w:tc>
        <w:tc>
          <w:tcPr>
            <w:tcW w:w="1573" w:type="dxa"/>
            <w:noWrap/>
            <w:vAlign w:val="center"/>
          </w:tcPr>
          <w:p w:rsidR="00E60AEE" w:rsidRPr="004C5551" w:rsidRDefault="00E60AEE" w:rsidP="00842642">
            <w:pPr>
              <w:ind w:right="225"/>
              <w:jc w:val="right"/>
              <w:rPr>
                <w:sz w:val="18"/>
                <w:szCs w:val="18"/>
              </w:rPr>
            </w:pPr>
            <w:r w:rsidRPr="004C5551">
              <w:rPr>
                <w:sz w:val="18"/>
                <w:szCs w:val="18"/>
              </w:rPr>
              <w:t>12 045</w:t>
            </w:r>
          </w:p>
        </w:tc>
        <w:tc>
          <w:tcPr>
            <w:tcW w:w="1573" w:type="dxa"/>
            <w:noWrap/>
            <w:vAlign w:val="center"/>
          </w:tcPr>
          <w:p w:rsidR="00E60AEE" w:rsidRPr="004C5551" w:rsidRDefault="00E60AEE" w:rsidP="00842642">
            <w:pPr>
              <w:ind w:right="225"/>
              <w:jc w:val="right"/>
              <w:rPr>
                <w:sz w:val="18"/>
                <w:szCs w:val="18"/>
              </w:rPr>
            </w:pPr>
            <w:r w:rsidRPr="004C5551">
              <w:rPr>
                <w:sz w:val="18"/>
                <w:szCs w:val="18"/>
              </w:rPr>
              <w:t>2 721</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stredisko osobnej hygieny</w:t>
            </w:r>
          </w:p>
        </w:tc>
        <w:tc>
          <w:tcPr>
            <w:tcW w:w="1185" w:type="dxa"/>
            <w:noWrap/>
            <w:vAlign w:val="center"/>
          </w:tcPr>
          <w:p w:rsidR="00E60AEE" w:rsidRPr="004C5551" w:rsidRDefault="00E60AEE" w:rsidP="00842642">
            <w:pPr>
              <w:ind w:right="225"/>
              <w:jc w:val="right"/>
              <w:rPr>
                <w:sz w:val="18"/>
                <w:szCs w:val="18"/>
              </w:rPr>
            </w:pPr>
            <w:r w:rsidRPr="004C5551">
              <w:rPr>
                <w:sz w:val="18"/>
                <w:szCs w:val="18"/>
              </w:rPr>
              <w:t>5</w:t>
            </w:r>
          </w:p>
        </w:tc>
        <w:tc>
          <w:tcPr>
            <w:tcW w:w="1119" w:type="dxa"/>
            <w:noWrap/>
            <w:vAlign w:val="center"/>
          </w:tcPr>
          <w:p w:rsidR="00E60AEE" w:rsidRPr="004C5551" w:rsidRDefault="00E60AEE" w:rsidP="00842642">
            <w:pPr>
              <w:ind w:right="225"/>
              <w:jc w:val="right"/>
              <w:rPr>
                <w:sz w:val="18"/>
                <w:szCs w:val="18"/>
              </w:rPr>
            </w:pPr>
            <w:r w:rsidRPr="004C5551">
              <w:rPr>
                <w:sz w:val="18"/>
                <w:szCs w:val="18"/>
              </w:rPr>
              <w:t>4</w:t>
            </w:r>
          </w:p>
        </w:tc>
        <w:tc>
          <w:tcPr>
            <w:tcW w:w="1281" w:type="dxa"/>
            <w:noWrap/>
            <w:vAlign w:val="center"/>
          </w:tcPr>
          <w:p w:rsidR="00E60AEE" w:rsidRPr="004C5551" w:rsidRDefault="00E60AEE" w:rsidP="00842642">
            <w:pPr>
              <w:ind w:right="225"/>
              <w:jc w:val="right"/>
              <w:rPr>
                <w:sz w:val="18"/>
                <w:szCs w:val="18"/>
              </w:rPr>
            </w:pPr>
            <w:r w:rsidRPr="004C5551">
              <w:rPr>
                <w:sz w:val="18"/>
                <w:szCs w:val="18"/>
              </w:rPr>
              <w:t>4 161</w:t>
            </w:r>
          </w:p>
        </w:tc>
        <w:tc>
          <w:tcPr>
            <w:tcW w:w="1240" w:type="dxa"/>
            <w:noWrap/>
            <w:vAlign w:val="center"/>
          </w:tcPr>
          <w:p w:rsidR="00E60AEE" w:rsidRPr="004C5551" w:rsidRDefault="00E60AEE" w:rsidP="00842642">
            <w:pPr>
              <w:ind w:right="225"/>
              <w:jc w:val="right"/>
              <w:rPr>
                <w:sz w:val="18"/>
                <w:szCs w:val="18"/>
              </w:rPr>
            </w:pPr>
            <w:r w:rsidRPr="004C5551">
              <w:rPr>
                <w:sz w:val="18"/>
                <w:szCs w:val="18"/>
              </w:rPr>
              <w:t>10 809</w:t>
            </w:r>
          </w:p>
        </w:tc>
        <w:tc>
          <w:tcPr>
            <w:tcW w:w="1622" w:type="dxa"/>
            <w:noWrap/>
            <w:vAlign w:val="center"/>
          </w:tcPr>
          <w:p w:rsidR="00E60AEE" w:rsidRPr="004C5551" w:rsidRDefault="00E60AEE" w:rsidP="00842642">
            <w:pPr>
              <w:ind w:right="225"/>
              <w:jc w:val="right"/>
              <w:rPr>
                <w:sz w:val="18"/>
                <w:szCs w:val="18"/>
              </w:rPr>
            </w:pPr>
            <w:r w:rsidRPr="004C5551">
              <w:rPr>
                <w:sz w:val="18"/>
                <w:szCs w:val="18"/>
              </w:rPr>
              <w:t>33</w:t>
            </w:r>
          </w:p>
        </w:tc>
        <w:tc>
          <w:tcPr>
            <w:tcW w:w="1573" w:type="dxa"/>
            <w:noWrap/>
            <w:vAlign w:val="center"/>
          </w:tcPr>
          <w:p w:rsidR="00E60AEE" w:rsidRPr="004C5551" w:rsidRDefault="00E60AEE" w:rsidP="00842642">
            <w:pPr>
              <w:ind w:right="225"/>
              <w:jc w:val="right"/>
              <w:rPr>
                <w:sz w:val="18"/>
                <w:szCs w:val="18"/>
              </w:rPr>
            </w:pPr>
            <w:r w:rsidRPr="004C5551">
              <w:rPr>
                <w:sz w:val="18"/>
                <w:szCs w:val="18"/>
              </w:rPr>
              <w:t>36 879</w:t>
            </w:r>
          </w:p>
        </w:tc>
        <w:tc>
          <w:tcPr>
            <w:tcW w:w="1573" w:type="dxa"/>
            <w:noWrap/>
            <w:vAlign w:val="center"/>
          </w:tcPr>
          <w:p w:rsidR="00E60AEE" w:rsidRPr="004C5551" w:rsidRDefault="00E60AEE" w:rsidP="00842642">
            <w:pPr>
              <w:ind w:right="225"/>
              <w:jc w:val="right"/>
              <w:rPr>
                <w:sz w:val="18"/>
                <w:szCs w:val="18"/>
              </w:rPr>
            </w:pPr>
            <w:r w:rsidRPr="004C5551">
              <w:rPr>
                <w:sz w:val="18"/>
                <w:szCs w:val="18"/>
              </w:rPr>
              <w:t>126 597</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základné sociálne poradenstvo</w:t>
            </w:r>
          </w:p>
        </w:tc>
        <w:tc>
          <w:tcPr>
            <w:tcW w:w="1185" w:type="dxa"/>
            <w:noWrap/>
            <w:vAlign w:val="center"/>
          </w:tcPr>
          <w:p w:rsidR="00E60AEE" w:rsidRPr="004C5551" w:rsidRDefault="00E60AEE" w:rsidP="00842642">
            <w:pPr>
              <w:ind w:right="225"/>
              <w:jc w:val="right"/>
              <w:rPr>
                <w:sz w:val="18"/>
                <w:szCs w:val="18"/>
              </w:rPr>
            </w:pPr>
            <w:r w:rsidRPr="004C5551">
              <w:rPr>
                <w:sz w:val="18"/>
                <w:szCs w:val="18"/>
              </w:rPr>
              <w:t>67</w:t>
            </w:r>
          </w:p>
        </w:tc>
        <w:tc>
          <w:tcPr>
            <w:tcW w:w="1119" w:type="dxa"/>
            <w:noWrap/>
            <w:vAlign w:val="center"/>
          </w:tcPr>
          <w:p w:rsidR="00E60AEE" w:rsidRPr="004C5551" w:rsidRDefault="00E60AEE" w:rsidP="00842642">
            <w:pPr>
              <w:ind w:right="225"/>
              <w:jc w:val="right"/>
              <w:rPr>
                <w:sz w:val="18"/>
                <w:szCs w:val="18"/>
              </w:rPr>
            </w:pPr>
            <w:r w:rsidRPr="004C5551">
              <w:rPr>
                <w:sz w:val="18"/>
                <w:szCs w:val="18"/>
              </w:rPr>
              <w:t>69</w:t>
            </w:r>
          </w:p>
        </w:tc>
        <w:tc>
          <w:tcPr>
            <w:tcW w:w="1281" w:type="dxa"/>
            <w:noWrap/>
            <w:vAlign w:val="center"/>
          </w:tcPr>
          <w:p w:rsidR="00E60AEE" w:rsidRPr="004C5551" w:rsidRDefault="00E60AEE" w:rsidP="00842642">
            <w:pPr>
              <w:ind w:right="225"/>
              <w:jc w:val="right"/>
              <w:rPr>
                <w:sz w:val="18"/>
                <w:szCs w:val="18"/>
              </w:rPr>
            </w:pPr>
            <w:r w:rsidRPr="004C5551">
              <w:rPr>
                <w:sz w:val="18"/>
                <w:szCs w:val="18"/>
              </w:rPr>
              <w:t>14 925</w:t>
            </w:r>
          </w:p>
        </w:tc>
        <w:tc>
          <w:tcPr>
            <w:tcW w:w="1240" w:type="dxa"/>
            <w:noWrap/>
            <w:vAlign w:val="center"/>
          </w:tcPr>
          <w:p w:rsidR="00E60AEE" w:rsidRPr="004C5551" w:rsidRDefault="00E60AEE" w:rsidP="00842642">
            <w:pPr>
              <w:ind w:right="225"/>
              <w:jc w:val="right"/>
              <w:rPr>
                <w:sz w:val="18"/>
                <w:szCs w:val="18"/>
              </w:rPr>
            </w:pPr>
            <w:r w:rsidRPr="004C5551">
              <w:rPr>
                <w:sz w:val="18"/>
                <w:szCs w:val="18"/>
              </w:rPr>
              <w:t>10 947</w:t>
            </w:r>
          </w:p>
        </w:tc>
        <w:tc>
          <w:tcPr>
            <w:tcW w:w="1622" w:type="dxa"/>
            <w:noWrap/>
            <w:vAlign w:val="center"/>
          </w:tcPr>
          <w:p w:rsidR="00E60AEE" w:rsidRPr="004C5551" w:rsidRDefault="00E60AEE" w:rsidP="00842642">
            <w:pPr>
              <w:ind w:right="225"/>
              <w:jc w:val="right"/>
              <w:rPr>
                <w:sz w:val="18"/>
                <w:szCs w:val="18"/>
              </w:rPr>
            </w:pPr>
            <w:r w:rsidRPr="004C5551">
              <w:rPr>
                <w:sz w:val="18"/>
                <w:szCs w:val="18"/>
              </w:rPr>
              <w:t>212</w:t>
            </w:r>
          </w:p>
        </w:tc>
        <w:tc>
          <w:tcPr>
            <w:tcW w:w="1573" w:type="dxa"/>
            <w:noWrap/>
            <w:vAlign w:val="center"/>
          </w:tcPr>
          <w:p w:rsidR="00E60AEE" w:rsidRPr="004C5551" w:rsidRDefault="00E60AEE" w:rsidP="00842642">
            <w:pPr>
              <w:ind w:right="225"/>
              <w:jc w:val="right"/>
              <w:rPr>
                <w:sz w:val="18"/>
                <w:szCs w:val="18"/>
              </w:rPr>
            </w:pPr>
            <w:r w:rsidRPr="004C5551">
              <w:rPr>
                <w:sz w:val="18"/>
                <w:szCs w:val="18"/>
              </w:rPr>
              <w:t>191 965</w:t>
            </w:r>
          </w:p>
        </w:tc>
        <w:tc>
          <w:tcPr>
            <w:tcW w:w="1573" w:type="dxa"/>
            <w:noWrap/>
            <w:vAlign w:val="center"/>
          </w:tcPr>
          <w:p w:rsidR="00E60AEE" w:rsidRPr="004C5551" w:rsidRDefault="00E60AEE" w:rsidP="00842642">
            <w:pPr>
              <w:ind w:right="225"/>
              <w:jc w:val="right"/>
              <w:rPr>
                <w:sz w:val="18"/>
                <w:szCs w:val="18"/>
              </w:rPr>
            </w:pPr>
            <w:r w:rsidRPr="004C5551">
              <w:rPr>
                <w:sz w:val="18"/>
                <w:szCs w:val="18"/>
              </w:rPr>
              <w:t>270 540</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špecializované sociálne poradenstvo</w:t>
            </w:r>
          </w:p>
        </w:tc>
        <w:tc>
          <w:tcPr>
            <w:tcW w:w="1185" w:type="dxa"/>
            <w:noWrap/>
            <w:vAlign w:val="center"/>
          </w:tcPr>
          <w:p w:rsidR="00E60AEE" w:rsidRPr="004C5551" w:rsidRDefault="00E60AEE" w:rsidP="00842642">
            <w:pPr>
              <w:ind w:right="225"/>
              <w:jc w:val="right"/>
              <w:rPr>
                <w:sz w:val="18"/>
                <w:szCs w:val="18"/>
              </w:rPr>
            </w:pPr>
            <w:r w:rsidRPr="004C5551">
              <w:rPr>
                <w:sz w:val="18"/>
                <w:szCs w:val="18"/>
              </w:rPr>
              <w:t>74</w:t>
            </w:r>
          </w:p>
        </w:tc>
        <w:tc>
          <w:tcPr>
            <w:tcW w:w="1119" w:type="dxa"/>
            <w:noWrap/>
            <w:vAlign w:val="center"/>
          </w:tcPr>
          <w:p w:rsidR="00E60AEE" w:rsidRPr="004C5551" w:rsidRDefault="00E60AEE" w:rsidP="00842642">
            <w:pPr>
              <w:ind w:right="225"/>
              <w:jc w:val="right"/>
              <w:rPr>
                <w:sz w:val="18"/>
                <w:szCs w:val="18"/>
              </w:rPr>
            </w:pPr>
            <w:r w:rsidRPr="004C5551">
              <w:rPr>
                <w:sz w:val="18"/>
                <w:szCs w:val="18"/>
              </w:rPr>
              <w:t>69</w:t>
            </w:r>
          </w:p>
        </w:tc>
        <w:tc>
          <w:tcPr>
            <w:tcW w:w="1281" w:type="dxa"/>
            <w:noWrap/>
            <w:vAlign w:val="center"/>
          </w:tcPr>
          <w:p w:rsidR="00E60AEE" w:rsidRPr="004C5551" w:rsidRDefault="00E60AEE" w:rsidP="00842642">
            <w:pPr>
              <w:ind w:right="225"/>
              <w:jc w:val="right"/>
              <w:rPr>
                <w:sz w:val="18"/>
                <w:szCs w:val="18"/>
              </w:rPr>
            </w:pPr>
            <w:r w:rsidRPr="004C5551">
              <w:rPr>
                <w:sz w:val="18"/>
                <w:szCs w:val="18"/>
              </w:rPr>
              <w:t>13 824</w:t>
            </w:r>
          </w:p>
        </w:tc>
        <w:tc>
          <w:tcPr>
            <w:tcW w:w="1240" w:type="dxa"/>
            <w:noWrap/>
            <w:vAlign w:val="center"/>
          </w:tcPr>
          <w:p w:rsidR="00E60AEE" w:rsidRPr="004C5551" w:rsidRDefault="00E60AEE" w:rsidP="00842642">
            <w:pPr>
              <w:ind w:right="225"/>
              <w:jc w:val="right"/>
              <w:rPr>
                <w:sz w:val="18"/>
                <w:szCs w:val="18"/>
              </w:rPr>
            </w:pPr>
            <w:r w:rsidRPr="004C5551">
              <w:rPr>
                <w:sz w:val="18"/>
                <w:szCs w:val="18"/>
              </w:rPr>
              <w:t>14 498</w:t>
            </w:r>
          </w:p>
        </w:tc>
        <w:tc>
          <w:tcPr>
            <w:tcW w:w="1622" w:type="dxa"/>
            <w:noWrap/>
            <w:vAlign w:val="center"/>
          </w:tcPr>
          <w:p w:rsidR="00E60AEE" w:rsidRPr="004C5551" w:rsidRDefault="00E60AEE" w:rsidP="00842642">
            <w:pPr>
              <w:ind w:right="225"/>
              <w:jc w:val="right"/>
              <w:rPr>
                <w:sz w:val="18"/>
                <w:szCs w:val="18"/>
              </w:rPr>
            </w:pPr>
            <w:r w:rsidRPr="004C5551">
              <w:rPr>
                <w:sz w:val="18"/>
                <w:szCs w:val="18"/>
              </w:rPr>
              <w:t>222</w:t>
            </w:r>
          </w:p>
        </w:tc>
        <w:tc>
          <w:tcPr>
            <w:tcW w:w="1573" w:type="dxa"/>
            <w:noWrap/>
            <w:vAlign w:val="center"/>
          </w:tcPr>
          <w:p w:rsidR="00E60AEE" w:rsidRPr="004C5551" w:rsidRDefault="00E60AEE" w:rsidP="00842642">
            <w:pPr>
              <w:ind w:right="225"/>
              <w:jc w:val="right"/>
              <w:rPr>
                <w:sz w:val="18"/>
                <w:szCs w:val="18"/>
              </w:rPr>
            </w:pPr>
            <w:r w:rsidRPr="004C5551">
              <w:rPr>
                <w:sz w:val="18"/>
                <w:szCs w:val="18"/>
              </w:rPr>
              <w:t>1 009 898</w:t>
            </w:r>
          </w:p>
        </w:tc>
        <w:tc>
          <w:tcPr>
            <w:tcW w:w="1573" w:type="dxa"/>
            <w:noWrap/>
            <w:vAlign w:val="center"/>
          </w:tcPr>
          <w:p w:rsidR="00E60AEE" w:rsidRPr="004C5551" w:rsidRDefault="00E60AEE" w:rsidP="00842642">
            <w:pPr>
              <w:ind w:right="225"/>
              <w:jc w:val="right"/>
              <w:rPr>
                <w:sz w:val="18"/>
                <w:szCs w:val="18"/>
              </w:rPr>
            </w:pPr>
            <w:r w:rsidRPr="004C5551">
              <w:rPr>
                <w:sz w:val="18"/>
                <w:szCs w:val="18"/>
              </w:rPr>
              <w:t>1 138 213</w:t>
            </w:r>
          </w:p>
        </w:tc>
      </w:tr>
      <w:tr w:rsidR="00E60AEE" w:rsidRPr="004C5551" w:rsidTr="00842642">
        <w:trPr>
          <w:trHeight w:val="255"/>
          <w:jc w:val="center"/>
        </w:trPr>
        <w:tc>
          <w:tcPr>
            <w:tcW w:w="4040" w:type="dxa"/>
            <w:noWrap/>
            <w:vAlign w:val="center"/>
            <w:hideMark/>
          </w:tcPr>
          <w:p w:rsidR="00E60AEE" w:rsidRPr="004C5551" w:rsidRDefault="00E60AEE" w:rsidP="00842642">
            <w:pPr>
              <w:jc w:val="left"/>
              <w:rPr>
                <w:sz w:val="18"/>
                <w:szCs w:val="18"/>
              </w:rPr>
            </w:pPr>
            <w:r w:rsidRPr="004C5551">
              <w:rPr>
                <w:sz w:val="18"/>
                <w:szCs w:val="18"/>
              </w:rPr>
              <w:t>sociálna rehabilitácia</w:t>
            </w:r>
          </w:p>
        </w:tc>
        <w:tc>
          <w:tcPr>
            <w:tcW w:w="1185" w:type="dxa"/>
            <w:noWrap/>
            <w:vAlign w:val="center"/>
          </w:tcPr>
          <w:p w:rsidR="00E60AEE" w:rsidRPr="004C5551" w:rsidRDefault="00E60AEE" w:rsidP="00842642">
            <w:pPr>
              <w:ind w:right="225"/>
              <w:jc w:val="right"/>
              <w:rPr>
                <w:sz w:val="18"/>
                <w:szCs w:val="18"/>
              </w:rPr>
            </w:pPr>
            <w:r w:rsidRPr="004C5551">
              <w:rPr>
                <w:sz w:val="18"/>
                <w:szCs w:val="18"/>
              </w:rPr>
              <w:t>13</w:t>
            </w:r>
          </w:p>
        </w:tc>
        <w:tc>
          <w:tcPr>
            <w:tcW w:w="1119" w:type="dxa"/>
            <w:noWrap/>
            <w:vAlign w:val="center"/>
          </w:tcPr>
          <w:p w:rsidR="00E60AEE" w:rsidRPr="004C5551" w:rsidRDefault="00E60AEE" w:rsidP="00842642">
            <w:pPr>
              <w:ind w:right="225"/>
              <w:jc w:val="right"/>
              <w:rPr>
                <w:sz w:val="18"/>
                <w:szCs w:val="18"/>
              </w:rPr>
            </w:pPr>
            <w:r w:rsidRPr="004C5551">
              <w:rPr>
                <w:sz w:val="18"/>
                <w:szCs w:val="18"/>
              </w:rPr>
              <w:t>12</w:t>
            </w:r>
          </w:p>
        </w:tc>
        <w:tc>
          <w:tcPr>
            <w:tcW w:w="1281" w:type="dxa"/>
            <w:noWrap/>
            <w:vAlign w:val="center"/>
          </w:tcPr>
          <w:p w:rsidR="00E60AEE" w:rsidRPr="004C5551" w:rsidRDefault="00E60AEE" w:rsidP="00842642">
            <w:pPr>
              <w:ind w:right="225"/>
              <w:jc w:val="right"/>
              <w:rPr>
                <w:sz w:val="18"/>
                <w:szCs w:val="18"/>
              </w:rPr>
            </w:pPr>
            <w:r w:rsidRPr="004C5551">
              <w:rPr>
                <w:sz w:val="18"/>
                <w:szCs w:val="18"/>
              </w:rPr>
              <w:t>2 149</w:t>
            </w:r>
          </w:p>
        </w:tc>
        <w:tc>
          <w:tcPr>
            <w:tcW w:w="1240" w:type="dxa"/>
            <w:noWrap/>
            <w:vAlign w:val="center"/>
          </w:tcPr>
          <w:p w:rsidR="00E60AEE" w:rsidRPr="004C5551" w:rsidRDefault="00E60AEE" w:rsidP="00842642">
            <w:pPr>
              <w:ind w:right="225"/>
              <w:jc w:val="right"/>
              <w:rPr>
                <w:sz w:val="18"/>
                <w:szCs w:val="18"/>
              </w:rPr>
            </w:pPr>
            <w:r w:rsidRPr="004C5551">
              <w:rPr>
                <w:sz w:val="18"/>
                <w:szCs w:val="18"/>
              </w:rPr>
              <w:t>808</w:t>
            </w:r>
          </w:p>
        </w:tc>
        <w:tc>
          <w:tcPr>
            <w:tcW w:w="1622" w:type="dxa"/>
            <w:noWrap/>
            <w:vAlign w:val="center"/>
          </w:tcPr>
          <w:p w:rsidR="00E60AEE" w:rsidRPr="004C5551" w:rsidRDefault="00E60AEE" w:rsidP="00842642">
            <w:pPr>
              <w:ind w:right="225"/>
              <w:jc w:val="right"/>
              <w:rPr>
                <w:sz w:val="18"/>
                <w:szCs w:val="18"/>
              </w:rPr>
            </w:pPr>
            <w:r w:rsidRPr="004C5551">
              <w:rPr>
                <w:sz w:val="18"/>
                <w:szCs w:val="18"/>
              </w:rPr>
              <w:t>100</w:t>
            </w:r>
          </w:p>
        </w:tc>
        <w:tc>
          <w:tcPr>
            <w:tcW w:w="1573" w:type="dxa"/>
            <w:noWrap/>
            <w:vAlign w:val="center"/>
          </w:tcPr>
          <w:p w:rsidR="00E60AEE" w:rsidRPr="004C5551" w:rsidRDefault="00E60AEE" w:rsidP="00842642">
            <w:pPr>
              <w:ind w:right="225"/>
              <w:jc w:val="right"/>
              <w:rPr>
                <w:sz w:val="18"/>
                <w:szCs w:val="18"/>
              </w:rPr>
            </w:pPr>
            <w:r w:rsidRPr="004C5551">
              <w:rPr>
                <w:sz w:val="18"/>
                <w:szCs w:val="18"/>
              </w:rPr>
              <w:t>175 220</w:t>
            </w:r>
          </w:p>
        </w:tc>
        <w:tc>
          <w:tcPr>
            <w:tcW w:w="1573" w:type="dxa"/>
            <w:noWrap/>
            <w:vAlign w:val="center"/>
          </w:tcPr>
          <w:p w:rsidR="00E60AEE" w:rsidRPr="004C5551" w:rsidRDefault="00E60AEE" w:rsidP="00842642">
            <w:pPr>
              <w:ind w:right="225"/>
              <w:jc w:val="right"/>
              <w:rPr>
                <w:sz w:val="18"/>
                <w:szCs w:val="18"/>
              </w:rPr>
            </w:pPr>
            <w:r w:rsidRPr="004C5551">
              <w:rPr>
                <w:sz w:val="18"/>
                <w:szCs w:val="18"/>
              </w:rPr>
              <w:t>184 911</w:t>
            </w:r>
          </w:p>
        </w:tc>
      </w:tr>
      <w:tr w:rsidR="00E60AEE" w:rsidRPr="004C5551" w:rsidTr="00842642">
        <w:trPr>
          <w:trHeight w:val="270"/>
          <w:jc w:val="center"/>
        </w:trPr>
        <w:tc>
          <w:tcPr>
            <w:tcW w:w="4040" w:type="dxa"/>
            <w:noWrap/>
            <w:vAlign w:val="center"/>
            <w:hideMark/>
          </w:tcPr>
          <w:p w:rsidR="00E60AEE" w:rsidRPr="004C5551" w:rsidRDefault="00E60AEE" w:rsidP="00842642">
            <w:pPr>
              <w:jc w:val="left"/>
              <w:rPr>
                <w:b/>
                <w:bCs/>
                <w:sz w:val="18"/>
                <w:szCs w:val="18"/>
              </w:rPr>
            </w:pPr>
            <w:r w:rsidRPr="004C5551">
              <w:rPr>
                <w:b/>
                <w:bCs/>
                <w:sz w:val="18"/>
                <w:szCs w:val="18"/>
              </w:rPr>
              <w:t>SPOLU</w:t>
            </w:r>
          </w:p>
        </w:tc>
        <w:tc>
          <w:tcPr>
            <w:tcW w:w="1185"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387</w:t>
            </w:r>
          </w:p>
        </w:tc>
        <w:tc>
          <w:tcPr>
            <w:tcW w:w="1119"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406</w:t>
            </w:r>
          </w:p>
        </w:tc>
        <w:tc>
          <w:tcPr>
            <w:tcW w:w="1281"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73 888</w:t>
            </w:r>
          </w:p>
        </w:tc>
        <w:tc>
          <w:tcPr>
            <w:tcW w:w="1240"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83 137</w:t>
            </w:r>
          </w:p>
        </w:tc>
        <w:tc>
          <w:tcPr>
            <w:tcW w:w="1622"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4 098</w:t>
            </w:r>
          </w:p>
        </w:tc>
        <w:tc>
          <w:tcPr>
            <w:tcW w:w="1573"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12 793 665</w:t>
            </w:r>
          </w:p>
        </w:tc>
        <w:tc>
          <w:tcPr>
            <w:tcW w:w="1573" w:type="dxa"/>
            <w:noWrap/>
            <w:vAlign w:val="center"/>
          </w:tcPr>
          <w:p w:rsidR="00E60AEE" w:rsidRPr="004C5551" w:rsidRDefault="00E60AEE" w:rsidP="00842642">
            <w:pPr>
              <w:ind w:right="225"/>
              <w:jc w:val="right"/>
              <w:rPr>
                <w:b/>
                <w:bCs/>
                <w:color w:val="000000"/>
                <w:sz w:val="18"/>
                <w:szCs w:val="18"/>
              </w:rPr>
            </w:pPr>
            <w:r w:rsidRPr="004C5551">
              <w:rPr>
                <w:b/>
                <w:bCs/>
                <w:color w:val="000000"/>
                <w:sz w:val="18"/>
                <w:szCs w:val="18"/>
              </w:rPr>
              <w:t>11 981 306</w:t>
            </w:r>
          </w:p>
        </w:tc>
      </w:tr>
    </w:tbl>
    <w:p w:rsidR="0084617B" w:rsidRPr="004C5551" w:rsidRDefault="0084617B" w:rsidP="0084617B">
      <w:pPr>
        <w:pStyle w:val="zdroj"/>
        <w:rPr>
          <w:lang w:eastAsia="cs-CZ"/>
        </w:rPr>
      </w:pPr>
      <w:r w:rsidRPr="004C5551">
        <w:rPr>
          <w:lang w:eastAsia="cs-CZ"/>
        </w:rPr>
        <w:t xml:space="preserve">Zdroj: V( MPSVR SR) 7- 01 </w:t>
      </w:r>
    </w:p>
    <w:p w:rsidR="0084617B" w:rsidRPr="004C5551" w:rsidRDefault="0084617B" w:rsidP="0084617B">
      <w:pPr>
        <w:pStyle w:val="Nadpis7"/>
      </w:pPr>
      <w:r w:rsidRPr="004C5551">
        <w:t>Tabuľka 3</w:t>
      </w:r>
      <w:r w:rsidR="003F4ED2" w:rsidRPr="004C5551">
        <w:t>0</w:t>
      </w:r>
      <w:r w:rsidRPr="004C5551">
        <w:t xml:space="preserve"> Počet zamestnancov, objemy platov a vybrané zložky platu v </w:t>
      </w:r>
      <w:r w:rsidR="00AA0137" w:rsidRPr="004C5551">
        <w:t>eurách</w:t>
      </w:r>
      <w:r w:rsidRPr="004C5551">
        <w:t xml:space="preserve"> za rok 201</w:t>
      </w:r>
      <w:r w:rsidR="00A26F43" w:rsidRPr="004C5551">
        <w:t>4</w:t>
      </w:r>
      <w:r w:rsidRPr="004C5551">
        <w:t xml:space="preserve"> v zariadeniach sociálnych služieb </w:t>
      </w:r>
      <w:r w:rsidRPr="004C5551">
        <w:br/>
        <w:t>pod</w:t>
      </w:r>
      <w:r w:rsidR="005D072F" w:rsidRPr="004C5551">
        <w:t>ľa agregovaných zamestnaní</w:t>
      </w:r>
    </w:p>
    <w:tbl>
      <w:tblPr>
        <w:tblW w:w="14357"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5D072F" w:rsidRPr="004C5551" w:rsidTr="00002192">
        <w:trPr>
          <w:trHeight w:val="300"/>
          <w:jc w:val="center"/>
        </w:trPr>
        <w:tc>
          <w:tcPr>
            <w:tcW w:w="4183" w:type="dxa"/>
            <w:vMerge w:val="restart"/>
            <w:shd w:val="clear" w:color="auto" w:fill="FF9999" w:themeFill="accent3" w:themeFillTint="66"/>
            <w:noWrap/>
            <w:vAlign w:val="center"/>
            <w:hideMark/>
          </w:tcPr>
          <w:p w:rsidR="005D072F" w:rsidRPr="004C5551" w:rsidRDefault="005D072F" w:rsidP="00FC3735">
            <w:pPr>
              <w:jc w:val="center"/>
              <w:rPr>
                <w:b/>
                <w:sz w:val="18"/>
                <w:szCs w:val="18"/>
              </w:rPr>
            </w:pPr>
            <w:r w:rsidRPr="004C5551">
              <w:rPr>
                <w:b/>
                <w:sz w:val="18"/>
                <w:szCs w:val="18"/>
              </w:rPr>
              <w:t>Kategória zamestnancov</w:t>
            </w:r>
          </w:p>
        </w:tc>
        <w:tc>
          <w:tcPr>
            <w:tcW w:w="753"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Počet</w:t>
            </w:r>
          </w:p>
          <w:p w:rsidR="005D072F" w:rsidRPr="004C5551" w:rsidRDefault="005D072F" w:rsidP="00FC3735">
            <w:pPr>
              <w:ind w:left="113" w:right="113"/>
              <w:jc w:val="left"/>
              <w:rPr>
                <w:b/>
                <w:sz w:val="18"/>
                <w:szCs w:val="18"/>
              </w:rPr>
            </w:pPr>
            <w:r w:rsidRPr="004C5551">
              <w:rPr>
                <w:b/>
                <w:sz w:val="18"/>
                <w:szCs w:val="18"/>
              </w:rPr>
              <w:t>zamestnancov</w:t>
            </w:r>
          </w:p>
        </w:tc>
        <w:tc>
          <w:tcPr>
            <w:tcW w:w="851"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z toho</w:t>
            </w:r>
          </w:p>
          <w:p w:rsidR="005D072F" w:rsidRPr="004C5551" w:rsidRDefault="005D072F" w:rsidP="00FC3735">
            <w:pPr>
              <w:ind w:left="113" w:right="113"/>
              <w:jc w:val="left"/>
              <w:rPr>
                <w:b/>
                <w:sz w:val="18"/>
                <w:szCs w:val="18"/>
              </w:rPr>
            </w:pPr>
            <w:r w:rsidRPr="004C5551">
              <w:rPr>
                <w:b/>
                <w:sz w:val="18"/>
                <w:szCs w:val="18"/>
              </w:rPr>
              <w:t>ženy</w:t>
            </w:r>
          </w:p>
        </w:tc>
        <w:tc>
          <w:tcPr>
            <w:tcW w:w="1134"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Celkový</w:t>
            </w:r>
          </w:p>
          <w:p w:rsidR="005D072F" w:rsidRPr="004C5551" w:rsidRDefault="005D072F" w:rsidP="00FC3735">
            <w:pPr>
              <w:ind w:left="113" w:right="113"/>
              <w:jc w:val="left"/>
              <w:rPr>
                <w:b/>
                <w:sz w:val="18"/>
                <w:szCs w:val="18"/>
              </w:rPr>
            </w:pPr>
            <w:r w:rsidRPr="004C5551">
              <w:rPr>
                <w:b/>
                <w:sz w:val="18"/>
                <w:szCs w:val="18"/>
              </w:rPr>
              <w:t>plat - objem</w:t>
            </w:r>
          </w:p>
        </w:tc>
        <w:tc>
          <w:tcPr>
            <w:tcW w:w="850"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Celkový</w:t>
            </w:r>
          </w:p>
          <w:p w:rsidR="005D072F" w:rsidRPr="004C5551" w:rsidRDefault="005D072F" w:rsidP="00FC3735">
            <w:pPr>
              <w:ind w:left="113" w:right="113"/>
              <w:jc w:val="left"/>
              <w:rPr>
                <w:b/>
                <w:sz w:val="18"/>
                <w:szCs w:val="18"/>
              </w:rPr>
            </w:pPr>
            <w:r w:rsidRPr="004C5551">
              <w:rPr>
                <w:b/>
                <w:sz w:val="18"/>
                <w:szCs w:val="18"/>
              </w:rPr>
              <w:t>plat</w:t>
            </w:r>
          </w:p>
        </w:tc>
        <w:tc>
          <w:tcPr>
            <w:tcW w:w="851"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Funkčný</w:t>
            </w:r>
          </w:p>
          <w:p w:rsidR="005D072F" w:rsidRPr="004C5551" w:rsidRDefault="005D072F" w:rsidP="00FC3735">
            <w:pPr>
              <w:ind w:left="113" w:right="113"/>
              <w:jc w:val="left"/>
              <w:rPr>
                <w:b/>
                <w:sz w:val="18"/>
                <w:szCs w:val="18"/>
              </w:rPr>
            </w:pPr>
            <w:r w:rsidRPr="004C5551">
              <w:rPr>
                <w:b/>
                <w:sz w:val="18"/>
                <w:szCs w:val="18"/>
              </w:rPr>
              <w:t>plat</w:t>
            </w:r>
          </w:p>
        </w:tc>
        <w:tc>
          <w:tcPr>
            <w:tcW w:w="3543" w:type="dxa"/>
            <w:gridSpan w:val="5"/>
            <w:shd w:val="clear" w:color="auto" w:fill="FF9999" w:themeFill="accent3" w:themeFillTint="66"/>
            <w:noWrap/>
            <w:vAlign w:val="center"/>
            <w:hideMark/>
          </w:tcPr>
          <w:p w:rsidR="005D072F" w:rsidRPr="004C5551" w:rsidRDefault="005D072F" w:rsidP="00FC3735">
            <w:pPr>
              <w:jc w:val="center"/>
              <w:rPr>
                <w:b/>
                <w:sz w:val="18"/>
                <w:szCs w:val="18"/>
              </w:rPr>
            </w:pPr>
            <w:r w:rsidRPr="004C5551">
              <w:rPr>
                <w:b/>
                <w:sz w:val="18"/>
                <w:szCs w:val="18"/>
              </w:rPr>
              <w:t>z toho</w:t>
            </w:r>
          </w:p>
        </w:tc>
        <w:tc>
          <w:tcPr>
            <w:tcW w:w="556" w:type="dxa"/>
            <w:vMerge w:val="restart"/>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Odmeny</w:t>
            </w:r>
          </w:p>
        </w:tc>
        <w:tc>
          <w:tcPr>
            <w:tcW w:w="745" w:type="dxa"/>
            <w:vMerge w:val="restart"/>
            <w:shd w:val="clear" w:color="auto" w:fill="FF9999" w:themeFill="accent3" w:themeFillTint="66"/>
            <w:noWrap/>
            <w:vAlign w:val="center"/>
            <w:hideMark/>
          </w:tcPr>
          <w:p w:rsidR="005D072F" w:rsidRPr="004C5551" w:rsidRDefault="005D072F" w:rsidP="00FC3735">
            <w:pPr>
              <w:jc w:val="center"/>
              <w:rPr>
                <w:b/>
                <w:sz w:val="18"/>
                <w:szCs w:val="18"/>
              </w:rPr>
            </w:pPr>
            <w:r w:rsidRPr="004C5551">
              <w:rPr>
                <w:b/>
                <w:sz w:val="18"/>
                <w:szCs w:val="18"/>
              </w:rPr>
              <w:t>Plat</w:t>
            </w:r>
          </w:p>
          <w:p w:rsidR="005D072F" w:rsidRPr="004C5551" w:rsidRDefault="005D072F" w:rsidP="00FC3735">
            <w:pPr>
              <w:jc w:val="center"/>
              <w:rPr>
                <w:b/>
                <w:sz w:val="18"/>
                <w:szCs w:val="18"/>
              </w:rPr>
            </w:pPr>
            <w:r w:rsidRPr="004C5551">
              <w:rPr>
                <w:b/>
                <w:sz w:val="18"/>
                <w:szCs w:val="18"/>
              </w:rPr>
              <w:t>za</w:t>
            </w:r>
          </w:p>
          <w:p w:rsidR="005D072F" w:rsidRPr="004C5551" w:rsidRDefault="005D072F" w:rsidP="00FC3735">
            <w:pPr>
              <w:jc w:val="center"/>
              <w:rPr>
                <w:b/>
                <w:sz w:val="18"/>
                <w:szCs w:val="18"/>
              </w:rPr>
            </w:pPr>
            <w:r w:rsidRPr="004C5551">
              <w:rPr>
                <w:b/>
                <w:sz w:val="18"/>
                <w:szCs w:val="18"/>
              </w:rPr>
              <w:t>nadčas</w:t>
            </w:r>
          </w:p>
        </w:tc>
        <w:tc>
          <w:tcPr>
            <w:tcW w:w="891" w:type="dxa"/>
            <w:vMerge w:val="restart"/>
            <w:shd w:val="clear" w:color="auto" w:fill="FF9999" w:themeFill="accent3" w:themeFillTint="66"/>
            <w:noWrap/>
            <w:vAlign w:val="center"/>
            <w:hideMark/>
          </w:tcPr>
          <w:p w:rsidR="005D072F" w:rsidRPr="004C5551" w:rsidRDefault="005D072F" w:rsidP="00FC3735">
            <w:pPr>
              <w:jc w:val="center"/>
              <w:rPr>
                <w:b/>
                <w:sz w:val="18"/>
                <w:szCs w:val="18"/>
              </w:rPr>
            </w:pPr>
            <w:r w:rsidRPr="004C5551">
              <w:rPr>
                <w:b/>
                <w:sz w:val="18"/>
                <w:szCs w:val="18"/>
              </w:rPr>
              <w:t>Doplatky</w:t>
            </w:r>
          </w:p>
          <w:p w:rsidR="005D072F" w:rsidRPr="004C5551" w:rsidRDefault="005D072F" w:rsidP="00FC3735">
            <w:pPr>
              <w:jc w:val="center"/>
              <w:rPr>
                <w:b/>
                <w:sz w:val="18"/>
                <w:szCs w:val="18"/>
              </w:rPr>
            </w:pPr>
            <w:r w:rsidRPr="004C5551">
              <w:rPr>
                <w:b/>
                <w:sz w:val="18"/>
                <w:szCs w:val="18"/>
              </w:rPr>
              <w:t>a ostatné</w:t>
            </w:r>
          </w:p>
          <w:p w:rsidR="005D072F" w:rsidRPr="004C5551" w:rsidRDefault="005D072F" w:rsidP="00FC3735">
            <w:pPr>
              <w:jc w:val="center"/>
              <w:rPr>
                <w:b/>
                <w:sz w:val="18"/>
                <w:szCs w:val="18"/>
              </w:rPr>
            </w:pPr>
            <w:r w:rsidRPr="004C5551">
              <w:rPr>
                <w:b/>
                <w:sz w:val="18"/>
                <w:szCs w:val="18"/>
              </w:rPr>
              <w:t>príplatky</w:t>
            </w:r>
          </w:p>
        </w:tc>
      </w:tr>
      <w:tr w:rsidR="005D072F" w:rsidRPr="004C5551" w:rsidTr="00002192">
        <w:trPr>
          <w:trHeight w:val="1329"/>
          <w:jc w:val="center"/>
        </w:trPr>
        <w:tc>
          <w:tcPr>
            <w:tcW w:w="4183"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center"/>
              <w:rPr>
                <w:b/>
                <w:sz w:val="18"/>
                <w:szCs w:val="18"/>
              </w:rPr>
            </w:pPr>
          </w:p>
        </w:tc>
        <w:tc>
          <w:tcPr>
            <w:tcW w:w="753"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left"/>
              <w:rPr>
                <w:b/>
                <w:sz w:val="18"/>
                <w:szCs w:val="18"/>
              </w:rPr>
            </w:pPr>
          </w:p>
        </w:tc>
        <w:tc>
          <w:tcPr>
            <w:tcW w:w="1134"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left"/>
              <w:rPr>
                <w:b/>
                <w:sz w:val="18"/>
                <w:szCs w:val="18"/>
              </w:rPr>
            </w:pPr>
          </w:p>
        </w:tc>
        <w:tc>
          <w:tcPr>
            <w:tcW w:w="850"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left"/>
              <w:rPr>
                <w:b/>
                <w:sz w:val="18"/>
                <w:szCs w:val="18"/>
              </w:rPr>
            </w:pPr>
          </w:p>
        </w:tc>
        <w:tc>
          <w:tcPr>
            <w:tcW w:w="708" w:type="dxa"/>
            <w:tcBorders>
              <w:bottom w:val="single" w:sz="4" w:space="0" w:color="auto"/>
            </w:tcBorders>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tarifný</w:t>
            </w:r>
          </w:p>
          <w:p w:rsidR="005D072F" w:rsidRPr="004C5551" w:rsidRDefault="005D072F" w:rsidP="00FC3735">
            <w:pPr>
              <w:ind w:left="113" w:right="113"/>
              <w:jc w:val="left"/>
              <w:rPr>
                <w:b/>
                <w:sz w:val="18"/>
                <w:szCs w:val="18"/>
              </w:rPr>
            </w:pPr>
            <w:r w:rsidRPr="004C5551">
              <w:rPr>
                <w:b/>
                <w:sz w:val="18"/>
                <w:szCs w:val="18"/>
              </w:rPr>
              <w:t>plat</w:t>
            </w:r>
          </w:p>
        </w:tc>
        <w:tc>
          <w:tcPr>
            <w:tcW w:w="709" w:type="dxa"/>
            <w:tcBorders>
              <w:bottom w:val="single" w:sz="4" w:space="0" w:color="auto"/>
            </w:tcBorders>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riadenie</w:t>
            </w:r>
          </w:p>
        </w:tc>
        <w:tc>
          <w:tcPr>
            <w:tcW w:w="709" w:type="dxa"/>
            <w:tcBorders>
              <w:bottom w:val="single" w:sz="4" w:space="0" w:color="auto"/>
            </w:tcBorders>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osobný</w:t>
            </w:r>
          </w:p>
        </w:tc>
        <w:tc>
          <w:tcPr>
            <w:tcW w:w="709" w:type="dxa"/>
            <w:tcBorders>
              <w:bottom w:val="single" w:sz="4" w:space="0" w:color="auto"/>
            </w:tcBorders>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platová</w:t>
            </w:r>
          </w:p>
          <w:p w:rsidR="005D072F" w:rsidRPr="004C5551" w:rsidRDefault="005D072F" w:rsidP="00FC3735">
            <w:pPr>
              <w:ind w:left="113" w:right="113"/>
              <w:jc w:val="left"/>
              <w:rPr>
                <w:b/>
                <w:sz w:val="18"/>
                <w:szCs w:val="18"/>
              </w:rPr>
            </w:pPr>
            <w:r w:rsidRPr="004C5551">
              <w:rPr>
                <w:b/>
                <w:sz w:val="18"/>
                <w:szCs w:val="18"/>
              </w:rPr>
              <w:t>kompenzácia</w:t>
            </w:r>
          </w:p>
        </w:tc>
        <w:tc>
          <w:tcPr>
            <w:tcW w:w="708" w:type="dxa"/>
            <w:tcBorders>
              <w:bottom w:val="single" w:sz="4" w:space="0" w:color="auto"/>
            </w:tcBorders>
            <w:shd w:val="clear" w:color="auto" w:fill="FF9999" w:themeFill="accent3" w:themeFillTint="66"/>
            <w:noWrap/>
            <w:textDirection w:val="btLr"/>
            <w:vAlign w:val="center"/>
            <w:hideMark/>
          </w:tcPr>
          <w:p w:rsidR="005D072F" w:rsidRPr="004C5551" w:rsidRDefault="005D072F" w:rsidP="00FC3735">
            <w:pPr>
              <w:ind w:left="113" w:right="113"/>
              <w:jc w:val="left"/>
              <w:rPr>
                <w:b/>
                <w:sz w:val="18"/>
                <w:szCs w:val="18"/>
              </w:rPr>
            </w:pPr>
            <w:r w:rsidRPr="004C5551">
              <w:rPr>
                <w:b/>
                <w:sz w:val="18"/>
                <w:szCs w:val="18"/>
              </w:rPr>
              <w:t>zmennosť</w:t>
            </w:r>
          </w:p>
        </w:tc>
        <w:tc>
          <w:tcPr>
            <w:tcW w:w="556"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center"/>
              <w:rPr>
                <w:b/>
                <w:sz w:val="18"/>
                <w:szCs w:val="18"/>
              </w:rPr>
            </w:pPr>
          </w:p>
        </w:tc>
        <w:tc>
          <w:tcPr>
            <w:tcW w:w="745"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center"/>
              <w:rPr>
                <w:b/>
                <w:sz w:val="18"/>
                <w:szCs w:val="18"/>
              </w:rPr>
            </w:pPr>
          </w:p>
        </w:tc>
        <w:tc>
          <w:tcPr>
            <w:tcW w:w="891" w:type="dxa"/>
            <w:vMerge/>
            <w:tcBorders>
              <w:bottom w:val="single" w:sz="4" w:space="0" w:color="auto"/>
            </w:tcBorders>
            <w:shd w:val="clear" w:color="auto" w:fill="FF9999" w:themeFill="accent3" w:themeFillTint="66"/>
            <w:noWrap/>
            <w:vAlign w:val="center"/>
            <w:hideMark/>
          </w:tcPr>
          <w:p w:rsidR="005D072F" w:rsidRPr="004C5551" w:rsidRDefault="005D072F" w:rsidP="00FC3735">
            <w:pPr>
              <w:jc w:val="center"/>
              <w:rPr>
                <w:b/>
                <w:sz w:val="18"/>
                <w:szCs w:val="18"/>
              </w:rPr>
            </w:pPr>
          </w:p>
        </w:tc>
      </w:tr>
      <w:tr w:rsidR="005D072F" w:rsidRPr="004C5551" w:rsidTr="00002192">
        <w:trPr>
          <w:trHeight w:val="315"/>
          <w:jc w:val="center"/>
        </w:trPr>
        <w:tc>
          <w:tcPr>
            <w:tcW w:w="4183" w:type="dxa"/>
            <w:vMerge/>
            <w:shd w:val="clear" w:color="auto" w:fill="FF9999" w:themeFill="accent3" w:themeFillTint="66"/>
            <w:noWrap/>
            <w:vAlign w:val="center"/>
            <w:hideMark/>
          </w:tcPr>
          <w:p w:rsidR="005D072F" w:rsidRPr="004C5551" w:rsidRDefault="005D072F" w:rsidP="00FC3735">
            <w:pPr>
              <w:jc w:val="center"/>
              <w:rPr>
                <w:sz w:val="18"/>
                <w:szCs w:val="18"/>
              </w:rPr>
            </w:pPr>
          </w:p>
        </w:tc>
        <w:tc>
          <w:tcPr>
            <w:tcW w:w="753"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(osoby)</w:t>
            </w:r>
          </w:p>
        </w:tc>
        <w:tc>
          <w:tcPr>
            <w:tcW w:w="851"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(osoby)</w:t>
            </w:r>
          </w:p>
        </w:tc>
        <w:tc>
          <w:tcPr>
            <w:tcW w:w="1134"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w:t>
            </w:r>
          </w:p>
        </w:tc>
        <w:tc>
          <w:tcPr>
            <w:tcW w:w="850"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851"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08"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09"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09"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09"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08"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556"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745"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c>
          <w:tcPr>
            <w:tcW w:w="891" w:type="dxa"/>
            <w:shd w:val="clear" w:color="auto" w:fill="FF9999" w:themeFill="accent3" w:themeFillTint="66"/>
            <w:noWrap/>
            <w:vAlign w:val="center"/>
            <w:hideMark/>
          </w:tcPr>
          <w:p w:rsidR="005D072F" w:rsidRPr="004C5551" w:rsidRDefault="005D072F" w:rsidP="00FC3735">
            <w:pPr>
              <w:jc w:val="center"/>
              <w:rPr>
                <w:sz w:val="18"/>
                <w:szCs w:val="18"/>
              </w:rPr>
            </w:pPr>
            <w:r w:rsidRPr="004C5551">
              <w:rPr>
                <w:sz w:val="18"/>
                <w:szCs w:val="18"/>
              </w:rPr>
              <w:t>[</w:t>
            </w:r>
            <w:r w:rsidR="00AA0137" w:rsidRPr="004C5551">
              <w:rPr>
                <w:sz w:val="18"/>
                <w:szCs w:val="18"/>
              </w:rPr>
              <w:t>€</w:t>
            </w:r>
            <w:r w:rsidRPr="004C5551">
              <w:rPr>
                <w:sz w:val="18"/>
                <w:szCs w:val="18"/>
              </w:rPr>
              <w:t xml:space="preserve">/ </w:t>
            </w:r>
            <w:proofErr w:type="spellStart"/>
            <w:r w:rsidRPr="004C5551">
              <w:rPr>
                <w:sz w:val="18"/>
                <w:szCs w:val="18"/>
              </w:rPr>
              <w:t>mes</w:t>
            </w:r>
            <w:proofErr w:type="spellEnd"/>
            <w:r w:rsidRPr="004C5551">
              <w:rPr>
                <w:sz w:val="18"/>
                <w:szCs w:val="18"/>
              </w:rPr>
              <w:t>]</w:t>
            </w:r>
          </w:p>
        </w:tc>
      </w:tr>
      <w:tr w:rsidR="00A26F43" w:rsidRPr="004C5551" w:rsidTr="00DB3222">
        <w:trPr>
          <w:trHeight w:val="315"/>
          <w:jc w:val="center"/>
        </w:trPr>
        <w:tc>
          <w:tcPr>
            <w:tcW w:w="4183" w:type="dxa"/>
            <w:shd w:val="clear" w:color="auto" w:fill="auto"/>
            <w:noWrap/>
            <w:vAlign w:val="center"/>
            <w:hideMark/>
          </w:tcPr>
          <w:p w:rsidR="00A26F43" w:rsidRPr="004C5551" w:rsidRDefault="00A26F43" w:rsidP="00DB3222">
            <w:pPr>
              <w:jc w:val="center"/>
              <w:rPr>
                <w:sz w:val="18"/>
                <w:szCs w:val="18"/>
              </w:rPr>
            </w:pPr>
            <w:r w:rsidRPr="004C5551">
              <w:rPr>
                <w:sz w:val="18"/>
                <w:szCs w:val="18"/>
              </w:rPr>
              <w:t>SPOLU</w:t>
            </w:r>
          </w:p>
        </w:tc>
        <w:tc>
          <w:tcPr>
            <w:tcW w:w="753" w:type="dxa"/>
            <w:shd w:val="clear" w:color="auto" w:fill="auto"/>
            <w:noWrap/>
            <w:vAlign w:val="bottom"/>
            <w:hideMark/>
          </w:tcPr>
          <w:p w:rsidR="00A26F43" w:rsidRPr="004C5551" w:rsidRDefault="00A26F43" w:rsidP="00DB3222">
            <w:pPr>
              <w:jc w:val="right"/>
              <w:rPr>
                <w:sz w:val="18"/>
                <w:szCs w:val="18"/>
              </w:rPr>
            </w:pPr>
            <w:r w:rsidRPr="004C5551">
              <w:rPr>
                <w:sz w:val="18"/>
                <w:szCs w:val="18"/>
              </w:rPr>
              <w:t>15 500</w:t>
            </w:r>
          </w:p>
        </w:tc>
        <w:tc>
          <w:tcPr>
            <w:tcW w:w="851" w:type="dxa"/>
            <w:shd w:val="clear" w:color="auto" w:fill="auto"/>
            <w:noWrap/>
            <w:vAlign w:val="bottom"/>
            <w:hideMark/>
          </w:tcPr>
          <w:p w:rsidR="00A26F43" w:rsidRPr="004C5551" w:rsidRDefault="00A26F43" w:rsidP="00DB3222">
            <w:pPr>
              <w:jc w:val="right"/>
              <w:rPr>
                <w:sz w:val="18"/>
                <w:szCs w:val="18"/>
              </w:rPr>
            </w:pPr>
            <w:r w:rsidRPr="004C5551">
              <w:rPr>
                <w:sz w:val="18"/>
                <w:szCs w:val="18"/>
              </w:rPr>
              <w:t>13 428</w:t>
            </w:r>
          </w:p>
        </w:tc>
        <w:tc>
          <w:tcPr>
            <w:tcW w:w="1134" w:type="dxa"/>
            <w:shd w:val="clear" w:color="auto" w:fill="auto"/>
            <w:noWrap/>
            <w:vAlign w:val="center"/>
            <w:hideMark/>
          </w:tcPr>
          <w:p w:rsidR="00A26F43" w:rsidRPr="004C5551" w:rsidRDefault="00A26F43" w:rsidP="00DB3222">
            <w:pPr>
              <w:jc w:val="right"/>
              <w:rPr>
                <w:sz w:val="18"/>
                <w:szCs w:val="18"/>
              </w:rPr>
            </w:pPr>
            <w:r w:rsidRPr="004C5551">
              <w:rPr>
                <w:sz w:val="18"/>
                <w:szCs w:val="18"/>
              </w:rPr>
              <w:t>93 739 452</w:t>
            </w:r>
          </w:p>
        </w:tc>
        <w:tc>
          <w:tcPr>
            <w:tcW w:w="850" w:type="dxa"/>
            <w:shd w:val="clear" w:color="auto" w:fill="auto"/>
            <w:noWrap/>
            <w:vAlign w:val="bottom"/>
            <w:hideMark/>
          </w:tcPr>
          <w:p w:rsidR="00A26F43" w:rsidRPr="004C5551" w:rsidRDefault="00A26F43" w:rsidP="00DB3222">
            <w:pPr>
              <w:jc w:val="right"/>
              <w:rPr>
                <w:sz w:val="18"/>
                <w:szCs w:val="18"/>
              </w:rPr>
            </w:pPr>
            <w:r w:rsidRPr="004C5551">
              <w:rPr>
                <w:sz w:val="18"/>
                <w:szCs w:val="18"/>
              </w:rPr>
              <w:t>609</w:t>
            </w:r>
          </w:p>
        </w:tc>
        <w:tc>
          <w:tcPr>
            <w:tcW w:w="851" w:type="dxa"/>
            <w:shd w:val="clear" w:color="auto" w:fill="auto"/>
            <w:noWrap/>
            <w:vAlign w:val="bottom"/>
            <w:hideMark/>
          </w:tcPr>
          <w:p w:rsidR="00A26F43" w:rsidRPr="004C5551" w:rsidRDefault="00A26F43" w:rsidP="00DB3222">
            <w:pPr>
              <w:jc w:val="right"/>
              <w:rPr>
                <w:sz w:val="18"/>
                <w:szCs w:val="18"/>
              </w:rPr>
            </w:pPr>
            <w:r w:rsidRPr="004C5551">
              <w:rPr>
                <w:sz w:val="18"/>
                <w:szCs w:val="18"/>
              </w:rPr>
              <w:t>459</w:t>
            </w:r>
          </w:p>
        </w:tc>
        <w:tc>
          <w:tcPr>
            <w:tcW w:w="708" w:type="dxa"/>
            <w:shd w:val="clear" w:color="auto" w:fill="auto"/>
            <w:noWrap/>
            <w:vAlign w:val="bottom"/>
            <w:hideMark/>
          </w:tcPr>
          <w:p w:rsidR="00A26F43" w:rsidRPr="004C5551" w:rsidRDefault="00A26F43" w:rsidP="00DB3222">
            <w:pPr>
              <w:jc w:val="right"/>
              <w:rPr>
                <w:sz w:val="18"/>
                <w:szCs w:val="18"/>
              </w:rPr>
            </w:pPr>
            <w:r w:rsidRPr="004C5551">
              <w:rPr>
                <w:sz w:val="18"/>
                <w:szCs w:val="18"/>
              </w:rPr>
              <w:t>378</w:t>
            </w:r>
          </w:p>
        </w:tc>
        <w:tc>
          <w:tcPr>
            <w:tcW w:w="709" w:type="dxa"/>
            <w:shd w:val="clear" w:color="auto" w:fill="auto"/>
            <w:noWrap/>
            <w:vAlign w:val="bottom"/>
            <w:hideMark/>
          </w:tcPr>
          <w:p w:rsidR="00A26F43" w:rsidRPr="004C5551" w:rsidRDefault="00A26F43" w:rsidP="00DB3222">
            <w:pPr>
              <w:jc w:val="right"/>
              <w:rPr>
                <w:sz w:val="18"/>
                <w:szCs w:val="18"/>
              </w:rPr>
            </w:pPr>
            <w:r w:rsidRPr="004C5551">
              <w:rPr>
                <w:sz w:val="18"/>
                <w:szCs w:val="18"/>
              </w:rPr>
              <w:t>6</w:t>
            </w:r>
          </w:p>
        </w:tc>
        <w:tc>
          <w:tcPr>
            <w:tcW w:w="709" w:type="dxa"/>
            <w:shd w:val="clear" w:color="auto" w:fill="auto"/>
            <w:noWrap/>
            <w:vAlign w:val="bottom"/>
            <w:hideMark/>
          </w:tcPr>
          <w:p w:rsidR="00A26F43" w:rsidRPr="004C5551" w:rsidRDefault="00A26F43" w:rsidP="00DB3222">
            <w:pPr>
              <w:jc w:val="right"/>
              <w:rPr>
                <w:sz w:val="18"/>
                <w:szCs w:val="18"/>
              </w:rPr>
            </w:pPr>
            <w:r w:rsidRPr="004C5551">
              <w:rPr>
                <w:sz w:val="18"/>
                <w:szCs w:val="18"/>
              </w:rPr>
              <w:t>65</w:t>
            </w:r>
          </w:p>
        </w:tc>
        <w:tc>
          <w:tcPr>
            <w:tcW w:w="709" w:type="dxa"/>
            <w:shd w:val="clear" w:color="auto" w:fill="auto"/>
            <w:noWrap/>
            <w:vAlign w:val="bottom"/>
            <w:hideMark/>
          </w:tcPr>
          <w:p w:rsidR="00A26F43" w:rsidRPr="004C5551" w:rsidRDefault="00A26F43" w:rsidP="00DB3222">
            <w:pPr>
              <w:jc w:val="right"/>
              <w:rPr>
                <w:sz w:val="18"/>
                <w:szCs w:val="18"/>
              </w:rPr>
            </w:pPr>
            <w:r w:rsidRPr="004C5551">
              <w:rPr>
                <w:sz w:val="18"/>
                <w:szCs w:val="18"/>
              </w:rPr>
              <w:t>5</w:t>
            </w:r>
          </w:p>
        </w:tc>
        <w:tc>
          <w:tcPr>
            <w:tcW w:w="708" w:type="dxa"/>
            <w:shd w:val="clear" w:color="auto" w:fill="auto"/>
            <w:noWrap/>
            <w:vAlign w:val="bottom"/>
            <w:hideMark/>
          </w:tcPr>
          <w:p w:rsidR="00A26F43" w:rsidRPr="004C5551" w:rsidRDefault="00A26F43" w:rsidP="00DB3222">
            <w:pPr>
              <w:jc w:val="right"/>
              <w:rPr>
                <w:sz w:val="18"/>
                <w:szCs w:val="18"/>
              </w:rPr>
            </w:pPr>
            <w:r w:rsidRPr="004C5551">
              <w:rPr>
                <w:sz w:val="18"/>
                <w:szCs w:val="18"/>
              </w:rPr>
              <w:t>5</w:t>
            </w:r>
          </w:p>
        </w:tc>
        <w:tc>
          <w:tcPr>
            <w:tcW w:w="556" w:type="dxa"/>
            <w:shd w:val="clear" w:color="auto" w:fill="auto"/>
            <w:noWrap/>
            <w:vAlign w:val="bottom"/>
            <w:hideMark/>
          </w:tcPr>
          <w:p w:rsidR="00A26F43" w:rsidRPr="004C5551" w:rsidRDefault="00A26F43" w:rsidP="00DB3222">
            <w:pPr>
              <w:jc w:val="right"/>
              <w:rPr>
                <w:sz w:val="18"/>
                <w:szCs w:val="18"/>
              </w:rPr>
            </w:pPr>
            <w:r w:rsidRPr="004C5551">
              <w:rPr>
                <w:sz w:val="18"/>
                <w:szCs w:val="18"/>
              </w:rPr>
              <w:t>35</w:t>
            </w:r>
          </w:p>
        </w:tc>
        <w:tc>
          <w:tcPr>
            <w:tcW w:w="745" w:type="dxa"/>
            <w:shd w:val="clear" w:color="auto" w:fill="auto"/>
            <w:noWrap/>
            <w:vAlign w:val="bottom"/>
            <w:hideMark/>
          </w:tcPr>
          <w:p w:rsidR="00A26F43" w:rsidRPr="004C5551" w:rsidRDefault="00A26F43" w:rsidP="00DB3222">
            <w:pPr>
              <w:jc w:val="right"/>
              <w:rPr>
                <w:sz w:val="18"/>
                <w:szCs w:val="18"/>
              </w:rPr>
            </w:pPr>
            <w:r w:rsidRPr="004C5551">
              <w:rPr>
                <w:sz w:val="18"/>
                <w:szCs w:val="18"/>
              </w:rPr>
              <w:t>3</w:t>
            </w:r>
          </w:p>
        </w:tc>
        <w:tc>
          <w:tcPr>
            <w:tcW w:w="891" w:type="dxa"/>
            <w:shd w:val="clear" w:color="auto" w:fill="auto"/>
            <w:noWrap/>
            <w:vAlign w:val="bottom"/>
            <w:hideMark/>
          </w:tcPr>
          <w:p w:rsidR="00A26F43" w:rsidRPr="004C5551" w:rsidRDefault="00A26F43" w:rsidP="00DB3222">
            <w:pPr>
              <w:jc w:val="right"/>
              <w:rPr>
                <w:sz w:val="18"/>
                <w:szCs w:val="18"/>
              </w:rPr>
            </w:pPr>
            <w:r w:rsidRPr="004C5551">
              <w:rPr>
                <w:sz w:val="18"/>
                <w:szCs w:val="18"/>
              </w:rPr>
              <w:t>41</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 xml:space="preserve">Odborní a administratívni zamestnanci </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1 249</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1 021</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11 832 669</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882</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682</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494</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40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146</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75</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17</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 xml:space="preserve">Vychovávatelia </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96</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92</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705 633</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741</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553</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484</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46</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20</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Pomocní vychovávatelia</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96</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78</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709 185</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688</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508</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449</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53</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31</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50</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Zamestnanci zabezpečujúci poskytovanie zdravotnej starostlivosti</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1 721</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1 685</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12 765 755</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721</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524</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433</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67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8</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7</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39</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68</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Pomocní zdravotnícki zamestnanci</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1 125</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1 037</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6 547 208</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560</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402</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343</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41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9</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9</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27</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3</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68</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Zamestnanci vykonávajúci sociálnu agendu</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218</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198</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1 510 703</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711</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555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447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92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39</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26</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Zamestnanci vykonávajúci sociálnu prácu</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1 268</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1 112</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8 717 599</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657</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515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430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73</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37</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20</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Ergoterapeuti</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217</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185</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1 385 624</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616</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491</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411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71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30</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13</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Psychológovia</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30</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30</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191 503</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693</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563</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458</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92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32</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Špeciálni pedagógovia</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36</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32</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291 583</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775</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602</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521</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9</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62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34</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25</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Opatrovateľky z povolania</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3 959</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3 623</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20 348 527</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544</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400</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343</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42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6</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9</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26</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3</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57</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Remeselní, manuálni alebo manipulační zamestnanci</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2 681</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1 954</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13 449 776</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495</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385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322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54</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28</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21</w:t>
            </w:r>
          </w:p>
        </w:tc>
      </w:tr>
      <w:tr w:rsidR="00A26F43" w:rsidRPr="004C5551" w:rsidTr="00A26F43">
        <w:trPr>
          <w:trHeight w:val="300"/>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Zamestnanci stravovacích prevádzok</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1 465</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1 330</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7 826 013</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538</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405</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340</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2</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56</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1</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6</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30</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3</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40</w:t>
            </w:r>
          </w:p>
        </w:tc>
      </w:tr>
      <w:tr w:rsidR="00A26F43" w:rsidRPr="004C5551" w:rsidTr="00A26F43">
        <w:trPr>
          <w:trHeight w:val="315"/>
          <w:jc w:val="center"/>
        </w:trPr>
        <w:tc>
          <w:tcPr>
            <w:tcW w:w="4183" w:type="dxa"/>
            <w:shd w:val="clear" w:color="000000" w:fill="FFFFFF"/>
            <w:noWrap/>
            <w:vAlign w:val="center"/>
          </w:tcPr>
          <w:p w:rsidR="00A26F43" w:rsidRPr="004C5551" w:rsidRDefault="00A26F43" w:rsidP="00DB3222">
            <w:pPr>
              <w:rPr>
                <w:sz w:val="18"/>
                <w:szCs w:val="18"/>
              </w:rPr>
            </w:pPr>
            <w:r w:rsidRPr="004C5551">
              <w:rPr>
                <w:sz w:val="18"/>
                <w:szCs w:val="18"/>
              </w:rPr>
              <w:t>Neuvedené zamestnanie</w:t>
            </w:r>
          </w:p>
        </w:tc>
        <w:tc>
          <w:tcPr>
            <w:tcW w:w="753" w:type="dxa"/>
            <w:shd w:val="clear" w:color="000000" w:fill="FFFFFF"/>
            <w:noWrap/>
            <w:vAlign w:val="center"/>
          </w:tcPr>
          <w:p w:rsidR="00A26F43" w:rsidRPr="004C5551" w:rsidRDefault="00A26F43" w:rsidP="00DB3222">
            <w:pPr>
              <w:jc w:val="right"/>
              <w:rPr>
                <w:sz w:val="18"/>
                <w:szCs w:val="18"/>
              </w:rPr>
            </w:pPr>
            <w:r w:rsidRPr="004C5551">
              <w:rPr>
                <w:sz w:val="18"/>
                <w:szCs w:val="18"/>
              </w:rPr>
              <w:t>1 339</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1 051</w:t>
            </w:r>
          </w:p>
        </w:tc>
        <w:tc>
          <w:tcPr>
            <w:tcW w:w="1134" w:type="dxa"/>
            <w:shd w:val="clear" w:color="000000" w:fill="FFFFFF"/>
            <w:noWrap/>
            <w:vAlign w:val="center"/>
          </w:tcPr>
          <w:p w:rsidR="00A26F43" w:rsidRPr="004C5551" w:rsidRDefault="00A26F43" w:rsidP="00DB3222">
            <w:pPr>
              <w:jc w:val="right"/>
              <w:rPr>
                <w:sz w:val="18"/>
                <w:szCs w:val="18"/>
              </w:rPr>
            </w:pPr>
            <w:r w:rsidRPr="004C5551">
              <w:rPr>
                <w:sz w:val="18"/>
                <w:szCs w:val="18"/>
              </w:rPr>
              <w:t>7 457 675</w:t>
            </w:r>
          </w:p>
        </w:tc>
        <w:tc>
          <w:tcPr>
            <w:tcW w:w="850" w:type="dxa"/>
            <w:shd w:val="clear" w:color="000000" w:fill="FFFFFF"/>
            <w:noWrap/>
            <w:vAlign w:val="center"/>
          </w:tcPr>
          <w:p w:rsidR="00A26F43" w:rsidRPr="004C5551" w:rsidRDefault="00A26F43" w:rsidP="00DB3222">
            <w:pPr>
              <w:jc w:val="right"/>
              <w:rPr>
                <w:sz w:val="18"/>
                <w:szCs w:val="18"/>
              </w:rPr>
            </w:pPr>
            <w:r w:rsidRPr="004C5551">
              <w:rPr>
                <w:sz w:val="18"/>
                <w:szCs w:val="18"/>
              </w:rPr>
              <w:t>639</w:t>
            </w:r>
          </w:p>
        </w:tc>
        <w:tc>
          <w:tcPr>
            <w:tcW w:w="851" w:type="dxa"/>
            <w:shd w:val="clear" w:color="000000" w:fill="FFFFFF"/>
            <w:noWrap/>
            <w:vAlign w:val="center"/>
          </w:tcPr>
          <w:p w:rsidR="00A26F43" w:rsidRPr="004C5551" w:rsidRDefault="00A26F43" w:rsidP="00DB3222">
            <w:pPr>
              <w:jc w:val="right"/>
              <w:rPr>
                <w:sz w:val="18"/>
                <w:szCs w:val="18"/>
              </w:rPr>
            </w:pPr>
            <w:r w:rsidRPr="004C5551">
              <w:rPr>
                <w:sz w:val="18"/>
                <w:szCs w:val="18"/>
              </w:rPr>
              <w:t>488</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389</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7</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84</w:t>
            </w:r>
          </w:p>
        </w:tc>
        <w:tc>
          <w:tcPr>
            <w:tcW w:w="709" w:type="dxa"/>
            <w:shd w:val="clear" w:color="000000" w:fill="FFFFFF"/>
            <w:noWrap/>
            <w:vAlign w:val="center"/>
          </w:tcPr>
          <w:p w:rsidR="00A26F43" w:rsidRPr="004C5551" w:rsidRDefault="00A26F43" w:rsidP="00DB3222">
            <w:pPr>
              <w:jc w:val="right"/>
              <w:rPr>
                <w:sz w:val="18"/>
                <w:szCs w:val="18"/>
              </w:rPr>
            </w:pPr>
            <w:r w:rsidRPr="004C5551">
              <w:rPr>
                <w:sz w:val="18"/>
                <w:szCs w:val="18"/>
              </w:rPr>
              <w:t>4</w:t>
            </w:r>
          </w:p>
        </w:tc>
        <w:tc>
          <w:tcPr>
            <w:tcW w:w="708" w:type="dxa"/>
            <w:shd w:val="clear" w:color="000000" w:fill="FFFFFF"/>
            <w:noWrap/>
            <w:vAlign w:val="center"/>
          </w:tcPr>
          <w:p w:rsidR="00A26F43" w:rsidRPr="004C5551" w:rsidRDefault="00A26F43" w:rsidP="00DB3222">
            <w:pPr>
              <w:jc w:val="right"/>
              <w:rPr>
                <w:sz w:val="18"/>
                <w:szCs w:val="18"/>
              </w:rPr>
            </w:pPr>
            <w:r w:rsidRPr="004C5551">
              <w:rPr>
                <w:sz w:val="18"/>
                <w:szCs w:val="18"/>
              </w:rPr>
              <w:t>4</w:t>
            </w:r>
          </w:p>
        </w:tc>
        <w:tc>
          <w:tcPr>
            <w:tcW w:w="556" w:type="dxa"/>
            <w:shd w:val="clear" w:color="000000" w:fill="FFFFFF"/>
            <w:noWrap/>
            <w:vAlign w:val="center"/>
          </w:tcPr>
          <w:p w:rsidR="00A26F43" w:rsidRPr="004C5551" w:rsidRDefault="00A26F43" w:rsidP="00DB3222">
            <w:pPr>
              <w:jc w:val="right"/>
              <w:rPr>
                <w:sz w:val="18"/>
                <w:szCs w:val="18"/>
              </w:rPr>
            </w:pPr>
            <w:r w:rsidRPr="004C5551">
              <w:rPr>
                <w:sz w:val="18"/>
                <w:szCs w:val="18"/>
              </w:rPr>
              <w:t>35</w:t>
            </w:r>
          </w:p>
        </w:tc>
        <w:tc>
          <w:tcPr>
            <w:tcW w:w="745" w:type="dxa"/>
            <w:shd w:val="clear" w:color="000000" w:fill="FFFFFF"/>
            <w:noWrap/>
            <w:vAlign w:val="center"/>
          </w:tcPr>
          <w:p w:rsidR="00A26F43" w:rsidRPr="004C5551" w:rsidRDefault="00A26F43" w:rsidP="00DB3222">
            <w:pPr>
              <w:jc w:val="right"/>
              <w:rPr>
                <w:sz w:val="18"/>
                <w:szCs w:val="18"/>
              </w:rPr>
            </w:pPr>
            <w:r w:rsidRPr="004C5551">
              <w:rPr>
                <w:sz w:val="18"/>
                <w:szCs w:val="18"/>
              </w:rPr>
              <w:t>7</w:t>
            </w:r>
          </w:p>
        </w:tc>
        <w:tc>
          <w:tcPr>
            <w:tcW w:w="891" w:type="dxa"/>
            <w:shd w:val="clear" w:color="000000" w:fill="FFFFFF"/>
            <w:noWrap/>
            <w:vAlign w:val="center"/>
          </w:tcPr>
          <w:p w:rsidR="00A26F43" w:rsidRPr="004C5551" w:rsidRDefault="00A26F43" w:rsidP="00DB3222">
            <w:pPr>
              <w:jc w:val="right"/>
              <w:rPr>
                <w:sz w:val="18"/>
                <w:szCs w:val="18"/>
              </w:rPr>
            </w:pPr>
            <w:r w:rsidRPr="004C5551">
              <w:rPr>
                <w:sz w:val="18"/>
                <w:szCs w:val="18"/>
              </w:rPr>
              <w:t>33</w:t>
            </w:r>
          </w:p>
        </w:tc>
      </w:tr>
    </w:tbl>
    <w:p w:rsidR="0084617B" w:rsidRPr="004C5551" w:rsidRDefault="0084617B" w:rsidP="0084617B">
      <w:pPr>
        <w:rPr>
          <w:bCs/>
          <w:i/>
          <w:sz w:val="18"/>
          <w:szCs w:val="18"/>
        </w:rPr>
      </w:pPr>
      <w:r w:rsidRPr="004C5551">
        <w:rPr>
          <w:i/>
          <w:sz w:val="18"/>
          <w:szCs w:val="18"/>
        </w:rPr>
        <w:t xml:space="preserve">Zdroj: </w:t>
      </w:r>
      <w:r w:rsidRPr="004C5551">
        <w:rPr>
          <w:bCs/>
          <w:i/>
          <w:sz w:val="18"/>
          <w:szCs w:val="18"/>
        </w:rPr>
        <w:t>PLATY (MPSVR SR) 1-02</w:t>
      </w:r>
    </w:p>
    <w:p w:rsidR="001408B7" w:rsidRPr="004C5551" w:rsidRDefault="001408B7" w:rsidP="0084617B">
      <w:pPr>
        <w:rPr>
          <w:bCs/>
          <w:i/>
          <w:sz w:val="18"/>
          <w:szCs w:val="18"/>
        </w:rPr>
      </w:pPr>
    </w:p>
    <w:p w:rsidR="001408B7" w:rsidRPr="004C5551" w:rsidRDefault="001408B7" w:rsidP="0084617B">
      <w:pPr>
        <w:rPr>
          <w:bCs/>
          <w:i/>
          <w:sz w:val="18"/>
          <w:szCs w:val="18"/>
        </w:rPr>
      </w:pPr>
    </w:p>
    <w:p w:rsidR="001408B7" w:rsidRPr="004C5551" w:rsidRDefault="001408B7" w:rsidP="0084617B">
      <w:pPr>
        <w:rPr>
          <w:bCs/>
          <w:i/>
          <w:sz w:val="18"/>
          <w:szCs w:val="18"/>
        </w:rPr>
      </w:pPr>
    </w:p>
    <w:p w:rsidR="001408B7" w:rsidRPr="004C5551" w:rsidRDefault="001408B7" w:rsidP="0084617B">
      <w:pPr>
        <w:rPr>
          <w:bCs/>
          <w:i/>
          <w:sz w:val="18"/>
          <w:szCs w:val="18"/>
        </w:rPr>
      </w:pPr>
    </w:p>
    <w:p w:rsidR="001408B7" w:rsidRPr="004C5551" w:rsidRDefault="001408B7" w:rsidP="0084617B">
      <w:pPr>
        <w:rPr>
          <w:bCs/>
          <w:i/>
          <w:sz w:val="18"/>
          <w:szCs w:val="18"/>
        </w:rPr>
      </w:pPr>
    </w:p>
    <w:p w:rsidR="001408B7" w:rsidRPr="004C5551" w:rsidRDefault="001408B7" w:rsidP="0084617B">
      <w:pPr>
        <w:rPr>
          <w:bCs/>
          <w:i/>
          <w:sz w:val="18"/>
          <w:szCs w:val="18"/>
        </w:rPr>
      </w:pPr>
    </w:p>
    <w:p w:rsidR="0084617B" w:rsidRPr="004C5551" w:rsidRDefault="0084617B" w:rsidP="0084617B">
      <w:pPr>
        <w:jc w:val="center"/>
        <w:rPr>
          <w:b/>
        </w:rPr>
        <w:sectPr w:rsidR="0084617B" w:rsidRPr="004C5551" w:rsidSect="004F3C97">
          <w:pgSz w:w="16838" w:h="11906" w:orient="landscape"/>
          <w:pgMar w:top="1417" w:right="1417" w:bottom="1417" w:left="1417" w:header="708" w:footer="708" w:gutter="0"/>
          <w:cols w:space="708"/>
          <w:docGrid w:linePitch="360"/>
        </w:sectPr>
      </w:pPr>
    </w:p>
    <w:p w:rsidR="00D40D6B" w:rsidRPr="004C5551" w:rsidRDefault="00D40D6B" w:rsidP="000C44B3">
      <w:pPr>
        <w:pStyle w:val="Nadpis7"/>
      </w:pPr>
      <w:bookmarkStart w:id="851" w:name="_Toc325438272"/>
      <w:bookmarkStart w:id="852" w:name="_Toc325441015"/>
      <w:bookmarkStart w:id="853" w:name="_Toc325626827"/>
      <w:bookmarkStart w:id="854" w:name="_Toc326217088"/>
      <w:bookmarkStart w:id="855" w:name="_Toc356482760"/>
      <w:bookmarkStart w:id="856" w:name="_Toc325438273"/>
      <w:bookmarkStart w:id="857" w:name="_Toc325441016"/>
      <w:r w:rsidRPr="004C5551">
        <w:t>Tabuľka 3</w:t>
      </w:r>
      <w:r w:rsidR="00453F8D" w:rsidRPr="004C5551">
        <w:t>1</w:t>
      </w:r>
      <w:r w:rsidRPr="004C5551">
        <w:t xml:space="preserve"> Hrubé výdavky na sociálnu ochranu, 2012</w:t>
      </w:r>
    </w:p>
    <w:tbl>
      <w:tblPr>
        <w:tblW w:w="9610" w:type="dxa"/>
        <w:jc w:val="center"/>
        <w:tblLayout w:type="fixed"/>
        <w:tblCellMar>
          <w:left w:w="45" w:type="dxa"/>
          <w:right w:w="45" w:type="dxa"/>
        </w:tblCellMar>
        <w:tblLook w:val="04A0" w:firstRow="1" w:lastRow="0" w:firstColumn="1" w:lastColumn="0" w:noHBand="0" w:noVBand="1"/>
      </w:tblPr>
      <w:tblGrid>
        <w:gridCol w:w="1277"/>
        <w:gridCol w:w="977"/>
        <w:gridCol w:w="1081"/>
        <w:gridCol w:w="1134"/>
        <w:gridCol w:w="1275"/>
        <w:gridCol w:w="993"/>
        <w:gridCol w:w="813"/>
        <w:gridCol w:w="1149"/>
        <w:gridCol w:w="911"/>
      </w:tblGrid>
      <w:tr w:rsidR="00D40D6B" w:rsidRPr="004C5551" w:rsidTr="000C44B3">
        <w:trPr>
          <w:trHeight w:val="610"/>
          <w:jc w:val="center"/>
        </w:trPr>
        <w:tc>
          <w:tcPr>
            <w:tcW w:w="1277"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D40D6B" w:rsidRPr="004C5551" w:rsidRDefault="00D40D6B" w:rsidP="00D40D6B">
            <w:pPr>
              <w:rPr>
                <w:b/>
                <w:sz w:val="20"/>
                <w:szCs w:val="20"/>
              </w:rPr>
            </w:pPr>
            <w:r w:rsidRPr="004C5551">
              <w:rPr>
                <w:b/>
                <w:sz w:val="20"/>
                <w:szCs w:val="20"/>
              </w:rPr>
              <w:t>Územie</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Výdavky na sociálnu ochranu ako % z HDP</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Výdavky na sociálnu ochranu v PPS na obyvateľa</w:t>
            </w:r>
          </w:p>
        </w:tc>
        <w:tc>
          <w:tcPr>
            <w:tcW w:w="6275" w:type="dxa"/>
            <w:gridSpan w:val="6"/>
            <w:tcBorders>
              <w:top w:val="single" w:sz="4" w:space="0" w:color="auto"/>
              <w:left w:val="nil"/>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Výdavky na sociálne dávky podľa účelov v PPS na obyvateľa</w:t>
            </w:r>
          </w:p>
          <w:p w:rsidR="00D40D6B" w:rsidRPr="004C5551" w:rsidRDefault="00D40D6B" w:rsidP="00D40D6B">
            <w:pPr>
              <w:jc w:val="center"/>
              <w:rPr>
                <w:b/>
                <w:sz w:val="20"/>
                <w:szCs w:val="20"/>
              </w:rPr>
            </w:pPr>
            <w:r w:rsidRPr="004C5551">
              <w:rPr>
                <w:b/>
                <w:sz w:val="20"/>
                <w:szCs w:val="20"/>
              </w:rPr>
              <w:t>(v %, EU28=100 %)</w:t>
            </w:r>
          </w:p>
        </w:tc>
      </w:tr>
      <w:tr w:rsidR="00D40D6B" w:rsidRPr="004C5551" w:rsidTr="000C44B3">
        <w:trPr>
          <w:trHeight w:val="1005"/>
          <w:jc w:val="center"/>
        </w:trPr>
        <w:tc>
          <w:tcPr>
            <w:tcW w:w="1277" w:type="dxa"/>
            <w:vMerge/>
            <w:tcBorders>
              <w:left w:val="single" w:sz="4" w:space="0" w:color="auto"/>
              <w:bottom w:val="single" w:sz="4" w:space="0" w:color="auto"/>
              <w:right w:val="single" w:sz="4" w:space="0" w:color="auto"/>
            </w:tcBorders>
            <w:shd w:val="clear" w:color="auto" w:fill="FF9999" w:themeFill="accent3" w:themeFillTint="66"/>
            <w:hideMark/>
          </w:tcPr>
          <w:p w:rsidR="00D40D6B" w:rsidRPr="004C5551" w:rsidRDefault="00D40D6B" w:rsidP="00D40D6B">
            <w:pPr>
              <w:rPr>
                <w:b/>
                <w:sz w:val="20"/>
                <w:szCs w:val="20"/>
              </w:rPr>
            </w:pPr>
          </w:p>
        </w:tc>
        <w:tc>
          <w:tcPr>
            <w:tcW w:w="97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p>
        </w:tc>
        <w:tc>
          <w:tcPr>
            <w:tcW w:w="1081"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p>
        </w:tc>
        <w:tc>
          <w:tcPr>
            <w:tcW w:w="1134" w:type="dxa"/>
            <w:tcBorders>
              <w:top w:val="single" w:sz="4" w:space="0" w:color="auto"/>
              <w:left w:val="nil"/>
              <w:bottom w:val="single" w:sz="4" w:space="0" w:color="auto"/>
              <w:right w:val="nil"/>
            </w:tcBorders>
            <w:shd w:val="clear" w:color="auto" w:fill="FF9999" w:themeFill="accent3" w:themeFillTint="66"/>
            <w:vAlign w:val="center"/>
            <w:hideMark/>
          </w:tcPr>
          <w:p w:rsidR="00D40D6B" w:rsidRPr="004C5551" w:rsidRDefault="00D40D6B" w:rsidP="00842642">
            <w:pPr>
              <w:jc w:val="center"/>
              <w:rPr>
                <w:b/>
                <w:sz w:val="20"/>
                <w:szCs w:val="20"/>
              </w:rPr>
            </w:pPr>
            <w:r w:rsidRPr="004C5551">
              <w:rPr>
                <w:b/>
                <w:sz w:val="20"/>
                <w:szCs w:val="20"/>
              </w:rPr>
              <w:t>Dávky v starobe a</w:t>
            </w:r>
            <w:r w:rsidR="00842642" w:rsidRPr="004C5551">
              <w:rPr>
                <w:b/>
                <w:sz w:val="20"/>
                <w:szCs w:val="20"/>
              </w:rPr>
              <w:t> </w:t>
            </w:r>
            <w:r w:rsidRPr="004C5551">
              <w:rPr>
                <w:b/>
                <w:sz w:val="20"/>
                <w:szCs w:val="20"/>
              </w:rPr>
              <w:t>pre pozostalých</w:t>
            </w:r>
          </w:p>
        </w:tc>
        <w:tc>
          <w:tcPr>
            <w:tcW w:w="1275"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Nemocenské, zdravotná starostlivosť</w:t>
            </w:r>
          </w:p>
        </w:tc>
        <w:tc>
          <w:tcPr>
            <w:tcW w:w="993"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 xml:space="preserve">Dávky pre zdravotne </w:t>
            </w:r>
            <w:proofErr w:type="spellStart"/>
            <w:r w:rsidRPr="004C5551">
              <w:rPr>
                <w:b/>
                <w:sz w:val="20"/>
                <w:szCs w:val="20"/>
              </w:rPr>
              <w:t>postihnu-tých</w:t>
            </w:r>
            <w:proofErr w:type="spellEnd"/>
          </w:p>
        </w:tc>
        <w:tc>
          <w:tcPr>
            <w:tcW w:w="813"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Dávky pre rodiny a deti</w:t>
            </w:r>
          </w:p>
        </w:tc>
        <w:tc>
          <w:tcPr>
            <w:tcW w:w="1149"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Dávky v </w:t>
            </w:r>
            <w:proofErr w:type="spellStart"/>
            <w:r w:rsidRPr="004C5551">
              <w:rPr>
                <w:b/>
                <w:sz w:val="20"/>
                <w:szCs w:val="20"/>
              </w:rPr>
              <w:t>neza-mestnanosti</w:t>
            </w:r>
            <w:proofErr w:type="spellEnd"/>
          </w:p>
        </w:tc>
        <w:tc>
          <w:tcPr>
            <w:tcW w:w="9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Bývanie, sociálne vylúčenie</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D40D6B" w:rsidRPr="004C5551" w:rsidRDefault="00D40D6B" w:rsidP="00D40D6B">
            <w:pPr>
              <w:rPr>
                <w:b/>
                <w:bCs/>
                <w:sz w:val="20"/>
                <w:szCs w:val="20"/>
              </w:rPr>
            </w:pPr>
            <w:r w:rsidRPr="004C5551">
              <w:rPr>
                <w:b/>
                <w:bCs/>
                <w:sz w:val="20"/>
                <w:szCs w:val="20"/>
              </w:rPr>
              <w:t>EU28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67"/>
              <w:jc w:val="right"/>
              <w:rPr>
                <w:sz w:val="20"/>
                <w:szCs w:val="20"/>
              </w:rPr>
            </w:pPr>
            <w:r w:rsidRPr="004C5551">
              <w:rPr>
                <w:sz w:val="20"/>
                <w:szCs w:val="20"/>
              </w:rPr>
              <w:t>29,5</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171"/>
              <w:jc w:val="right"/>
              <w:rPr>
                <w:sz w:val="20"/>
                <w:szCs w:val="20"/>
              </w:rPr>
            </w:pPr>
            <w:r w:rsidRPr="004C5551">
              <w:rPr>
                <w:sz w:val="20"/>
                <w:szCs w:val="20"/>
              </w:rPr>
              <w:t>7 558</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100,0</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D40D6B" w:rsidRPr="004C5551" w:rsidRDefault="00D40D6B" w:rsidP="00D40D6B">
            <w:pPr>
              <w:rPr>
                <w:b/>
                <w:bCs/>
                <w:sz w:val="20"/>
                <w:szCs w:val="20"/>
              </w:rPr>
            </w:pPr>
            <w:r w:rsidRPr="004C5551">
              <w:rPr>
                <w:b/>
                <w:bCs/>
                <w:sz w:val="20"/>
                <w:szCs w:val="20"/>
              </w:rPr>
              <w:t>EU15</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67"/>
              <w:jc w:val="right"/>
              <w:rPr>
                <w:sz w:val="20"/>
                <w:szCs w:val="20"/>
              </w:rPr>
            </w:pPr>
            <w:r w:rsidRPr="004C5551">
              <w:rPr>
                <w:sz w:val="20"/>
                <w:szCs w:val="20"/>
              </w:rPr>
              <w:t>30,4</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171"/>
              <w:jc w:val="right"/>
              <w:rPr>
                <w:sz w:val="20"/>
                <w:szCs w:val="20"/>
              </w:rPr>
            </w:pPr>
            <w:r w:rsidRPr="004C5551">
              <w:rPr>
                <w:sz w:val="20"/>
                <w:szCs w:val="20"/>
              </w:rPr>
              <w:t>8 477</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111,2</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112,6</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111,2</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112,5</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115,4</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115,0</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D40D6B" w:rsidRPr="004C5551" w:rsidRDefault="00D40D6B" w:rsidP="00D40D6B">
            <w:pPr>
              <w:rPr>
                <w:b/>
                <w:bCs/>
                <w:sz w:val="20"/>
                <w:szCs w:val="20"/>
              </w:rPr>
            </w:pPr>
            <w:r w:rsidRPr="004C5551">
              <w:rPr>
                <w:b/>
                <w:bCs/>
                <w:sz w:val="20"/>
                <w:szCs w:val="20"/>
              </w:rPr>
              <w:t>EA18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67"/>
              <w:jc w:val="right"/>
              <w:rPr>
                <w:sz w:val="20"/>
                <w:szCs w:val="20"/>
              </w:rPr>
            </w:pPr>
            <w:r w:rsidRPr="004C5551">
              <w:rPr>
                <w:sz w:val="20"/>
                <w:szCs w:val="20"/>
              </w:rPr>
              <w:t>30,4</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D40D6B" w:rsidP="000C44B3">
            <w:pPr>
              <w:ind w:right="171"/>
              <w:jc w:val="right"/>
              <w:rPr>
                <w:sz w:val="20"/>
                <w:szCs w:val="20"/>
              </w:rPr>
            </w:pPr>
            <w:r w:rsidRPr="004C5551">
              <w:rPr>
                <w:sz w:val="20"/>
                <w:szCs w:val="20"/>
              </w:rPr>
              <w:t>8 474</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111,4</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111,4</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106,3</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111,9</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127,9</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0C44B3">
            <w:pPr>
              <w:ind w:right="171"/>
              <w:jc w:val="right"/>
              <w:rPr>
                <w:sz w:val="20"/>
                <w:szCs w:val="20"/>
              </w:rPr>
            </w:pPr>
            <w:r w:rsidRPr="004C5551">
              <w:rPr>
                <w:sz w:val="20"/>
                <w:szCs w:val="20"/>
              </w:rPr>
              <w:t>97,0</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Belgicko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i/>
                <w:sz w:val="20"/>
                <w:szCs w:val="20"/>
              </w:rPr>
            </w:pPr>
            <w:r w:rsidRPr="004C5551">
              <w:rPr>
                <w:i/>
                <w:sz w:val="20"/>
                <w:szCs w:val="20"/>
              </w:rPr>
              <w:t>30,8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i/>
                <w:sz w:val="20"/>
                <w:szCs w:val="20"/>
              </w:rPr>
            </w:pPr>
            <w:r w:rsidRPr="004C5551">
              <w:rPr>
                <w:i/>
                <w:sz w:val="20"/>
                <w:szCs w:val="20"/>
              </w:rPr>
              <w:t>9 206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127,0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113,1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284,1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122,6</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Bulharsko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17,4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2 202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31,8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19,5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13,0</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Česká republika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0D6B" w:rsidRPr="004C5551" w:rsidRDefault="00D40D6B" w:rsidP="000C44B3">
            <w:pPr>
              <w:ind w:right="67"/>
              <w:jc w:val="right"/>
              <w:rPr>
                <w:sz w:val="20"/>
                <w:szCs w:val="20"/>
              </w:rPr>
            </w:pPr>
            <w:r w:rsidRPr="004C5551">
              <w:rPr>
                <w:sz w:val="20"/>
                <w:szCs w:val="20"/>
              </w:rPr>
              <w:t>20,8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0D6B" w:rsidRPr="004C5551" w:rsidRDefault="00D40D6B" w:rsidP="000C44B3">
            <w:pPr>
              <w:ind w:right="171"/>
              <w:jc w:val="right"/>
              <w:rPr>
                <w:sz w:val="20"/>
                <w:szCs w:val="20"/>
              </w:rPr>
            </w:pPr>
            <w:r w:rsidRPr="004C5551">
              <w:rPr>
                <w:sz w:val="20"/>
                <w:szCs w:val="20"/>
              </w:rPr>
              <w:t>4 460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64,0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63,5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56,9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42,0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37,2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0C44B3">
            <w:pPr>
              <w:ind w:right="171"/>
              <w:jc w:val="right"/>
              <w:rPr>
                <w:sz w:val="20"/>
                <w:szCs w:val="20"/>
              </w:rPr>
            </w:pPr>
            <w:r w:rsidRPr="004C5551">
              <w:rPr>
                <w:sz w:val="20"/>
                <w:szCs w:val="20"/>
              </w:rPr>
              <w:t>44,1</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Dánsko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34,6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10 462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129,9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96,8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229,3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214,0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142,3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208,8</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Nemecko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29,5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9 715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146,5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138,1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183,7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100,2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97,2</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Estónsko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15,4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2 878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37,7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62,4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57,4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22,4</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11,8</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Írsko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32,5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9 687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208,6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71,4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176,2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274,8</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89,1</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Grécko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6 123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103,6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49,1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56,7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95,6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66,8</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Španielsko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25,9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6 027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72,2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79,2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56,5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213,1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32,2</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Francúzsko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34,2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9 707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110,7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127,4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142,7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175,5</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D40D6B" w:rsidP="00D40D6B">
            <w:pPr>
              <w:rPr>
                <w:sz w:val="20"/>
                <w:szCs w:val="20"/>
              </w:rPr>
            </w:pPr>
            <w:r w:rsidRPr="004C5551">
              <w:rPr>
                <w:sz w:val="20"/>
                <w:szCs w:val="20"/>
              </w:rPr>
              <w:t>Chorvátsko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3 250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100,1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44,2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18,1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4,0</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Taliansko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30,3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7 786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62,4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60,7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9,4</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Cyprus</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23,1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5 323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65,6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90,6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171,2</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Lotyšsko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14,0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2 335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37,9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29,2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21,9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20,8</w:t>
            </w:r>
          </w:p>
        </w:tc>
      </w:tr>
      <w:tr w:rsidR="00D40D6B" w:rsidRPr="004C5551" w:rsidTr="004A598D">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Litva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16,5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3 105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53,4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45,5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20,6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53,5</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Luxembursko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23,3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13 820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153,2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160,7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281,3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387,2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202,6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184,1</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Maďarsko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21,8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3 880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53,5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83,3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25,9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29,8</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Malta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19,4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4 247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30,4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46,2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32,2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30,5</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Holandsko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33,3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10 698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168,7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138,5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62,2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145,7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303,9</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Rakúsko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30,2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9 980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146,2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115,6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133,4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161,5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128,7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62,2</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Poľsko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67"/>
              <w:jc w:val="right"/>
              <w:rPr>
                <w:sz w:val="20"/>
                <w:szCs w:val="20"/>
              </w:rPr>
            </w:pPr>
            <w:r w:rsidRPr="004C5551">
              <w:rPr>
                <w:sz w:val="20"/>
                <w:szCs w:val="20"/>
              </w:rPr>
              <w:t>18,1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0C44B3">
            <w:pPr>
              <w:ind w:right="171"/>
              <w:jc w:val="right"/>
              <w:rPr>
                <w:sz w:val="20"/>
                <w:szCs w:val="20"/>
              </w:rPr>
            </w:pPr>
            <w:r w:rsidRPr="004C5551">
              <w:rPr>
                <w:sz w:val="20"/>
                <w:szCs w:val="20"/>
              </w:rPr>
              <w:t>3 367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36,5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51,3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27,6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0C44B3">
            <w:pPr>
              <w:ind w:right="171"/>
              <w:jc w:val="right"/>
              <w:rPr>
                <w:sz w:val="20"/>
                <w:szCs w:val="20"/>
              </w:rPr>
            </w:pPr>
            <w:r w:rsidRPr="004C5551">
              <w:rPr>
                <w:sz w:val="20"/>
                <w:szCs w:val="20"/>
              </w:rPr>
              <w:t>13,9</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D40D6B" w:rsidP="00D40D6B">
            <w:pPr>
              <w:rPr>
                <w:sz w:val="20"/>
                <w:szCs w:val="20"/>
              </w:rPr>
            </w:pPr>
            <w:r w:rsidRPr="004C5551">
              <w:rPr>
                <w:sz w:val="20"/>
                <w:szCs w:val="20"/>
              </w:rPr>
              <w:t xml:space="preserve">Portugalsko </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842642">
            <w:pPr>
              <w:ind w:right="171"/>
              <w:jc w:val="right"/>
              <w:rPr>
                <w:sz w:val="20"/>
                <w:szCs w:val="20"/>
              </w:rPr>
            </w:pPr>
            <w:r w:rsidRPr="004C5551">
              <w:rPr>
                <w:sz w:val="20"/>
                <w:szCs w:val="20"/>
              </w:rPr>
              <w:t>26,9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D40D6B" w:rsidP="00842642">
            <w:pPr>
              <w:ind w:right="171"/>
              <w:jc w:val="right"/>
              <w:rPr>
                <w:sz w:val="20"/>
                <w:szCs w:val="20"/>
              </w:rPr>
            </w:pPr>
            <w:r w:rsidRPr="004C5551">
              <w:rPr>
                <w:sz w:val="20"/>
                <w:szCs w:val="20"/>
              </w:rPr>
              <w:t>5 071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55,6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66,0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41,2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83,9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21,2</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460DEB" w:rsidP="00842642">
            <w:pPr>
              <w:rPr>
                <w:sz w:val="20"/>
                <w:szCs w:val="20"/>
              </w:rPr>
            </w:pPr>
            <w:r w:rsidRPr="004C5551">
              <w:rPr>
                <w:sz w:val="20"/>
                <w:szCs w:val="20"/>
              </w:rPr>
              <w:t>Rumunsko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15,6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2 103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32,3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31,4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10,4</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460DEB" w:rsidP="00842642">
            <w:pPr>
              <w:rPr>
                <w:sz w:val="20"/>
                <w:szCs w:val="20"/>
              </w:rPr>
            </w:pPr>
            <w:r w:rsidRPr="004C5551">
              <w:rPr>
                <w:sz w:val="20"/>
                <w:szCs w:val="20"/>
              </w:rPr>
              <w:t>Slovinsko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25,4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5 301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61,9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77,7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41,0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53,8</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D40D6B" w:rsidRPr="004C5551" w:rsidRDefault="00460DEB" w:rsidP="00842642">
            <w:pPr>
              <w:rPr>
                <w:sz w:val="20"/>
                <w:szCs w:val="20"/>
              </w:rPr>
            </w:pPr>
            <w:r w:rsidRPr="004C5551">
              <w:rPr>
                <w:sz w:val="20"/>
                <w:szCs w:val="20"/>
              </w:rPr>
              <w:t>SR</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460DEB" w:rsidP="00842642">
            <w:pPr>
              <w:ind w:right="171"/>
              <w:jc w:val="right"/>
              <w:rPr>
                <w:sz w:val="20"/>
                <w:szCs w:val="20"/>
              </w:rPr>
            </w:pPr>
            <w:r w:rsidRPr="004C5551">
              <w:rPr>
                <w:sz w:val="20"/>
                <w:szCs w:val="20"/>
              </w:rPr>
              <w:t>18,4</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D40D6B" w:rsidRPr="004C5551" w:rsidRDefault="00460DEB" w:rsidP="00842642">
            <w:pPr>
              <w:ind w:right="171"/>
              <w:jc w:val="right"/>
              <w:rPr>
                <w:sz w:val="20"/>
                <w:szCs w:val="20"/>
              </w:rPr>
            </w:pPr>
            <w:r w:rsidRPr="004C5551">
              <w:rPr>
                <w:sz w:val="20"/>
                <w:szCs w:val="20"/>
              </w:rPr>
              <w:t>3 732</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47,5</w:t>
            </w:r>
          </w:p>
        </w:tc>
        <w:tc>
          <w:tcPr>
            <w:tcW w:w="1275"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51,2</w:t>
            </w:r>
          </w:p>
        </w:tc>
        <w:tc>
          <w:tcPr>
            <w:tcW w:w="99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60,4</w:t>
            </w:r>
          </w:p>
        </w:tc>
        <w:tc>
          <w:tcPr>
            <w:tcW w:w="81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63,4</w:t>
            </w:r>
          </w:p>
        </w:tc>
        <w:tc>
          <w:tcPr>
            <w:tcW w:w="114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37,4</w:t>
            </w:r>
          </w:p>
        </w:tc>
        <w:tc>
          <w:tcPr>
            <w:tcW w:w="91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D40D6B" w:rsidRPr="004C5551" w:rsidRDefault="00D40D6B" w:rsidP="00842642">
            <w:pPr>
              <w:ind w:right="171"/>
              <w:jc w:val="right"/>
              <w:rPr>
                <w:sz w:val="20"/>
                <w:szCs w:val="20"/>
              </w:rPr>
            </w:pPr>
            <w:r w:rsidRPr="004C5551">
              <w:rPr>
                <w:sz w:val="20"/>
                <w:szCs w:val="20"/>
              </w:rPr>
              <w:t>38,1</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460DEB" w:rsidP="00842642">
            <w:pPr>
              <w:rPr>
                <w:sz w:val="20"/>
                <w:szCs w:val="20"/>
              </w:rPr>
            </w:pPr>
            <w:r w:rsidRPr="004C5551">
              <w:rPr>
                <w:sz w:val="20"/>
                <w:szCs w:val="20"/>
              </w:rPr>
              <w:t>Fínsko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31,2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9 036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106,5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103,3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189,3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171,1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156,8</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152,5</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D6B" w:rsidRPr="004C5551" w:rsidRDefault="00460DEB" w:rsidP="00842642">
            <w:pPr>
              <w:rPr>
                <w:sz w:val="20"/>
                <w:szCs w:val="20"/>
              </w:rPr>
            </w:pPr>
            <w:r w:rsidRPr="004C5551">
              <w:rPr>
                <w:sz w:val="20"/>
                <w:szCs w:val="20"/>
              </w:rPr>
              <w:t>Švédsko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30,5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9 598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120,2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111,7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226,9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174,9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99,6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141,0</w:t>
            </w:r>
          </w:p>
        </w:tc>
      </w:tr>
      <w:tr w:rsidR="00D40D6B" w:rsidRPr="004C5551" w:rsidTr="004A598D">
        <w:trPr>
          <w:trHeight w:val="255"/>
          <w:jc w:val="center"/>
        </w:trPr>
        <w:tc>
          <w:tcPr>
            <w:tcW w:w="1277"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D40D6B" w:rsidRPr="004C5551" w:rsidRDefault="00460DEB" w:rsidP="00842642">
            <w:pPr>
              <w:rPr>
                <w:sz w:val="20"/>
                <w:szCs w:val="20"/>
              </w:rPr>
            </w:pPr>
            <w:r w:rsidRPr="004C5551">
              <w:rPr>
                <w:sz w:val="20"/>
                <w:szCs w:val="20"/>
              </w:rPr>
              <w:t>Spojené kráľovstvo</w:t>
            </w:r>
          </w:p>
        </w:tc>
        <w:tc>
          <w:tcPr>
            <w:tcW w:w="977" w:type="dxa"/>
            <w:tcBorders>
              <w:top w:val="single" w:sz="4" w:space="0" w:color="auto"/>
              <w:left w:val="single" w:sz="4" w:space="0" w:color="auto"/>
              <w:bottom w:val="double" w:sz="4" w:space="0" w:color="auto"/>
              <w:right w:val="single" w:sz="4" w:space="0" w:color="auto"/>
            </w:tcBorders>
            <w:shd w:val="clear" w:color="auto" w:fill="auto"/>
            <w:noWrap/>
            <w:vAlign w:val="center"/>
          </w:tcPr>
          <w:p w:rsidR="00D40D6B" w:rsidRPr="004C5551" w:rsidRDefault="00460DEB" w:rsidP="00842642">
            <w:pPr>
              <w:ind w:right="171"/>
              <w:jc w:val="right"/>
              <w:rPr>
                <w:sz w:val="20"/>
                <w:szCs w:val="20"/>
              </w:rPr>
            </w:pPr>
            <w:r w:rsidRPr="004C5551">
              <w:rPr>
                <w:sz w:val="20"/>
                <w:szCs w:val="20"/>
              </w:rPr>
              <w:t>28,8</w:t>
            </w:r>
          </w:p>
        </w:tc>
        <w:tc>
          <w:tcPr>
            <w:tcW w:w="1081" w:type="dxa"/>
            <w:tcBorders>
              <w:top w:val="single" w:sz="4" w:space="0" w:color="auto"/>
              <w:left w:val="single" w:sz="4" w:space="0" w:color="auto"/>
              <w:bottom w:val="double" w:sz="4" w:space="0" w:color="auto"/>
              <w:right w:val="single" w:sz="4" w:space="0" w:color="auto"/>
            </w:tcBorders>
            <w:shd w:val="clear" w:color="auto" w:fill="auto"/>
            <w:noWrap/>
            <w:vAlign w:val="center"/>
          </w:tcPr>
          <w:p w:rsidR="00D40D6B" w:rsidRPr="004C5551" w:rsidRDefault="00460DEB" w:rsidP="00842642">
            <w:pPr>
              <w:ind w:right="171"/>
              <w:jc w:val="right"/>
              <w:rPr>
                <w:sz w:val="20"/>
                <w:szCs w:val="20"/>
              </w:rPr>
            </w:pPr>
            <w:r w:rsidRPr="004C5551">
              <w:rPr>
                <w:sz w:val="20"/>
                <w:szCs w:val="20"/>
              </w:rPr>
              <w:t>7 460</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98,6</w:t>
            </w:r>
          </w:p>
        </w:tc>
        <w:tc>
          <w:tcPr>
            <w:tcW w:w="1275"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112,1</w:t>
            </w:r>
          </w:p>
        </w:tc>
        <w:tc>
          <w:tcPr>
            <w:tcW w:w="993"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93,1</w:t>
            </w:r>
          </w:p>
        </w:tc>
        <w:tc>
          <w:tcPr>
            <w:tcW w:w="813"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85,9</w:t>
            </w:r>
          </w:p>
        </w:tc>
        <w:tc>
          <w:tcPr>
            <w:tcW w:w="1149"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47,8</w:t>
            </w:r>
          </w:p>
        </w:tc>
        <w:tc>
          <w:tcPr>
            <w:tcW w:w="911" w:type="dxa"/>
            <w:tcBorders>
              <w:top w:val="single" w:sz="4" w:space="0" w:color="auto"/>
              <w:left w:val="single" w:sz="4" w:space="0" w:color="auto"/>
              <w:bottom w:val="double" w:sz="4" w:space="0" w:color="auto"/>
              <w:right w:val="single" w:sz="4" w:space="0" w:color="auto"/>
            </w:tcBorders>
            <w:shd w:val="clear" w:color="auto" w:fill="auto"/>
            <w:vAlign w:val="center"/>
          </w:tcPr>
          <w:p w:rsidR="00D40D6B" w:rsidRPr="004C5551" w:rsidRDefault="00D40D6B" w:rsidP="00842642">
            <w:pPr>
              <w:ind w:right="171"/>
              <w:jc w:val="right"/>
              <w:rPr>
                <w:sz w:val="20"/>
                <w:szCs w:val="20"/>
              </w:rPr>
            </w:pPr>
            <w:r w:rsidRPr="004C5551">
              <w:rPr>
                <w:sz w:val="20"/>
                <w:szCs w:val="20"/>
              </w:rPr>
              <w:t>173,6</w:t>
            </w:r>
          </w:p>
        </w:tc>
      </w:tr>
      <w:tr w:rsidR="00D40D6B" w:rsidRPr="004C5551" w:rsidTr="004A598D">
        <w:trPr>
          <w:trHeight w:val="255"/>
          <w:jc w:val="center"/>
        </w:trPr>
        <w:tc>
          <w:tcPr>
            <w:tcW w:w="1277" w:type="dxa"/>
            <w:tcBorders>
              <w:top w:val="double" w:sz="4" w:space="0" w:color="auto"/>
              <w:left w:val="single" w:sz="4" w:space="0" w:color="auto"/>
              <w:bottom w:val="single" w:sz="4" w:space="0" w:color="auto"/>
              <w:right w:val="single" w:sz="4" w:space="0" w:color="auto"/>
            </w:tcBorders>
            <w:shd w:val="clear" w:color="auto" w:fill="auto"/>
            <w:vAlign w:val="center"/>
          </w:tcPr>
          <w:p w:rsidR="00D40D6B" w:rsidRPr="004C5551" w:rsidRDefault="00460DEB" w:rsidP="00842642">
            <w:pPr>
              <w:rPr>
                <w:sz w:val="20"/>
                <w:szCs w:val="20"/>
              </w:rPr>
            </w:pPr>
            <w:r w:rsidRPr="004C5551">
              <w:rPr>
                <w:sz w:val="20"/>
                <w:szCs w:val="20"/>
              </w:rPr>
              <w:t>Island</w:t>
            </w:r>
          </w:p>
        </w:tc>
        <w:tc>
          <w:tcPr>
            <w:tcW w:w="977" w:type="dxa"/>
            <w:tcBorders>
              <w:top w:val="doub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25,2</w:t>
            </w:r>
          </w:p>
        </w:tc>
        <w:tc>
          <w:tcPr>
            <w:tcW w:w="1081" w:type="dxa"/>
            <w:tcBorders>
              <w:top w:val="doub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7 496</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57,9</w:t>
            </w:r>
          </w:p>
        </w:tc>
        <w:tc>
          <w:tcPr>
            <w:tcW w:w="1275"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117,4</w:t>
            </w: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224,6</w:t>
            </w:r>
          </w:p>
        </w:tc>
        <w:tc>
          <w:tcPr>
            <w:tcW w:w="813"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142,4</w:t>
            </w:r>
          </w:p>
        </w:tc>
        <w:tc>
          <w:tcPr>
            <w:tcW w:w="1149"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104,1</w:t>
            </w:r>
          </w:p>
        </w:tc>
        <w:tc>
          <w:tcPr>
            <w:tcW w:w="911" w:type="dxa"/>
            <w:tcBorders>
              <w:top w:val="doub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201,4</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460DEB" w:rsidP="00842642">
            <w:pPr>
              <w:rPr>
                <w:sz w:val="20"/>
                <w:szCs w:val="20"/>
              </w:rPr>
            </w:pPr>
            <w:r w:rsidRPr="004C5551">
              <w:rPr>
                <w:sz w:val="20"/>
                <w:szCs w:val="20"/>
              </w:rPr>
              <w:t>Nórsko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25,0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11 577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115,7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159,7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359,0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247,1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71,9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151,2</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460DEB" w:rsidP="00842642">
            <w:pPr>
              <w:rPr>
                <w:sz w:val="20"/>
                <w:szCs w:val="20"/>
              </w:rPr>
            </w:pPr>
            <w:r w:rsidRPr="004C5551">
              <w:rPr>
                <w:sz w:val="20"/>
                <w:szCs w:val="20"/>
              </w:rPr>
              <w:t>Švajčiarsko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27,5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10 188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133,4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123,8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170,8</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96,5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79,9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111,3</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460DEB" w:rsidP="00842642">
            <w:pPr>
              <w:rPr>
                <w:sz w:val="20"/>
                <w:szCs w:val="20"/>
              </w:rPr>
            </w:pPr>
            <w:r w:rsidRPr="004C5551">
              <w:rPr>
                <w:sz w:val="20"/>
                <w:szCs w:val="20"/>
              </w:rPr>
              <w:t>Srbsko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24,4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2 204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32,0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20,4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13,3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11,3</w:t>
            </w:r>
          </w:p>
        </w:tc>
      </w:tr>
      <w:tr w:rsidR="00D40D6B" w:rsidRPr="004C5551" w:rsidTr="004A598D">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D40D6B" w:rsidRPr="004C5551" w:rsidRDefault="00460DEB" w:rsidP="00842642">
            <w:pPr>
              <w:rPr>
                <w:sz w:val="20"/>
                <w:szCs w:val="20"/>
              </w:rPr>
            </w:pPr>
            <w:r w:rsidRPr="004C5551">
              <w:rPr>
                <w:sz w:val="20"/>
                <w:szCs w:val="20"/>
              </w:rPr>
              <w:t>Turecko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13,8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D6B" w:rsidRPr="004C5551" w:rsidRDefault="00460DEB" w:rsidP="00842642">
            <w:pPr>
              <w:ind w:right="171"/>
              <w:jc w:val="right"/>
              <w:rPr>
                <w:sz w:val="20"/>
                <w:szCs w:val="20"/>
              </w:rPr>
            </w:pPr>
            <w:r w:rsidRPr="004C5551">
              <w:rPr>
                <w:sz w:val="20"/>
                <w:szCs w:val="20"/>
              </w:rPr>
              <w:t>1 893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32,9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26,5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12,2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D40D6B" w:rsidRPr="004C5551" w:rsidRDefault="00D40D6B" w:rsidP="00842642">
            <w:pPr>
              <w:ind w:right="171"/>
              <w:jc w:val="right"/>
              <w:rPr>
                <w:sz w:val="20"/>
                <w:szCs w:val="20"/>
              </w:rPr>
            </w:pPr>
            <w:r w:rsidRPr="004C5551">
              <w:rPr>
                <w:sz w:val="20"/>
                <w:szCs w:val="20"/>
              </w:rPr>
              <w:t>10,1</w:t>
            </w:r>
          </w:p>
        </w:tc>
      </w:tr>
    </w:tbl>
    <w:p w:rsidR="00D40D6B" w:rsidRPr="004C5551" w:rsidRDefault="00D40D6B" w:rsidP="000C44B3">
      <w:pPr>
        <w:pStyle w:val="zdroj"/>
        <w:spacing w:after="0"/>
        <w:ind w:firstLine="0"/>
      </w:pPr>
      <w:r w:rsidRPr="004C5551">
        <w:t>Predbežné údaje: EU28, EU15, EA18 , DE, ES, FR,</w:t>
      </w:r>
      <w:r w:rsidR="00423669" w:rsidRPr="004C5551">
        <w:t xml:space="preserve"> </w:t>
      </w:r>
      <w:r w:rsidRPr="004C5551">
        <w:t>HR, IT, LT,</w:t>
      </w:r>
      <w:r w:rsidR="00423669" w:rsidRPr="004C5551">
        <w:t xml:space="preserve"> </w:t>
      </w:r>
      <w:r w:rsidRPr="004C5551">
        <w:t>NL, PL, SI, SK, SE</w:t>
      </w:r>
      <w:r w:rsidR="00423669" w:rsidRPr="004C5551">
        <w:t xml:space="preserve"> </w:t>
      </w:r>
      <w:r w:rsidRPr="004C5551">
        <w:t>,UK, CH; odhad LV</w:t>
      </w:r>
    </w:p>
    <w:p w:rsidR="00D40D6B" w:rsidRPr="004C5551" w:rsidRDefault="00D40D6B" w:rsidP="000C44B3">
      <w:pPr>
        <w:pStyle w:val="zdroj"/>
        <w:spacing w:after="0"/>
        <w:ind w:firstLine="0"/>
      </w:pPr>
      <w:r w:rsidRPr="004C5551">
        <w:t>* vrátane daňového bonusu</w:t>
      </w:r>
    </w:p>
    <w:p w:rsidR="00D40D6B" w:rsidRPr="004C5551" w:rsidRDefault="00D40D6B" w:rsidP="000C44B3">
      <w:pPr>
        <w:pStyle w:val="zdroj"/>
        <w:spacing w:before="0"/>
        <w:ind w:firstLine="0"/>
      </w:pPr>
      <w:r w:rsidRPr="004C5551">
        <w:t xml:space="preserve">Zdroj: </w:t>
      </w:r>
      <w:proofErr w:type="spellStart"/>
      <w:r w:rsidRPr="004C5551">
        <w:t>Eurostat</w:t>
      </w:r>
      <w:proofErr w:type="spellEnd"/>
      <w:r w:rsidRPr="004C5551">
        <w:t xml:space="preserve"> ESSPROS</w:t>
      </w:r>
    </w:p>
    <w:p w:rsidR="00D40D6B" w:rsidRPr="004C5551" w:rsidRDefault="00D40D6B" w:rsidP="000C44B3">
      <w:pPr>
        <w:pStyle w:val="Nadpis7"/>
      </w:pPr>
      <w:r w:rsidRPr="004C5551">
        <w:br w:type="page"/>
        <w:t>Tabuľka 3</w:t>
      </w:r>
      <w:r w:rsidR="00453F8D" w:rsidRPr="004C5551">
        <w:t>2</w:t>
      </w:r>
      <w:r w:rsidRPr="004C5551">
        <w:t xml:space="preserve"> Príjmy na sociálnu ochranu, 2012</w:t>
      </w:r>
    </w:p>
    <w:tbl>
      <w:tblPr>
        <w:tblW w:w="8573"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0"/>
        <w:gridCol w:w="1203"/>
        <w:gridCol w:w="1589"/>
        <w:gridCol w:w="1282"/>
        <w:gridCol w:w="938"/>
        <w:gridCol w:w="1080"/>
      </w:tblGrid>
      <w:tr w:rsidR="00D40D6B" w:rsidRPr="004C5551" w:rsidTr="00DE59EC">
        <w:trPr>
          <w:trHeight w:val="227"/>
          <w:jc w:val="center"/>
        </w:trPr>
        <w:tc>
          <w:tcPr>
            <w:tcW w:w="1741" w:type="dxa"/>
            <w:vMerge w:val="restart"/>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Príjmy</w:t>
            </w:r>
          </w:p>
        </w:tc>
        <w:tc>
          <w:tcPr>
            <w:tcW w:w="740" w:type="dxa"/>
            <w:vMerge w:val="restart"/>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Príjmy v % HDP</w:t>
            </w:r>
          </w:p>
        </w:tc>
        <w:tc>
          <w:tcPr>
            <w:tcW w:w="1203" w:type="dxa"/>
            <w:vMerge w:val="restart"/>
            <w:shd w:val="clear" w:color="auto" w:fill="FF9999" w:themeFill="accent3" w:themeFillTint="66"/>
            <w:vAlign w:val="center"/>
            <w:hideMark/>
          </w:tcPr>
          <w:p w:rsidR="00D40D6B" w:rsidRPr="004C5551" w:rsidRDefault="00D40D6B" w:rsidP="00842642">
            <w:pPr>
              <w:jc w:val="center"/>
              <w:rPr>
                <w:b/>
                <w:bCs/>
                <w:sz w:val="20"/>
                <w:szCs w:val="20"/>
              </w:rPr>
            </w:pPr>
            <w:r w:rsidRPr="004C5551">
              <w:rPr>
                <w:b/>
                <w:bCs/>
                <w:sz w:val="20"/>
                <w:szCs w:val="20"/>
              </w:rPr>
              <w:t>Príjmy v</w:t>
            </w:r>
            <w:r w:rsidR="00842642" w:rsidRPr="004C5551">
              <w:rPr>
                <w:b/>
                <w:bCs/>
                <w:sz w:val="20"/>
                <w:szCs w:val="20"/>
              </w:rPr>
              <w:t> </w:t>
            </w:r>
            <w:r w:rsidRPr="004C5551">
              <w:rPr>
                <w:b/>
                <w:bCs/>
                <w:sz w:val="20"/>
                <w:szCs w:val="20"/>
              </w:rPr>
              <w:t>PPS na obyvateľa</w:t>
            </w:r>
          </w:p>
        </w:tc>
        <w:tc>
          <w:tcPr>
            <w:tcW w:w="4889" w:type="dxa"/>
            <w:gridSpan w:val="4"/>
            <w:shd w:val="clear" w:color="auto" w:fill="FF9999" w:themeFill="accent3" w:themeFillTint="66"/>
            <w:noWrap/>
            <w:vAlign w:val="center"/>
            <w:hideMark/>
          </w:tcPr>
          <w:p w:rsidR="00D40D6B" w:rsidRPr="004C5551" w:rsidRDefault="00D40D6B" w:rsidP="00D40D6B">
            <w:pPr>
              <w:jc w:val="center"/>
              <w:rPr>
                <w:b/>
                <w:bCs/>
                <w:sz w:val="20"/>
                <w:szCs w:val="20"/>
              </w:rPr>
            </w:pPr>
            <w:r w:rsidRPr="004C5551">
              <w:rPr>
                <w:b/>
                <w:bCs/>
                <w:sz w:val="20"/>
                <w:szCs w:val="20"/>
              </w:rPr>
              <w:t>Štruktúra príjmov (%)</w:t>
            </w:r>
          </w:p>
        </w:tc>
      </w:tr>
      <w:tr w:rsidR="00D40D6B" w:rsidRPr="004C5551" w:rsidTr="00DE59EC">
        <w:trPr>
          <w:trHeight w:val="227"/>
          <w:jc w:val="center"/>
        </w:trPr>
        <w:tc>
          <w:tcPr>
            <w:tcW w:w="1741" w:type="dxa"/>
            <w:vMerge/>
            <w:shd w:val="clear" w:color="auto" w:fill="FF9999" w:themeFill="accent3" w:themeFillTint="66"/>
            <w:vAlign w:val="center"/>
            <w:hideMark/>
          </w:tcPr>
          <w:p w:rsidR="00D40D6B" w:rsidRPr="004C5551" w:rsidRDefault="00D40D6B" w:rsidP="00D40D6B">
            <w:pPr>
              <w:rPr>
                <w:b/>
                <w:bCs/>
                <w:sz w:val="20"/>
                <w:szCs w:val="20"/>
              </w:rPr>
            </w:pPr>
          </w:p>
        </w:tc>
        <w:tc>
          <w:tcPr>
            <w:tcW w:w="740" w:type="dxa"/>
            <w:vMerge/>
            <w:shd w:val="clear" w:color="auto" w:fill="FF9999" w:themeFill="accent3" w:themeFillTint="66"/>
            <w:vAlign w:val="center"/>
            <w:hideMark/>
          </w:tcPr>
          <w:p w:rsidR="00D40D6B" w:rsidRPr="004C5551" w:rsidRDefault="00D40D6B" w:rsidP="00D40D6B">
            <w:pPr>
              <w:rPr>
                <w:b/>
                <w:bCs/>
                <w:sz w:val="20"/>
                <w:szCs w:val="20"/>
              </w:rPr>
            </w:pPr>
          </w:p>
        </w:tc>
        <w:tc>
          <w:tcPr>
            <w:tcW w:w="1203" w:type="dxa"/>
            <w:vMerge/>
            <w:shd w:val="clear" w:color="auto" w:fill="FF9999" w:themeFill="accent3" w:themeFillTint="66"/>
            <w:vAlign w:val="center"/>
            <w:hideMark/>
          </w:tcPr>
          <w:p w:rsidR="00D40D6B" w:rsidRPr="004C5551" w:rsidRDefault="00D40D6B" w:rsidP="00D40D6B">
            <w:pPr>
              <w:rPr>
                <w:b/>
                <w:bCs/>
                <w:sz w:val="20"/>
                <w:szCs w:val="20"/>
              </w:rPr>
            </w:pPr>
          </w:p>
        </w:tc>
        <w:tc>
          <w:tcPr>
            <w:tcW w:w="1589" w:type="dxa"/>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Sociálne príspevky zamestnávateľov</w:t>
            </w:r>
          </w:p>
        </w:tc>
        <w:tc>
          <w:tcPr>
            <w:tcW w:w="1282" w:type="dxa"/>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Sociálne príspevky chránených osôb</w:t>
            </w:r>
          </w:p>
        </w:tc>
        <w:tc>
          <w:tcPr>
            <w:tcW w:w="938" w:type="dxa"/>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Verejná správa</w:t>
            </w:r>
          </w:p>
        </w:tc>
        <w:tc>
          <w:tcPr>
            <w:tcW w:w="1080" w:type="dxa"/>
            <w:shd w:val="clear" w:color="auto" w:fill="FF9999" w:themeFill="accent3" w:themeFillTint="66"/>
            <w:vAlign w:val="center"/>
            <w:hideMark/>
          </w:tcPr>
          <w:p w:rsidR="00D40D6B" w:rsidRPr="004C5551" w:rsidRDefault="00D40D6B" w:rsidP="00D40D6B">
            <w:pPr>
              <w:jc w:val="center"/>
              <w:rPr>
                <w:b/>
                <w:bCs/>
                <w:sz w:val="20"/>
                <w:szCs w:val="20"/>
              </w:rPr>
            </w:pPr>
            <w:r w:rsidRPr="004C5551">
              <w:rPr>
                <w:b/>
                <w:bCs/>
                <w:sz w:val="20"/>
                <w:szCs w:val="20"/>
              </w:rPr>
              <w:t>Iné príjmy</w:t>
            </w:r>
          </w:p>
        </w:tc>
      </w:tr>
      <w:tr w:rsidR="00D40D6B" w:rsidRPr="004C5551" w:rsidTr="004A598D">
        <w:trPr>
          <w:trHeight w:val="255"/>
          <w:jc w:val="center"/>
        </w:trPr>
        <w:tc>
          <w:tcPr>
            <w:tcW w:w="1741" w:type="dxa"/>
            <w:shd w:val="clear" w:color="000000" w:fill="FFCCCC" w:themeFill="accent3" w:themeFillTint="33"/>
            <w:noWrap/>
            <w:vAlign w:val="center"/>
            <w:hideMark/>
          </w:tcPr>
          <w:p w:rsidR="00D40D6B" w:rsidRPr="004C5551" w:rsidRDefault="00D40D6B" w:rsidP="00D40D6B">
            <w:pPr>
              <w:rPr>
                <w:b/>
                <w:bCs/>
                <w:sz w:val="20"/>
                <w:szCs w:val="20"/>
              </w:rPr>
            </w:pPr>
            <w:r w:rsidRPr="004C5551">
              <w:rPr>
                <w:b/>
                <w:bCs/>
                <w:sz w:val="20"/>
                <w:szCs w:val="20"/>
              </w:rPr>
              <w:t>EU28</w:t>
            </w:r>
          </w:p>
        </w:tc>
        <w:tc>
          <w:tcPr>
            <w:tcW w:w="74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30,4</w:t>
            </w:r>
          </w:p>
        </w:tc>
        <w:tc>
          <w:tcPr>
            <w:tcW w:w="1203"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7 807</w:t>
            </w:r>
          </w:p>
        </w:tc>
        <w:tc>
          <w:tcPr>
            <w:tcW w:w="1589"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35,3</w:t>
            </w:r>
          </w:p>
        </w:tc>
        <w:tc>
          <w:tcPr>
            <w:tcW w:w="1282"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19,9</w:t>
            </w:r>
          </w:p>
        </w:tc>
        <w:tc>
          <w:tcPr>
            <w:tcW w:w="938"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41,1</w:t>
            </w:r>
          </w:p>
        </w:tc>
        <w:tc>
          <w:tcPr>
            <w:tcW w:w="108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3,8</w:t>
            </w:r>
          </w:p>
        </w:tc>
      </w:tr>
      <w:tr w:rsidR="00D40D6B" w:rsidRPr="004C5551" w:rsidTr="004A598D">
        <w:trPr>
          <w:trHeight w:val="255"/>
          <w:jc w:val="center"/>
        </w:trPr>
        <w:tc>
          <w:tcPr>
            <w:tcW w:w="1741" w:type="dxa"/>
            <w:shd w:val="clear" w:color="000000" w:fill="FFCCCC" w:themeFill="accent3" w:themeFillTint="33"/>
            <w:noWrap/>
            <w:vAlign w:val="center"/>
            <w:hideMark/>
          </w:tcPr>
          <w:p w:rsidR="00D40D6B" w:rsidRPr="004C5551" w:rsidRDefault="00D40D6B" w:rsidP="00D40D6B">
            <w:pPr>
              <w:rPr>
                <w:b/>
                <w:bCs/>
                <w:sz w:val="20"/>
                <w:szCs w:val="20"/>
              </w:rPr>
            </w:pPr>
            <w:r w:rsidRPr="004C5551">
              <w:rPr>
                <w:b/>
                <w:bCs/>
                <w:sz w:val="20"/>
                <w:szCs w:val="20"/>
              </w:rPr>
              <w:t>EU15</w:t>
            </w:r>
          </w:p>
        </w:tc>
        <w:tc>
          <w:tcPr>
            <w:tcW w:w="74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31,5</w:t>
            </w:r>
          </w:p>
        </w:tc>
        <w:tc>
          <w:tcPr>
            <w:tcW w:w="1203"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8 773</w:t>
            </w:r>
          </w:p>
        </w:tc>
        <w:tc>
          <w:tcPr>
            <w:tcW w:w="1589"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35</w:t>
            </w:r>
          </w:p>
        </w:tc>
        <w:tc>
          <w:tcPr>
            <w:tcW w:w="1282"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19,8</w:t>
            </w:r>
          </w:p>
        </w:tc>
        <w:tc>
          <w:tcPr>
            <w:tcW w:w="938"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41,7</w:t>
            </w:r>
          </w:p>
        </w:tc>
        <w:tc>
          <w:tcPr>
            <w:tcW w:w="108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3,6</w:t>
            </w:r>
          </w:p>
        </w:tc>
      </w:tr>
      <w:tr w:rsidR="00D40D6B" w:rsidRPr="004C5551" w:rsidTr="004A598D">
        <w:trPr>
          <w:trHeight w:val="255"/>
          <w:jc w:val="center"/>
        </w:trPr>
        <w:tc>
          <w:tcPr>
            <w:tcW w:w="1741" w:type="dxa"/>
            <w:shd w:val="clear" w:color="000000" w:fill="FFCCCC" w:themeFill="accent3" w:themeFillTint="33"/>
            <w:noWrap/>
            <w:vAlign w:val="center"/>
            <w:hideMark/>
          </w:tcPr>
          <w:p w:rsidR="00D40D6B" w:rsidRPr="004C5551" w:rsidRDefault="00D40D6B" w:rsidP="00D40D6B">
            <w:pPr>
              <w:rPr>
                <w:b/>
                <w:bCs/>
                <w:sz w:val="20"/>
                <w:szCs w:val="20"/>
              </w:rPr>
            </w:pPr>
            <w:r w:rsidRPr="004C5551">
              <w:rPr>
                <w:b/>
                <w:bCs/>
                <w:sz w:val="20"/>
                <w:szCs w:val="20"/>
              </w:rPr>
              <w:t>EA18</w:t>
            </w:r>
          </w:p>
        </w:tc>
        <w:tc>
          <w:tcPr>
            <w:tcW w:w="74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31,2</w:t>
            </w:r>
          </w:p>
        </w:tc>
        <w:tc>
          <w:tcPr>
            <w:tcW w:w="1203"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8 703</w:t>
            </w:r>
          </w:p>
        </w:tc>
        <w:tc>
          <w:tcPr>
            <w:tcW w:w="1589"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37,1</w:t>
            </w:r>
          </w:p>
        </w:tc>
        <w:tc>
          <w:tcPr>
            <w:tcW w:w="1282"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22,1</w:t>
            </w:r>
          </w:p>
        </w:tc>
        <w:tc>
          <w:tcPr>
            <w:tcW w:w="938"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37,8</w:t>
            </w:r>
          </w:p>
        </w:tc>
        <w:tc>
          <w:tcPr>
            <w:tcW w:w="108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Belgicko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31,6</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9 457</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41</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19,7</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36,3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3,1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Bulharsko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18,6</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2 357</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28,9</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18,2</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51,1</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1,8</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Česká republika</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20,8</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4 470</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49,3</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24,0</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25,3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1,5</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Dánsko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37,1</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11 221</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12,1</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8,9</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77,7</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Nemecko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31,8</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10 503</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33,9</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29,8</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34,6</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1,8</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Estónsko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15,3</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2 848</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79,6</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19,1</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0,1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Írsko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29,3</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8 726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21,1</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6,7</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69,4</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Grécko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31,5</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6 167</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32</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20,1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35,4</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12,5</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Španielsko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24,9</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5 808</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43,7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12,4</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0,9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Francúzsko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34</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9 659</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41,7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20,1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35</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3,2</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Chorvátsko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22,2</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3 416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27,7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33,5</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35,9</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Taliansko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30,7</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7 894</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37,5</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14,6</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46,3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1,6</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Cyprus</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24,5</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5 653</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23</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17,3</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51,3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8,3</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Lotyšsko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14</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2 336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44</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18,8</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36,3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0,9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Litva</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14,8</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2 784</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51</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16,6</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31,4</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Luxembursko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26,5</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15 677</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25,6</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23,2</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42,9</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8,3</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Maďarsko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21,4</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3 802</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37,7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22,7</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36,9</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2,7</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Malta</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19,4</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4 266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33,5</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14,1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50,3</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Holandsko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35,7</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11 488</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32,3</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35,1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24,2</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8,5</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Rakúsko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30,1</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9 959</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36,5</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25,9</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36</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1,6</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Poľsko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17,5</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3 252</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44,7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19,4</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16,4</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19,5</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Portugalsko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27,5</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5 192</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27,8</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14,3</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48,2</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9,6</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Rumunsko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15,9</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2 135</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34,2</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14,1</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50,7</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Slovinsko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25,3</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5 280</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26,6</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38,4</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33,8</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1,2</w:t>
            </w:r>
          </w:p>
        </w:tc>
      </w:tr>
      <w:tr w:rsidR="00D40D6B" w:rsidRPr="004C5551" w:rsidTr="004A598D">
        <w:trPr>
          <w:trHeight w:val="255"/>
          <w:jc w:val="center"/>
        </w:trPr>
        <w:tc>
          <w:tcPr>
            <w:tcW w:w="1741" w:type="dxa"/>
            <w:shd w:val="clear" w:color="000000" w:fill="FFCCCC" w:themeFill="accent3" w:themeFillTint="33"/>
            <w:noWrap/>
            <w:vAlign w:val="center"/>
            <w:hideMark/>
          </w:tcPr>
          <w:p w:rsidR="00D40D6B" w:rsidRPr="004C5551" w:rsidRDefault="00D40D6B" w:rsidP="00D40D6B">
            <w:pPr>
              <w:rPr>
                <w:b/>
                <w:bCs/>
                <w:sz w:val="20"/>
                <w:szCs w:val="20"/>
              </w:rPr>
            </w:pPr>
            <w:r w:rsidRPr="004C5551">
              <w:rPr>
                <w:b/>
                <w:bCs/>
                <w:sz w:val="20"/>
                <w:szCs w:val="20"/>
              </w:rPr>
              <w:t xml:space="preserve">Slovensko </w:t>
            </w:r>
          </w:p>
        </w:tc>
        <w:tc>
          <w:tcPr>
            <w:tcW w:w="74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20,1</w:t>
            </w:r>
          </w:p>
        </w:tc>
        <w:tc>
          <w:tcPr>
            <w:tcW w:w="1203"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4 062</w:t>
            </w:r>
          </w:p>
        </w:tc>
        <w:tc>
          <w:tcPr>
            <w:tcW w:w="1589"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40,8</w:t>
            </w:r>
          </w:p>
        </w:tc>
        <w:tc>
          <w:tcPr>
            <w:tcW w:w="1282"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18,8</w:t>
            </w:r>
          </w:p>
        </w:tc>
        <w:tc>
          <w:tcPr>
            <w:tcW w:w="938"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37,6</w:t>
            </w:r>
          </w:p>
        </w:tc>
        <w:tc>
          <w:tcPr>
            <w:tcW w:w="1080" w:type="dxa"/>
            <w:shd w:val="clear" w:color="000000" w:fill="FFCCCC" w:themeFill="accent3" w:themeFillTint="33"/>
            <w:noWrap/>
            <w:vAlign w:val="center"/>
            <w:hideMark/>
          </w:tcPr>
          <w:p w:rsidR="00D40D6B" w:rsidRPr="004C5551" w:rsidRDefault="00D40D6B" w:rsidP="00D40D6B">
            <w:pPr>
              <w:jc w:val="right"/>
              <w:rPr>
                <w:sz w:val="20"/>
                <w:szCs w:val="20"/>
              </w:rPr>
            </w:pPr>
            <w:r w:rsidRPr="004C5551">
              <w:rPr>
                <w:sz w:val="20"/>
                <w:szCs w:val="20"/>
              </w:rPr>
              <w:t>2,9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Fínsko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33,4</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9 685</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34,8</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12,5</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46,9</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5,9</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Švédsko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32,2</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10 161</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36,2</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9,6</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52,2</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2,1</w:t>
            </w:r>
          </w:p>
        </w:tc>
      </w:tr>
      <w:tr w:rsidR="00D40D6B" w:rsidRPr="004C5551" w:rsidTr="004A598D">
        <w:trPr>
          <w:trHeight w:val="255"/>
          <w:jc w:val="center"/>
        </w:trPr>
        <w:tc>
          <w:tcPr>
            <w:tcW w:w="1741" w:type="dxa"/>
            <w:tcBorders>
              <w:bottom w:val="double" w:sz="4" w:space="0" w:color="auto"/>
            </w:tcBorders>
            <w:shd w:val="clear" w:color="auto" w:fill="auto"/>
            <w:noWrap/>
            <w:vAlign w:val="center"/>
            <w:hideMark/>
          </w:tcPr>
          <w:p w:rsidR="00D40D6B" w:rsidRPr="004C5551" w:rsidRDefault="00D40D6B" w:rsidP="00D40D6B">
            <w:pPr>
              <w:rPr>
                <w:sz w:val="20"/>
                <w:szCs w:val="20"/>
              </w:rPr>
            </w:pPr>
            <w:r w:rsidRPr="004C5551">
              <w:rPr>
                <w:sz w:val="20"/>
                <w:szCs w:val="20"/>
              </w:rPr>
              <w:t>Spojené kráľovstvo</w:t>
            </w:r>
          </w:p>
        </w:tc>
        <w:tc>
          <w:tcPr>
            <w:tcW w:w="740"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30,7</w:t>
            </w:r>
          </w:p>
        </w:tc>
        <w:tc>
          <w:tcPr>
            <w:tcW w:w="1203"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7 946</w:t>
            </w:r>
          </w:p>
        </w:tc>
        <w:tc>
          <w:tcPr>
            <w:tcW w:w="1589"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27,7</w:t>
            </w:r>
          </w:p>
        </w:tc>
        <w:tc>
          <w:tcPr>
            <w:tcW w:w="1282"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12,4</w:t>
            </w:r>
          </w:p>
        </w:tc>
        <w:tc>
          <w:tcPr>
            <w:tcW w:w="938"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53,2</w:t>
            </w:r>
          </w:p>
        </w:tc>
        <w:tc>
          <w:tcPr>
            <w:tcW w:w="1080" w:type="dxa"/>
            <w:tcBorders>
              <w:bottom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6,7</w:t>
            </w:r>
          </w:p>
        </w:tc>
      </w:tr>
      <w:tr w:rsidR="00D40D6B" w:rsidRPr="004C5551" w:rsidTr="004A598D">
        <w:trPr>
          <w:trHeight w:val="255"/>
          <w:jc w:val="center"/>
        </w:trPr>
        <w:tc>
          <w:tcPr>
            <w:tcW w:w="1741" w:type="dxa"/>
            <w:tcBorders>
              <w:top w:val="double" w:sz="4" w:space="0" w:color="auto"/>
            </w:tcBorders>
            <w:shd w:val="clear" w:color="auto" w:fill="auto"/>
            <w:noWrap/>
            <w:vAlign w:val="center"/>
            <w:hideMark/>
          </w:tcPr>
          <w:p w:rsidR="00D40D6B" w:rsidRPr="004C5551" w:rsidRDefault="00D40D6B" w:rsidP="00D40D6B">
            <w:pPr>
              <w:rPr>
                <w:sz w:val="20"/>
                <w:szCs w:val="20"/>
              </w:rPr>
            </w:pPr>
            <w:r w:rsidRPr="004C5551">
              <w:rPr>
                <w:sz w:val="20"/>
                <w:szCs w:val="20"/>
              </w:rPr>
              <w:t>Island</w:t>
            </w:r>
          </w:p>
        </w:tc>
        <w:tc>
          <w:tcPr>
            <w:tcW w:w="740"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28,1</w:t>
            </w:r>
          </w:p>
        </w:tc>
        <w:tc>
          <w:tcPr>
            <w:tcW w:w="1203"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8 365</w:t>
            </w:r>
          </w:p>
        </w:tc>
        <w:tc>
          <w:tcPr>
            <w:tcW w:w="1589"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37,3</w:t>
            </w:r>
          </w:p>
        </w:tc>
        <w:tc>
          <w:tcPr>
            <w:tcW w:w="1282"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7,0</w:t>
            </w:r>
          </w:p>
        </w:tc>
        <w:tc>
          <w:tcPr>
            <w:tcW w:w="938"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54,7</w:t>
            </w:r>
          </w:p>
        </w:tc>
        <w:tc>
          <w:tcPr>
            <w:tcW w:w="1080" w:type="dxa"/>
            <w:tcBorders>
              <w:top w:val="double" w:sz="4" w:space="0" w:color="auto"/>
            </w:tcBorders>
            <w:shd w:val="clear" w:color="auto" w:fill="auto"/>
            <w:noWrap/>
            <w:vAlign w:val="center"/>
            <w:hideMark/>
          </w:tcPr>
          <w:p w:rsidR="00D40D6B" w:rsidRPr="004C5551" w:rsidRDefault="00D40D6B" w:rsidP="00D40D6B">
            <w:pPr>
              <w:jc w:val="right"/>
              <w:rPr>
                <w:sz w:val="20"/>
                <w:szCs w:val="20"/>
              </w:rPr>
            </w:pPr>
            <w:r w:rsidRPr="004C5551">
              <w:rPr>
                <w:sz w:val="20"/>
                <w:szCs w:val="20"/>
              </w:rPr>
              <w:t>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Nórsko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25,8</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11 924</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33,1</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14,9</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52</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0,1</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Švajčiarsko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31,9</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11 816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30</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35,2</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24,4</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10,4</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Srbsko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24,7</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2 226</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25,7</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28,2</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45,2</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0,8</w:t>
            </w:r>
          </w:p>
        </w:tc>
      </w:tr>
      <w:tr w:rsidR="00D40D6B" w:rsidRPr="004C5551" w:rsidTr="004A598D">
        <w:trPr>
          <w:trHeight w:val="255"/>
          <w:jc w:val="center"/>
        </w:trPr>
        <w:tc>
          <w:tcPr>
            <w:tcW w:w="1741" w:type="dxa"/>
            <w:shd w:val="clear" w:color="auto" w:fill="auto"/>
            <w:noWrap/>
            <w:vAlign w:val="center"/>
            <w:hideMark/>
          </w:tcPr>
          <w:p w:rsidR="00D40D6B" w:rsidRPr="004C5551" w:rsidRDefault="00D40D6B" w:rsidP="00D40D6B">
            <w:pPr>
              <w:rPr>
                <w:sz w:val="20"/>
                <w:szCs w:val="20"/>
              </w:rPr>
            </w:pPr>
            <w:r w:rsidRPr="004C5551">
              <w:rPr>
                <w:sz w:val="20"/>
                <w:szCs w:val="20"/>
              </w:rPr>
              <w:t>Turecko</w:t>
            </w:r>
          </w:p>
        </w:tc>
        <w:tc>
          <w:tcPr>
            <w:tcW w:w="740" w:type="dxa"/>
            <w:shd w:val="clear" w:color="auto" w:fill="auto"/>
            <w:noWrap/>
            <w:vAlign w:val="center"/>
            <w:hideMark/>
          </w:tcPr>
          <w:p w:rsidR="00D40D6B" w:rsidRPr="004C5551" w:rsidRDefault="00D40D6B" w:rsidP="00D40D6B">
            <w:pPr>
              <w:jc w:val="right"/>
              <w:rPr>
                <w:sz w:val="20"/>
                <w:szCs w:val="20"/>
              </w:rPr>
            </w:pPr>
            <w:r w:rsidRPr="004C5551">
              <w:rPr>
                <w:sz w:val="20"/>
                <w:szCs w:val="20"/>
              </w:rPr>
              <w:t>15,3</w:t>
            </w:r>
          </w:p>
        </w:tc>
        <w:tc>
          <w:tcPr>
            <w:tcW w:w="1203" w:type="dxa"/>
            <w:shd w:val="clear" w:color="auto" w:fill="auto"/>
            <w:noWrap/>
            <w:vAlign w:val="center"/>
            <w:hideMark/>
          </w:tcPr>
          <w:p w:rsidR="00D40D6B" w:rsidRPr="004C5551" w:rsidRDefault="00D40D6B" w:rsidP="00D40D6B">
            <w:pPr>
              <w:jc w:val="right"/>
              <w:rPr>
                <w:sz w:val="20"/>
                <w:szCs w:val="20"/>
              </w:rPr>
            </w:pPr>
            <w:r w:rsidRPr="004C5551">
              <w:rPr>
                <w:sz w:val="20"/>
                <w:szCs w:val="20"/>
              </w:rPr>
              <w:t>2 105</w:t>
            </w:r>
          </w:p>
        </w:tc>
        <w:tc>
          <w:tcPr>
            <w:tcW w:w="1589" w:type="dxa"/>
            <w:shd w:val="clear" w:color="auto" w:fill="auto"/>
            <w:noWrap/>
            <w:vAlign w:val="center"/>
            <w:hideMark/>
          </w:tcPr>
          <w:p w:rsidR="00D40D6B" w:rsidRPr="004C5551" w:rsidRDefault="00D40D6B" w:rsidP="00D40D6B">
            <w:pPr>
              <w:jc w:val="right"/>
              <w:rPr>
                <w:sz w:val="20"/>
                <w:szCs w:val="20"/>
              </w:rPr>
            </w:pPr>
            <w:r w:rsidRPr="004C5551">
              <w:rPr>
                <w:sz w:val="20"/>
                <w:szCs w:val="20"/>
              </w:rPr>
              <w:t>27,5</w:t>
            </w:r>
          </w:p>
        </w:tc>
        <w:tc>
          <w:tcPr>
            <w:tcW w:w="1282" w:type="dxa"/>
            <w:shd w:val="clear" w:color="auto" w:fill="auto"/>
            <w:noWrap/>
            <w:vAlign w:val="center"/>
            <w:hideMark/>
          </w:tcPr>
          <w:p w:rsidR="00D40D6B" w:rsidRPr="004C5551" w:rsidRDefault="00D40D6B" w:rsidP="00D40D6B">
            <w:pPr>
              <w:jc w:val="right"/>
              <w:rPr>
                <w:sz w:val="20"/>
                <w:szCs w:val="20"/>
              </w:rPr>
            </w:pPr>
            <w:r w:rsidRPr="004C5551">
              <w:rPr>
                <w:sz w:val="20"/>
                <w:szCs w:val="20"/>
              </w:rPr>
              <w:t>26,2</w:t>
            </w:r>
          </w:p>
        </w:tc>
        <w:tc>
          <w:tcPr>
            <w:tcW w:w="938" w:type="dxa"/>
            <w:shd w:val="clear" w:color="auto" w:fill="auto"/>
            <w:noWrap/>
            <w:vAlign w:val="center"/>
            <w:hideMark/>
          </w:tcPr>
          <w:p w:rsidR="00D40D6B" w:rsidRPr="004C5551" w:rsidRDefault="00D40D6B" w:rsidP="00D40D6B">
            <w:pPr>
              <w:jc w:val="right"/>
              <w:rPr>
                <w:sz w:val="20"/>
                <w:szCs w:val="20"/>
              </w:rPr>
            </w:pPr>
            <w:r w:rsidRPr="004C5551">
              <w:rPr>
                <w:sz w:val="20"/>
                <w:szCs w:val="20"/>
              </w:rPr>
              <w:t>40</w:t>
            </w:r>
          </w:p>
        </w:tc>
        <w:tc>
          <w:tcPr>
            <w:tcW w:w="1080" w:type="dxa"/>
            <w:shd w:val="clear" w:color="auto" w:fill="auto"/>
            <w:noWrap/>
            <w:vAlign w:val="center"/>
            <w:hideMark/>
          </w:tcPr>
          <w:p w:rsidR="00D40D6B" w:rsidRPr="004C5551" w:rsidRDefault="00D40D6B" w:rsidP="00D40D6B">
            <w:pPr>
              <w:jc w:val="right"/>
              <w:rPr>
                <w:sz w:val="20"/>
                <w:szCs w:val="20"/>
              </w:rPr>
            </w:pPr>
            <w:r w:rsidRPr="004C5551">
              <w:rPr>
                <w:sz w:val="20"/>
                <w:szCs w:val="20"/>
              </w:rPr>
              <w:t>6,4</w:t>
            </w:r>
          </w:p>
        </w:tc>
      </w:tr>
    </w:tbl>
    <w:p w:rsidR="00D40D6B" w:rsidRPr="004C5551" w:rsidRDefault="00D40D6B" w:rsidP="00842642">
      <w:pPr>
        <w:pStyle w:val="zdroj"/>
        <w:spacing w:after="0"/>
        <w:ind w:left="284" w:firstLine="0"/>
      </w:pPr>
      <w:r w:rsidRPr="004C5551">
        <w:t>Predbežné údaje – EU28, EU15, EA18 , DE, ES, FR,</w:t>
      </w:r>
      <w:r w:rsidR="00423669" w:rsidRPr="004C5551">
        <w:t xml:space="preserve"> </w:t>
      </w:r>
      <w:r w:rsidRPr="004C5551">
        <w:t>HR, IT, LT,</w:t>
      </w:r>
      <w:r w:rsidR="00423669" w:rsidRPr="004C5551">
        <w:t xml:space="preserve"> </w:t>
      </w:r>
      <w:r w:rsidRPr="004C5551">
        <w:t>NL, PL, SI, SK, SE</w:t>
      </w:r>
      <w:r w:rsidR="00423669" w:rsidRPr="004C5551">
        <w:t xml:space="preserve"> </w:t>
      </w:r>
      <w:r w:rsidRPr="004C5551">
        <w:t>,UK, CH; odhad LV</w:t>
      </w:r>
    </w:p>
    <w:p w:rsidR="00D40D6B" w:rsidRPr="004C5551" w:rsidRDefault="00D40D6B" w:rsidP="00842642">
      <w:pPr>
        <w:pStyle w:val="zdroj"/>
        <w:spacing w:before="0"/>
        <w:ind w:left="284" w:firstLine="0"/>
      </w:pPr>
      <w:r w:rsidRPr="004C5551">
        <w:t xml:space="preserve">Zdroj: </w:t>
      </w:r>
      <w:proofErr w:type="spellStart"/>
      <w:r w:rsidRPr="004C5551">
        <w:t>Eurostat</w:t>
      </w:r>
      <w:proofErr w:type="spellEnd"/>
      <w:r w:rsidRPr="004C5551">
        <w:t xml:space="preserve"> ESSPROS</w:t>
      </w:r>
    </w:p>
    <w:p w:rsidR="00D40D6B" w:rsidRPr="004C5551" w:rsidRDefault="00D40D6B" w:rsidP="00D40D6B"/>
    <w:p w:rsidR="00D40D6B" w:rsidRPr="004C5551" w:rsidRDefault="00D40D6B" w:rsidP="00D40D6B">
      <w:pPr>
        <w:rPr>
          <w:b/>
          <w:bCs/>
        </w:rPr>
        <w:sectPr w:rsidR="00D40D6B" w:rsidRPr="004C5551" w:rsidSect="004F3C97">
          <w:pgSz w:w="11906" w:h="16838"/>
          <w:pgMar w:top="1417" w:right="1417" w:bottom="1417" w:left="1417" w:header="708" w:footer="708" w:gutter="0"/>
          <w:cols w:space="708"/>
          <w:docGrid w:linePitch="360"/>
        </w:sectPr>
      </w:pPr>
    </w:p>
    <w:p w:rsidR="00D40D6B" w:rsidRPr="004C5551" w:rsidRDefault="00D40D6B" w:rsidP="00D40D6B">
      <w:pPr>
        <w:spacing w:after="120"/>
        <w:jc w:val="center"/>
        <w:outlineLvl w:val="6"/>
        <w:rPr>
          <w:b/>
        </w:rPr>
      </w:pPr>
      <w:r w:rsidRPr="004C5551">
        <w:rPr>
          <w:b/>
        </w:rPr>
        <w:t>Tabuľka 3</w:t>
      </w:r>
      <w:r w:rsidR="00453F8D" w:rsidRPr="004C5551">
        <w:rPr>
          <w:b/>
        </w:rPr>
        <w:t>3</w:t>
      </w:r>
      <w:r w:rsidRPr="004C5551">
        <w:rPr>
          <w:b/>
        </w:rPr>
        <w:t xml:space="preserve"> Výdavky na dôchodky a štruktúra podľa kategórií dôchodkov, 2012</w:t>
      </w:r>
    </w:p>
    <w:tbl>
      <w:tblPr>
        <w:tblStyle w:val="Mriekatabuky"/>
        <w:tblW w:w="10376" w:type="dxa"/>
        <w:jc w:val="center"/>
        <w:tblLayout w:type="fixed"/>
        <w:tblLook w:val="04A0" w:firstRow="1" w:lastRow="0" w:firstColumn="1" w:lastColumn="0" w:noHBand="0" w:noVBand="1"/>
      </w:tblPr>
      <w:tblGrid>
        <w:gridCol w:w="907"/>
        <w:gridCol w:w="1077"/>
        <w:gridCol w:w="1020"/>
        <w:gridCol w:w="624"/>
        <w:gridCol w:w="907"/>
        <w:gridCol w:w="1020"/>
        <w:gridCol w:w="964"/>
        <w:gridCol w:w="964"/>
        <w:gridCol w:w="1077"/>
        <w:gridCol w:w="796"/>
        <w:gridCol w:w="1020"/>
      </w:tblGrid>
      <w:tr w:rsidR="00C05933" w:rsidRPr="004C5551" w:rsidTr="00C05933">
        <w:trPr>
          <w:jc w:val="center"/>
        </w:trPr>
        <w:tc>
          <w:tcPr>
            <w:tcW w:w="907" w:type="dxa"/>
            <w:vMerge w:val="restart"/>
            <w:shd w:val="clear" w:color="auto" w:fill="FF9999" w:themeFill="accent3" w:themeFillTint="66"/>
            <w:vAlign w:val="bottom"/>
          </w:tcPr>
          <w:p w:rsidR="00C05933" w:rsidRPr="004C5551" w:rsidRDefault="00C05933" w:rsidP="00C05933">
            <w:pPr>
              <w:spacing w:after="120"/>
              <w:ind w:firstLine="0"/>
              <w:jc w:val="center"/>
              <w:outlineLvl w:val="6"/>
              <w:rPr>
                <w:b/>
              </w:rPr>
            </w:pPr>
            <w:r w:rsidRPr="004C5551">
              <w:rPr>
                <w:b/>
                <w:sz w:val="20"/>
              </w:rPr>
              <w:t>Územie</w:t>
            </w:r>
          </w:p>
        </w:tc>
        <w:tc>
          <w:tcPr>
            <w:tcW w:w="2721" w:type="dxa"/>
            <w:gridSpan w:val="3"/>
            <w:shd w:val="clear" w:color="auto" w:fill="FF9999" w:themeFill="accent3" w:themeFillTint="66"/>
            <w:vAlign w:val="bottom"/>
          </w:tcPr>
          <w:p w:rsidR="00C05933" w:rsidRPr="004C5551" w:rsidRDefault="00C05933" w:rsidP="00C05933">
            <w:pPr>
              <w:spacing w:after="120"/>
              <w:ind w:firstLine="0"/>
              <w:jc w:val="center"/>
              <w:outlineLvl w:val="6"/>
              <w:rPr>
                <w:b/>
                <w:sz w:val="20"/>
              </w:rPr>
            </w:pPr>
            <w:r w:rsidRPr="004C5551">
              <w:rPr>
                <w:b/>
                <w:sz w:val="20"/>
              </w:rPr>
              <w:t>Výdavky na dôchodky spolu</w:t>
            </w:r>
          </w:p>
        </w:tc>
        <w:tc>
          <w:tcPr>
            <w:tcW w:w="6748" w:type="dxa"/>
            <w:gridSpan w:val="7"/>
            <w:shd w:val="clear" w:color="auto" w:fill="FF9999" w:themeFill="accent3" w:themeFillTint="66"/>
            <w:vAlign w:val="bottom"/>
          </w:tcPr>
          <w:p w:rsidR="00C05933" w:rsidRPr="004C5551" w:rsidRDefault="00C05933" w:rsidP="00C05933">
            <w:pPr>
              <w:spacing w:after="120"/>
              <w:ind w:firstLine="0"/>
              <w:jc w:val="center"/>
              <w:outlineLvl w:val="6"/>
              <w:rPr>
                <w:b/>
                <w:sz w:val="20"/>
              </w:rPr>
            </w:pPr>
            <w:r w:rsidRPr="004C5551">
              <w:rPr>
                <w:b/>
                <w:sz w:val="20"/>
              </w:rPr>
              <w:t xml:space="preserve">Štruktúra výdavkov na dôchodky podľa </w:t>
            </w:r>
            <w:r w:rsidR="004C5551" w:rsidRPr="004C5551">
              <w:rPr>
                <w:b/>
                <w:sz w:val="20"/>
              </w:rPr>
              <w:t>kategó</w:t>
            </w:r>
            <w:r w:rsidRPr="004C5551">
              <w:rPr>
                <w:b/>
                <w:sz w:val="20"/>
              </w:rPr>
              <w:t>rií (%)</w:t>
            </w:r>
          </w:p>
        </w:tc>
      </w:tr>
      <w:tr w:rsidR="00C05933" w:rsidRPr="004C5551" w:rsidTr="00C05933">
        <w:trPr>
          <w:jc w:val="center"/>
        </w:trPr>
        <w:tc>
          <w:tcPr>
            <w:tcW w:w="907" w:type="dxa"/>
            <w:vMerge/>
            <w:tcBorders>
              <w:bottom w:val="single" w:sz="4" w:space="0" w:color="auto"/>
            </w:tcBorders>
            <w:shd w:val="clear" w:color="auto" w:fill="FF9999" w:themeFill="accent3" w:themeFillTint="66"/>
            <w:vAlign w:val="bottom"/>
          </w:tcPr>
          <w:p w:rsidR="00C05933" w:rsidRPr="004C5551" w:rsidRDefault="00C05933" w:rsidP="00C05933">
            <w:pPr>
              <w:spacing w:after="120"/>
              <w:ind w:firstLine="0"/>
              <w:jc w:val="center"/>
              <w:outlineLvl w:val="6"/>
              <w:rPr>
                <w:b/>
              </w:rPr>
            </w:pPr>
          </w:p>
        </w:tc>
        <w:tc>
          <w:tcPr>
            <w:tcW w:w="1077"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 xml:space="preserve">v </w:t>
            </w:r>
            <w:r w:rsidR="00A96FDE" w:rsidRPr="004C5551">
              <w:rPr>
                <w:b/>
                <w:sz w:val="18"/>
                <w:szCs w:val="18"/>
              </w:rPr>
              <w:t>€</w:t>
            </w:r>
            <w:r w:rsidRPr="004C5551">
              <w:rPr>
                <w:b/>
                <w:sz w:val="18"/>
                <w:szCs w:val="18"/>
              </w:rPr>
              <w:t xml:space="preserve"> na obyvateľa (stále ceny 2005)</w:t>
            </w:r>
          </w:p>
        </w:tc>
        <w:tc>
          <w:tcPr>
            <w:tcW w:w="1020"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v PPS na obyvateľa</w:t>
            </w:r>
          </w:p>
        </w:tc>
        <w:tc>
          <w:tcPr>
            <w:tcW w:w="624"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v % HDP</w:t>
            </w:r>
          </w:p>
        </w:tc>
        <w:tc>
          <w:tcPr>
            <w:tcW w:w="907"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starobný</w:t>
            </w:r>
          </w:p>
        </w:tc>
        <w:tc>
          <w:tcPr>
            <w:tcW w:w="1020"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predpokla</w:t>
            </w:r>
            <w:r w:rsidRPr="004C5551">
              <w:rPr>
                <w:b/>
                <w:sz w:val="18"/>
                <w:szCs w:val="18"/>
              </w:rPr>
              <w:softHyphen/>
              <w:t>daný starobný</w:t>
            </w:r>
          </w:p>
        </w:tc>
        <w:tc>
          <w:tcPr>
            <w:tcW w:w="964"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čiastočný starobný</w:t>
            </w:r>
          </w:p>
        </w:tc>
        <w:tc>
          <w:tcPr>
            <w:tcW w:w="964"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invalidný</w:t>
            </w:r>
          </w:p>
        </w:tc>
        <w:tc>
          <w:tcPr>
            <w:tcW w:w="1077"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predčasný v dôsledku zníženej pracovnej schopnosti</w:t>
            </w:r>
          </w:p>
        </w:tc>
        <w:tc>
          <w:tcPr>
            <w:tcW w:w="796"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pozosta</w:t>
            </w:r>
            <w:r w:rsidRPr="004C5551">
              <w:rPr>
                <w:b/>
                <w:sz w:val="18"/>
                <w:szCs w:val="18"/>
              </w:rPr>
              <w:softHyphen/>
              <w:t>lostné</w:t>
            </w:r>
          </w:p>
        </w:tc>
        <w:tc>
          <w:tcPr>
            <w:tcW w:w="1020" w:type="dxa"/>
            <w:tcBorders>
              <w:bottom w:val="single" w:sz="4" w:space="0" w:color="auto"/>
            </w:tcBorders>
            <w:shd w:val="clear" w:color="auto" w:fill="FF9999" w:themeFill="accent3" w:themeFillTint="66"/>
            <w:vAlign w:val="bottom"/>
          </w:tcPr>
          <w:p w:rsidR="00C05933" w:rsidRPr="004C5551" w:rsidRDefault="00C05933" w:rsidP="00C05933">
            <w:pPr>
              <w:ind w:firstLine="0"/>
              <w:jc w:val="center"/>
              <w:rPr>
                <w:b/>
                <w:sz w:val="18"/>
                <w:szCs w:val="18"/>
              </w:rPr>
            </w:pPr>
            <w:r w:rsidRPr="004C5551">
              <w:rPr>
                <w:b/>
                <w:sz w:val="18"/>
                <w:szCs w:val="18"/>
              </w:rPr>
              <w:t>predčasný z dôvodov trhu práce</w:t>
            </w:r>
          </w:p>
        </w:tc>
      </w:tr>
      <w:tr w:rsidR="006142BB" w:rsidRPr="004C5551" w:rsidTr="009E2776">
        <w:trPr>
          <w:trHeight w:val="295"/>
          <w:jc w:val="center"/>
        </w:trPr>
        <w:tc>
          <w:tcPr>
            <w:tcW w:w="907" w:type="dxa"/>
            <w:shd w:val="clear" w:color="auto" w:fill="FFCCCC" w:themeFill="accent3" w:themeFillTint="33"/>
            <w:vAlign w:val="center"/>
          </w:tcPr>
          <w:p w:rsidR="006142BB" w:rsidRPr="004C5551" w:rsidRDefault="006142BB" w:rsidP="009E2776">
            <w:pPr>
              <w:ind w:firstLine="0"/>
              <w:jc w:val="center"/>
              <w:rPr>
                <w:b/>
                <w:bCs/>
                <w:sz w:val="20"/>
                <w:szCs w:val="20"/>
              </w:rPr>
            </w:pPr>
            <w:r w:rsidRPr="004C5551">
              <w:rPr>
                <w:b/>
                <w:bCs/>
                <w:sz w:val="20"/>
                <w:szCs w:val="20"/>
              </w:rPr>
              <w:t>EU28</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3 023,89</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3 398,85</w:t>
            </w:r>
          </w:p>
        </w:tc>
        <w:tc>
          <w:tcPr>
            <w:tcW w:w="62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13,2</w:t>
            </w:r>
          </w:p>
        </w:tc>
        <w:tc>
          <w:tcPr>
            <w:tcW w:w="90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796"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r>
      <w:tr w:rsidR="006142BB" w:rsidRPr="004C5551" w:rsidTr="009E2776">
        <w:trPr>
          <w:trHeight w:val="295"/>
          <w:jc w:val="center"/>
        </w:trPr>
        <w:tc>
          <w:tcPr>
            <w:tcW w:w="907" w:type="dxa"/>
            <w:shd w:val="clear" w:color="auto" w:fill="FFCCCC" w:themeFill="accent3" w:themeFillTint="33"/>
            <w:vAlign w:val="center"/>
          </w:tcPr>
          <w:p w:rsidR="006142BB" w:rsidRPr="004C5551" w:rsidRDefault="006142BB" w:rsidP="009E2776">
            <w:pPr>
              <w:ind w:firstLine="0"/>
              <w:jc w:val="center"/>
              <w:rPr>
                <w:b/>
                <w:bCs/>
                <w:sz w:val="20"/>
                <w:szCs w:val="20"/>
              </w:rPr>
            </w:pPr>
            <w:r w:rsidRPr="004C5551">
              <w:rPr>
                <w:b/>
                <w:bCs/>
                <w:sz w:val="20"/>
                <w:szCs w:val="20"/>
              </w:rPr>
              <w:t>EU15</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3 623,89</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3 775,59</w:t>
            </w:r>
          </w:p>
        </w:tc>
        <w:tc>
          <w:tcPr>
            <w:tcW w:w="62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13,5</w:t>
            </w:r>
          </w:p>
        </w:tc>
        <w:tc>
          <w:tcPr>
            <w:tcW w:w="90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796"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r>
      <w:tr w:rsidR="006142BB" w:rsidRPr="004C5551" w:rsidTr="009E2776">
        <w:trPr>
          <w:trHeight w:val="295"/>
          <w:jc w:val="center"/>
        </w:trPr>
        <w:tc>
          <w:tcPr>
            <w:tcW w:w="907" w:type="dxa"/>
            <w:shd w:val="clear" w:color="auto" w:fill="FFCCCC" w:themeFill="accent3" w:themeFillTint="33"/>
            <w:vAlign w:val="center"/>
          </w:tcPr>
          <w:p w:rsidR="006142BB" w:rsidRPr="004C5551" w:rsidRDefault="006142BB" w:rsidP="009E2776">
            <w:pPr>
              <w:ind w:firstLine="0"/>
              <w:jc w:val="center"/>
              <w:rPr>
                <w:b/>
                <w:bCs/>
                <w:sz w:val="20"/>
                <w:szCs w:val="20"/>
              </w:rPr>
            </w:pPr>
            <w:r w:rsidRPr="004C5551">
              <w:rPr>
                <w:b/>
                <w:bCs/>
                <w:sz w:val="20"/>
                <w:szCs w:val="20"/>
              </w:rPr>
              <w:t>EA18</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3 461,24</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3 835,50</w:t>
            </w:r>
          </w:p>
        </w:tc>
        <w:tc>
          <w:tcPr>
            <w:tcW w:w="62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13,8</w:t>
            </w:r>
          </w:p>
        </w:tc>
        <w:tc>
          <w:tcPr>
            <w:tcW w:w="90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964"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77"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796"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c>
          <w:tcPr>
            <w:tcW w:w="1020" w:type="dxa"/>
            <w:shd w:val="clear" w:color="auto" w:fill="FFCCCC" w:themeFill="accent3" w:themeFillTint="33"/>
            <w:vAlign w:val="bottom"/>
          </w:tcPr>
          <w:p w:rsidR="006142BB" w:rsidRPr="004C5551" w:rsidRDefault="006142BB" w:rsidP="006142BB">
            <w:pPr>
              <w:ind w:firstLine="0"/>
              <w:jc w:val="right"/>
              <w:rPr>
                <w:sz w:val="20"/>
                <w:szCs w:val="20"/>
              </w:rPr>
            </w:pPr>
            <w:r w:rsidRPr="004C5551">
              <w:rPr>
                <w:sz w:val="20"/>
                <w:szCs w:val="20"/>
              </w:rPr>
              <w:t>:</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BE</w:t>
            </w:r>
          </w:p>
        </w:tc>
        <w:tc>
          <w:tcPr>
            <w:tcW w:w="1077" w:type="dxa"/>
            <w:vAlign w:val="bottom"/>
          </w:tcPr>
          <w:p w:rsidR="006142BB" w:rsidRPr="004C5551" w:rsidRDefault="006142BB" w:rsidP="006142BB">
            <w:pPr>
              <w:ind w:firstLine="0"/>
              <w:jc w:val="right"/>
              <w:rPr>
                <w:sz w:val="20"/>
                <w:szCs w:val="20"/>
              </w:rPr>
            </w:pPr>
            <w:r w:rsidRPr="004C5551">
              <w:rPr>
                <w:sz w:val="20"/>
                <w:szCs w:val="20"/>
              </w:rPr>
              <w:t>3 579,66</w:t>
            </w:r>
          </w:p>
        </w:tc>
        <w:tc>
          <w:tcPr>
            <w:tcW w:w="1020" w:type="dxa"/>
            <w:vAlign w:val="bottom"/>
          </w:tcPr>
          <w:p w:rsidR="006142BB" w:rsidRPr="004C5551" w:rsidRDefault="006142BB" w:rsidP="006142BB">
            <w:pPr>
              <w:ind w:firstLine="0"/>
              <w:jc w:val="right"/>
              <w:rPr>
                <w:sz w:val="20"/>
                <w:szCs w:val="20"/>
              </w:rPr>
            </w:pPr>
            <w:r w:rsidRPr="004C5551">
              <w:rPr>
                <w:sz w:val="20"/>
                <w:szCs w:val="20"/>
              </w:rPr>
              <w:t>3 707,93</w:t>
            </w:r>
          </w:p>
        </w:tc>
        <w:tc>
          <w:tcPr>
            <w:tcW w:w="624" w:type="dxa"/>
            <w:vAlign w:val="bottom"/>
          </w:tcPr>
          <w:p w:rsidR="006142BB" w:rsidRPr="004C5551" w:rsidRDefault="006142BB" w:rsidP="006142BB">
            <w:pPr>
              <w:ind w:firstLine="0"/>
              <w:jc w:val="right"/>
              <w:rPr>
                <w:sz w:val="20"/>
                <w:szCs w:val="20"/>
              </w:rPr>
            </w:pPr>
            <w:r w:rsidRPr="004C5551">
              <w:rPr>
                <w:sz w:val="20"/>
                <w:szCs w:val="20"/>
              </w:rPr>
              <w:t>12,4</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67,0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13,6</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15,8</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3,5</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BG</w:t>
            </w:r>
          </w:p>
        </w:tc>
        <w:tc>
          <w:tcPr>
            <w:tcW w:w="1077" w:type="dxa"/>
            <w:vAlign w:val="bottom"/>
          </w:tcPr>
          <w:p w:rsidR="006142BB" w:rsidRPr="004C5551" w:rsidRDefault="006142BB" w:rsidP="006142BB">
            <w:pPr>
              <w:ind w:firstLine="0"/>
              <w:jc w:val="right"/>
              <w:rPr>
                <w:sz w:val="20"/>
                <w:szCs w:val="20"/>
              </w:rPr>
            </w:pPr>
            <w:r w:rsidRPr="004C5551">
              <w:rPr>
                <w:sz w:val="20"/>
                <w:szCs w:val="20"/>
              </w:rPr>
              <w:t>338,93</w:t>
            </w:r>
          </w:p>
        </w:tc>
        <w:tc>
          <w:tcPr>
            <w:tcW w:w="1020" w:type="dxa"/>
            <w:vAlign w:val="bottom"/>
          </w:tcPr>
          <w:p w:rsidR="006142BB" w:rsidRPr="004C5551" w:rsidRDefault="006142BB" w:rsidP="006142BB">
            <w:pPr>
              <w:ind w:firstLine="0"/>
              <w:jc w:val="right"/>
              <w:rPr>
                <w:sz w:val="20"/>
                <w:szCs w:val="20"/>
              </w:rPr>
            </w:pPr>
            <w:r w:rsidRPr="004C5551">
              <w:rPr>
                <w:sz w:val="20"/>
                <w:szCs w:val="20"/>
              </w:rPr>
              <w:t>1 073,00</w:t>
            </w:r>
          </w:p>
        </w:tc>
        <w:tc>
          <w:tcPr>
            <w:tcW w:w="624" w:type="dxa"/>
            <w:vAlign w:val="bottom"/>
          </w:tcPr>
          <w:p w:rsidR="006142BB" w:rsidRPr="004C5551" w:rsidRDefault="006142BB" w:rsidP="006142BB">
            <w:pPr>
              <w:ind w:firstLine="0"/>
              <w:jc w:val="right"/>
              <w:rPr>
                <w:sz w:val="20"/>
                <w:szCs w:val="20"/>
              </w:rPr>
            </w:pPr>
            <w:r w:rsidRPr="004C5551">
              <w:rPr>
                <w:sz w:val="20"/>
                <w:szCs w:val="20"/>
              </w:rPr>
              <w:t>8,5</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75,9</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11,0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9,1</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4,0</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CZ</w:t>
            </w:r>
          </w:p>
        </w:tc>
        <w:tc>
          <w:tcPr>
            <w:tcW w:w="1077" w:type="dxa"/>
            <w:vAlign w:val="bottom"/>
          </w:tcPr>
          <w:p w:rsidR="006142BB" w:rsidRPr="004C5551" w:rsidRDefault="006142BB" w:rsidP="006142BB">
            <w:pPr>
              <w:ind w:firstLine="0"/>
              <w:jc w:val="right"/>
              <w:rPr>
                <w:sz w:val="20"/>
                <w:szCs w:val="20"/>
              </w:rPr>
            </w:pPr>
            <w:r w:rsidRPr="004C5551">
              <w:rPr>
                <w:sz w:val="20"/>
                <w:szCs w:val="20"/>
              </w:rPr>
              <w:t>1 065,93</w:t>
            </w:r>
          </w:p>
        </w:tc>
        <w:tc>
          <w:tcPr>
            <w:tcW w:w="1020" w:type="dxa"/>
            <w:vAlign w:val="bottom"/>
          </w:tcPr>
          <w:p w:rsidR="006142BB" w:rsidRPr="004C5551" w:rsidRDefault="006142BB" w:rsidP="006142BB">
            <w:pPr>
              <w:ind w:firstLine="0"/>
              <w:jc w:val="right"/>
              <w:rPr>
                <w:sz w:val="20"/>
                <w:szCs w:val="20"/>
              </w:rPr>
            </w:pPr>
            <w:r w:rsidRPr="004C5551">
              <w:rPr>
                <w:sz w:val="20"/>
                <w:szCs w:val="20"/>
              </w:rPr>
              <w:t>2 112,76</w:t>
            </w:r>
          </w:p>
        </w:tc>
        <w:tc>
          <w:tcPr>
            <w:tcW w:w="624" w:type="dxa"/>
            <w:vAlign w:val="bottom"/>
          </w:tcPr>
          <w:p w:rsidR="006142BB" w:rsidRPr="004C5551" w:rsidRDefault="006142BB" w:rsidP="006142BB">
            <w:pPr>
              <w:ind w:firstLine="0"/>
              <w:jc w:val="right"/>
              <w:rPr>
                <w:sz w:val="20"/>
                <w:szCs w:val="20"/>
              </w:rPr>
            </w:pPr>
            <w:r w:rsidRPr="004C5551">
              <w:rPr>
                <w:sz w:val="20"/>
                <w:szCs w:val="20"/>
              </w:rPr>
              <w:t>9,9</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78,0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3,5</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11,0</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0,1</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7,4</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DK</w:t>
            </w:r>
          </w:p>
        </w:tc>
        <w:tc>
          <w:tcPr>
            <w:tcW w:w="1077" w:type="dxa"/>
            <w:vAlign w:val="bottom"/>
          </w:tcPr>
          <w:p w:rsidR="006142BB" w:rsidRPr="004C5551" w:rsidRDefault="006142BB" w:rsidP="006142BB">
            <w:pPr>
              <w:ind w:firstLine="0"/>
              <w:jc w:val="right"/>
              <w:rPr>
                <w:sz w:val="20"/>
                <w:szCs w:val="20"/>
              </w:rPr>
            </w:pPr>
            <w:r w:rsidRPr="004C5551">
              <w:rPr>
                <w:sz w:val="20"/>
                <w:szCs w:val="20"/>
              </w:rPr>
              <w:t>5 443,82</w:t>
            </w:r>
          </w:p>
        </w:tc>
        <w:tc>
          <w:tcPr>
            <w:tcW w:w="1020" w:type="dxa"/>
            <w:vAlign w:val="bottom"/>
          </w:tcPr>
          <w:p w:rsidR="006142BB" w:rsidRPr="004C5551" w:rsidRDefault="006142BB" w:rsidP="006142BB">
            <w:pPr>
              <w:ind w:firstLine="0"/>
              <w:jc w:val="right"/>
              <w:rPr>
                <w:sz w:val="20"/>
                <w:szCs w:val="20"/>
              </w:rPr>
            </w:pPr>
            <w:r w:rsidRPr="004C5551">
              <w:rPr>
                <w:sz w:val="20"/>
                <w:szCs w:val="20"/>
              </w:rPr>
              <w:t>4 382,68</w:t>
            </w:r>
          </w:p>
        </w:tc>
        <w:tc>
          <w:tcPr>
            <w:tcW w:w="624" w:type="dxa"/>
            <w:vAlign w:val="bottom"/>
          </w:tcPr>
          <w:p w:rsidR="006142BB" w:rsidRPr="004C5551" w:rsidRDefault="006142BB" w:rsidP="006142BB">
            <w:pPr>
              <w:ind w:firstLine="0"/>
              <w:jc w:val="right"/>
              <w:rPr>
                <w:sz w:val="20"/>
                <w:szCs w:val="20"/>
              </w:rPr>
            </w:pPr>
            <w:r w:rsidRPr="004C5551">
              <w:rPr>
                <w:sz w:val="20"/>
                <w:szCs w:val="20"/>
              </w:rPr>
              <w:t>14,5</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77,0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7,2</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15,8</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DE</w:t>
            </w:r>
          </w:p>
        </w:tc>
        <w:tc>
          <w:tcPr>
            <w:tcW w:w="1077" w:type="dxa"/>
            <w:vAlign w:val="bottom"/>
          </w:tcPr>
          <w:p w:rsidR="006142BB" w:rsidRPr="004C5551" w:rsidRDefault="006142BB" w:rsidP="006142BB">
            <w:pPr>
              <w:ind w:firstLine="0"/>
              <w:jc w:val="right"/>
              <w:rPr>
                <w:sz w:val="20"/>
                <w:szCs w:val="20"/>
              </w:rPr>
            </w:pPr>
            <w:r w:rsidRPr="004C5551">
              <w:rPr>
                <w:sz w:val="20"/>
                <w:szCs w:val="20"/>
              </w:rPr>
              <w:t>3 706,27</w:t>
            </w:r>
          </w:p>
        </w:tc>
        <w:tc>
          <w:tcPr>
            <w:tcW w:w="1020" w:type="dxa"/>
            <w:vAlign w:val="bottom"/>
          </w:tcPr>
          <w:p w:rsidR="006142BB" w:rsidRPr="004C5551" w:rsidRDefault="006142BB" w:rsidP="006142BB">
            <w:pPr>
              <w:ind w:firstLine="0"/>
              <w:jc w:val="right"/>
              <w:rPr>
                <w:sz w:val="20"/>
                <w:szCs w:val="20"/>
              </w:rPr>
            </w:pPr>
            <w:r w:rsidRPr="004C5551">
              <w:rPr>
                <w:sz w:val="20"/>
                <w:szCs w:val="20"/>
              </w:rPr>
              <w:t>4 062,78</w:t>
            </w:r>
          </w:p>
        </w:tc>
        <w:tc>
          <w:tcPr>
            <w:tcW w:w="624" w:type="dxa"/>
            <w:vAlign w:val="bottom"/>
          </w:tcPr>
          <w:p w:rsidR="006142BB" w:rsidRPr="004C5551" w:rsidRDefault="006142BB" w:rsidP="006142BB">
            <w:pPr>
              <w:ind w:firstLine="0"/>
              <w:jc w:val="right"/>
              <w:rPr>
                <w:sz w:val="20"/>
                <w:szCs w:val="20"/>
              </w:rPr>
            </w:pPr>
            <w:r w:rsidRPr="004C5551">
              <w:rPr>
                <w:sz w:val="20"/>
                <w:szCs w:val="20"/>
              </w:rPr>
              <w:t>12,3</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70,6</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5,0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1,4</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6,4</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16,1</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0,5</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EE</w:t>
            </w:r>
          </w:p>
        </w:tc>
        <w:tc>
          <w:tcPr>
            <w:tcW w:w="1077" w:type="dxa"/>
            <w:vAlign w:val="bottom"/>
          </w:tcPr>
          <w:p w:rsidR="006142BB" w:rsidRPr="004C5551" w:rsidRDefault="006142BB" w:rsidP="006142BB">
            <w:pPr>
              <w:ind w:firstLine="0"/>
              <w:jc w:val="right"/>
              <w:rPr>
                <w:sz w:val="20"/>
                <w:szCs w:val="20"/>
              </w:rPr>
            </w:pPr>
            <w:r w:rsidRPr="004C5551">
              <w:rPr>
                <w:sz w:val="20"/>
                <w:szCs w:val="20"/>
              </w:rPr>
              <w:t>757,28</w:t>
            </w:r>
          </w:p>
        </w:tc>
        <w:tc>
          <w:tcPr>
            <w:tcW w:w="1020" w:type="dxa"/>
            <w:vAlign w:val="bottom"/>
          </w:tcPr>
          <w:p w:rsidR="006142BB" w:rsidRPr="004C5551" w:rsidRDefault="006142BB" w:rsidP="006142BB">
            <w:pPr>
              <w:ind w:firstLine="0"/>
              <w:jc w:val="right"/>
              <w:rPr>
                <w:sz w:val="20"/>
                <w:szCs w:val="20"/>
              </w:rPr>
            </w:pPr>
            <w:r w:rsidRPr="004C5551">
              <w:rPr>
                <w:sz w:val="20"/>
                <w:szCs w:val="20"/>
              </w:rPr>
              <w:t>1 456,79</w:t>
            </w:r>
          </w:p>
        </w:tc>
        <w:tc>
          <w:tcPr>
            <w:tcW w:w="624" w:type="dxa"/>
            <w:vAlign w:val="bottom"/>
          </w:tcPr>
          <w:p w:rsidR="006142BB" w:rsidRPr="004C5551" w:rsidRDefault="006142BB" w:rsidP="006142BB">
            <w:pPr>
              <w:ind w:firstLine="0"/>
              <w:jc w:val="right"/>
              <w:rPr>
                <w:sz w:val="20"/>
                <w:szCs w:val="20"/>
              </w:rPr>
            </w:pPr>
            <w:r w:rsidRPr="004C5551">
              <w:rPr>
                <w:sz w:val="20"/>
                <w:szCs w:val="20"/>
              </w:rPr>
              <w:t>7,8</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63,4</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20,7</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14,9</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1,0</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IE</w:t>
            </w:r>
          </w:p>
        </w:tc>
        <w:tc>
          <w:tcPr>
            <w:tcW w:w="1077" w:type="dxa"/>
            <w:vAlign w:val="bottom"/>
          </w:tcPr>
          <w:p w:rsidR="006142BB" w:rsidRPr="004C5551" w:rsidRDefault="006142BB" w:rsidP="006142BB">
            <w:pPr>
              <w:ind w:firstLine="0"/>
              <w:jc w:val="right"/>
              <w:rPr>
                <w:sz w:val="20"/>
                <w:szCs w:val="20"/>
              </w:rPr>
            </w:pPr>
            <w:r w:rsidRPr="004C5551">
              <w:rPr>
                <w:sz w:val="20"/>
                <w:szCs w:val="20"/>
              </w:rPr>
              <w:t>2 612,94</w:t>
            </w:r>
          </w:p>
        </w:tc>
        <w:tc>
          <w:tcPr>
            <w:tcW w:w="1020" w:type="dxa"/>
            <w:vAlign w:val="bottom"/>
          </w:tcPr>
          <w:p w:rsidR="006142BB" w:rsidRPr="004C5551" w:rsidRDefault="006142BB" w:rsidP="006142BB">
            <w:pPr>
              <w:ind w:firstLine="0"/>
              <w:jc w:val="right"/>
              <w:rPr>
                <w:sz w:val="20"/>
                <w:szCs w:val="20"/>
              </w:rPr>
            </w:pPr>
            <w:r w:rsidRPr="004C5551">
              <w:rPr>
                <w:sz w:val="20"/>
                <w:szCs w:val="20"/>
              </w:rPr>
              <w:t>2 174,58</w:t>
            </w:r>
          </w:p>
        </w:tc>
        <w:tc>
          <w:tcPr>
            <w:tcW w:w="624" w:type="dxa"/>
            <w:vAlign w:val="bottom"/>
          </w:tcPr>
          <w:p w:rsidR="006142BB" w:rsidRPr="004C5551" w:rsidRDefault="006142BB" w:rsidP="006142BB">
            <w:pPr>
              <w:ind w:firstLine="0"/>
              <w:jc w:val="right"/>
              <w:rPr>
                <w:sz w:val="20"/>
                <w:szCs w:val="20"/>
              </w:rPr>
            </w:pPr>
            <w:r w:rsidRPr="004C5551">
              <w:rPr>
                <w:sz w:val="20"/>
                <w:szCs w:val="20"/>
              </w:rPr>
              <w:t>7,3</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77,2</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1,2</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14,9</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6,7</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GR</w:t>
            </w:r>
          </w:p>
        </w:tc>
        <w:tc>
          <w:tcPr>
            <w:tcW w:w="1077" w:type="dxa"/>
            <w:vAlign w:val="bottom"/>
          </w:tcPr>
          <w:p w:rsidR="006142BB" w:rsidRPr="004C5551" w:rsidRDefault="006142BB" w:rsidP="006142BB">
            <w:pPr>
              <w:ind w:firstLine="0"/>
              <w:jc w:val="right"/>
              <w:rPr>
                <w:sz w:val="20"/>
                <w:szCs w:val="20"/>
              </w:rPr>
            </w:pPr>
            <w:r w:rsidRPr="004C5551">
              <w:rPr>
                <w:sz w:val="20"/>
                <w:szCs w:val="20"/>
              </w:rPr>
              <w:t>2 509,15</w:t>
            </w:r>
          </w:p>
        </w:tc>
        <w:tc>
          <w:tcPr>
            <w:tcW w:w="1020" w:type="dxa"/>
            <w:vAlign w:val="bottom"/>
          </w:tcPr>
          <w:p w:rsidR="006142BB" w:rsidRPr="004C5551" w:rsidRDefault="006142BB" w:rsidP="006142BB">
            <w:pPr>
              <w:ind w:firstLine="0"/>
              <w:jc w:val="right"/>
              <w:rPr>
                <w:sz w:val="20"/>
                <w:szCs w:val="20"/>
              </w:rPr>
            </w:pPr>
            <w:r w:rsidRPr="004C5551">
              <w:rPr>
                <w:sz w:val="20"/>
                <w:szCs w:val="20"/>
              </w:rPr>
              <w:t>3 425,93</w:t>
            </w:r>
          </w:p>
        </w:tc>
        <w:tc>
          <w:tcPr>
            <w:tcW w:w="624" w:type="dxa"/>
            <w:vAlign w:val="bottom"/>
          </w:tcPr>
          <w:p w:rsidR="006142BB" w:rsidRPr="004C5551" w:rsidRDefault="006142BB" w:rsidP="006142BB">
            <w:pPr>
              <w:ind w:firstLine="0"/>
              <w:jc w:val="right"/>
              <w:rPr>
                <w:sz w:val="20"/>
                <w:szCs w:val="20"/>
              </w:rPr>
            </w:pPr>
            <w:r w:rsidRPr="004C5551">
              <w:rPr>
                <w:sz w:val="20"/>
                <w:szCs w:val="20"/>
              </w:rPr>
              <w:t>17,5</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64,8</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17,1</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4,5</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13,6</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ES</w:t>
            </w:r>
          </w:p>
        </w:tc>
        <w:tc>
          <w:tcPr>
            <w:tcW w:w="1077" w:type="dxa"/>
            <w:vAlign w:val="bottom"/>
          </w:tcPr>
          <w:p w:rsidR="006142BB" w:rsidRPr="004C5551" w:rsidRDefault="006142BB" w:rsidP="006142BB">
            <w:pPr>
              <w:ind w:firstLine="0"/>
              <w:jc w:val="right"/>
              <w:rPr>
                <w:sz w:val="20"/>
                <w:szCs w:val="20"/>
              </w:rPr>
            </w:pPr>
            <w:r w:rsidRPr="004C5551">
              <w:rPr>
                <w:sz w:val="20"/>
                <w:szCs w:val="20"/>
              </w:rPr>
              <w:t>2 248,20</w:t>
            </w:r>
          </w:p>
        </w:tc>
        <w:tc>
          <w:tcPr>
            <w:tcW w:w="1020" w:type="dxa"/>
            <w:vAlign w:val="bottom"/>
          </w:tcPr>
          <w:p w:rsidR="006142BB" w:rsidRPr="004C5551" w:rsidRDefault="006142BB" w:rsidP="006142BB">
            <w:pPr>
              <w:ind w:firstLine="0"/>
              <w:jc w:val="right"/>
              <w:rPr>
                <w:sz w:val="20"/>
                <w:szCs w:val="20"/>
              </w:rPr>
            </w:pPr>
            <w:r w:rsidRPr="004C5551">
              <w:rPr>
                <w:sz w:val="20"/>
                <w:szCs w:val="20"/>
              </w:rPr>
              <w:t>2 792,43</w:t>
            </w:r>
          </w:p>
        </w:tc>
        <w:tc>
          <w:tcPr>
            <w:tcW w:w="624" w:type="dxa"/>
            <w:vAlign w:val="bottom"/>
          </w:tcPr>
          <w:p w:rsidR="006142BB" w:rsidRPr="004C5551" w:rsidRDefault="006142BB" w:rsidP="006142BB">
            <w:pPr>
              <w:ind w:firstLine="0"/>
              <w:jc w:val="right"/>
              <w:rPr>
                <w:sz w:val="20"/>
                <w:szCs w:val="20"/>
              </w:rPr>
            </w:pPr>
            <w:r w:rsidRPr="004C5551">
              <w:rPr>
                <w:sz w:val="20"/>
                <w:szCs w:val="20"/>
              </w:rPr>
              <w:t>12,0</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61,4</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7,3</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11,6</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19,6</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0,2</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FR</w:t>
            </w:r>
          </w:p>
        </w:tc>
        <w:tc>
          <w:tcPr>
            <w:tcW w:w="1077" w:type="dxa"/>
            <w:vAlign w:val="bottom"/>
          </w:tcPr>
          <w:p w:rsidR="006142BB" w:rsidRPr="004C5551" w:rsidRDefault="006142BB" w:rsidP="006142BB">
            <w:pPr>
              <w:ind w:firstLine="0"/>
              <w:jc w:val="right"/>
              <w:rPr>
                <w:sz w:val="20"/>
                <w:szCs w:val="20"/>
              </w:rPr>
            </w:pPr>
            <w:r w:rsidRPr="004C5551">
              <w:rPr>
                <w:sz w:val="20"/>
                <w:szCs w:val="20"/>
              </w:rPr>
              <w:t>4 209,69</w:t>
            </w:r>
          </w:p>
        </w:tc>
        <w:tc>
          <w:tcPr>
            <w:tcW w:w="1020" w:type="dxa"/>
            <w:vAlign w:val="bottom"/>
          </w:tcPr>
          <w:p w:rsidR="006142BB" w:rsidRPr="004C5551" w:rsidRDefault="006142BB" w:rsidP="006142BB">
            <w:pPr>
              <w:ind w:firstLine="0"/>
              <w:jc w:val="right"/>
              <w:rPr>
                <w:sz w:val="20"/>
                <w:szCs w:val="20"/>
              </w:rPr>
            </w:pPr>
            <w:r w:rsidRPr="004C5551">
              <w:rPr>
                <w:sz w:val="20"/>
                <w:szCs w:val="20"/>
              </w:rPr>
              <w:t>4 309,03</w:t>
            </w:r>
          </w:p>
        </w:tc>
        <w:tc>
          <w:tcPr>
            <w:tcW w:w="624" w:type="dxa"/>
            <w:vAlign w:val="bottom"/>
          </w:tcPr>
          <w:p w:rsidR="006142BB" w:rsidRPr="004C5551" w:rsidRDefault="006142BB" w:rsidP="006142BB">
            <w:pPr>
              <w:ind w:firstLine="0"/>
              <w:jc w:val="right"/>
              <w:rPr>
                <w:sz w:val="20"/>
                <w:szCs w:val="20"/>
              </w:rPr>
            </w:pPr>
            <w:r w:rsidRPr="004C5551">
              <w:rPr>
                <w:sz w:val="20"/>
                <w:szCs w:val="20"/>
              </w:rPr>
              <w:t>15,2</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81,0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7,3</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0,1</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11,4</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0,3</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HR</w:t>
            </w:r>
          </w:p>
        </w:tc>
        <w:tc>
          <w:tcPr>
            <w:tcW w:w="1077" w:type="dxa"/>
            <w:vAlign w:val="bottom"/>
          </w:tcPr>
          <w:p w:rsidR="006142BB" w:rsidRPr="004C5551" w:rsidRDefault="006142BB" w:rsidP="006142BB">
            <w:pPr>
              <w:ind w:firstLine="0"/>
              <w:jc w:val="right"/>
              <w:rPr>
                <w:sz w:val="20"/>
                <w:szCs w:val="20"/>
              </w:rPr>
            </w:pPr>
            <w:r w:rsidRPr="004C5551">
              <w:rPr>
                <w:sz w:val="20"/>
                <w:szCs w:val="20"/>
              </w:rPr>
              <w:t>892,30</w:t>
            </w:r>
          </w:p>
        </w:tc>
        <w:tc>
          <w:tcPr>
            <w:tcW w:w="1020" w:type="dxa"/>
            <w:vAlign w:val="bottom"/>
          </w:tcPr>
          <w:p w:rsidR="006142BB" w:rsidRPr="004C5551" w:rsidRDefault="006142BB" w:rsidP="006142BB">
            <w:pPr>
              <w:ind w:firstLine="0"/>
              <w:jc w:val="right"/>
              <w:rPr>
                <w:sz w:val="20"/>
                <w:szCs w:val="20"/>
              </w:rPr>
            </w:pPr>
            <w:r w:rsidRPr="004C5551">
              <w:rPr>
                <w:sz w:val="20"/>
                <w:szCs w:val="20"/>
              </w:rPr>
              <w:t>1 648,81</w:t>
            </w:r>
          </w:p>
        </w:tc>
        <w:tc>
          <w:tcPr>
            <w:tcW w:w="624" w:type="dxa"/>
            <w:vAlign w:val="bottom"/>
          </w:tcPr>
          <w:p w:rsidR="006142BB" w:rsidRPr="004C5551" w:rsidRDefault="006142BB" w:rsidP="006142BB">
            <w:pPr>
              <w:ind w:firstLine="0"/>
              <w:jc w:val="right"/>
              <w:rPr>
                <w:sz w:val="20"/>
                <w:szCs w:val="20"/>
              </w:rPr>
            </w:pPr>
            <w:r w:rsidRPr="004C5551">
              <w:rPr>
                <w:sz w:val="20"/>
                <w:szCs w:val="20"/>
              </w:rPr>
              <w:t>10,7</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43,4</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9,8</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28,4</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18,4</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IT</w:t>
            </w:r>
          </w:p>
        </w:tc>
        <w:tc>
          <w:tcPr>
            <w:tcW w:w="1077" w:type="dxa"/>
            <w:vAlign w:val="bottom"/>
          </w:tcPr>
          <w:p w:rsidR="006142BB" w:rsidRPr="004C5551" w:rsidRDefault="006142BB" w:rsidP="006142BB">
            <w:pPr>
              <w:ind w:firstLine="0"/>
              <w:jc w:val="right"/>
              <w:rPr>
                <w:sz w:val="20"/>
                <w:szCs w:val="20"/>
              </w:rPr>
            </w:pPr>
            <w:r w:rsidRPr="004C5551">
              <w:rPr>
                <w:sz w:val="20"/>
                <w:szCs w:val="20"/>
              </w:rPr>
              <w:t>3 772,29</w:t>
            </w:r>
          </w:p>
        </w:tc>
        <w:tc>
          <w:tcPr>
            <w:tcW w:w="1020" w:type="dxa"/>
            <w:vAlign w:val="bottom"/>
          </w:tcPr>
          <w:p w:rsidR="006142BB" w:rsidRPr="004C5551" w:rsidRDefault="006142BB" w:rsidP="006142BB">
            <w:pPr>
              <w:ind w:firstLine="0"/>
              <w:jc w:val="right"/>
              <w:rPr>
                <w:sz w:val="20"/>
                <w:szCs w:val="20"/>
              </w:rPr>
            </w:pPr>
            <w:r w:rsidRPr="004C5551">
              <w:rPr>
                <w:sz w:val="20"/>
                <w:szCs w:val="20"/>
              </w:rPr>
              <w:t>4 266,43</w:t>
            </w:r>
          </w:p>
        </w:tc>
        <w:tc>
          <w:tcPr>
            <w:tcW w:w="624" w:type="dxa"/>
            <w:vAlign w:val="bottom"/>
          </w:tcPr>
          <w:p w:rsidR="006142BB" w:rsidRPr="004C5551" w:rsidRDefault="006142BB" w:rsidP="006142BB">
            <w:pPr>
              <w:ind w:firstLine="0"/>
              <w:jc w:val="right"/>
              <w:rPr>
                <w:sz w:val="20"/>
                <w:szCs w:val="20"/>
              </w:rPr>
            </w:pPr>
            <w:r w:rsidRPr="004C5551">
              <w:rPr>
                <w:sz w:val="20"/>
                <w:szCs w:val="20"/>
              </w:rPr>
              <w:t>16,6</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66,9</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12,3</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1,6</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2,7</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16,1</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0,5</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CY</w:t>
            </w:r>
          </w:p>
        </w:tc>
        <w:tc>
          <w:tcPr>
            <w:tcW w:w="1077" w:type="dxa"/>
            <w:vAlign w:val="bottom"/>
          </w:tcPr>
          <w:p w:rsidR="006142BB" w:rsidRPr="004C5551" w:rsidRDefault="006142BB" w:rsidP="006142BB">
            <w:pPr>
              <w:ind w:firstLine="0"/>
              <w:jc w:val="right"/>
              <w:rPr>
                <w:sz w:val="20"/>
                <w:szCs w:val="20"/>
              </w:rPr>
            </w:pPr>
            <w:r w:rsidRPr="004C5551">
              <w:rPr>
                <w:sz w:val="20"/>
                <w:szCs w:val="20"/>
              </w:rPr>
              <w:t>1 626,60</w:t>
            </w:r>
          </w:p>
        </w:tc>
        <w:tc>
          <w:tcPr>
            <w:tcW w:w="1020" w:type="dxa"/>
            <w:vAlign w:val="bottom"/>
          </w:tcPr>
          <w:p w:rsidR="006142BB" w:rsidRPr="004C5551" w:rsidRDefault="006142BB" w:rsidP="006142BB">
            <w:pPr>
              <w:ind w:firstLine="0"/>
              <w:jc w:val="right"/>
              <w:rPr>
                <w:sz w:val="20"/>
                <w:szCs w:val="20"/>
              </w:rPr>
            </w:pPr>
            <w:r w:rsidRPr="004C5551">
              <w:rPr>
                <w:sz w:val="20"/>
                <w:szCs w:val="20"/>
              </w:rPr>
              <w:t>2 181,61</w:t>
            </w:r>
          </w:p>
        </w:tc>
        <w:tc>
          <w:tcPr>
            <w:tcW w:w="624" w:type="dxa"/>
            <w:vAlign w:val="bottom"/>
          </w:tcPr>
          <w:p w:rsidR="006142BB" w:rsidRPr="004C5551" w:rsidRDefault="006142BB" w:rsidP="006142BB">
            <w:pPr>
              <w:ind w:firstLine="0"/>
              <w:jc w:val="right"/>
              <w:rPr>
                <w:sz w:val="20"/>
                <w:szCs w:val="20"/>
              </w:rPr>
            </w:pPr>
            <w:r w:rsidRPr="004C5551">
              <w:rPr>
                <w:sz w:val="20"/>
                <w:szCs w:val="20"/>
              </w:rPr>
              <w:t>9,5</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81,9</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0,1</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3,9</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14,1</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LV</w:t>
            </w:r>
          </w:p>
        </w:tc>
        <w:tc>
          <w:tcPr>
            <w:tcW w:w="1077" w:type="dxa"/>
            <w:vAlign w:val="bottom"/>
          </w:tcPr>
          <w:p w:rsidR="006142BB" w:rsidRPr="004C5551" w:rsidRDefault="006142BB" w:rsidP="006142BB">
            <w:pPr>
              <w:ind w:firstLine="0"/>
              <w:jc w:val="right"/>
              <w:rPr>
                <w:sz w:val="20"/>
                <w:szCs w:val="20"/>
              </w:rPr>
            </w:pPr>
            <w:r w:rsidRPr="004C5551">
              <w:rPr>
                <w:sz w:val="20"/>
                <w:szCs w:val="20"/>
              </w:rPr>
              <w:t>601,10</w:t>
            </w:r>
          </w:p>
        </w:tc>
        <w:tc>
          <w:tcPr>
            <w:tcW w:w="1020" w:type="dxa"/>
            <w:vAlign w:val="bottom"/>
          </w:tcPr>
          <w:p w:rsidR="006142BB" w:rsidRPr="004C5551" w:rsidRDefault="006142BB" w:rsidP="006142BB">
            <w:pPr>
              <w:ind w:firstLine="0"/>
              <w:jc w:val="right"/>
              <w:rPr>
                <w:sz w:val="20"/>
                <w:szCs w:val="20"/>
              </w:rPr>
            </w:pPr>
            <w:r w:rsidRPr="004C5551">
              <w:rPr>
                <w:sz w:val="20"/>
                <w:szCs w:val="20"/>
              </w:rPr>
              <w:t>1 363,05</w:t>
            </w:r>
          </w:p>
        </w:tc>
        <w:tc>
          <w:tcPr>
            <w:tcW w:w="624" w:type="dxa"/>
            <w:vAlign w:val="bottom"/>
          </w:tcPr>
          <w:p w:rsidR="006142BB" w:rsidRPr="004C5551" w:rsidRDefault="006142BB" w:rsidP="006142BB">
            <w:pPr>
              <w:ind w:firstLine="0"/>
              <w:jc w:val="right"/>
              <w:rPr>
                <w:sz w:val="20"/>
                <w:szCs w:val="20"/>
              </w:rPr>
            </w:pPr>
            <w:r w:rsidRPr="004C5551">
              <w:rPr>
                <w:sz w:val="20"/>
                <w:szCs w:val="20"/>
              </w:rPr>
              <w:t>8,2</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86,1</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2,3</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9,7</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1,9</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LT</w:t>
            </w:r>
          </w:p>
        </w:tc>
        <w:tc>
          <w:tcPr>
            <w:tcW w:w="1077" w:type="dxa"/>
            <w:vAlign w:val="bottom"/>
          </w:tcPr>
          <w:p w:rsidR="006142BB" w:rsidRPr="004C5551" w:rsidRDefault="006142BB" w:rsidP="006142BB">
            <w:pPr>
              <w:ind w:firstLine="0"/>
              <w:jc w:val="right"/>
              <w:rPr>
                <w:sz w:val="20"/>
                <w:szCs w:val="20"/>
              </w:rPr>
            </w:pPr>
            <w:r w:rsidRPr="004C5551">
              <w:rPr>
                <w:sz w:val="20"/>
                <w:szCs w:val="20"/>
              </w:rPr>
              <w:t>605,16</w:t>
            </w:r>
          </w:p>
        </w:tc>
        <w:tc>
          <w:tcPr>
            <w:tcW w:w="1020" w:type="dxa"/>
            <w:vAlign w:val="bottom"/>
          </w:tcPr>
          <w:p w:rsidR="006142BB" w:rsidRPr="004C5551" w:rsidRDefault="006142BB" w:rsidP="006142BB">
            <w:pPr>
              <w:ind w:firstLine="0"/>
              <w:jc w:val="right"/>
              <w:rPr>
                <w:sz w:val="20"/>
                <w:szCs w:val="20"/>
              </w:rPr>
            </w:pPr>
            <w:r w:rsidRPr="004C5551">
              <w:rPr>
                <w:sz w:val="20"/>
                <w:szCs w:val="20"/>
              </w:rPr>
              <w:t>1 444,23</w:t>
            </w:r>
          </w:p>
        </w:tc>
        <w:tc>
          <w:tcPr>
            <w:tcW w:w="624" w:type="dxa"/>
            <w:vAlign w:val="bottom"/>
          </w:tcPr>
          <w:p w:rsidR="006142BB" w:rsidRPr="004C5551" w:rsidRDefault="006142BB" w:rsidP="006142BB">
            <w:pPr>
              <w:ind w:firstLine="0"/>
              <w:jc w:val="right"/>
              <w:rPr>
                <w:sz w:val="20"/>
                <w:szCs w:val="20"/>
              </w:rPr>
            </w:pPr>
            <w:r w:rsidRPr="004C5551">
              <w:rPr>
                <w:sz w:val="20"/>
                <w:szCs w:val="20"/>
              </w:rPr>
              <w:t>7,7</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78,1</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3,2</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13,7</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4,9</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LU</w:t>
            </w:r>
          </w:p>
        </w:tc>
        <w:tc>
          <w:tcPr>
            <w:tcW w:w="1077" w:type="dxa"/>
            <w:vAlign w:val="bottom"/>
          </w:tcPr>
          <w:p w:rsidR="006142BB" w:rsidRPr="004C5551" w:rsidRDefault="006142BB" w:rsidP="006142BB">
            <w:pPr>
              <w:ind w:firstLine="0"/>
              <w:jc w:val="right"/>
              <w:rPr>
                <w:sz w:val="20"/>
                <w:szCs w:val="20"/>
              </w:rPr>
            </w:pPr>
            <w:r w:rsidRPr="004C5551">
              <w:rPr>
                <w:sz w:val="20"/>
                <w:szCs w:val="20"/>
              </w:rPr>
              <w:t>6 876,69</w:t>
            </w:r>
          </w:p>
        </w:tc>
        <w:tc>
          <w:tcPr>
            <w:tcW w:w="1020" w:type="dxa"/>
            <w:vAlign w:val="bottom"/>
          </w:tcPr>
          <w:p w:rsidR="006142BB" w:rsidRPr="004C5551" w:rsidRDefault="006142BB" w:rsidP="006142BB">
            <w:pPr>
              <w:ind w:firstLine="0"/>
              <w:jc w:val="right"/>
              <w:rPr>
                <w:sz w:val="20"/>
                <w:szCs w:val="20"/>
              </w:rPr>
            </w:pPr>
            <w:r w:rsidRPr="004C5551">
              <w:rPr>
                <w:sz w:val="20"/>
                <w:szCs w:val="20"/>
              </w:rPr>
              <w:t>5 824,63</w:t>
            </w:r>
          </w:p>
        </w:tc>
        <w:tc>
          <w:tcPr>
            <w:tcW w:w="624" w:type="dxa"/>
            <w:vAlign w:val="bottom"/>
          </w:tcPr>
          <w:p w:rsidR="006142BB" w:rsidRPr="004C5551" w:rsidRDefault="006142BB" w:rsidP="006142BB">
            <w:pPr>
              <w:ind w:firstLine="0"/>
              <w:jc w:val="right"/>
              <w:rPr>
                <w:sz w:val="20"/>
                <w:szCs w:val="20"/>
              </w:rPr>
            </w:pPr>
            <w:r w:rsidRPr="004C5551">
              <w:rPr>
                <w:sz w:val="20"/>
                <w:szCs w:val="20"/>
              </w:rPr>
              <w:t>9,8</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47,0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21,4</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9,8</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19,8</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2,0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HU</w:t>
            </w:r>
          </w:p>
        </w:tc>
        <w:tc>
          <w:tcPr>
            <w:tcW w:w="1077" w:type="dxa"/>
            <w:vAlign w:val="bottom"/>
          </w:tcPr>
          <w:p w:rsidR="006142BB" w:rsidRPr="004C5551" w:rsidRDefault="006142BB" w:rsidP="006142BB">
            <w:pPr>
              <w:ind w:firstLine="0"/>
              <w:jc w:val="right"/>
              <w:rPr>
                <w:sz w:val="20"/>
                <w:szCs w:val="20"/>
              </w:rPr>
            </w:pPr>
            <w:r w:rsidRPr="004C5551">
              <w:rPr>
                <w:sz w:val="20"/>
                <w:szCs w:val="20"/>
              </w:rPr>
              <w:t>784,49</w:t>
            </w:r>
          </w:p>
        </w:tc>
        <w:tc>
          <w:tcPr>
            <w:tcW w:w="1020" w:type="dxa"/>
            <w:vAlign w:val="bottom"/>
          </w:tcPr>
          <w:p w:rsidR="006142BB" w:rsidRPr="004C5551" w:rsidRDefault="006142BB" w:rsidP="006142BB">
            <w:pPr>
              <w:ind w:firstLine="0"/>
              <w:jc w:val="right"/>
              <w:rPr>
                <w:sz w:val="20"/>
                <w:szCs w:val="20"/>
              </w:rPr>
            </w:pPr>
            <w:r w:rsidRPr="004C5551">
              <w:rPr>
                <w:sz w:val="20"/>
                <w:szCs w:val="20"/>
              </w:rPr>
              <w:t>1 700,09</w:t>
            </w:r>
          </w:p>
        </w:tc>
        <w:tc>
          <w:tcPr>
            <w:tcW w:w="624" w:type="dxa"/>
            <w:vAlign w:val="bottom"/>
          </w:tcPr>
          <w:p w:rsidR="006142BB" w:rsidRPr="004C5551" w:rsidRDefault="006142BB" w:rsidP="006142BB">
            <w:pPr>
              <w:ind w:firstLine="0"/>
              <w:jc w:val="right"/>
              <w:rPr>
                <w:sz w:val="20"/>
                <w:szCs w:val="20"/>
              </w:rPr>
            </w:pPr>
            <w:r w:rsidRPr="004C5551">
              <w:rPr>
                <w:sz w:val="20"/>
                <w:szCs w:val="20"/>
              </w:rPr>
              <w:t>9,6</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80,9</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4,8</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0,7</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13,6</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MT</w:t>
            </w:r>
          </w:p>
        </w:tc>
        <w:tc>
          <w:tcPr>
            <w:tcW w:w="1077" w:type="dxa"/>
            <w:vAlign w:val="bottom"/>
          </w:tcPr>
          <w:p w:rsidR="006142BB" w:rsidRPr="004C5551" w:rsidRDefault="006142BB" w:rsidP="006142BB">
            <w:pPr>
              <w:ind w:firstLine="0"/>
              <w:jc w:val="right"/>
              <w:rPr>
                <w:sz w:val="20"/>
                <w:szCs w:val="20"/>
              </w:rPr>
            </w:pPr>
            <w:r w:rsidRPr="004C5551">
              <w:rPr>
                <w:sz w:val="20"/>
                <w:szCs w:val="20"/>
              </w:rPr>
              <w:t>1 349,45</w:t>
            </w:r>
          </w:p>
        </w:tc>
        <w:tc>
          <w:tcPr>
            <w:tcW w:w="1020" w:type="dxa"/>
            <w:vAlign w:val="bottom"/>
          </w:tcPr>
          <w:p w:rsidR="006142BB" w:rsidRPr="004C5551" w:rsidRDefault="006142BB" w:rsidP="006142BB">
            <w:pPr>
              <w:ind w:firstLine="0"/>
              <w:jc w:val="right"/>
              <w:rPr>
                <w:sz w:val="20"/>
                <w:szCs w:val="20"/>
              </w:rPr>
            </w:pPr>
            <w:r w:rsidRPr="004C5551">
              <w:rPr>
                <w:sz w:val="20"/>
                <w:szCs w:val="20"/>
              </w:rPr>
              <w:t>2 103,57</w:t>
            </w:r>
          </w:p>
        </w:tc>
        <w:tc>
          <w:tcPr>
            <w:tcW w:w="624" w:type="dxa"/>
            <w:vAlign w:val="bottom"/>
          </w:tcPr>
          <w:p w:rsidR="006142BB" w:rsidRPr="004C5551" w:rsidRDefault="006142BB" w:rsidP="006142BB">
            <w:pPr>
              <w:ind w:firstLine="0"/>
              <w:jc w:val="right"/>
              <w:rPr>
                <w:sz w:val="20"/>
                <w:szCs w:val="20"/>
              </w:rPr>
            </w:pPr>
            <w:r w:rsidRPr="004C5551">
              <w:rPr>
                <w:sz w:val="20"/>
                <w:szCs w:val="20"/>
              </w:rPr>
              <w:t>9,6</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76,8</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5,1</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17,5</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0,5</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NL</w:t>
            </w:r>
          </w:p>
        </w:tc>
        <w:tc>
          <w:tcPr>
            <w:tcW w:w="1077" w:type="dxa"/>
            <w:vAlign w:val="bottom"/>
          </w:tcPr>
          <w:p w:rsidR="006142BB" w:rsidRPr="004C5551" w:rsidRDefault="006142BB" w:rsidP="006142BB">
            <w:pPr>
              <w:ind w:firstLine="0"/>
              <w:jc w:val="right"/>
              <w:rPr>
                <w:sz w:val="20"/>
                <w:szCs w:val="20"/>
              </w:rPr>
            </w:pPr>
            <w:r w:rsidRPr="004C5551">
              <w:rPr>
                <w:sz w:val="20"/>
                <w:szCs w:val="20"/>
              </w:rPr>
              <w:t>4 303,30</w:t>
            </w:r>
          </w:p>
        </w:tc>
        <w:tc>
          <w:tcPr>
            <w:tcW w:w="1020" w:type="dxa"/>
            <w:vAlign w:val="bottom"/>
          </w:tcPr>
          <w:p w:rsidR="006142BB" w:rsidRPr="004C5551" w:rsidRDefault="006142BB" w:rsidP="006142BB">
            <w:pPr>
              <w:ind w:firstLine="0"/>
              <w:jc w:val="right"/>
              <w:rPr>
                <w:sz w:val="20"/>
                <w:szCs w:val="20"/>
              </w:rPr>
            </w:pPr>
            <w:r w:rsidRPr="004C5551">
              <w:rPr>
                <w:sz w:val="20"/>
                <w:szCs w:val="20"/>
              </w:rPr>
              <w:t>4 301,29</w:t>
            </w:r>
          </w:p>
        </w:tc>
        <w:tc>
          <w:tcPr>
            <w:tcW w:w="624" w:type="dxa"/>
            <w:vAlign w:val="bottom"/>
          </w:tcPr>
          <w:p w:rsidR="006142BB" w:rsidRPr="004C5551" w:rsidRDefault="006142BB" w:rsidP="006142BB">
            <w:pPr>
              <w:ind w:firstLine="0"/>
              <w:jc w:val="right"/>
              <w:rPr>
                <w:sz w:val="20"/>
                <w:szCs w:val="20"/>
              </w:rPr>
            </w:pPr>
            <w:r w:rsidRPr="004C5551">
              <w:rPr>
                <w:sz w:val="20"/>
                <w:szCs w:val="20"/>
              </w:rPr>
              <w:t>13,4</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73,4</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3,2</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14,4</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9,1</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AT</w:t>
            </w:r>
          </w:p>
        </w:tc>
        <w:tc>
          <w:tcPr>
            <w:tcW w:w="1077" w:type="dxa"/>
            <w:vAlign w:val="bottom"/>
          </w:tcPr>
          <w:p w:rsidR="006142BB" w:rsidRPr="004C5551" w:rsidRDefault="006142BB" w:rsidP="006142BB">
            <w:pPr>
              <w:ind w:firstLine="0"/>
              <w:jc w:val="right"/>
              <w:rPr>
                <w:sz w:val="20"/>
                <w:szCs w:val="20"/>
              </w:rPr>
            </w:pPr>
            <w:r w:rsidRPr="004C5551">
              <w:rPr>
                <w:sz w:val="20"/>
                <w:szCs w:val="20"/>
              </w:rPr>
              <w:t>4 704,79</w:t>
            </w:r>
          </w:p>
        </w:tc>
        <w:tc>
          <w:tcPr>
            <w:tcW w:w="1020" w:type="dxa"/>
            <w:vAlign w:val="bottom"/>
          </w:tcPr>
          <w:p w:rsidR="006142BB" w:rsidRPr="004C5551" w:rsidRDefault="006142BB" w:rsidP="006142BB">
            <w:pPr>
              <w:ind w:firstLine="0"/>
              <w:jc w:val="right"/>
              <w:rPr>
                <w:sz w:val="20"/>
                <w:szCs w:val="20"/>
              </w:rPr>
            </w:pPr>
            <w:r w:rsidRPr="004C5551">
              <w:rPr>
                <w:sz w:val="20"/>
                <w:szCs w:val="20"/>
              </w:rPr>
              <w:t>4 961,32</w:t>
            </w:r>
          </w:p>
        </w:tc>
        <w:tc>
          <w:tcPr>
            <w:tcW w:w="624" w:type="dxa"/>
            <w:vAlign w:val="bottom"/>
          </w:tcPr>
          <w:p w:rsidR="006142BB" w:rsidRPr="004C5551" w:rsidRDefault="006142BB" w:rsidP="006142BB">
            <w:pPr>
              <w:ind w:firstLine="0"/>
              <w:jc w:val="right"/>
              <w:rPr>
                <w:sz w:val="20"/>
                <w:szCs w:val="20"/>
              </w:rPr>
            </w:pPr>
            <w:r w:rsidRPr="004C5551">
              <w:rPr>
                <w:sz w:val="20"/>
                <w:szCs w:val="20"/>
              </w:rPr>
              <w:t>15,0</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71,3</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6,4</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9,6</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12,5</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0,2</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PL</w:t>
            </w:r>
          </w:p>
        </w:tc>
        <w:tc>
          <w:tcPr>
            <w:tcW w:w="1077" w:type="dxa"/>
            <w:vAlign w:val="bottom"/>
          </w:tcPr>
          <w:p w:rsidR="006142BB" w:rsidRPr="004C5551" w:rsidRDefault="006142BB" w:rsidP="006142BB">
            <w:pPr>
              <w:ind w:firstLine="0"/>
              <w:jc w:val="right"/>
              <w:rPr>
                <w:sz w:val="20"/>
                <w:szCs w:val="20"/>
              </w:rPr>
            </w:pPr>
            <w:r w:rsidRPr="004C5551">
              <w:rPr>
                <w:sz w:val="20"/>
                <w:szCs w:val="20"/>
              </w:rPr>
              <w:t>924,69</w:t>
            </w:r>
          </w:p>
        </w:tc>
        <w:tc>
          <w:tcPr>
            <w:tcW w:w="1020" w:type="dxa"/>
            <w:vAlign w:val="bottom"/>
          </w:tcPr>
          <w:p w:rsidR="006142BB" w:rsidRPr="004C5551" w:rsidRDefault="006142BB" w:rsidP="006142BB">
            <w:pPr>
              <w:ind w:firstLine="0"/>
              <w:jc w:val="right"/>
              <w:rPr>
                <w:sz w:val="20"/>
                <w:szCs w:val="20"/>
              </w:rPr>
            </w:pPr>
            <w:r w:rsidRPr="004C5551">
              <w:rPr>
                <w:sz w:val="20"/>
                <w:szCs w:val="20"/>
              </w:rPr>
              <w:t>2 066,16</w:t>
            </w:r>
          </w:p>
        </w:tc>
        <w:tc>
          <w:tcPr>
            <w:tcW w:w="624" w:type="dxa"/>
            <w:vAlign w:val="bottom"/>
          </w:tcPr>
          <w:p w:rsidR="006142BB" w:rsidRPr="004C5551" w:rsidRDefault="006142BB" w:rsidP="006142BB">
            <w:pPr>
              <w:ind w:firstLine="0"/>
              <w:jc w:val="right"/>
              <w:rPr>
                <w:sz w:val="20"/>
                <w:szCs w:val="20"/>
              </w:rPr>
            </w:pPr>
            <w:r w:rsidRPr="004C5551">
              <w:rPr>
                <w:sz w:val="20"/>
                <w:szCs w:val="20"/>
              </w:rPr>
              <w:t>11,1</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63,2</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12,0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8,7</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0,2</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15,5</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0,3</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PT</w:t>
            </w:r>
          </w:p>
        </w:tc>
        <w:tc>
          <w:tcPr>
            <w:tcW w:w="1077" w:type="dxa"/>
            <w:vAlign w:val="bottom"/>
          </w:tcPr>
          <w:p w:rsidR="006142BB" w:rsidRPr="004C5551" w:rsidRDefault="006142BB" w:rsidP="006142BB">
            <w:pPr>
              <w:ind w:firstLine="0"/>
              <w:jc w:val="right"/>
              <w:rPr>
                <w:sz w:val="20"/>
                <w:szCs w:val="20"/>
              </w:rPr>
            </w:pPr>
            <w:r w:rsidRPr="004C5551">
              <w:rPr>
                <w:sz w:val="20"/>
                <w:szCs w:val="20"/>
              </w:rPr>
              <w:t>2 075,64</w:t>
            </w:r>
          </w:p>
        </w:tc>
        <w:tc>
          <w:tcPr>
            <w:tcW w:w="1020" w:type="dxa"/>
            <w:vAlign w:val="bottom"/>
          </w:tcPr>
          <w:p w:rsidR="006142BB" w:rsidRPr="004C5551" w:rsidRDefault="006142BB" w:rsidP="006142BB">
            <w:pPr>
              <w:ind w:firstLine="0"/>
              <w:jc w:val="right"/>
              <w:rPr>
                <w:sz w:val="20"/>
                <w:szCs w:val="20"/>
              </w:rPr>
            </w:pPr>
            <w:r w:rsidRPr="004C5551">
              <w:rPr>
                <w:sz w:val="20"/>
                <w:szCs w:val="20"/>
              </w:rPr>
              <w:t>2 792,93</w:t>
            </w:r>
          </w:p>
        </w:tc>
        <w:tc>
          <w:tcPr>
            <w:tcW w:w="624" w:type="dxa"/>
            <w:vAlign w:val="bottom"/>
          </w:tcPr>
          <w:p w:rsidR="006142BB" w:rsidRPr="004C5551" w:rsidRDefault="006142BB" w:rsidP="006142BB">
            <w:pPr>
              <w:ind w:firstLine="0"/>
              <w:jc w:val="right"/>
              <w:rPr>
                <w:sz w:val="20"/>
                <w:szCs w:val="20"/>
              </w:rPr>
            </w:pPr>
            <w:r w:rsidRPr="004C5551">
              <w:rPr>
                <w:sz w:val="20"/>
                <w:szCs w:val="20"/>
              </w:rPr>
              <w:t>14,8</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73,0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3,0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11,8</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11,9</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0,4</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RO</w:t>
            </w:r>
          </w:p>
        </w:tc>
        <w:tc>
          <w:tcPr>
            <w:tcW w:w="1077" w:type="dxa"/>
            <w:vAlign w:val="bottom"/>
          </w:tcPr>
          <w:p w:rsidR="006142BB" w:rsidRPr="004C5551" w:rsidRDefault="006142BB" w:rsidP="006142BB">
            <w:pPr>
              <w:ind w:firstLine="0"/>
              <w:jc w:val="right"/>
              <w:rPr>
                <w:sz w:val="20"/>
                <w:szCs w:val="20"/>
              </w:rPr>
            </w:pPr>
            <w:r w:rsidRPr="004C5551">
              <w:rPr>
                <w:sz w:val="20"/>
                <w:szCs w:val="20"/>
              </w:rPr>
              <w:t>484,82</w:t>
            </w:r>
          </w:p>
        </w:tc>
        <w:tc>
          <w:tcPr>
            <w:tcW w:w="1020" w:type="dxa"/>
            <w:vAlign w:val="bottom"/>
          </w:tcPr>
          <w:p w:rsidR="006142BB" w:rsidRPr="004C5551" w:rsidRDefault="006142BB" w:rsidP="006142BB">
            <w:pPr>
              <w:ind w:firstLine="0"/>
              <w:jc w:val="right"/>
              <w:rPr>
                <w:sz w:val="20"/>
                <w:szCs w:val="20"/>
              </w:rPr>
            </w:pPr>
            <w:r w:rsidRPr="004C5551">
              <w:rPr>
                <w:sz w:val="20"/>
                <w:szCs w:val="20"/>
              </w:rPr>
              <w:t>1 183,65</w:t>
            </w:r>
          </w:p>
        </w:tc>
        <w:tc>
          <w:tcPr>
            <w:tcW w:w="624" w:type="dxa"/>
            <w:vAlign w:val="bottom"/>
          </w:tcPr>
          <w:p w:rsidR="006142BB" w:rsidRPr="004C5551" w:rsidRDefault="006142BB" w:rsidP="006142BB">
            <w:pPr>
              <w:ind w:firstLine="0"/>
              <w:jc w:val="right"/>
              <w:rPr>
                <w:sz w:val="20"/>
                <w:szCs w:val="20"/>
              </w:rPr>
            </w:pPr>
            <w:r w:rsidRPr="004C5551">
              <w:rPr>
                <w:sz w:val="20"/>
                <w:szCs w:val="20"/>
              </w:rPr>
              <w:t>8,8</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81,9</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0,2</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1,7</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5,0</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4,6</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6,5</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tcBorders>
              <w:bottom w:val="single" w:sz="4" w:space="0" w:color="auto"/>
            </w:tcBorders>
            <w:vAlign w:val="center"/>
          </w:tcPr>
          <w:p w:rsidR="006142BB" w:rsidRPr="004C5551" w:rsidRDefault="006142BB" w:rsidP="009E2776">
            <w:pPr>
              <w:ind w:firstLine="0"/>
              <w:jc w:val="center"/>
              <w:rPr>
                <w:sz w:val="20"/>
                <w:szCs w:val="20"/>
              </w:rPr>
            </w:pPr>
            <w:r w:rsidRPr="004C5551">
              <w:rPr>
                <w:sz w:val="20"/>
                <w:szCs w:val="20"/>
              </w:rPr>
              <w:t>SI</w:t>
            </w:r>
          </w:p>
        </w:tc>
        <w:tc>
          <w:tcPr>
            <w:tcW w:w="1077"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1 676,85</w:t>
            </w:r>
          </w:p>
        </w:tc>
        <w:tc>
          <w:tcPr>
            <w:tcW w:w="1020"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2 416,65</w:t>
            </w:r>
          </w:p>
        </w:tc>
        <w:tc>
          <w:tcPr>
            <w:tcW w:w="624"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11,6</w:t>
            </w:r>
          </w:p>
        </w:tc>
        <w:tc>
          <w:tcPr>
            <w:tcW w:w="907"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56,6</w:t>
            </w:r>
          </w:p>
        </w:tc>
        <w:tc>
          <w:tcPr>
            <w:tcW w:w="1020"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25,3</w:t>
            </w:r>
          </w:p>
        </w:tc>
        <w:tc>
          <w:tcPr>
            <w:tcW w:w="964"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0,1</w:t>
            </w:r>
          </w:p>
        </w:tc>
        <w:tc>
          <w:tcPr>
            <w:tcW w:w="964"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5,5</w:t>
            </w:r>
          </w:p>
        </w:tc>
        <w:tc>
          <w:tcPr>
            <w:tcW w:w="1077" w:type="dxa"/>
            <w:tcBorders>
              <w:bottom w:val="single" w:sz="4" w:space="0" w:color="auto"/>
            </w:tcBorders>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12,5</w:t>
            </w:r>
          </w:p>
        </w:tc>
        <w:tc>
          <w:tcPr>
            <w:tcW w:w="1020" w:type="dxa"/>
            <w:tcBorders>
              <w:bottom w:val="single" w:sz="4" w:space="0" w:color="auto"/>
            </w:tcBorders>
            <w:vAlign w:val="bottom"/>
          </w:tcPr>
          <w:p w:rsidR="006142BB" w:rsidRPr="004C5551" w:rsidRDefault="006142BB" w:rsidP="006142BB">
            <w:pPr>
              <w:ind w:right="179" w:firstLine="0"/>
              <w:jc w:val="right"/>
              <w:rPr>
                <w:sz w:val="20"/>
                <w:szCs w:val="20"/>
              </w:rPr>
            </w:pPr>
            <w:r w:rsidRPr="004C5551">
              <w:rPr>
                <w:sz w:val="20"/>
                <w:szCs w:val="20"/>
              </w:rPr>
              <w:t>0,0</w:t>
            </w:r>
          </w:p>
        </w:tc>
      </w:tr>
      <w:tr w:rsidR="00C54348" w:rsidRPr="004C5551" w:rsidTr="009E2776">
        <w:trPr>
          <w:trHeight w:val="295"/>
          <w:jc w:val="center"/>
        </w:trPr>
        <w:tc>
          <w:tcPr>
            <w:tcW w:w="907" w:type="dxa"/>
            <w:shd w:val="clear" w:color="auto" w:fill="FFCCCC" w:themeFill="accent3" w:themeFillTint="33"/>
            <w:vAlign w:val="center"/>
          </w:tcPr>
          <w:p w:rsidR="00C54348" w:rsidRPr="004C5551" w:rsidRDefault="00C54348" w:rsidP="009E2776">
            <w:pPr>
              <w:ind w:firstLine="0"/>
              <w:jc w:val="center"/>
              <w:rPr>
                <w:sz w:val="20"/>
                <w:szCs w:val="20"/>
              </w:rPr>
            </w:pPr>
            <w:r w:rsidRPr="004C5551">
              <w:rPr>
                <w:sz w:val="20"/>
                <w:szCs w:val="20"/>
              </w:rPr>
              <w:t>SK</w:t>
            </w:r>
          </w:p>
        </w:tc>
        <w:tc>
          <w:tcPr>
            <w:tcW w:w="1077" w:type="dxa"/>
            <w:shd w:val="clear" w:color="auto" w:fill="FFCCCC" w:themeFill="accent3" w:themeFillTint="33"/>
            <w:vAlign w:val="bottom"/>
          </w:tcPr>
          <w:p w:rsidR="00C54348" w:rsidRPr="004C5551" w:rsidRDefault="00C05933" w:rsidP="006142BB">
            <w:pPr>
              <w:jc w:val="right"/>
              <w:rPr>
                <w:sz w:val="20"/>
                <w:szCs w:val="20"/>
              </w:rPr>
            </w:pPr>
            <w:r w:rsidRPr="004C5551">
              <w:rPr>
                <w:sz w:val="20"/>
                <w:szCs w:val="20"/>
              </w:rPr>
              <w:t>708,93</w:t>
            </w:r>
          </w:p>
        </w:tc>
        <w:tc>
          <w:tcPr>
            <w:tcW w:w="1020" w:type="dxa"/>
            <w:shd w:val="clear" w:color="auto" w:fill="FFCCCC" w:themeFill="accent3" w:themeFillTint="33"/>
            <w:vAlign w:val="bottom"/>
          </w:tcPr>
          <w:p w:rsidR="00C54348" w:rsidRPr="004C5551" w:rsidRDefault="00C05933" w:rsidP="00C05933">
            <w:pPr>
              <w:ind w:firstLine="0"/>
              <w:jc w:val="right"/>
              <w:rPr>
                <w:sz w:val="20"/>
                <w:szCs w:val="20"/>
              </w:rPr>
            </w:pPr>
            <w:r w:rsidRPr="004C5551">
              <w:rPr>
                <w:sz w:val="20"/>
                <w:szCs w:val="20"/>
              </w:rPr>
              <w:t>1 707,71</w:t>
            </w:r>
          </w:p>
        </w:tc>
        <w:tc>
          <w:tcPr>
            <w:tcW w:w="624" w:type="dxa"/>
            <w:shd w:val="clear" w:color="auto" w:fill="FFCCCC" w:themeFill="accent3" w:themeFillTint="33"/>
            <w:vAlign w:val="bottom"/>
          </w:tcPr>
          <w:p w:rsidR="00C54348" w:rsidRPr="004C5551" w:rsidRDefault="00C05933" w:rsidP="00C05933">
            <w:pPr>
              <w:ind w:firstLine="0"/>
              <w:jc w:val="right"/>
              <w:rPr>
                <w:sz w:val="20"/>
                <w:szCs w:val="20"/>
              </w:rPr>
            </w:pPr>
            <w:r w:rsidRPr="004C5551">
              <w:rPr>
                <w:sz w:val="20"/>
                <w:szCs w:val="20"/>
              </w:rPr>
              <w:t>8,4</w:t>
            </w:r>
          </w:p>
        </w:tc>
        <w:tc>
          <w:tcPr>
            <w:tcW w:w="907" w:type="dxa"/>
            <w:shd w:val="clear" w:color="auto" w:fill="FFCCCC" w:themeFill="accent3" w:themeFillTint="33"/>
            <w:vAlign w:val="bottom"/>
          </w:tcPr>
          <w:p w:rsidR="00C54348" w:rsidRPr="004C5551" w:rsidRDefault="00C05933" w:rsidP="00C05933">
            <w:pPr>
              <w:ind w:right="113" w:firstLine="0"/>
              <w:jc w:val="right"/>
              <w:rPr>
                <w:sz w:val="20"/>
                <w:szCs w:val="20"/>
              </w:rPr>
            </w:pPr>
            <w:r w:rsidRPr="004C5551">
              <w:rPr>
                <w:sz w:val="20"/>
                <w:szCs w:val="20"/>
              </w:rPr>
              <w:t>71,2</w:t>
            </w:r>
          </w:p>
        </w:tc>
        <w:tc>
          <w:tcPr>
            <w:tcW w:w="1020" w:type="dxa"/>
            <w:shd w:val="clear" w:color="auto" w:fill="FFCCCC" w:themeFill="accent3" w:themeFillTint="33"/>
            <w:vAlign w:val="bottom"/>
          </w:tcPr>
          <w:p w:rsidR="00C54348" w:rsidRPr="004C5551" w:rsidRDefault="00C05933" w:rsidP="00C05933">
            <w:pPr>
              <w:ind w:right="113" w:firstLine="0"/>
              <w:jc w:val="right"/>
              <w:rPr>
                <w:sz w:val="20"/>
                <w:szCs w:val="20"/>
              </w:rPr>
            </w:pPr>
            <w:r w:rsidRPr="004C5551">
              <w:rPr>
                <w:sz w:val="20"/>
                <w:szCs w:val="20"/>
              </w:rPr>
              <w:t>3,4</w:t>
            </w:r>
          </w:p>
        </w:tc>
        <w:tc>
          <w:tcPr>
            <w:tcW w:w="964" w:type="dxa"/>
            <w:shd w:val="clear" w:color="auto" w:fill="FFCCCC" w:themeFill="accent3" w:themeFillTint="33"/>
            <w:vAlign w:val="bottom"/>
          </w:tcPr>
          <w:p w:rsidR="00C54348" w:rsidRPr="004C5551" w:rsidRDefault="00C05933" w:rsidP="00C05933">
            <w:pPr>
              <w:ind w:right="113" w:firstLine="0"/>
              <w:jc w:val="right"/>
              <w:rPr>
                <w:sz w:val="20"/>
                <w:szCs w:val="20"/>
              </w:rPr>
            </w:pPr>
            <w:r w:rsidRPr="004C5551">
              <w:rPr>
                <w:sz w:val="20"/>
                <w:szCs w:val="20"/>
              </w:rPr>
              <w:t>0,0</w:t>
            </w:r>
          </w:p>
        </w:tc>
        <w:tc>
          <w:tcPr>
            <w:tcW w:w="964" w:type="dxa"/>
            <w:shd w:val="clear" w:color="auto" w:fill="FFCCCC" w:themeFill="accent3" w:themeFillTint="33"/>
            <w:vAlign w:val="bottom"/>
          </w:tcPr>
          <w:p w:rsidR="00C54348" w:rsidRPr="004C5551" w:rsidRDefault="00C05933" w:rsidP="00C05933">
            <w:pPr>
              <w:ind w:right="113" w:firstLine="0"/>
              <w:jc w:val="right"/>
              <w:rPr>
                <w:sz w:val="20"/>
                <w:szCs w:val="20"/>
              </w:rPr>
            </w:pPr>
            <w:r w:rsidRPr="004C5551">
              <w:rPr>
                <w:sz w:val="20"/>
                <w:szCs w:val="20"/>
              </w:rPr>
              <w:t>12,5</w:t>
            </w:r>
          </w:p>
        </w:tc>
        <w:tc>
          <w:tcPr>
            <w:tcW w:w="1077" w:type="dxa"/>
            <w:shd w:val="clear" w:color="auto" w:fill="FFCCCC" w:themeFill="accent3" w:themeFillTint="33"/>
            <w:vAlign w:val="bottom"/>
          </w:tcPr>
          <w:p w:rsidR="00C54348" w:rsidRPr="004C5551" w:rsidRDefault="00C05933" w:rsidP="00C05933">
            <w:pPr>
              <w:ind w:right="254" w:firstLine="0"/>
              <w:jc w:val="right"/>
              <w:rPr>
                <w:sz w:val="20"/>
                <w:szCs w:val="20"/>
              </w:rPr>
            </w:pPr>
            <w:r w:rsidRPr="004C5551">
              <w:rPr>
                <w:sz w:val="20"/>
                <w:szCs w:val="20"/>
              </w:rPr>
              <w:t>0,0</w:t>
            </w:r>
          </w:p>
        </w:tc>
        <w:tc>
          <w:tcPr>
            <w:tcW w:w="796" w:type="dxa"/>
            <w:shd w:val="clear" w:color="auto" w:fill="FFCCCC" w:themeFill="accent3" w:themeFillTint="33"/>
            <w:vAlign w:val="bottom"/>
          </w:tcPr>
          <w:p w:rsidR="00C54348" w:rsidRPr="004C5551" w:rsidRDefault="00C05933" w:rsidP="00C05933">
            <w:pPr>
              <w:ind w:right="113" w:firstLine="0"/>
              <w:jc w:val="right"/>
              <w:rPr>
                <w:sz w:val="20"/>
                <w:szCs w:val="20"/>
              </w:rPr>
            </w:pPr>
            <w:r w:rsidRPr="004C5551">
              <w:rPr>
                <w:sz w:val="20"/>
                <w:szCs w:val="20"/>
              </w:rPr>
              <w:t>10,8</w:t>
            </w:r>
          </w:p>
        </w:tc>
        <w:tc>
          <w:tcPr>
            <w:tcW w:w="1020" w:type="dxa"/>
            <w:shd w:val="clear" w:color="auto" w:fill="FFCCCC" w:themeFill="accent3" w:themeFillTint="33"/>
            <w:vAlign w:val="bottom"/>
          </w:tcPr>
          <w:p w:rsidR="00C54348" w:rsidRPr="004C5551" w:rsidRDefault="00C05933" w:rsidP="00C05933">
            <w:pPr>
              <w:ind w:right="179" w:firstLine="0"/>
              <w:jc w:val="right"/>
              <w:rPr>
                <w:sz w:val="20"/>
                <w:szCs w:val="20"/>
              </w:rPr>
            </w:pPr>
            <w:r w:rsidRPr="004C5551">
              <w:rPr>
                <w:sz w:val="20"/>
                <w:szCs w:val="20"/>
              </w:rPr>
              <w:t>2,1</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FI</w:t>
            </w:r>
          </w:p>
        </w:tc>
        <w:tc>
          <w:tcPr>
            <w:tcW w:w="1077" w:type="dxa"/>
            <w:vAlign w:val="bottom"/>
          </w:tcPr>
          <w:p w:rsidR="006142BB" w:rsidRPr="004C5551" w:rsidRDefault="006142BB" w:rsidP="006142BB">
            <w:pPr>
              <w:ind w:firstLine="0"/>
              <w:jc w:val="right"/>
              <w:rPr>
                <w:sz w:val="20"/>
                <w:szCs w:val="20"/>
              </w:rPr>
            </w:pPr>
            <w:r w:rsidRPr="004C5551">
              <w:rPr>
                <w:sz w:val="20"/>
                <w:szCs w:val="20"/>
              </w:rPr>
              <w:t>3 916,74</w:t>
            </w:r>
          </w:p>
        </w:tc>
        <w:tc>
          <w:tcPr>
            <w:tcW w:w="1020" w:type="dxa"/>
            <w:vAlign w:val="bottom"/>
          </w:tcPr>
          <w:p w:rsidR="006142BB" w:rsidRPr="004C5551" w:rsidRDefault="006142BB" w:rsidP="006142BB">
            <w:pPr>
              <w:ind w:firstLine="0"/>
              <w:jc w:val="right"/>
              <w:rPr>
                <w:sz w:val="20"/>
                <w:szCs w:val="20"/>
              </w:rPr>
            </w:pPr>
            <w:r w:rsidRPr="004C5551">
              <w:rPr>
                <w:sz w:val="20"/>
                <w:szCs w:val="20"/>
              </w:rPr>
              <w:t>3 766,99</w:t>
            </w:r>
          </w:p>
        </w:tc>
        <w:tc>
          <w:tcPr>
            <w:tcW w:w="624" w:type="dxa"/>
            <w:vAlign w:val="bottom"/>
          </w:tcPr>
          <w:p w:rsidR="006142BB" w:rsidRPr="004C5551" w:rsidRDefault="006142BB" w:rsidP="006142BB">
            <w:pPr>
              <w:ind w:firstLine="0"/>
              <w:jc w:val="right"/>
              <w:rPr>
                <w:sz w:val="20"/>
                <w:szCs w:val="20"/>
              </w:rPr>
            </w:pPr>
            <w:r w:rsidRPr="004C5551">
              <w:rPr>
                <w:sz w:val="20"/>
                <w:szCs w:val="20"/>
              </w:rPr>
              <w:t>13,0</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73,0</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4,8</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0,9</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14,0</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6,8</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0,5</w:t>
            </w:r>
          </w:p>
        </w:tc>
      </w:tr>
      <w:tr w:rsidR="006142BB" w:rsidRPr="004C5551" w:rsidTr="009E2776">
        <w:trPr>
          <w:trHeight w:val="295"/>
          <w:jc w:val="center"/>
        </w:trPr>
        <w:tc>
          <w:tcPr>
            <w:tcW w:w="907" w:type="dxa"/>
            <w:tcBorders>
              <w:bottom w:val="single" w:sz="4" w:space="0" w:color="auto"/>
            </w:tcBorders>
            <w:vAlign w:val="center"/>
          </w:tcPr>
          <w:p w:rsidR="006142BB" w:rsidRPr="004C5551" w:rsidRDefault="006142BB" w:rsidP="009E2776">
            <w:pPr>
              <w:ind w:firstLine="0"/>
              <w:jc w:val="center"/>
              <w:rPr>
                <w:sz w:val="20"/>
                <w:szCs w:val="20"/>
              </w:rPr>
            </w:pPr>
            <w:r w:rsidRPr="004C5551">
              <w:rPr>
                <w:sz w:val="20"/>
                <w:szCs w:val="20"/>
              </w:rPr>
              <w:t>SE</w:t>
            </w:r>
          </w:p>
        </w:tc>
        <w:tc>
          <w:tcPr>
            <w:tcW w:w="1077"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4 240,36</w:t>
            </w:r>
          </w:p>
        </w:tc>
        <w:tc>
          <w:tcPr>
            <w:tcW w:w="1020"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3 749,28</w:t>
            </w:r>
          </w:p>
        </w:tc>
        <w:tc>
          <w:tcPr>
            <w:tcW w:w="624" w:type="dxa"/>
            <w:tcBorders>
              <w:bottom w:val="single" w:sz="4" w:space="0" w:color="auto"/>
            </w:tcBorders>
            <w:vAlign w:val="bottom"/>
          </w:tcPr>
          <w:p w:rsidR="006142BB" w:rsidRPr="004C5551" w:rsidRDefault="006142BB" w:rsidP="006142BB">
            <w:pPr>
              <w:ind w:firstLine="0"/>
              <w:jc w:val="right"/>
              <w:rPr>
                <w:sz w:val="20"/>
                <w:szCs w:val="20"/>
              </w:rPr>
            </w:pPr>
            <w:r w:rsidRPr="004C5551">
              <w:rPr>
                <w:sz w:val="20"/>
                <w:szCs w:val="20"/>
              </w:rPr>
              <w:t>11,9</w:t>
            </w:r>
          </w:p>
        </w:tc>
        <w:tc>
          <w:tcPr>
            <w:tcW w:w="907"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78,3</w:t>
            </w:r>
          </w:p>
        </w:tc>
        <w:tc>
          <w:tcPr>
            <w:tcW w:w="1020"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5,8</w:t>
            </w:r>
          </w:p>
        </w:tc>
        <w:tc>
          <w:tcPr>
            <w:tcW w:w="964"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w:t>
            </w:r>
          </w:p>
        </w:tc>
        <w:tc>
          <w:tcPr>
            <w:tcW w:w="964"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12,1</w:t>
            </w:r>
          </w:p>
        </w:tc>
        <w:tc>
          <w:tcPr>
            <w:tcW w:w="1077" w:type="dxa"/>
            <w:tcBorders>
              <w:bottom w:val="single" w:sz="4" w:space="0" w:color="auto"/>
            </w:tcBorders>
            <w:vAlign w:val="bottom"/>
          </w:tcPr>
          <w:p w:rsidR="006142BB" w:rsidRPr="004C5551" w:rsidRDefault="006142BB" w:rsidP="006142BB">
            <w:pPr>
              <w:ind w:right="254" w:firstLine="0"/>
              <w:jc w:val="right"/>
              <w:rPr>
                <w:sz w:val="20"/>
                <w:szCs w:val="20"/>
              </w:rPr>
            </w:pPr>
            <w:r w:rsidRPr="004C5551">
              <w:rPr>
                <w:sz w:val="20"/>
                <w:szCs w:val="20"/>
              </w:rPr>
              <w:t>:</w:t>
            </w:r>
          </w:p>
        </w:tc>
        <w:tc>
          <w:tcPr>
            <w:tcW w:w="796" w:type="dxa"/>
            <w:tcBorders>
              <w:bottom w:val="single" w:sz="4" w:space="0" w:color="auto"/>
            </w:tcBorders>
            <w:vAlign w:val="bottom"/>
          </w:tcPr>
          <w:p w:rsidR="006142BB" w:rsidRPr="004C5551" w:rsidRDefault="006142BB" w:rsidP="006142BB">
            <w:pPr>
              <w:ind w:right="113" w:firstLine="0"/>
              <w:jc w:val="right"/>
              <w:rPr>
                <w:sz w:val="20"/>
                <w:szCs w:val="20"/>
              </w:rPr>
            </w:pPr>
            <w:r w:rsidRPr="004C5551">
              <w:rPr>
                <w:sz w:val="20"/>
                <w:szCs w:val="20"/>
              </w:rPr>
              <w:t>3,8</w:t>
            </w:r>
          </w:p>
        </w:tc>
        <w:tc>
          <w:tcPr>
            <w:tcW w:w="1020" w:type="dxa"/>
            <w:tcBorders>
              <w:bottom w:val="single" w:sz="4" w:space="0" w:color="auto"/>
            </w:tcBorders>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tcBorders>
              <w:bottom w:val="double" w:sz="4" w:space="0" w:color="auto"/>
            </w:tcBorders>
            <w:vAlign w:val="center"/>
          </w:tcPr>
          <w:p w:rsidR="006142BB" w:rsidRPr="004C5551" w:rsidRDefault="006142BB" w:rsidP="009E2776">
            <w:pPr>
              <w:ind w:firstLine="0"/>
              <w:jc w:val="center"/>
              <w:rPr>
                <w:sz w:val="20"/>
                <w:szCs w:val="20"/>
              </w:rPr>
            </w:pPr>
            <w:r w:rsidRPr="004C5551">
              <w:rPr>
                <w:sz w:val="20"/>
                <w:szCs w:val="20"/>
              </w:rPr>
              <w:t>UK</w:t>
            </w:r>
          </w:p>
        </w:tc>
        <w:tc>
          <w:tcPr>
            <w:tcW w:w="1077" w:type="dxa"/>
            <w:tcBorders>
              <w:bottom w:val="double" w:sz="4" w:space="0" w:color="auto"/>
            </w:tcBorders>
            <w:vAlign w:val="bottom"/>
          </w:tcPr>
          <w:p w:rsidR="006142BB" w:rsidRPr="004C5551" w:rsidRDefault="006142BB" w:rsidP="006142BB">
            <w:pPr>
              <w:ind w:firstLine="0"/>
              <w:jc w:val="right"/>
              <w:rPr>
                <w:sz w:val="20"/>
                <w:szCs w:val="20"/>
              </w:rPr>
            </w:pPr>
            <w:r w:rsidRPr="004C5551">
              <w:rPr>
                <w:sz w:val="20"/>
                <w:szCs w:val="20"/>
              </w:rPr>
              <w:t>3 600,49</w:t>
            </w:r>
          </w:p>
        </w:tc>
        <w:tc>
          <w:tcPr>
            <w:tcW w:w="1020" w:type="dxa"/>
            <w:tcBorders>
              <w:bottom w:val="double" w:sz="4" w:space="0" w:color="auto"/>
            </w:tcBorders>
            <w:vAlign w:val="bottom"/>
          </w:tcPr>
          <w:p w:rsidR="006142BB" w:rsidRPr="004C5551" w:rsidRDefault="006142BB" w:rsidP="006142BB">
            <w:pPr>
              <w:ind w:firstLine="0"/>
              <w:jc w:val="right"/>
              <w:rPr>
                <w:sz w:val="20"/>
                <w:szCs w:val="20"/>
              </w:rPr>
            </w:pPr>
            <w:r w:rsidRPr="004C5551">
              <w:rPr>
                <w:sz w:val="20"/>
                <w:szCs w:val="20"/>
              </w:rPr>
              <w:t>3 172,72</w:t>
            </w:r>
          </w:p>
        </w:tc>
        <w:tc>
          <w:tcPr>
            <w:tcW w:w="624" w:type="dxa"/>
            <w:tcBorders>
              <w:bottom w:val="double" w:sz="4" w:space="0" w:color="auto"/>
            </w:tcBorders>
            <w:vAlign w:val="bottom"/>
          </w:tcPr>
          <w:p w:rsidR="006142BB" w:rsidRPr="004C5551" w:rsidRDefault="006142BB" w:rsidP="006142BB">
            <w:pPr>
              <w:ind w:firstLine="0"/>
              <w:jc w:val="right"/>
              <w:rPr>
                <w:sz w:val="20"/>
                <w:szCs w:val="20"/>
              </w:rPr>
            </w:pPr>
            <w:r w:rsidRPr="004C5551">
              <w:rPr>
                <w:sz w:val="20"/>
                <w:szCs w:val="20"/>
              </w:rPr>
              <w:t>12,3</w:t>
            </w:r>
          </w:p>
        </w:tc>
        <w:tc>
          <w:tcPr>
            <w:tcW w:w="907" w:type="dxa"/>
            <w:tcBorders>
              <w:bottom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89,4</w:t>
            </w:r>
          </w:p>
        </w:tc>
        <w:tc>
          <w:tcPr>
            <w:tcW w:w="1020" w:type="dxa"/>
            <w:tcBorders>
              <w:bottom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tcBorders>
              <w:bottom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tcBorders>
              <w:bottom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9,7</w:t>
            </w:r>
          </w:p>
        </w:tc>
        <w:tc>
          <w:tcPr>
            <w:tcW w:w="1077" w:type="dxa"/>
            <w:tcBorders>
              <w:bottom w:val="double" w:sz="4" w:space="0" w:color="auto"/>
            </w:tcBorders>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tcBorders>
              <w:bottom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0,9</w:t>
            </w:r>
          </w:p>
        </w:tc>
        <w:tc>
          <w:tcPr>
            <w:tcW w:w="1020" w:type="dxa"/>
            <w:tcBorders>
              <w:bottom w:val="double" w:sz="4" w:space="0" w:color="auto"/>
            </w:tcBorders>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tcBorders>
              <w:top w:val="double" w:sz="4" w:space="0" w:color="auto"/>
            </w:tcBorders>
            <w:vAlign w:val="center"/>
          </w:tcPr>
          <w:p w:rsidR="006142BB" w:rsidRPr="004C5551" w:rsidRDefault="006142BB" w:rsidP="009E2776">
            <w:pPr>
              <w:ind w:firstLine="0"/>
              <w:jc w:val="center"/>
              <w:rPr>
                <w:sz w:val="20"/>
                <w:szCs w:val="20"/>
              </w:rPr>
            </w:pPr>
            <w:r w:rsidRPr="004C5551">
              <w:rPr>
                <w:sz w:val="20"/>
                <w:szCs w:val="20"/>
              </w:rPr>
              <w:t>IS</w:t>
            </w:r>
          </w:p>
        </w:tc>
        <w:tc>
          <w:tcPr>
            <w:tcW w:w="1077" w:type="dxa"/>
            <w:tcBorders>
              <w:top w:val="double" w:sz="4" w:space="0" w:color="auto"/>
            </w:tcBorders>
            <w:vAlign w:val="bottom"/>
          </w:tcPr>
          <w:p w:rsidR="006142BB" w:rsidRPr="004C5551" w:rsidRDefault="006142BB" w:rsidP="006142BB">
            <w:pPr>
              <w:ind w:firstLine="0"/>
              <w:jc w:val="right"/>
              <w:rPr>
                <w:sz w:val="20"/>
                <w:szCs w:val="20"/>
              </w:rPr>
            </w:pPr>
            <w:r w:rsidRPr="004C5551">
              <w:rPr>
                <w:sz w:val="20"/>
                <w:szCs w:val="20"/>
              </w:rPr>
              <w:t>3 787,77</w:t>
            </w:r>
          </w:p>
        </w:tc>
        <w:tc>
          <w:tcPr>
            <w:tcW w:w="1020" w:type="dxa"/>
            <w:tcBorders>
              <w:top w:val="double" w:sz="4" w:space="0" w:color="auto"/>
            </w:tcBorders>
            <w:vAlign w:val="bottom"/>
          </w:tcPr>
          <w:p w:rsidR="006142BB" w:rsidRPr="004C5551" w:rsidRDefault="006142BB" w:rsidP="006142BB">
            <w:pPr>
              <w:ind w:firstLine="0"/>
              <w:jc w:val="right"/>
              <w:rPr>
                <w:sz w:val="20"/>
                <w:szCs w:val="20"/>
              </w:rPr>
            </w:pPr>
            <w:r w:rsidRPr="004C5551">
              <w:rPr>
                <w:sz w:val="20"/>
                <w:szCs w:val="20"/>
              </w:rPr>
              <w:t>2 762,22</w:t>
            </w:r>
          </w:p>
        </w:tc>
        <w:tc>
          <w:tcPr>
            <w:tcW w:w="624" w:type="dxa"/>
            <w:tcBorders>
              <w:top w:val="double" w:sz="4" w:space="0" w:color="auto"/>
            </w:tcBorders>
            <w:vAlign w:val="bottom"/>
          </w:tcPr>
          <w:p w:rsidR="006142BB" w:rsidRPr="004C5551" w:rsidRDefault="006142BB" w:rsidP="006142BB">
            <w:pPr>
              <w:ind w:firstLine="0"/>
              <w:jc w:val="right"/>
              <w:rPr>
                <w:sz w:val="20"/>
                <w:szCs w:val="20"/>
              </w:rPr>
            </w:pPr>
            <w:r w:rsidRPr="004C5551">
              <w:rPr>
                <w:sz w:val="20"/>
                <w:szCs w:val="20"/>
              </w:rPr>
              <w:t>9,3</w:t>
            </w:r>
          </w:p>
        </w:tc>
        <w:tc>
          <w:tcPr>
            <w:tcW w:w="907" w:type="dxa"/>
            <w:tcBorders>
              <w:top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58,7</w:t>
            </w:r>
          </w:p>
        </w:tc>
        <w:tc>
          <w:tcPr>
            <w:tcW w:w="1020" w:type="dxa"/>
            <w:tcBorders>
              <w:top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tcBorders>
              <w:top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tcBorders>
              <w:top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34,8</w:t>
            </w:r>
          </w:p>
        </w:tc>
        <w:tc>
          <w:tcPr>
            <w:tcW w:w="1077" w:type="dxa"/>
            <w:tcBorders>
              <w:top w:val="double" w:sz="4" w:space="0" w:color="auto"/>
            </w:tcBorders>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tcBorders>
              <w:top w:val="double" w:sz="4" w:space="0" w:color="auto"/>
            </w:tcBorders>
            <w:vAlign w:val="bottom"/>
          </w:tcPr>
          <w:p w:rsidR="006142BB" w:rsidRPr="004C5551" w:rsidRDefault="006142BB" w:rsidP="006142BB">
            <w:pPr>
              <w:ind w:right="113" w:firstLine="0"/>
              <w:jc w:val="right"/>
              <w:rPr>
                <w:sz w:val="20"/>
                <w:szCs w:val="20"/>
              </w:rPr>
            </w:pPr>
            <w:r w:rsidRPr="004C5551">
              <w:rPr>
                <w:sz w:val="20"/>
                <w:szCs w:val="20"/>
              </w:rPr>
              <w:t>6,4</w:t>
            </w:r>
          </w:p>
        </w:tc>
        <w:tc>
          <w:tcPr>
            <w:tcW w:w="1020" w:type="dxa"/>
            <w:tcBorders>
              <w:top w:val="double" w:sz="4" w:space="0" w:color="auto"/>
            </w:tcBorders>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NO</w:t>
            </w:r>
          </w:p>
        </w:tc>
        <w:tc>
          <w:tcPr>
            <w:tcW w:w="1077" w:type="dxa"/>
            <w:vAlign w:val="bottom"/>
          </w:tcPr>
          <w:p w:rsidR="006142BB" w:rsidRPr="004C5551" w:rsidRDefault="006142BB" w:rsidP="006142BB">
            <w:pPr>
              <w:ind w:firstLine="0"/>
              <w:jc w:val="right"/>
              <w:rPr>
                <w:sz w:val="20"/>
                <w:szCs w:val="20"/>
              </w:rPr>
            </w:pPr>
            <w:r w:rsidRPr="004C5551">
              <w:rPr>
                <w:sz w:val="20"/>
                <w:szCs w:val="20"/>
              </w:rPr>
              <w:t>5 520,65</w:t>
            </w:r>
          </w:p>
        </w:tc>
        <w:tc>
          <w:tcPr>
            <w:tcW w:w="1020" w:type="dxa"/>
            <w:vAlign w:val="bottom"/>
          </w:tcPr>
          <w:p w:rsidR="006142BB" w:rsidRPr="004C5551" w:rsidRDefault="006142BB" w:rsidP="006142BB">
            <w:pPr>
              <w:ind w:firstLine="0"/>
              <w:jc w:val="right"/>
              <w:rPr>
                <w:sz w:val="20"/>
                <w:szCs w:val="20"/>
              </w:rPr>
            </w:pPr>
            <w:r w:rsidRPr="004C5551">
              <w:rPr>
                <w:sz w:val="20"/>
                <w:szCs w:val="20"/>
              </w:rPr>
              <w:t>4 027,31</w:t>
            </w:r>
          </w:p>
        </w:tc>
        <w:tc>
          <w:tcPr>
            <w:tcW w:w="624" w:type="dxa"/>
            <w:vAlign w:val="bottom"/>
          </w:tcPr>
          <w:p w:rsidR="006142BB" w:rsidRPr="004C5551" w:rsidRDefault="006142BB" w:rsidP="006142BB">
            <w:pPr>
              <w:ind w:firstLine="0"/>
              <w:jc w:val="right"/>
              <w:rPr>
                <w:sz w:val="20"/>
                <w:szCs w:val="20"/>
              </w:rPr>
            </w:pPr>
            <w:r w:rsidRPr="004C5551">
              <w:rPr>
                <w:sz w:val="20"/>
                <w:szCs w:val="20"/>
              </w:rPr>
              <w:t>8,7</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68,2</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2,3</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0,1</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26,4</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3,0</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CH</w:t>
            </w:r>
          </w:p>
        </w:tc>
        <w:tc>
          <w:tcPr>
            <w:tcW w:w="1077" w:type="dxa"/>
            <w:vAlign w:val="bottom"/>
          </w:tcPr>
          <w:p w:rsidR="006142BB" w:rsidRPr="004C5551" w:rsidRDefault="006142BB" w:rsidP="006142BB">
            <w:pPr>
              <w:ind w:firstLine="0"/>
              <w:jc w:val="right"/>
              <w:rPr>
                <w:sz w:val="20"/>
                <w:szCs w:val="20"/>
              </w:rPr>
            </w:pPr>
            <w:r w:rsidRPr="004C5551">
              <w:rPr>
                <w:sz w:val="20"/>
                <w:szCs w:val="20"/>
              </w:rPr>
              <w:t>5 564,90</w:t>
            </w:r>
          </w:p>
        </w:tc>
        <w:tc>
          <w:tcPr>
            <w:tcW w:w="1020" w:type="dxa"/>
            <w:vAlign w:val="bottom"/>
          </w:tcPr>
          <w:p w:rsidR="006142BB" w:rsidRPr="004C5551" w:rsidRDefault="006142BB" w:rsidP="006142BB">
            <w:pPr>
              <w:ind w:firstLine="0"/>
              <w:jc w:val="right"/>
              <w:rPr>
                <w:sz w:val="20"/>
                <w:szCs w:val="20"/>
              </w:rPr>
            </w:pPr>
            <w:r w:rsidRPr="004C5551">
              <w:rPr>
                <w:sz w:val="20"/>
                <w:szCs w:val="20"/>
              </w:rPr>
              <w:t>4 536,34</w:t>
            </w:r>
          </w:p>
        </w:tc>
        <w:tc>
          <w:tcPr>
            <w:tcW w:w="624" w:type="dxa"/>
            <w:vAlign w:val="bottom"/>
          </w:tcPr>
          <w:p w:rsidR="006142BB" w:rsidRPr="004C5551" w:rsidRDefault="006142BB" w:rsidP="006142BB">
            <w:pPr>
              <w:ind w:firstLine="0"/>
              <w:jc w:val="right"/>
              <w:rPr>
                <w:sz w:val="20"/>
                <w:szCs w:val="20"/>
              </w:rPr>
            </w:pPr>
            <w:r w:rsidRPr="004C5551">
              <w:rPr>
                <w:sz w:val="20"/>
                <w:szCs w:val="20"/>
              </w:rPr>
              <w:t>12,3</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71,3</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3,8</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13,8</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11,0</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RS</w:t>
            </w:r>
          </w:p>
        </w:tc>
        <w:tc>
          <w:tcPr>
            <w:tcW w:w="1077" w:type="dxa"/>
            <w:vAlign w:val="bottom"/>
          </w:tcPr>
          <w:p w:rsidR="006142BB" w:rsidRPr="004C5551" w:rsidRDefault="006142BB" w:rsidP="006142BB">
            <w:pPr>
              <w:ind w:firstLine="0"/>
              <w:jc w:val="right"/>
              <w:rPr>
                <w:sz w:val="20"/>
                <w:szCs w:val="20"/>
              </w:rPr>
            </w:pPr>
            <w:r w:rsidRPr="004C5551">
              <w:rPr>
                <w:sz w:val="20"/>
                <w:szCs w:val="20"/>
              </w:rPr>
              <w:t>456,81</w:t>
            </w:r>
          </w:p>
        </w:tc>
        <w:tc>
          <w:tcPr>
            <w:tcW w:w="1020" w:type="dxa"/>
            <w:vAlign w:val="bottom"/>
          </w:tcPr>
          <w:p w:rsidR="006142BB" w:rsidRPr="004C5551" w:rsidRDefault="006142BB" w:rsidP="006142BB">
            <w:pPr>
              <w:ind w:firstLine="0"/>
              <w:jc w:val="right"/>
              <w:rPr>
                <w:sz w:val="20"/>
                <w:szCs w:val="20"/>
              </w:rPr>
            </w:pPr>
            <w:r w:rsidRPr="004C5551">
              <w:rPr>
                <w:sz w:val="20"/>
                <w:szCs w:val="20"/>
              </w:rPr>
              <w:t>1 271,47</w:t>
            </w:r>
          </w:p>
        </w:tc>
        <w:tc>
          <w:tcPr>
            <w:tcW w:w="624" w:type="dxa"/>
            <w:vAlign w:val="bottom"/>
          </w:tcPr>
          <w:p w:rsidR="006142BB" w:rsidRPr="004C5551" w:rsidRDefault="006142BB" w:rsidP="006142BB">
            <w:pPr>
              <w:ind w:firstLine="0"/>
              <w:jc w:val="right"/>
              <w:rPr>
                <w:sz w:val="20"/>
                <w:szCs w:val="20"/>
              </w:rPr>
            </w:pPr>
            <w:r w:rsidRPr="004C5551">
              <w:rPr>
                <w:sz w:val="20"/>
                <w:szCs w:val="20"/>
              </w:rPr>
              <w:t>14,1</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74,3</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8,3</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16,8</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0,5</w:t>
            </w:r>
          </w:p>
        </w:tc>
      </w:tr>
      <w:tr w:rsidR="006142BB" w:rsidRPr="004C5551" w:rsidTr="009E2776">
        <w:trPr>
          <w:trHeight w:val="295"/>
          <w:jc w:val="center"/>
        </w:trPr>
        <w:tc>
          <w:tcPr>
            <w:tcW w:w="907" w:type="dxa"/>
            <w:vAlign w:val="center"/>
          </w:tcPr>
          <w:p w:rsidR="006142BB" w:rsidRPr="004C5551" w:rsidRDefault="006142BB" w:rsidP="009E2776">
            <w:pPr>
              <w:ind w:firstLine="0"/>
              <w:jc w:val="center"/>
              <w:rPr>
                <w:sz w:val="20"/>
                <w:szCs w:val="20"/>
              </w:rPr>
            </w:pPr>
            <w:r w:rsidRPr="004C5551">
              <w:rPr>
                <w:sz w:val="20"/>
                <w:szCs w:val="20"/>
              </w:rPr>
              <w:t>TR</w:t>
            </w:r>
          </w:p>
        </w:tc>
        <w:tc>
          <w:tcPr>
            <w:tcW w:w="1077" w:type="dxa"/>
            <w:vAlign w:val="bottom"/>
          </w:tcPr>
          <w:p w:rsidR="006142BB" w:rsidRPr="004C5551" w:rsidRDefault="006142BB" w:rsidP="006142BB">
            <w:pPr>
              <w:ind w:firstLine="0"/>
              <w:rPr>
                <w:sz w:val="20"/>
                <w:szCs w:val="20"/>
              </w:rPr>
            </w:pPr>
            <w:r w:rsidRPr="004C5551">
              <w:rPr>
                <w:sz w:val="20"/>
                <w:szCs w:val="20"/>
              </w:rPr>
              <w:t>:</w:t>
            </w:r>
          </w:p>
        </w:tc>
        <w:tc>
          <w:tcPr>
            <w:tcW w:w="1020" w:type="dxa"/>
            <w:vAlign w:val="bottom"/>
          </w:tcPr>
          <w:p w:rsidR="006142BB" w:rsidRPr="004C5551" w:rsidRDefault="006142BB" w:rsidP="006142BB">
            <w:pPr>
              <w:ind w:firstLine="0"/>
              <w:jc w:val="right"/>
              <w:rPr>
                <w:sz w:val="20"/>
                <w:szCs w:val="20"/>
              </w:rPr>
            </w:pPr>
            <w:r w:rsidRPr="004C5551">
              <w:rPr>
                <w:sz w:val="20"/>
                <w:szCs w:val="20"/>
              </w:rPr>
              <w:t>1 109,84</w:t>
            </w:r>
          </w:p>
        </w:tc>
        <w:tc>
          <w:tcPr>
            <w:tcW w:w="624" w:type="dxa"/>
            <w:vAlign w:val="bottom"/>
          </w:tcPr>
          <w:p w:rsidR="006142BB" w:rsidRPr="004C5551" w:rsidRDefault="006142BB" w:rsidP="006142BB">
            <w:pPr>
              <w:ind w:firstLine="0"/>
              <w:jc w:val="right"/>
              <w:rPr>
                <w:sz w:val="20"/>
                <w:szCs w:val="20"/>
              </w:rPr>
            </w:pPr>
            <w:r w:rsidRPr="004C5551">
              <w:rPr>
                <w:sz w:val="20"/>
                <w:szCs w:val="20"/>
              </w:rPr>
              <w:t>8,1</w:t>
            </w:r>
          </w:p>
        </w:tc>
        <w:tc>
          <w:tcPr>
            <w:tcW w:w="907" w:type="dxa"/>
            <w:vAlign w:val="bottom"/>
          </w:tcPr>
          <w:p w:rsidR="006142BB" w:rsidRPr="004C5551" w:rsidRDefault="006142BB" w:rsidP="006142BB">
            <w:pPr>
              <w:ind w:right="113" w:firstLine="0"/>
              <w:jc w:val="right"/>
              <w:rPr>
                <w:sz w:val="20"/>
                <w:szCs w:val="20"/>
              </w:rPr>
            </w:pPr>
            <w:r w:rsidRPr="004C5551">
              <w:rPr>
                <w:sz w:val="20"/>
                <w:szCs w:val="20"/>
              </w:rPr>
              <w:t>78,3</w:t>
            </w:r>
          </w:p>
        </w:tc>
        <w:tc>
          <w:tcPr>
            <w:tcW w:w="1020"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0,0</w:t>
            </w:r>
          </w:p>
        </w:tc>
        <w:tc>
          <w:tcPr>
            <w:tcW w:w="964" w:type="dxa"/>
            <w:vAlign w:val="bottom"/>
          </w:tcPr>
          <w:p w:rsidR="006142BB" w:rsidRPr="004C5551" w:rsidRDefault="006142BB" w:rsidP="006142BB">
            <w:pPr>
              <w:ind w:right="113" w:firstLine="0"/>
              <w:jc w:val="right"/>
              <w:rPr>
                <w:sz w:val="20"/>
                <w:szCs w:val="20"/>
              </w:rPr>
            </w:pPr>
            <w:r w:rsidRPr="004C5551">
              <w:rPr>
                <w:sz w:val="20"/>
                <w:szCs w:val="20"/>
              </w:rPr>
              <w:t>2,9</w:t>
            </w:r>
          </w:p>
        </w:tc>
        <w:tc>
          <w:tcPr>
            <w:tcW w:w="1077" w:type="dxa"/>
            <w:vAlign w:val="bottom"/>
          </w:tcPr>
          <w:p w:rsidR="006142BB" w:rsidRPr="004C5551" w:rsidRDefault="006142BB" w:rsidP="006142BB">
            <w:pPr>
              <w:ind w:right="254" w:firstLine="0"/>
              <w:jc w:val="right"/>
              <w:rPr>
                <w:sz w:val="20"/>
                <w:szCs w:val="20"/>
              </w:rPr>
            </w:pPr>
            <w:r w:rsidRPr="004C5551">
              <w:rPr>
                <w:sz w:val="20"/>
                <w:szCs w:val="20"/>
              </w:rPr>
              <w:t>0,0</w:t>
            </w:r>
          </w:p>
        </w:tc>
        <w:tc>
          <w:tcPr>
            <w:tcW w:w="796" w:type="dxa"/>
            <w:vAlign w:val="bottom"/>
          </w:tcPr>
          <w:p w:rsidR="006142BB" w:rsidRPr="004C5551" w:rsidRDefault="006142BB" w:rsidP="006142BB">
            <w:pPr>
              <w:ind w:right="113" w:firstLine="0"/>
              <w:jc w:val="right"/>
              <w:rPr>
                <w:sz w:val="20"/>
                <w:szCs w:val="20"/>
              </w:rPr>
            </w:pPr>
            <w:r w:rsidRPr="004C5551">
              <w:rPr>
                <w:sz w:val="20"/>
                <w:szCs w:val="20"/>
              </w:rPr>
              <w:t>18,8</w:t>
            </w:r>
          </w:p>
        </w:tc>
        <w:tc>
          <w:tcPr>
            <w:tcW w:w="1020" w:type="dxa"/>
            <w:vAlign w:val="bottom"/>
          </w:tcPr>
          <w:p w:rsidR="006142BB" w:rsidRPr="004C5551" w:rsidRDefault="006142BB" w:rsidP="006142BB">
            <w:pPr>
              <w:ind w:right="179" w:firstLine="0"/>
              <w:jc w:val="right"/>
              <w:rPr>
                <w:sz w:val="20"/>
                <w:szCs w:val="20"/>
              </w:rPr>
            </w:pPr>
            <w:r w:rsidRPr="004C5551">
              <w:rPr>
                <w:sz w:val="20"/>
                <w:szCs w:val="20"/>
              </w:rPr>
              <w:t>0,0</w:t>
            </w:r>
          </w:p>
        </w:tc>
      </w:tr>
    </w:tbl>
    <w:p w:rsidR="00D40D6B" w:rsidRPr="004C5551" w:rsidRDefault="00D40D6B" w:rsidP="00423669">
      <w:pPr>
        <w:pStyle w:val="zdroj"/>
        <w:spacing w:after="0"/>
        <w:ind w:left="142" w:firstLine="0"/>
      </w:pPr>
      <w:r w:rsidRPr="004C5551">
        <w:t>Predbežné údaje –: EU28, EU15, EA18 , DE, ES, FR,</w:t>
      </w:r>
      <w:r w:rsidR="00423669" w:rsidRPr="004C5551">
        <w:t xml:space="preserve"> </w:t>
      </w:r>
      <w:r w:rsidRPr="004C5551">
        <w:t>HR, IT, LT,</w:t>
      </w:r>
      <w:r w:rsidR="00423669" w:rsidRPr="004C5551">
        <w:t xml:space="preserve"> </w:t>
      </w:r>
      <w:r w:rsidRPr="004C5551">
        <w:t>NL, PL, SI, SK, SE,</w:t>
      </w:r>
      <w:r w:rsidR="00423669" w:rsidRPr="004C5551">
        <w:t xml:space="preserve"> </w:t>
      </w:r>
      <w:r w:rsidRPr="004C5551">
        <w:t>UK, CH; odhad LV</w:t>
      </w:r>
    </w:p>
    <w:p w:rsidR="00D40D6B" w:rsidRPr="004C5551" w:rsidRDefault="00D40D6B" w:rsidP="00423669">
      <w:pPr>
        <w:pStyle w:val="zdroj"/>
        <w:spacing w:before="0" w:after="0"/>
        <w:ind w:left="142" w:firstLine="0"/>
      </w:pPr>
      <w:r w:rsidRPr="004C5551">
        <w:t>: jav existuje, údaj je zahrnutý v inej položke</w:t>
      </w:r>
    </w:p>
    <w:p w:rsidR="00D40D6B" w:rsidRPr="004C5551" w:rsidRDefault="00D40D6B" w:rsidP="00423669">
      <w:pPr>
        <w:pStyle w:val="zdroj"/>
        <w:spacing w:before="0"/>
        <w:ind w:left="142" w:firstLine="0"/>
      </w:pPr>
      <w:r w:rsidRPr="004C5551">
        <w:t xml:space="preserve">Zdroj: </w:t>
      </w:r>
      <w:proofErr w:type="spellStart"/>
      <w:r w:rsidRPr="004C5551">
        <w:t>Eurostat</w:t>
      </w:r>
      <w:proofErr w:type="spellEnd"/>
      <w:r w:rsidRPr="004C5551">
        <w:t xml:space="preserve"> – ESSPROS</w:t>
      </w:r>
    </w:p>
    <w:p w:rsidR="00460DEB" w:rsidRPr="004C5551" w:rsidRDefault="00D40D6B" w:rsidP="00460DEB">
      <w:pPr>
        <w:pStyle w:val="Nadpis7"/>
      </w:pPr>
      <w:r w:rsidRPr="004C5551">
        <w:br w:type="page"/>
        <w:t>Tab</w:t>
      </w:r>
      <w:r w:rsidR="000C44B3" w:rsidRPr="004C5551">
        <w:t>uľka</w:t>
      </w:r>
      <w:r w:rsidRPr="004C5551">
        <w:t xml:space="preserve"> 3</w:t>
      </w:r>
      <w:r w:rsidR="00453F8D" w:rsidRPr="004C5551">
        <w:t>4</w:t>
      </w:r>
      <w:r w:rsidRPr="004C5551">
        <w:t xml:space="preserve"> Počet poberateľov dôchodkov podľa rodu</w:t>
      </w:r>
      <w:r w:rsidR="000C44B3" w:rsidRPr="004C5551">
        <w:t>*, indexy 2012/2011 a 2012/2006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0"/>
        <w:gridCol w:w="1437"/>
        <w:gridCol w:w="1024"/>
        <w:gridCol w:w="1166"/>
        <w:gridCol w:w="1175"/>
        <w:gridCol w:w="1338"/>
        <w:gridCol w:w="2172"/>
      </w:tblGrid>
      <w:tr w:rsidR="00521828" w:rsidRPr="004C5551" w:rsidTr="004E171F">
        <w:trPr>
          <w:trHeight w:val="642"/>
          <w:jc w:val="center"/>
        </w:trPr>
        <w:tc>
          <w:tcPr>
            <w:tcW w:w="488" w:type="pct"/>
            <w:vMerge w:val="restart"/>
            <w:shd w:val="clear" w:color="000000" w:fill="FF9999" w:themeFill="accent3" w:themeFillTint="66"/>
            <w:vAlign w:val="center"/>
            <w:hideMark/>
          </w:tcPr>
          <w:p w:rsidR="00D40D6B" w:rsidRPr="004C5551" w:rsidRDefault="00D40D6B" w:rsidP="000C44B3">
            <w:pPr>
              <w:rPr>
                <w:b/>
                <w:sz w:val="20"/>
                <w:szCs w:val="20"/>
              </w:rPr>
            </w:pPr>
            <w:r w:rsidRPr="004C5551">
              <w:rPr>
                <w:b/>
                <w:sz w:val="20"/>
                <w:szCs w:val="20"/>
              </w:rPr>
              <w:t>Územie</w:t>
            </w:r>
          </w:p>
        </w:tc>
        <w:tc>
          <w:tcPr>
            <w:tcW w:w="1969" w:type="pct"/>
            <w:gridSpan w:val="3"/>
            <w:shd w:val="clear" w:color="000000" w:fill="FF9999" w:themeFill="accent3" w:themeFillTint="66"/>
            <w:vAlign w:val="center"/>
            <w:hideMark/>
          </w:tcPr>
          <w:p w:rsidR="00D40D6B" w:rsidRPr="004C5551" w:rsidRDefault="00D40D6B" w:rsidP="00423669">
            <w:pPr>
              <w:jc w:val="center"/>
              <w:rPr>
                <w:b/>
                <w:sz w:val="20"/>
                <w:szCs w:val="20"/>
              </w:rPr>
            </w:pPr>
            <w:r w:rsidRPr="004C5551">
              <w:rPr>
                <w:b/>
                <w:sz w:val="20"/>
                <w:szCs w:val="20"/>
              </w:rPr>
              <w:t>Počet poberateľov dôchodkov*</w:t>
            </w:r>
          </w:p>
        </w:tc>
        <w:tc>
          <w:tcPr>
            <w:tcW w:w="638" w:type="pct"/>
            <w:vMerge w:val="restart"/>
            <w:shd w:val="clear" w:color="000000" w:fill="FF9999" w:themeFill="accent3" w:themeFillTint="66"/>
            <w:vAlign w:val="center"/>
            <w:hideMark/>
          </w:tcPr>
          <w:p w:rsidR="00D40D6B" w:rsidRPr="004C5551" w:rsidRDefault="00D40D6B" w:rsidP="00D40D6B">
            <w:pPr>
              <w:jc w:val="center"/>
              <w:rPr>
                <w:b/>
                <w:i/>
                <w:iCs/>
                <w:sz w:val="20"/>
                <w:szCs w:val="20"/>
              </w:rPr>
            </w:pPr>
            <w:r w:rsidRPr="004C5551">
              <w:rPr>
                <w:b/>
                <w:i/>
                <w:iCs/>
                <w:sz w:val="20"/>
                <w:szCs w:val="20"/>
              </w:rPr>
              <w:t>Index 2012/2011</w:t>
            </w:r>
          </w:p>
        </w:tc>
        <w:tc>
          <w:tcPr>
            <w:tcW w:w="726" w:type="pct"/>
            <w:vMerge w:val="restart"/>
            <w:shd w:val="clear" w:color="000000" w:fill="FF9999" w:themeFill="accent3" w:themeFillTint="66"/>
            <w:vAlign w:val="center"/>
            <w:hideMark/>
          </w:tcPr>
          <w:p w:rsidR="00D40D6B" w:rsidRPr="004C5551" w:rsidRDefault="00D40D6B" w:rsidP="00D40D6B">
            <w:pPr>
              <w:jc w:val="center"/>
              <w:rPr>
                <w:b/>
                <w:i/>
                <w:iCs/>
                <w:sz w:val="20"/>
                <w:szCs w:val="20"/>
              </w:rPr>
            </w:pPr>
            <w:r w:rsidRPr="004C5551">
              <w:rPr>
                <w:b/>
                <w:i/>
                <w:iCs/>
                <w:sz w:val="20"/>
                <w:szCs w:val="20"/>
              </w:rPr>
              <w:t>Index 2012/2006</w:t>
            </w:r>
          </w:p>
        </w:tc>
        <w:tc>
          <w:tcPr>
            <w:tcW w:w="1179" w:type="pct"/>
            <w:vMerge w:val="restart"/>
            <w:shd w:val="clear" w:color="000000" w:fill="FF9999" w:themeFill="accent3" w:themeFillTint="66"/>
            <w:vAlign w:val="center"/>
            <w:hideMark/>
          </w:tcPr>
          <w:p w:rsidR="00D40D6B" w:rsidRPr="004C5551" w:rsidRDefault="00D40D6B" w:rsidP="00D40D6B">
            <w:pPr>
              <w:jc w:val="center"/>
              <w:rPr>
                <w:b/>
                <w:sz w:val="20"/>
                <w:szCs w:val="20"/>
              </w:rPr>
            </w:pPr>
            <w:r w:rsidRPr="004C5551">
              <w:rPr>
                <w:b/>
                <w:sz w:val="20"/>
                <w:szCs w:val="20"/>
              </w:rPr>
              <w:t>Podiel poberateľov dôchodkov na populáciu (%)</w:t>
            </w:r>
          </w:p>
        </w:tc>
      </w:tr>
      <w:tr w:rsidR="00521828" w:rsidRPr="004C5551" w:rsidTr="004E171F">
        <w:trPr>
          <w:trHeight w:val="503"/>
          <w:jc w:val="center"/>
        </w:trPr>
        <w:tc>
          <w:tcPr>
            <w:tcW w:w="488" w:type="pct"/>
            <w:vMerge/>
            <w:shd w:val="clear" w:color="000000" w:fill="FF9999" w:themeFill="accent3" w:themeFillTint="66"/>
            <w:vAlign w:val="center"/>
            <w:hideMark/>
          </w:tcPr>
          <w:p w:rsidR="00D40D6B" w:rsidRPr="004C5551" w:rsidRDefault="00D40D6B" w:rsidP="00D40D6B">
            <w:pPr>
              <w:rPr>
                <w:sz w:val="20"/>
                <w:szCs w:val="20"/>
              </w:rPr>
            </w:pPr>
          </w:p>
        </w:tc>
        <w:tc>
          <w:tcPr>
            <w:tcW w:w="780" w:type="pct"/>
            <w:shd w:val="clear" w:color="000000" w:fill="FF9999" w:themeFill="accent3" w:themeFillTint="66"/>
            <w:vAlign w:val="center"/>
            <w:hideMark/>
          </w:tcPr>
          <w:p w:rsidR="00D40D6B" w:rsidRPr="004C5551" w:rsidRDefault="00D40D6B" w:rsidP="00D40D6B">
            <w:pPr>
              <w:jc w:val="center"/>
              <w:rPr>
                <w:b/>
                <w:i/>
                <w:iCs/>
                <w:sz w:val="20"/>
                <w:szCs w:val="20"/>
              </w:rPr>
            </w:pPr>
            <w:r w:rsidRPr="004C5551">
              <w:rPr>
                <w:b/>
                <w:i/>
                <w:iCs/>
                <w:sz w:val="20"/>
                <w:szCs w:val="20"/>
              </w:rPr>
              <w:t>úhrn*(osoby)</w:t>
            </w:r>
          </w:p>
        </w:tc>
        <w:tc>
          <w:tcPr>
            <w:tcW w:w="556" w:type="pct"/>
            <w:shd w:val="clear" w:color="000000" w:fill="FF9999" w:themeFill="accent3" w:themeFillTint="66"/>
            <w:vAlign w:val="center"/>
            <w:hideMark/>
          </w:tcPr>
          <w:p w:rsidR="00D40D6B" w:rsidRPr="004C5551" w:rsidRDefault="00D40D6B" w:rsidP="00D40D6B">
            <w:pPr>
              <w:jc w:val="center"/>
              <w:rPr>
                <w:b/>
                <w:sz w:val="20"/>
                <w:szCs w:val="20"/>
              </w:rPr>
            </w:pPr>
            <w:r w:rsidRPr="004C5551">
              <w:rPr>
                <w:b/>
                <w:sz w:val="20"/>
                <w:szCs w:val="20"/>
              </w:rPr>
              <w:t>muži (%)</w:t>
            </w:r>
          </w:p>
        </w:tc>
        <w:tc>
          <w:tcPr>
            <w:tcW w:w="633" w:type="pct"/>
            <w:shd w:val="clear" w:color="000000" w:fill="FF9999" w:themeFill="accent3" w:themeFillTint="66"/>
            <w:vAlign w:val="center"/>
            <w:hideMark/>
          </w:tcPr>
          <w:p w:rsidR="00D40D6B" w:rsidRPr="004C5551" w:rsidRDefault="00D40D6B" w:rsidP="00D40D6B">
            <w:pPr>
              <w:jc w:val="center"/>
              <w:rPr>
                <w:b/>
                <w:sz w:val="20"/>
                <w:szCs w:val="20"/>
              </w:rPr>
            </w:pPr>
            <w:r w:rsidRPr="004C5551">
              <w:rPr>
                <w:b/>
                <w:sz w:val="20"/>
                <w:szCs w:val="20"/>
              </w:rPr>
              <w:t>ženy(%)</w:t>
            </w:r>
          </w:p>
        </w:tc>
        <w:tc>
          <w:tcPr>
            <w:tcW w:w="638" w:type="pct"/>
            <w:vMerge/>
            <w:vAlign w:val="center"/>
            <w:hideMark/>
          </w:tcPr>
          <w:p w:rsidR="00D40D6B" w:rsidRPr="004C5551" w:rsidRDefault="00D40D6B" w:rsidP="00D40D6B">
            <w:pPr>
              <w:rPr>
                <w:i/>
                <w:iCs/>
                <w:sz w:val="20"/>
                <w:szCs w:val="20"/>
              </w:rPr>
            </w:pPr>
          </w:p>
        </w:tc>
        <w:tc>
          <w:tcPr>
            <w:tcW w:w="726" w:type="pct"/>
            <w:vMerge/>
            <w:vAlign w:val="center"/>
            <w:hideMark/>
          </w:tcPr>
          <w:p w:rsidR="00D40D6B" w:rsidRPr="004C5551" w:rsidRDefault="00D40D6B" w:rsidP="00D40D6B">
            <w:pPr>
              <w:rPr>
                <w:i/>
                <w:iCs/>
                <w:sz w:val="20"/>
                <w:szCs w:val="20"/>
              </w:rPr>
            </w:pPr>
          </w:p>
        </w:tc>
        <w:tc>
          <w:tcPr>
            <w:tcW w:w="1179" w:type="pct"/>
            <w:vMerge/>
            <w:vAlign w:val="center"/>
            <w:hideMark/>
          </w:tcPr>
          <w:p w:rsidR="00D40D6B" w:rsidRPr="004C5551" w:rsidRDefault="00D40D6B" w:rsidP="00D40D6B">
            <w:pPr>
              <w:rPr>
                <w:sz w:val="20"/>
                <w:szCs w:val="20"/>
              </w:rPr>
            </w:pP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BE</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8"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726"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1179"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BG</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2 211 374</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42,0</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58,0</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99,2</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97,3</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30,4</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CZ</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2 924 016</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40,7</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59,3</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99,8</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106,8</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27,8</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DK</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1 345 766</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44,9</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55,1</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100,0</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108,7</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24,0</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DE</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23 588 092</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44,3</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55,7</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100,1</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101,5</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28,8</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EE</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411 443</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38,8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61,2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101,1</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108</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31,2</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IE</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857 376</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50,2</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49,8</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103,4</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127,6</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18,7</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GR</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2 695 389</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47,1</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52,9</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106,7</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24,4</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ES</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9 114 531</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50,8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49,2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101,3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109,4</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19,5</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FR</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18 462 000</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45,7</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54,3</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101,1</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107,8</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28,2</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HR</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1 217 692</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45,8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54,2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100,4</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28,6</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IT</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16 456 192</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47,2</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52,8</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99,5</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99,5</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27,6</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CY</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127 678</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52,7</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47,3</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102,6</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122,3</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14,7</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LV</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607 955</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37,3</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62,7</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101,7</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30</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LT</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947 503</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37,8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62,2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102,8</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31,9</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LU</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157 235</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55,7</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44,3</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103,3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121,1</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29,3</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HU</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2 209 481</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37,5</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62,5</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82,1</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22,3</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MT</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82 736</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56,8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43,2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100,6</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115,3</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19,6</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NL</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3 401 500</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45,4</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54,6</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102,3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109</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20,3</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AT</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2 399 402</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45,7</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54,3</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100,8</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106,6</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28,4</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PL</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9 648 027</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41,5</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58,5</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99,3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95,6</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25</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PT</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3 019 913</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44,8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55,2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100,8</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104,6</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28,8</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RO</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5 453 097</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41,8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58,2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98,3</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94,3</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27,2</w:t>
            </w:r>
          </w:p>
        </w:tc>
      </w:tr>
      <w:tr w:rsidR="00521828" w:rsidRPr="004C5551" w:rsidTr="004E171F">
        <w:trPr>
          <w:trHeight w:val="293"/>
          <w:jc w:val="center"/>
        </w:trPr>
        <w:tc>
          <w:tcPr>
            <w:tcW w:w="488" w:type="pct"/>
            <w:tcBorders>
              <w:bottom w:val="single" w:sz="4" w:space="0" w:color="auto"/>
            </w:tcBorders>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SI</w:t>
            </w:r>
          </w:p>
        </w:tc>
        <w:tc>
          <w:tcPr>
            <w:tcW w:w="780"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629 791</w:t>
            </w:r>
          </w:p>
        </w:tc>
        <w:tc>
          <w:tcPr>
            <w:tcW w:w="556"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44,2</w:t>
            </w:r>
          </w:p>
        </w:tc>
        <w:tc>
          <w:tcPr>
            <w:tcW w:w="633"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55,8</w:t>
            </w:r>
          </w:p>
        </w:tc>
        <w:tc>
          <w:tcPr>
            <w:tcW w:w="638" w:type="pct"/>
            <w:tcBorders>
              <w:bottom w:val="sing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100,1</w:t>
            </w:r>
          </w:p>
        </w:tc>
        <w:tc>
          <w:tcPr>
            <w:tcW w:w="726" w:type="pct"/>
            <w:tcBorders>
              <w:bottom w:val="sing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109,2</w:t>
            </w:r>
          </w:p>
        </w:tc>
        <w:tc>
          <w:tcPr>
            <w:tcW w:w="1179" w:type="pct"/>
            <w:tcBorders>
              <w:bottom w:val="single" w:sz="4" w:space="0" w:color="auto"/>
            </w:tcBorders>
            <w:shd w:val="clear" w:color="auto" w:fill="auto"/>
            <w:vAlign w:val="center"/>
            <w:hideMark/>
          </w:tcPr>
          <w:p w:rsidR="00D40D6B" w:rsidRPr="004C5551" w:rsidRDefault="00D40D6B" w:rsidP="000C44B3">
            <w:pPr>
              <w:ind w:right="497"/>
              <w:jc w:val="right"/>
              <w:rPr>
                <w:sz w:val="20"/>
                <w:szCs w:val="20"/>
              </w:rPr>
            </w:pPr>
            <w:r w:rsidRPr="004C5551">
              <w:rPr>
                <w:sz w:val="20"/>
                <w:szCs w:val="20"/>
              </w:rPr>
              <w:t>30,6</w:t>
            </w:r>
          </w:p>
        </w:tc>
      </w:tr>
      <w:tr w:rsidR="00521828" w:rsidRPr="004C5551" w:rsidTr="004E171F">
        <w:trPr>
          <w:trHeight w:val="293"/>
          <w:jc w:val="center"/>
        </w:trPr>
        <w:tc>
          <w:tcPr>
            <w:tcW w:w="488" w:type="pct"/>
            <w:shd w:val="clear" w:color="000000" w:fill="FFCCCC" w:themeFill="accent3" w:themeFillTint="33"/>
            <w:vAlign w:val="center"/>
            <w:hideMark/>
          </w:tcPr>
          <w:p w:rsidR="00D40D6B" w:rsidRPr="004C5551" w:rsidRDefault="00D40D6B" w:rsidP="00D40D6B">
            <w:pPr>
              <w:ind w:firstLineChars="100" w:firstLine="200"/>
              <w:rPr>
                <w:sz w:val="20"/>
                <w:szCs w:val="20"/>
              </w:rPr>
            </w:pPr>
            <w:r w:rsidRPr="004C5551">
              <w:rPr>
                <w:sz w:val="20"/>
                <w:szCs w:val="20"/>
              </w:rPr>
              <w:t>SK</w:t>
            </w:r>
          </w:p>
        </w:tc>
        <w:tc>
          <w:tcPr>
            <w:tcW w:w="780" w:type="pct"/>
            <w:shd w:val="clear" w:color="000000" w:fill="FFCCCC" w:themeFill="accent3" w:themeFillTint="33"/>
            <w:vAlign w:val="center"/>
            <w:hideMark/>
          </w:tcPr>
          <w:p w:rsidR="00D40D6B" w:rsidRPr="004C5551" w:rsidRDefault="00D40D6B" w:rsidP="000C44B3">
            <w:pPr>
              <w:jc w:val="right"/>
              <w:rPr>
                <w:sz w:val="20"/>
                <w:szCs w:val="20"/>
              </w:rPr>
            </w:pPr>
            <w:r w:rsidRPr="004C5551">
              <w:rPr>
                <w:sz w:val="20"/>
                <w:szCs w:val="20"/>
              </w:rPr>
              <w:t>1 372 021</w:t>
            </w:r>
          </w:p>
        </w:tc>
        <w:tc>
          <w:tcPr>
            <w:tcW w:w="556" w:type="pct"/>
            <w:shd w:val="clear" w:color="000000" w:fill="FFCCCC" w:themeFill="accent3" w:themeFillTint="33"/>
            <w:vAlign w:val="center"/>
            <w:hideMark/>
          </w:tcPr>
          <w:p w:rsidR="00D40D6B" w:rsidRPr="004C5551" w:rsidRDefault="00D40D6B" w:rsidP="000C44B3">
            <w:pPr>
              <w:jc w:val="right"/>
              <w:rPr>
                <w:sz w:val="20"/>
                <w:szCs w:val="20"/>
              </w:rPr>
            </w:pPr>
            <w:r w:rsidRPr="004C5551">
              <w:rPr>
                <w:sz w:val="20"/>
                <w:szCs w:val="20"/>
              </w:rPr>
              <w:t>39,9</w:t>
            </w:r>
          </w:p>
        </w:tc>
        <w:tc>
          <w:tcPr>
            <w:tcW w:w="633" w:type="pct"/>
            <w:shd w:val="clear" w:color="000000" w:fill="FFCCCC" w:themeFill="accent3" w:themeFillTint="33"/>
            <w:vAlign w:val="center"/>
            <w:hideMark/>
          </w:tcPr>
          <w:p w:rsidR="00D40D6B" w:rsidRPr="004C5551" w:rsidRDefault="00D40D6B" w:rsidP="000C44B3">
            <w:pPr>
              <w:jc w:val="right"/>
              <w:rPr>
                <w:sz w:val="20"/>
                <w:szCs w:val="20"/>
              </w:rPr>
            </w:pPr>
            <w:r w:rsidRPr="004C5551">
              <w:rPr>
                <w:sz w:val="20"/>
                <w:szCs w:val="20"/>
              </w:rPr>
              <w:t>60,1</w:t>
            </w:r>
          </w:p>
        </w:tc>
        <w:tc>
          <w:tcPr>
            <w:tcW w:w="638" w:type="pct"/>
            <w:shd w:val="clear" w:color="000000" w:fill="FFCCCC" w:themeFill="accent3" w:themeFillTint="33"/>
            <w:vAlign w:val="center"/>
            <w:hideMark/>
          </w:tcPr>
          <w:p w:rsidR="00D40D6B" w:rsidRPr="004C5551" w:rsidRDefault="00D40D6B" w:rsidP="000C44B3">
            <w:pPr>
              <w:ind w:right="36"/>
              <w:jc w:val="right"/>
              <w:rPr>
                <w:sz w:val="20"/>
                <w:szCs w:val="20"/>
              </w:rPr>
            </w:pPr>
            <w:r w:rsidRPr="004C5551">
              <w:rPr>
                <w:sz w:val="20"/>
                <w:szCs w:val="20"/>
              </w:rPr>
              <w:t>101,5</w:t>
            </w:r>
          </w:p>
        </w:tc>
        <w:tc>
          <w:tcPr>
            <w:tcW w:w="726" w:type="pct"/>
            <w:shd w:val="clear" w:color="000000" w:fill="FFCCCC" w:themeFill="accent3" w:themeFillTint="33"/>
            <w:vAlign w:val="center"/>
            <w:hideMark/>
          </w:tcPr>
          <w:p w:rsidR="00D40D6B" w:rsidRPr="004C5551" w:rsidRDefault="00D40D6B" w:rsidP="000C44B3">
            <w:pPr>
              <w:ind w:right="36"/>
              <w:jc w:val="right"/>
              <w:rPr>
                <w:sz w:val="20"/>
                <w:szCs w:val="20"/>
              </w:rPr>
            </w:pPr>
            <w:r w:rsidRPr="004C5551">
              <w:rPr>
                <w:sz w:val="20"/>
                <w:szCs w:val="20"/>
              </w:rPr>
              <w:t>108,3</w:t>
            </w:r>
          </w:p>
        </w:tc>
        <w:tc>
          <w:tcPr>
            <w:tcW w:w="1179" w:type="pct"/>
            <w:shd w:val="clear" w:color="000000" w:fill="FFCCCC" w:themeFill="accent3" w:themeFillTint="33"/>
            <w:vAlign w:val="center"/>
            <w:hideMark/>
          </w:tcPr>
          <w:p w:rsidR="00D40D6B" w:rsidRPr="004C5551" w:rsidRDefault="00D40D6B" w:rsidP="000C44B3">
            <w:pPr>
              <w:ind w:right="497"/>
              <w:jc w:val="right"/>
              <w:rPr>
                <w:sz w:val="20"/>
                <w:szCs w:val="20"/>
              </w:rPr>
            </w:pPr>
            <w:r w:rsidRPr="004C5551">
              <w:rPr>
                <w:sz w:val="20"/>
                <w:szCs w:val="20"/>
              </w:rPr>
              <w:t>25,4</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FI</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1 494 425</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44,2</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55,8</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100,8</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108,9</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27,5</w:t>
            </w:r>
          </w:p>
        </w:tc>
      </w:tr>
      <w:tr w:rsidR="00521828" w:rsidRPr="004C5551" w:rsidTr="009E2776">
        <w:trPr>
          <w:trHeight w:val="293"/>
          <w:jc w:val="center"/>
        </w:trPr>
        <w:tc>
          <w:tcPr>
            <w:tcW w:w="488" w:type="pct"/>
            <w:tcBorders>
              <w:bottom w:val="single" w:sz="4" w:space="0" w:color="auto"/>
            </w:tcBorders>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SE</w:t>
            </w:r>
          </w:p>
        </w:tc>
        <w:tc>
          <w:tcPr>
            <w:tcW w:w="780"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2 557 103</w:t>
            </w:r>
          </w:p>
        </w:tc>
        <w:tc>
          <w:tcPr>
            <w:tcW w:w="556"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45,7</w:t>
            </w:r>
          </w:p>
        </w:tc>
        <w:tc>
          <w:tcPr>
            <w:tcW w:w="633" w:type="pct"/>
            <w:tcBorders>
              <w:bottom w:val="sing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54,3</w:t>
            </w:r>
          </w:p>
        </w:tc>
        <w:tc>
          <w:tcPr>
            <w:tcW w:w="638" w:type="pct"/>
            <w:tcBorders>
              <w:bottom w:val="sing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100,9</w:t>
            </w:r>
          </w:p>
        </w:tc>
        <w:tc>
          <w:tcPr>
            <w:tcW w:w="726" w:type="pct"/>
            <w:tcBorders>
              <w:bottom w:val="sing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104,2</w:t>
            </w:r>
          </w:p>
        </w:tc>
        <w:tc>
          <w:tcPr>
            <w:tcW w:w="1179" w:type="pct"/>
            <w:tcBorders>
              <w:bottom w:val="single" w:sz="4" w:space="0" w:color="auto"/>
            </w:tcBorders>
            <w:shd w:val="clear" w:color="auto" w:fill="auto"/>
            <w:vAlign w:val="center"/>
            <w:hideMark/>
          </w:tcPr>
          <w:p w:rsidR="00D40D6B" w:rsidRPr="004C5551" w:rsidRDefault="00D40D6B" w:rsidP="000C44B3">
            <w:pPr>
              <w:ind w:right="497"/>
              <w:jc w:val="right"/>
              <w:rPr>
                <w:sz w:val="20"/>
                <w:szCs w:val="20"/>
              </w:rPr>
            </w:pPr>
            <w:r w:rsidRPr="004C5551">
              <w:rPr>
                <w:sz w:val="20"/>
                <w:szCs w:val="20"/>
              </w:rPr>
              <w:t>26,8</w:t>
            </w:r>
          </w:p>
        </w:tc>
      </w:tr>
      <w:tr w:rsidR="00521828" w:rsidRPr="004C5551" w:rsidTr="009E2776">
        <w:trPr>
          <w:trHeight w:val="293"/>
          <w:jc w:val="center"/>
        </w:trPr>
        <w:tc>
          <w:tcPr>
            <w:tcW w:w="488" w:type="pct"/>
            <w:tcBorders>
              <w:bottom w:val="double" w:sz="4" w:space="0" w:color="auto"/>
            </w:tcBorders>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UK</w:t>
            </w:r>
          </w:p>
        </w:tc>
        <w:tc>
          <w:tcPr>
            <w:tcW w:w="780" w:type="pct"/>
            <w:tcBorders>
              <w:bottom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15 363 815</w:t>
            </w:r>
          </w:p>
        </w:tc>
        <w:tc>
          <w:tcPr>
            <w:tcW w:w="556" w:type="pct"/>
            <w:tcBorders>
              <w:bottom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41,7</w:t>
            </w:r>
          </w:p>
        </w:tc>
        <w:tc>
          <w:tcPr>
            <w:tcW w:w="633" w:type="pct"/>
            <w:tcBorders>
              <w:bottom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58,3</w:t>
            </w:r>
          </w:p>
        </w:tc>
        <w:tc>
          <w:tcPr>
            <w:tcW w:w="638" w:type="pct"/>
            <w:tcBorders>
              <w:bottom w:val="doub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101,1</w:t>
            </w:r>
          </w:p>
        </w:tc>
        <w:tc>
          <w:tcPr>
            <w:tcW w:w="726" w:type="pct"/>
            <w:tcBorders>
              <w:bottom w:val="doub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w:t>
            </w:r>
          </w:p>
        </w:tc>
        <w:tc>
          <w:tcPr>
            <w:tcW w:w="1179" w:type="pct"/>
            <w:tcBorders>
              <w:bottom w:val="double" w:sz="4" w:space="0" w:color="auto"/>
            </w:tcBorders>
            <w:shd w:val="clear" w:color="auto" w:fill="auto"/>
            <w:vAlign w:val="center"/>
            <w:hideMark/>
          </w:tcPr>
          <w:p w:rsidR="00D40D6B" w:rsidRPr="004C5551" w:rsidRDefault="00D40D6B" w:rsidP="000C44B3">
            <w:pPr>
              <w:ind w:right="497"/>
              <w:jc w:val="right"/>
              <w:rPr>
                <w:sz w:val="20"/>
                <w:szCs w:val="20"/>
              </w:rPr>
            </w:pPr>
            <w:r w:rsidRPr="004C5551">
              <w:rPr>
                <w:sz w:val="20"/>
                <w:szCs w:val="20"/>
              </w:rPr>
              <w:t>24</w:t>
            </w:r>
          </w:p>
        </w:tc>
      </w:tr>
      <w:tr w:rsidR="00521828" w:rsidRPr="004C5551" w:rsidTr="009E2776">
        <w:trPr>
          <w:trHeight w:val="293"/>
          <w:jc w:val="center"/>
        </w:trPr>
        <w:tc>
          <w:tcPr>
            <w:tcW w:w="488" w:type="pct"/>
            <w:tcBorders>
              <w:top w:val="double" w:sz="4" w:space="0" w:color="auto"/>
            </w:tcBorders>
            <w:shd w:val="clear" w:color="auto" w:fill="auto"/>
            <w:vAlign w:val="center"/>
            <w:hideMark/>
          </w:tcPr>
          <w:p w:rsidR="00D40D6B" w:rsidRPr="004C5551" w:rsidRDefault="00D40D6B" w:rsidP="009E2776">
            <w:pPr>
              <w:ind w:firstLineChars="100" w:firstLine="200"/>
              <w:rPr>
                <w:sz w:val="20"/>
                <w:szCs w:val="20"/>
              </w:rPr>
            </w:pPr>
            <w:r w:rsidRPr="004C5551">
              <w:rPr>
                <w:sz w:val="20"/>
                <w:szCs w:val="20"/>
              </w:rPr>
              <w:t>I</w:t>
            </w:r>
            <w:r w:rsidR="009E2776" w:rsidRPr="004C5551">
              <w:rPr>
                <w:sz w:val="20"/>
                <w:szCs w:val="20"/>
              </w:rPr>
              <w:t>S</w:t>
            </w:r>
          </w:p>
        </w:tc>
        <w:tc>
          <w:tcPr>
            <w:tcW w:w="780" w:type="pct"/>
            <w:tcBorders>
              <w:top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60 263</w:t>
            </w:r>
          </w:p>
        </w:tc>
        <w:tc>
          <w:tcPr>
            <w:tcW w:w="556" w:type="pct"/>
            <w:tcBorders>
              <w:top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43,8</w:t>
            </w:r>
          </w:p>
        </w:tc>
        <w:tc>
          <w:tcPr>
            <w:tcW w:w="633" w:type="pct"/>
            <w:tcBorders>
              <w:top w:val="double" w:sz="4" w:space="0" w:color="auto"/>
            </w:tcBorders>
            <w:shd w:val="clear" w:color="auto" w:fill="auto"/>
            <w:vAlign w:val="center"/>
            <w:hideMark/>
          </w:tcPr>
          <w:p w:rsidR="00D40D6B" w:rsidRPr="004C5551" w:rsidRDefault="00D40D6B" w:rsidP="000C44B3">
            <w:pPr>
              <w:jc w:val="right"/>
              <w:rPr>
                <w:sz w:val="20"/>
                <w:szCs w:val="20"/>
              </w:rPr>
            </w:pPr>
            <w:r w:rsidRPr="004C5551">
              <w:rPr>
                <w:sz w:val="20"/>
                <w:szCs w:val="20"/>
              </w:rPr>
              <w:t>56,2</w:t>
            </w:r>
          </w:p>
        </w:tc>
        <w:tc>
          <w:tcPr>
            <w:tcW w:w="638" w:type="pct"/>
            <w:tcBorders>
              <w:top w:val="doub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103,8</w:t>
            </w:r>
          </w:p>
        </w:tc>
        <w:tc>
          <w:tcPr>
            <w:tcW w:w="726" w:type="pct"/>
            <w:tcBorders>
              <w:top w:val="double" w:sz="4" w:space="0" w:color="auto"/>
            </w:tcBorders>
            <w:shd w:val="clear" w:color="auto" w:fill="auto"/>
            <w:vAlign w:val="center"/>
            <w:hideMark/>
          </w:tcPr>
          <w:p w:rsidR="00D40D6B" w:rsidRPr="004C5551" w:rsidRDefault="00D40D6B" w:rsidP="000C44B3">
            <w:pPr>
              <w:ind w:right="36"/>
              <w:jc w:val="right"/>
              <w:rPr>
                <w:sz w:val="20"/>
                <w:szCs w:val="20"/>
              </w:rPr>
            </w:pPr>
            <w:r w:rsidRPr="004C5551">
              <w:rPr>
                <w:sz w:val="20"/>
                <w:szCs w:val="20"/>
              </w:rPr>
              <w:t>:</w:t>
            </w:r>
          </w:p>
        </w:tc>
        <w:tc>
          <w:tcPr>
            <w:tcW w:w="1179" w:type="pct"/>
            <w:tcBorders>
              <w:top w:val="double" w:sz="4" w:space="0" w:color="auto"/>
            </w:tcBorders>
            <w:shd w:val="clear" w:color="auto" w:fill="auto"/>
            <w:vAlign w:val="center"/>
            <w:hideMark/>
          </w:tcPr>
          <w:p w:rsidR="00D40D6B" w:rsidRPr="004C5551" w:rsidRDefault="00D40D6B" w:rsidP="000C44B3">
            <w:pPr>
              <w:ind w:right="497"/>
              <w:jc w:val="right"/>
              <w:rPr>
                <w:sz w:val="20"/>
                <w:szCs w:val="20"/>
              </w:rPr>
            </w:pPr>
            <w:r w:rsidRPr="004C5551">
              <w:rPr>
                <w:sz w:val="20"/>
                <w:szCs w:val="20"/>
              </w:rPr>
              <w:t>18,7</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NO</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1 205 531</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104</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113,2</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23,9</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CH</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2 898 200</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43,8</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56,2</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102</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112</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36,1</w:t>
            </w:r>
          </w:p>
        </w:tc>
      </w:tr>
      <w:tr w:rsidR="00521828" w:rsidRPr="004C5551" w:rsidTr="004E171F">
        <w:trPr>
          <w:trHeight w:val="116"/>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RS</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1 679 411</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43,1</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56,5</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103,9</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23,4</w:t>
            </w:r>
          </w:p>
        </w:tc>
      </w:tr>
      <w:tr w:rsidR="00521828" w:rsidRPr="004C5551" w:rsidTr="004E171F">
        <w:trPr>
          <w:trHeight w:val="293"/>
          <w:jc w:val="center"/>
        </w:trPr>
        <w:tc>
          <w:tcPr>
            <w:tcW w:w="488" w:type="pct"/>
            <w:shd w:val="clear" w:color="auto" w:fill="auto"/>
            <w:vAlign w:val="center"/>
            <w:hideMark/>
          </w:tcPr>
          <w:p w:rsidR="00D40D6B" w:rsidRPr="004C5551" w:rsidRDefault="00D40D6B" w:rsidP="00D40D6B">
            <w:pPr>
              <w:ind w:firstLineChars="100" w:firstLine="200"/>
              <w:rPr>
                <w:sz w:val="20"/>
                <w:szCs w:val="20"/>
              </w:rPr>
            </w:pPr>
            <w:r w:rsidRPr="004C5551">
              <w:rPr>
                <w:sz w:val="20"/>
                <w:szCs w:val="20"/>
              </w:rPr>
              <w:t>TR</w:t>
            </w:r>
          </w:p>
        </w:tc>
        <w:tc>
          <w:tcPr>
            <w:tcW w:w="780" w:type="pct"/>
            <w:shd w:val="clear" w:color="auto" w:fill="auto"/>
            <w:vAlign w:val="center"/>
            <w:hideMark/>
          </w:tcPr>
          <w:p w:rsidR="00D40D6B" w:rsidRPr="004C5551" w:rsidRDefault="00D40D6B" w:rsidP="000C44B3">
            <w:pPr>
              <w:jc w:val="right"/>
              <w:rPr>
                <w:sz w:val="20"/>
                <w:szCs w:val="20"/>
              </w:rPr>
            </w:pPr>
            <w:r w:rsidRPr="004C5551">
              <w:rPr>
                <w:sz w:val="20"/>
                <w:szCs w:val="20"/>
              </w:rPr>
              <w:t>11 529 069</w:t>
            </w:r>
          </w:p>
        </w:tc>
        <w:tc>
          <w:tcPr>
            <w:tcW w:w="556"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3" w:type="pct"/>
            <w:shd w:val="clear" w:color="auto" w:fill="auto"/>
            <w:vAlign w:val="center"/>
            <w:hideMark/>
          </w:tcPr>
          <w:p w:rsidR="00D40D6B" w:rsidRPr="004C5551" w:rsidRDefault="00D40D6B" w:rsidP="000C44B3">
            <w:pPr>
              <w:jc w:val="right"/>
              <w:rPr>
                <w:sz w:val="20"/>
                <w:szCs w:val="20"/>
              </w:rPr>
            </w:pPr>
            <w:r w:rsidRPr="004C5551">
              <w:rPr>
                <w:sz w:val="20"/>
                <w:szCs w:val="20"/>
              </w:rPr>
              <w:t>:</w:t>
            </w:r>
          </w:p>
        </w:tc>
        <w:tc>
          <w:tcPr>
            <w:tcW w:w="638"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104,5</w:t>
            </w:r>
          </w:p>
        </w:tc>
        <w:tc>
          <w:tcPr>
            <w:tcW w:w="726" w:type="pct"/>
            <w:shd w:val="clear" w:color="auto" w:fill="auto"/>
            <w:vAlign w:val="center"/>
            <w:hideMark/>
          </w:tcPr>
          <w:p w:rsidR="00D40D6B" w:rsidRPr="004C5551" w:rsidRDefault="00D40D6B" w:rsidP="000C44B3">
            <w:pPr>
              <w:ind w:right="36"/>
              <w:jc w:val="right"/>
              <w:rPr>
                <w:sz w:val="20"/>
                <w:szCs w:val="20"/>
              </w:rPr>
            </w:pPr>
            <w:r w:rsidRPr="004C5551">
              <w:rPr>
                <w:sz w:val="20"/>
                <w:szCs w:val="20"/>
              </w:rPr>
              <w:t>129,2</w:t>
            </w:r>
          </w:p>
        </w:tc>
        <w:tc>
          <w:tcPr>
            <w:tcW w:w="1179" w:type="pct"/>
            <w:shd w:val="clear" w:color="auto" w:fill="auto"/>
            <w:vAlign w:val="center"/>
            <w:hideMark/>
          </w:tcPr>
          <w:p w:rsidR="00D40D6B" w:rsidRPr="004C5551" w:rsidRDefault="00D40D6B" w:rsidP="000C44B3">
            <w:pPr>
              <w:ind w:right="497"/>
              <w:jc w:val="right"/>
              <w:rPr>
                <w:sz w:val="20"/>
                <w:szCs w:val="20"/>
              </w:rPr>
            </w:pPr>
            <w:r w:rsidRPr="004C5551">
              <w:rPr>
                <w:sz w:val="20"/>
                <w:szCs w:val="20"/>
              </w:rPr>
              <w:t>15,2</w:t>
            </w:r>
          </w:p>
        </w:tc>
      </w:tr>
    </w:tbl>
    <w:p w:rsidR="00521828" w:rsidRPr="004C5551" w:rsidRDefault="00521828" w:rsidP="009B6AD5">
      <w:pPr>
        <w:pStyle w:val="zdroj"/>
        <w:spacing w:after="0"/>
      </w:pPr>
      <w:r w:rsidRPr="004C5551">
        <w:t xml:space="preserve">Zdroj: </w:t>
      </w:r>
      <w:proofErr w:type="spellStart"/>
      <w:r w:rsidRPr="004C5551">
        <w:t>Eurostat</w:t>
      </w:r>
      <w:proofErr w:type="spellEnd"/>
      <w:r w:rsidRPr="004C5551">
        <w:t xml:space="preserve"> – ESSPROS</w:t>
      </w:r>
    </w:p>
    <w:p w:rsidR="009B6AD5" w:rsidRPr="004C5551" w:rsidRDefault="009B6AD5" w:rsidP="002D20E8">
      <w:pPr>
        <w:pStyle w:val="zdroj"/>
        <w:spacing w:before="0" w:after="0"/>
      </w:pPr>
      <w:r w:rsidRPr="004C5551">
        <w:t>* Počet poberateľov dôchodkov bez dvojitého načítania</w:t>
      </w:r>
    </w:p>
    <w:p w:rsidR="002D20E8" w:rsidRPr="004C5551" w:rsidRDefault="002D20E8" w:rsidP="009B6AD5">
      <w:pPr>
        <w:pStyle w:val="zdroj"/>
        <w:spacing w:before="0"/>
      </w:pPr>
      <w:r w:rsidRPr="004C5551">
        <w:t>Predbežné údaje za rok 2012: DE, ES, FR,  HR, IT, LT,  NL, PL, SI, SK, SE, UK, CH; odhad LV</w:t>
      </w:r>
    </w:p>
    <w:p w:rsidR="00D40D6B" w:rsidRPr="004C5551" w:rsidRDefault="00D40D6B" w:rsidP="000C44B3">
      <w:pPr>
        <w:pStyle w:val="Nadpis7"/>
      </w:pPr>
      <w:r w:rsidRPr="004C5551">
        <w:rPr>
          <w:bCs/>
          <w:iCs/>
        </w:rPr>
        <w:br w:type="page"/>
      </w:r>
      <w:r w:rsidRPr="004C5551">
        <w:t>Tabuľka 3</w:t>
      </w:r>
      <w:r w:rsidR="00453F8D" w:rsidRPr="004C5551">
        <w:t>5</w:t>
      </w:r>
      <w:r w:rsidRPr="004C5551">
        <w:t xml:space="preserve"> Dane a odvody platené zo sociálnych dávok, 2011</w:t>
      </w: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1050"/>
        <w:gridCol w:w="1161"/>
        <w:gridCol w:w="1739"/>
        <w:gridCol w:w="1559"/>
        <w:gridCol w:w="1498"/>
        <w:gridCol w:w="2205"/>
      </w:tblGrid>
      <w:tr w:rsidR="00D40D6B" w:rsidRPr="004C5551" w:rsidTr="009E2776">
        <w:trPr>
          <w:trHeight w:val="305"/>
        </w:trPr>
        <w:tc>
          <w:tcPr>
            <w:tcW w:w="570" w:type="pct"/>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D40D6B" w:rsidRPr="004C5551" w:rsidRDefault="00D40D6B" w:rsidP="000C44B3">
            <w:pPr>
              <w:jc w:val="center"/>
            </w:pPr>
            <w:r w:rsidRPr="004C5551">
              <w:rPr>
                <w:b/>
                <w:sz w:val="20"/>
                <w:szCs w:val="20"/>
              </w:rPr>
              <w:t>Územie</w:t>
            </w:r>
          </w:p>
        </w:tc>
        <w:tc>
          <w:tcPr>
            <w:tcW w:w="2420" w:type="pct"/>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D40D6B" w:rsidRPr="004C5551" w:rsidRDefault="00D40D6B" w:rsidP="00D40D6B">
            <w:pPr>
              <w:rPr>
                <w:b/>
                <w:sz w:val="20"/>
                <w:szCs w:val="20"/>
              </w:rPr>
            </w:pPr>
            <w:r w:rsidRPr="004C5551">
              <w:rPr>
                <w:b/>
                <w:sz w:val="20"/>
                <w:szCs w:val="20"/>
              </w:rPr>
              <w:t xml:space="preserve">Výdavky na sociálnu ochranu </w:t>
            </w:r>
          </w:p>
        </w:tc>
        <w:tc>
          <w:tcPr>
            <w:tcW w:w="2011" w:type="pct"/>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D40D6B" w:rsidRPr="004C5551" w:rsidRDefault="00D40D6B" w:rsidP="00D40D6B">
            <w:pPr>
              <w:jc w:val="center"/>
              <w:rPr>
                <w:b/>
                <w:sz w:val="20"/>
                <w:szCs w:val="20"/>
              </w:rPr>
            </w:pPr>
            <w:r w:rsidRPr="004C5551">
              <w:rPr>
                <w:b/>
                <w:sz w:val="20"/>
                <w:szCs w:val="20"/>
              </w:rPr>
              <w:t>Sociálne dávky</w:t>
            </w:r>
          </w:p>
        </w:tc>
      </w:tr>
      <w:tr w:rsidR="00521828" w:rsidRPr="004C5551" w:rsidTr="009E2776">
        <w:trPr>
          <w:trHeight w:val="626"/>
        </w:trPr>
        <w:tc>
          <w:tcPr>
            <w:tcW w:w="570" w:type="pct"/>
            <w:vMerge/>
            <w:tcBorders>
              <w:left w:val="single" w:sz="4" w:space="0" w:color="auto"/>
              <w:bottom w:val="single" w:sz="4" w:space="0" w:color="auto"/>
              <w:right w:val="single" w:sz="4" w:space="0" w:color="auto"/>
            </w:tcBorders>
            <w:shd w:val="clear" w:color="auto" w:fill="FF9999" w:themeFill="accent3" w:themeFillTint="66"/>
            <w:noWrap/>
            <w:vAlign w:val="center"/>
            <w:hideMark/>
          </w:tcPr>
          <w:p w:rsidR="00D40D6B" w:rsidRPr="004C5551" w:rsidRDefault="00D40D6B" w:rsidP="00D40D6B">
            <w:pPr>
              <w:rPr>
                <w:b/>
                <w:sz w:val="20"/>
                <w:szCs w:val="20"/>
              </w:rPr>
            </w:pPr>
          </w:p>
        </w:tc>
        <w:tc>
          <w:tcPr>
            <w:tcW w:w="630" w:type="pct"/>
            <w:tcBorders>
              <w:top w:val="nil"/>
              <w:left w:val="nil"/>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Hrubé výdavky (% HDP)</w:t>
            </w:r>
          </w:p>
        </w:tc>
        <w:tc>
          <w:tcPr>
            <w:tcW w:w="944" w:type="pct"/>
            <w:tcBorders>
              <w:top w:val="nil"/>
              <w:left w:val="nil"/>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Netto výdavky (% HDP)</w:t>
            </w:r>
          </w:p>
        </w:tc>
        <w:tc>
          <w:tcPr>
            <w:tcW w:w="846" w:type="pct"/>
            <w:tcBorders>
              <w:top w:val="nil"/>
              <w:left w:val="nil"/>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Netto výdavky ako % z hrubých</w:t>
            </w:r>
          </w:p>
        </w:tc>
        <w:tc>
          <w:tcPr>
            <w:tcW w:w="813" w:type="pct"/>
            <w:tcBorders>
              <w:top w:val="nil"/>
              <w:left w:val="nil"/>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 zdanených dávok</w:t>
            </w:r>
          </w:p>
        </w:tc>
        <w:tc>
          <w:tcPr>
            <w:tcW w:w="1198" w:type="pct"/>
            <w:tcBorders>
              <w:top w:val="nil"/>
              <w:left w:val="nil"/>
              <w:bottom w:val="single" w:sz="4" w:space="0" w:color="auto"/>
              <w:right w:val="single" w:sz="4" w:space="0" w:color="auto"/>
            </w:tcBorders>
            <w:shd w:val="clear" w:color="auto" w:fill="FF9999" w:themeFill="accent3" w:themeFillTint="66"/>
            <w:vAlign w:val="center"/>
            <w:hideMark/>
          </w:tcPr>
          <w:p w:rsidR="00D40D6B" w:rsidRPr="004C5551" w:rsidRDefault="00D40D6B" w:rsidP="00D40D6B">
            <w:pPr>
              <w:jc w:val="center"/>
              <w:rPr>
                <w:b/>
                <w:sz w:val="20"/>
                <w:szCs w:val="20"/>
              </w:rPr>
            </w:pPr>
            <w:r w:rsidRPr="004C5551">
              <w:rPr>
                <w:b/>
                <w:sz w:val="20"/>
                <w:szCs w:val="20"/>
              </w:rPr>
              <w:t>% dávok, z ktorých sa platia soc. odvody</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BE</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29</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26,81</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92,45</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59,06</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39,57</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BG</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17,16</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17,15</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99,95</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0,61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CZ</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19,78</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19,74</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99,75</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1,51</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0,72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DK</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32,79</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27,58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84,13</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55,5</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55,44</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DE</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28,25</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26,02</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92,08</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51,59</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48,18</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EE</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15,89</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15,58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98,03</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62,83</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0,44</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IE</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28,31</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28,1</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99,26</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27,58</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1,72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GR</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28,85</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27,45</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95,14</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58,59</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2,69</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ES</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25,63</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24,38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95,15</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51,95</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10,61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FR</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31,92</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30,23</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94,7</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60</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36,13</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HR</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20,28</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19,84</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97,83</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55,63</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55,63</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IT</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28,43</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25,13</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88,42</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65,83</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1,15</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CY</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22,37</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21,56</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96,37</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31,72</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9,91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LV</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14,81</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14,39</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97,16</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61,53</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1,96</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LT</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16,35</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16,07</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98,27</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9,76</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9,76</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LU</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22,16</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20,34</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91,82</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55,71</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56,44</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HU</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22,77</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22,48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98,75</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55,32</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3,22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MT</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18,53</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18,2</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98,18</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55,78</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D40D6B" w:rsidRPr="004C5551" w:rsidRDefault="00D40D6B" w:rsidP="009E2776">
            <w:pPr>
              <w:jc w:val="center"/>
              <w:rPr>
                <w:sz w:val="20"/>
                <w:szCs w:val="20"/>
              </w:rPr>
            </w:pPr>
            <w:r w:rsidRPr="004C5551">
              <w:rPr>
                <w:sz w:val="20"/>
                <w:szCs w:val="20"/>
              </w:rPr>
              <w:t>NL</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30,45</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81,44</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55,41</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55,41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AT</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28,99</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26,05</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89,86</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53,21</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54,02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PT</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24,96</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23,66</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94,8</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59,42</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RO</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16,11</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15,94</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98,96</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56,22</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w:t>
            </w:r>
          </w:p>
        </w:tc>
      </w:tr>
      <w:tr w:rsidR="00521828" w:rsidRPr="004C5551" w:rsidTr="009E2776">
        <w:trPr>
          <w:trHeight w:val="295"/>
        </w:trPr>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SI</w:t>
            </w:r>
          </w:p>
        </w:tc>
        <w:tc>
          <w:tcPr>
            <w:tcW w:w="630" w:type="pct"/>
            <w:tcBorders>
              <w:top w:val="single" w:sz="4" w:space="0" w:color="000000"/>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24,57</w:t>
            </w:r>
          </w:p>
        </w:tc>
        <w:tc>
          <w:tcPr>
            <w:tcW w:w="944" w:type="pct"/>
            <w:tcBorders>
              <w:top w:val="single" w:sz="4" w:space="0" w:color="000000"/>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24,24</w:t>
            </w:r>
          </w:p>
        </w:tc>
        <w:tc>
          <w:tcPr>
            <w:tcW w:w="846" w:type="pct"/>
            <w:tcBorders>
              <w:top w:val="single" w:sz="4" w:space="0" w:color="000000"/>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98,63</w:t>
            </w:r>
          </w:p>
        </w:tc>
        <w:tc>
          <w:tcPr>
            <w:tcW w:w="813" w:type="pct"/>
            <w:tcBorders>
              <w:top w:val="single" w:sz="4" w:space="0" w:color="000000"/>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55,38</w:t>
            </w:r>
          </w:p>
        </w:tc>
        <w:tc>
          <w:tcPr>
            <w:tcW w:w="1198" w:type="pct"/>
            <w:tcBorders>
              <w:top w:val="single" w:sz="4" w:space="0" w:color="000000"/>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w:t>
            </w:r>
          </w:p>
        </w:tc>
      </w:tr>
      <w:tr w:rsidR="00521828" w:rsidRPr="004C5551" w:rsidTr="009E2776">
        <w:trPr>
          <w:trHeight w:val="295"/>
        </w:trPr>
        <w:tc>
          <w:tcPr>
            <w:tcW w:w="570" w:type="pct"/>
            <w:tcBorders>
              <w:top w:val="single" w:sz="4" w:space="0" w:color="000000"/>
              <w:left w:val="single" w:sz="4" w:space="0" w:color="000000"/>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jc w:val="center"/>
              <w:rPr>
                <w:b/>
                <w:sz w:val="20"/>
                <w:szCs w:val="20"/>
              </w:rPr>
            </w:pPr>
            <w:r w:rsidRPr="004C5551">
              <w:rPr>
                <w:b/>
                <w:sz w:val="20"/>
                <w:szCs w:val="20"/>
              </w:rPr>
              <w:t>SK</w:t>
            </w:r>
          </w:p>
        </w:tc>
        <w:tc>
          <w:tcPr>
            <w:tcW w:w="630"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ind w:right="201"/>
              <w:jc w:val="right"/>
              <w:rPr>
                <w:sz w:val="20"/>
                <w:szCs w:val="20"/>
              </w:rPr>
            </w:pPr>
            <w:r w:rsidRPr="004C5551">
              <w:rPr>
                <w:sz w:val="20"/>
                <w:szCs w:val="20"/>
              </w:rPr>
              <w:t>17,71</w:t>
            </w:r>
          </w:p>
        </w:tc>
        <w:tc>
          <w:tcPr>
            <w:tcW w:w="944"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ind w:right="201"/>
              <w:jc w:val="right"/>
              <w:rPr>
                <w:sz w:val="20"/>
                <w:szCs w:val="20"/>
              </w:rPr>
            </w:pPr>
            <w:r w:rsidRPr="004C5551">
              <w:rPr>
                <w:sz w:val="20"/>
                <w:szCs w:val="20"/>
              </w:rPr>
              <w:t>17,64</w:t>
            </w:r>
          </w:p>
        </w:tc>
        <w:tc>
          <w:tcPr>
            <w:tcW w:w="846"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ind w:right="201"/>
              <w:jc w:val="right"/>
              <w:rPr>
                <w:sz w:val="20"/>
                <w:szCs w:val="20"/>
              </w:rPr>
            </w:pPr>
            <w:r w:rsidRPr="004C5551">
              <w:rPr>
                <w:sz w:val="20"/>
                <w:szCs w:val="20"/>
              </w:rPr>
              <w:t>99,6</w:t>
            </w:r>
          </w:p>
        </w:tc>
        <w:tc>
          <w:tcPr>
            <w:tcW w:w="813"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ind w:right="201"/>
              <w:jc w:val="right"/>
              <w:rPr>
                <w:sz w:val="20"/>
                <w:szCs w:val="20"/>
              </w:rPr>
            </w:pPr>
            <w:r w:rsidRPr="004C5551">
              <w:rPr>
                <w:sz w:val="20"/>
                <w:szCs w:val="20"/>
              </w:rPr>
              <w:t>2,58</w:t>
            </w:r>
          </w:p>
        </w:tc>
        <w:tc>
          <w:tcPr>
            <w:tcW w:w="1198" w:type="pct"/>
            <w:tcBorders>
              <w:top w:val="single" w:sz="4" w:space="0" w:color="000000"/>
              <w:left w:val="nil"/>
              <w:bottom w:val="single" w:sz="4" w:space="0" w:color="000000"/>
              <w:right w:val="single" w:sz="4" w:space="0" w:color="000000"/>
            </w:tcBorders>
            <w:shd w:val="clear" w:color="auto" w:fill="FFCCCC" w:themeFill="accent3" w:themeFillTint="33"/>
            <w:noWrap/>
            <w:vAlign w:val="center"/>
          </w:tcPr>
          <w:p w:rsidR="00D40D6B" w:rsidRPr="004C5551" w:rsidRDefault="00D40D6B" w:rsidP="009E2776">
            <w:pPr>
              <w:ind w:right="201"/>
              <w:jc w:val="right"/>
              <w:rPr>
                <w:sz w:val="20"/>
                <w:szCs w:val="20"/>
              </w:rPr>
            </w:pPr>
            <w:r w:rsidRPr="004C5551">
              <w:rPr>
                <w:sz w:val="20"/>
                <w:szCs w:val="20"/>
              </w:rPr>
              <w:t>1,51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FI</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29,24</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26,27</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89,84</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57,11</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57,11</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SE</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29,05</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25,68</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88,4</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49,48</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0</w:t>
            </w:r>
          </w:p>
        </w:tc>
      </w:tr>
      <w:tr w:rsidR="00521828" w:rsidRPr="004C5551" w:rsidTr="009E2776">
        <w:trPr>
          <w:trHeight w:val="295"/>
        </w:trPr>
        <w:tc>
          <w:tcPr>
            <w:tcW w:w="570" w:type="pct"/>
            <w:tcBorders>
              <w:top w:val="single" w:sz="4" w:space="0" w:color="000000"/>
              <w:left w:val="single" w:sz="4" w:space="0" w:color="000000"/>
              <w:bottom w:val="double" w:sz="4" w:space="0" w:color="auto"/>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UK</w:t>
            </w:r>
          </w:p>
        </w:tc>
        <w:tc>
          <w:tcPr>
            <w:tcW w:w="630" w:type="pct"/>
            <w:tcBorders>
              <w:top w:val="single" w:sz="4" w:space="0" w:color="000000"/>
              <w:left w:val="nil"/>
              <w:bottom w:val="double" w:sz="4" w:space="0" w:color="auto"/>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26,26</w:t>
            </w:r>
          </w:p>
        </w:tc>
        <w:tc>
          <w:tcPr>
            <w:tcW w:w="944" w:type="pct"/>
            <w:tcBorders>
              <w:top w:val="single" w:sz="4" w:space="0" w:color="000000"/>
              <w:left w:val="nil"/>
              <w:bottom w:val="double" w:sz="4" w:space="0" w:color="auto"/>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25,29</w:t>
            </w:r>
          </w:p>
        </w:tc>
        <w:tc>
          <w:tcPr>
            <w:tcW w:w="846" w:type="pct"/>
            <w:tcBorders>
              <w:top w:val="single" w:sz="4" w:space="0" w:color="000000"/>
              <w:left w:val="nil"/>
              <w:bottom w:val="double" w:sz="4" w:space="0" w:color="auto"/>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96,3</w:t>
            </w:r>
          </w:p>
        </w:tc>
        <w:tc>
          <w:tcPr>
            <w:tcW w:w="813" w:type="pct"/>
            <w:tcBorders>
              <w:top w:val="single" w:sz="4" w:space="0" w:color="000000"/>
              <w:left w:val="nil"/>
              <w:bottom w:val="double" w:sz="4" w:space="0" w:color="auto"/>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42,92</w:t>
            </w:r>
          </w:p>
        </w:tc>
        <w:tc>
          <w:tcPr>
            <w:tcW w:w="1198" w:type="pct"/>
            <w:tcBorders>
              <w:top w:val="single" w:sz="4" w:space="0" w:color="000000"/>
              <w:left w:val="nil"/>
              <w:bottom w:val="double" w:sz="4" w:space="0" w:color="auto"/>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3,11</w:t>
            </w:r>
          </w:p>
        </w:tc>
      </w:tr>
      <w:tr w:rsidR="00521828" w:rsidRPr="004C5551" w:rsidTr="009E2776">
        <w:trPr>
          <w:trHeight w:val="295"/>
        </w:trPr>
        <w:tc>
          <w:tcPr>
            <w:tcW w:w="570" w:type="pct"/>
            <w:tcBorders>
              <w:top w:val="double" w:sz="4" w:space="0" w:color="auto"/>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IS</w:t>
            </w:r>
          </w:p>
        </w:tc>
        <w:tc>
          <w:tcPr>
            <w:tcW w:w="630" w:type="pct"/>
            <w:tcBorders>
              <w:top w:val="double" w:sz="4" w:space="0" w:color="auto"/>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24,75</w:t>
            </w:r>
          </w:p>
        </w:tc>
        <w:tc>
          <w:tcPr>
            <w:tcW w:w="944" w:type="pct"/>
            <w:tcBorders>
              <w:top w:val="double" w:sz="4" w:space="0" w:color="auto"/>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22,14</w:t>
            </w:r>
          </w:p>
        </w:tc>
        <w:tc>
          <w:tcPr>
            <w:tcW w:w="846" w:type="pct"/>
            <w:tcBorders>
              <w:top w:val="double" w:sz="4" w:space="0" w:color="auto"/>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89,46</w:t>
            </w:r>
          </w:p>
        </w:tc>
        <w:tc>
          <w:tcPr>
            <w:tcW w:w="813" w:type="pct"/>
            <w:tcBorders>
              <w:top w:val="double" w:sz="4" w:space="0" w:color="auto"/>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52,49</w:t>
            </w:r>
          </w:p>
        </w:tc>
        <w:tc>
          <w:tcPr>
            <w:tcW w:w="1198" w:type="pct"/>
            <w:tcBorders>
              <w:top w:val="double" w:sz="4" w:space="0" w:color="auto"/>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13,2</w:t>
            </w:r>
          </w:p>
        </w:tc>
      </w:tr>
      <w:tr w:rsidR="00521828" w:rsidRPr="004C5551" w:rsidTr="009E2776">
        <w:trPr>
          <w:trHeight w:val="295"/>
        </w:trPr>
        <w:tc>
          <w:tcPr>
            <w:tcW w:w="570" w:type="pct"/>
            <w:tcBorders>
              <w:top w:val="nil"/>
              <w:left w:val="single" w:sz="4" w:space="0" w:color="000000"/>
              <w:bottom w:val="single" w:sz="4" w:space="0" w:color="000000"/>
              <w:right w:val="single" w:sz="4" w:space="0" w:color="000000"/>
            </w:tcBorders>
            <w:shd w:val="clear" w:color="auto" w:fill="auto"/>
            <w:noWrap/>
            <w:vAlign w:val="center"/>
          </w:tcPr>
          <w:p w:rsidR="00D40D6B" w:rsidRPr="004C5551" w:rsidRDefault="00D40D6B" w:rsidP="009E2776">
            <w:pPr>
              <w:jc w:val="center"/>
              <w:rPr>
                <w:sz w:val="20"/>
                <w:szCs w:val="20"/>
              </w:rPr>
            </w:pPr>
            <w:r w:rsidRPr="004C5551">
              <w:rPr>
                <w:sz w:val="20"/>
                <w:szCs w:val="20"/>
              </w:rPr>
              <w:t>NO</w:t>
            </w:r>
          </w:p>
        </w:tc>
        <w:tc>
          <w:tcPr>
            <w:tcW w:w="630"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24,64</w:t>
            </w:r>
          </w:p>
        </w:tc>
        <w:tc>
          <w:tcPr>
            <w:tcW w:w="944"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22,35</w:t>
            </w:r>
          </w:p>
        </w:tc>
        <w:tc>
          <w:tcPr>
            <w:tcW w:w="846"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90,69</w:t>
            </w:r>
          </w:p>
        </w:tc>
        <w:tc>
          <w:tcPr>
            <w:tcW w:w="813"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54,34</w:t>
            </w:r>
          </w:p>
        </w:tc>
        <w:tc>
          <w:tcPr>
            <w:tcW w:w="1198" w:type="pct"/>
            <w:tcBorders>
              <w:top w:val="nil"/>
              <w:left w:val="nil"/>
              <w:bottom w:val="single" w:sz="4" w:space="0" w:color="000000"/>
              <w:right w:val="single" w:sz="4" w:space="0" w:color="000000"/>
            </w:tcBorders>
            <w:shd w:val="clear" w:color="auto" w:fill="auto"/>
            <w:noWrap/>
            <w:vAlign w:val="center"/>
          </w:tcPr>
          <w:p w:rsidR="00D40D6B" w:rsidRPr="004C5551" w:rsidRDefault="00D40D6B" w:rsidP="009E2776">
            <w:pPr>
              <w:ind w:right="201"/>
              <w:jc w:val="right"/>
              <w:rPr>
                <w:sz w:val="20"/>
                <w:szCs w:val="20"/>
              </w:rPr>
            </w:pPr>
            <w:r w:rsidRPr="004C5551">
              <w:rPr>
                <w:sz w:val="20"/>
                <w:szCs w:val="20"/>
              </w:rPr>
              <w:t>:</w:t>
            </w:r>
          </w:p>
        </w:tc>
      </w:tr>
    </w:tbl>
    <w:p w:rsidR="00963C38" w:rsidRPr="004C5551" w:rsidRDefault="00963C38" w:rsidP="00963C38">
      <w:pPr>
        <w:pStyle w:val="zdroj"/>
      </w:pPr>
      <w:r w:rsidRPr="004C5551">
        <w:t xml:space="preserve"> Zdroj: </w:t>
      </w:r>
      <w:proofErr w:type="spellStart"/>
      <w:r w:rsidRPr="004C5551">
        <w:t>Eurostat</w:t>
      </w:r>
      <w:proofErr w:type="spellEnd"/>
      <w:r w:rsidRPr="004C5551">
        <w:t xml:space="preserve"> – ESSPROS</w:t>
      </w:r>
    </w:p>
    <w:p w:rsidR="00D40D6B" w:rsidRPr="004C5551" w:rsidRDefault="00D40D6B" w:rsidP="00D40D6B">
      <w:pPr>
        <w:spacing w:before="60" w:after="120"/>
        <w:ind w:firstLine="1134"/>
        <w:rPr>
          <w:i/>
          <w:color w:val="000000"/>
          <w:sz w:val="20"/>
          <w:szCs w:val="20"/>
        </w:rPr>
      </w:pPr>
    </w:p>
    <w:p w:rsidR="004E171F" w:rsidRPr="004C5551" w:rsidRDefault="004E171F">
      <w:pPr>
        <w:jc w:val="left"/>
        <w:rPr>
          <w:bCs/>
          <w:iCs/>
        </w:rPr>
        <w:sectPr w:rsidR="004E171F" w:rsidRPr="004C5551" w:rsidSect="004F3C97">
          <w:pgSz w:w="11906" w:h="16838"/>
          <w:pgMar w:top="1417" w:right="1417" w:bottom="1417" w:left="1417" w:header="708" w:footer="708" w:gutter="0"/>
          <w:cols w:space="708"/>
          <w:docGrid w:linePitch="360"/>
        </w:sectPr>
      </w:pPr>
    </w:p>
    <w:p w:rsidR="00B86B93" w:rsidRPr="004C5551" w:rsidRDefault="00877466" w:rsidP="00B86B93">
      <w:pPr>
        <w:pStyle w:val="Nadpis7"/>
      </w:pPr>
      <w:bookmarkStart w:id="858" w:name="_Toc351120127"/>
      <w:bookmarkStart w:id="859" w:name="_Toc352833097"/>
      <w:bookmarkStart w:id="860" w:name="_Toc352840761"/>
      <w:bookmarkStart w:id="861" w:name="_Toc383151966"/>
      <w:bookmarkStart w:id="862" w:name="_Toc383407437"/>
      <w:bookmarkStart w:id="863" w:name="_Toc417885648"/>
      <w:bookmarkStart w:id="864" w:name="_Toc417901763"/>
      <w:bookmarkEnd w:id="851"/>
      <w:bookmarkEnd w:id="852"/>
      <w:bookmarkEnd w:id="853"/>
      <w:bookmarkEnd w:id="854"/>
      <w:bookmarkEnd w:id="855"/>
      <w:bookmarkEnd w:id="856"/>
      <w:bookmarkEnd w:id="857"/>
      <w:r w:rsidRPr="004C5551">
        <w:rPr>
          <w:bCs/>
          <w:iCs/>
        </w:rPr>
        <w:t>Tabuľka 3</w:t>
      </w:r>
      <w:r w:rsidR="00453F8D" w:rsidRPr="004C5551">
        <w:rPr>
          <w:bCs/>
          <w:iCs/>
        </w:rPr>
        <w:t>6</w:t>
      </w:r>
      <w:r w:rsidRPr="004C5551">
        <w:rPr>
          <w:bCs/>
          <w:iCs/>
        </w:rPr>
        <w:t xml:space="preserve"> </w:t>
      </w:r>
      <w:bookmarkEnd w:id="858"/>
      <w:bookmarkEnd w:id="859"/>
      <w:bookmarkEnd w:id="860"/>
      <w:bookmarkEnd w:id="861"/>
      <w:bookmarkEnd w:id="862"/>
      <w:bookmarkEnd w:id="863"/>
      <w:bookmarkEnd w:id="864"/>
      <w:r w:rsidR="00B86B93" w:rsidRPr="004C5551">
        <w:t xml:space="preserve">Národné projekty </w:t>
      </w:r>
      <w:proofErr w:type="spellStart"/>
      <w:r w:rsidR="00B86B93" w:rsidRPr="004C5551">
        <w:t>zazmluvnené</w:t>
      </w:r>
      <w:proofErr w:type="spellEnd"/>
      <w:r w:rsidR="00B86B93" w:rsidRPr="004C5551">
        <w:t xml:space="preserve"> v roku 2014</w:t>
      </w: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7"/>
        <w:gridCol w:w="6592"/>
        <w:gridCol w:w="7"/>
        <w:gridCol w:w="3603"/>
      </w:tblGrid>
      <w:tr w:rsidR="00D8131F" w:rsidRPr="004C5551" w:rsidTr="004A598D">
        <w:trPr>
          <w:trHeight w:val="283"/>
          <w:tblHeader/>
          <w:jc w:val="center"/>
        </w:trPr>
        <w:tc>
          <w:tcPr>
            <w:tcW w:w="2437" w:type="dxa"/>
            <w:tcBorders>
              <w:bottom w:val="single" w:sz="4" w:space="0" w:color="auto"/>
            </w:tcBorders>
            <w:shd w:val="clear" w:color="auto" w:fill="FF9999"/>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Kód</w:t>
            </w:r>
          </w:p>
        </w:tc>
        <w:tc>
          <w:tcPr>
            <w:tcW w:w="6592" w:type="dxa"/>
            <w:shd w:val="clear" w:color="auto" w:fill="FF9999"/>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Názov</w:t>
            </w:r>
          </w:p>
        </w:tc>
        <w:tc>
          <w:tcPr>
            <w:tcW w:w="3610" w:type="dxa"/>
            <w:gridSpan w:val="2"/>
            <w:shd w:val="clear" w:color="auto" w:fill="FF9999"/>
            <w:tcMar>
              <w:top w:w="0" w:type="dxa"/>
              <w:left w:w="108" w:type="dxa"/>
              <w:bottom w:w="0" w:type="dxa"/>
              <w:right w:w="108" w:type="dxa"/>
            </w:tcMar>
            <w:vAlign w:val="center"/>
            <w:hideMark/>
          </w:tcPr>
          <w:p w:rsidR="00D8131F" w:rsidRPr="004C5551" w:rsidRDefault="00D8131F" w:rsidP="004A598D">
            <w:pPr>
              <w:jc w:val="left"/>
              <w:rPr>
                <w:rFonts w:eastAsiaTheme="minorHAnsi"/>
                <w:b/>
                <w:bCs/>
                <w:color w:val="000000"/>
                <w:sz w:val="20"/>
                <w:szCs w:val="20"/>
                <w:lang w:eastAsia="en-US"/>
              </w:rPr>
            </w:pPr>
            <w:r w:rsidRPr="004C5551">
              <w:rPr>
                <w:b/>
                <w:bCs/>
                <w:color w:val="000000"/>
                <w:sz w:val="20"/>
                <w:szCs w:val="20"/>
              </w:rPr>
              <w:t>Subjekt</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2014/1.1/01</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Prognózy vývoja na trhu práce v SR</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2014/1.1/02</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rozvoja regionálnej zamestnanosti bez BSK</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2014/1.1/03</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vytvárania pracovných miest - 3</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2014/1.1/04</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Vybrané aktívne opatrenia na trhu práce v rámci SR bez BSK - 4</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2014/1.1/05</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Zapojenie nezamestnaných do obnovy kultúrneho dedičstva - 2</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2014/1.1/06</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Vybrané aktívne opatrenia na trhu práce v rámci SR bez BSK - 5</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E59EC" w:rsidRPr="004C5551" w:rsidTr="004A598D">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DE59EC" w:rsidRPr="004C5551" w:rsidRDefault="00DE59EC" w:rsidP="004A598D">
            <w:pPr>
              <w:jc w:val="left"/>
              <w:rPr>
                <w:rFonts w:eastAsiaTheme="minorHAnsi"/>
                <w:color w:val="000000"/>
                <w:sz w:val="20"/>
                <w:szCs w:val="20"/>
                <w:lang w:eastAsia="en-US"/>
              </w:rPr>
            </w:pPr>
            <w:r w:rsidRPr="004C5551">
              <w:rPr>
                <w:b/>
                <w:bCs/>
                <w:sz w:val="20"/>
                <w:szCs w:val="20"/>
              </w:rPr>
              <w:t>Prioritná os 1</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2014/2.1/01</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 xml:space="preserve">Pilotná podpora zvyšovania efektivity poskytovania dávok a výkonu opatrení </w:t>
            </w:r>
            <w:proofErr w:type="spellStart"/>
            <w:r w:rsidRPr="004C5551">
              <w:rPr>
                <w:sz w:val="20"/>
                <w:szCs w:val="20"/>
              </w:rPr>
              <w:t>SPODaSK</w:t>
            </w:r>
            <w:proofErr w:type="spellEnd"/>
            <w:r w:rsidRPr="004C5551">
              <w:rPr>
                <w:sz w:val="20"/>
                <w:szCs w:val="20"/>
              </w:rPr>
              <w:t xml:space="preserve"> v rodinnom prostredí</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2014/2.1/03</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Prevencia a eliminácia násilia na ženách</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2014/2.1/04</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zvyšovania profesionality výkonu a rozvoj ľudských zdrojov v oblasti výkonu a služieb sociálnej inklúzie pre štátnu správu a samosprávu - I</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2014/2.1/05</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eliminácie a prevencie násilia na ženách</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2014/2.2/01</w:t>
            </w:r>
          </w:p>
        </w:tc>
        <w:tc>
          <w:tcPr>
            <w:tcW w:w="6592" w:type="dxa"/>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Odborné vzdelávanie ako rozvoj odborných zručností a uplatnenia na trhu práce pre odsúdených vo výkone trestu odňatia slobody</w:t>
            </w:r>
          </w:p>
        </w:tc>
        <w:tc>
          <w:tcPr>
            <w:tcW w:w="3610" w:type="dxa"/>
            <w:gridSpan w:val="2"/>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Generálne riaditeľstvo Zboru väzenskej a justičnej stráže</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2014/2.2/02</w:t>
            </w:r>
          </w:p>
        </w:tc>
        <w:tc>
          <w:tcPr>
            <w:tcW w:w="6592" w:type="dxa"/>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PARALELA</w:t>
            </w:r>
          </w:p>
        </w:tc>
        <w:tc>
          <w:tcPr>
            <w:tcW w:w="3610" w:type="dxa"/>
            <w:gridSpan w:val="2"/>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Slovenský </w:t>
            </w:r>
            <w:proofErr w:type="spellStart"/>
            <w:r w:rsidRPr="004C5551">
              <w:rPr>
                <w:color w:val="000000"/>
                <w:sz w:val="20"/>
                <w:szCs w:val="20"/>
              </w:rPr>
              <w:t>paralympijský</w:t>
            </w:r>
            <w:proofErr w:type="spellEnd"/>
            <w:r w:rsidRPr="004C5551">
              <w:rPr>
                <w:color w:val="000000"/>
                <w:sz w:val="20"/>
                <w:szCs w:val="20"/>
              </w:rPr>
              <w:t xml:space="preserve"> výbor</w:t>
            </w:r>
          </w:p>
        </w:tc>
      </w:tr>
      <w:tr w:rsidR="00D8131F" w:rsidRPr="004C5551" w:rsidTr="004A598D">
        <w:trPr>
          <w:trHeight w:val="737"/>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2014/2.3/01</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Rodina a práca</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Implementačná agentúra pre Operačný program Zamestnanosť a sociálna inklúzia</w:t>
            </w:r>
          </w:p>
        </w:tc>
      </w:tr>
      <w:tr w:rsidR="00DE59EC" w:rsidRPr="004C5551" w:rsidTr="004A598D">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DE59EC" w:rsidRPr="004C5551" w:rsidRDefault="00DE59EC" w:rsidP="004A598D">
            <w:pPr>
              <w:jc w:val="left"/>
              <w:rPr>
                <w:rFonts w:eastAsiaTheme="minorHAnsi"/>
                <w:color w:val="000000"/>
                <w:sz w:val="20"/>
                <w:szCs w:val="20"/>
                <w:lang w:eastAsia="en-US"/>
              </w:rPr>
            </w:pPr>
            <w:r w:rsidRPr="004C5551">
              <w:rPr>
                <w:b/>
                <w:bCs/>
                <w:sz w:val="20"/>
                <w:szCs w:val="20"/>
              </w:rPr>
              <w:t>Prioritná os 2</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2014/3.1/01</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Prognóza vývoja na trhu práce v BSK</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2014/3.1/02</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 xml:space="preserve">Podpora vytvárania pracovných miest pre </w:t>
            </w:r>
            <w:proofErr w:type="spellStart"/>
            <w:r w:rsidRPr="004C5551">
              <w:rPr>
                <w:sz w:val="20"/>
                <w:szCs w:val="20"/>
              </w:rPr>
              <w:t>UoZ</w:t>
            </w:r>
            <w:proofErr w:type="spellEnd"/>
            <w:r w:rsidRPr="004C5551">
              <w:rPr>
                <w:sz w:val="20"/>
                <w:szCs w:val="20"/>
              </w:rPr>
              <w:t xml:space="preserve"> do 29 rokov v BSK</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2014/3.2/02</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 xml:space="preserve">Pilotná podpora zvyšovania efektivity poskytovania dávok a výkonu opatrení </w:t>
            </w:r>
            <w:proofErr w:type="spellStart"/>
            <w:r w:rsidRPr="004C5551">
              <w:rPr>
                <w:sz w:val="20"/>
                <w:szCs w:val="20"/>
              </w:rPr>
              <w:t>SPODaSK</w:t>
            </w:r>
            <w:proofErr w:type="spellEnd"/>
            <w:r w:rsidRPr="004C5551">
              <w:rPr>
                <w:sz w:val="20"/>
                <w:szCs w:val="20"/>
              </w:rPr>
              <w:t xml:space="preserve"> v rodinnom prostredí v BSK</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 xml:space="preserve">Ústredie práce, sociálnych vecí a rodiny </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2014/3.2/03</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Prevencia a eliminácia násilia na ženách</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2014/3.2/04</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zvyšovania profesionality výkonu a rozvoj ľudských zdrojov v oblasti výkonu a služieb sociálnej inklúzie pre štátnu správu a samosprávu - I</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2014/3.2/05</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Podpora eliminácie a prevencie násilia na ženách</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Inštitút</w:t>
            </w:r>
            <w:r w:rsidR="00423669" w:rsidRPr="004C5551">
              <w:rPr>
                <w:color w:val="000000"/>
                <w:sz w:val="20"/>
                <w:szCs w:val="20"/>
              </w:rPr>
              <w:t xml:space="preserve"> </w:t>
            </w:r>
            <w:r w:rsidRPr="004C5551">
              <w:rPr>
                <w:color w:val="000000"/>
                <w:sz w:val="20"/>
                <w:szCs w:val="20"/>
              </w:rPr>
              <w:t>pre výskum práce a rodiny</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2014/3.3/01</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Budovanie kapacít analytických pracovníkov</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financií SR</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2014/3.3/02</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Zvýšenie kvality výkonu zamestnancov štátnej správy v oblasti agendy EÚ - príprava na predsedníctvo SR v Rade EÚ</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zahraničných vecí a európskych záležitostí SR</w:t>
            </w:r>
          </w:p>
        </w:tc>
      </w:tr>
      <w:tr w:rsidR="00D8131F" w:rsidRPr="004C5551" w:rsidTr="004A598D">
        <w:trPr>
          <w:trHeight w:val="510"/>
          <w:jc w:val="center"/>
        </w:trPr>
        <w:tc>
          <w:tcPr>
            <w:tcW w:w="2437" w:type="dxa"/>
            <w:tcBorders>
              <w:bottom w:val="single" w:sz="4" w:space="0" w:color="auto"/>
            </w:tcBorders>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2014/3.3/03</w:t>
            </w:r>
          </w:p>
        </w:tc>
        <w:tc>
          <w:tcPr>
            <w:tcW w:w="6592" w:type="dxa"/>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Zvyšovanie profesionality a špecializácie zamestnancov Najvyššieho kontrolného úradu</w:t>
            </w:r>
          </w:p>
        </w:tc>
        <w:tc>
          <w:tcPr>
            <w:tcW w:w="3610"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Najvyšší kontrolný úrad Slovenskej republiky</w:t>
            </w:r>
          </w:p>
        </w:tc>
      </w:tr>
      <w:tr w:rsidR="00D8131F" w:rsidRPr="004C5551" w:rsidTr="004A598D">
        <w:trPr>
          <w:cantSplit/>
          <w:trHeight w:val="510"/>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2014/3.3/04</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Zvyšovanie transparentnosti neziskového sektora a kvality služieb poskytovaných neziskovými organizáciami cez mechanizmus akreditácie MNO</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vnútra SR</w:t>
            </w:r>
          </w:p>
        </w:tc>
      </w:tr>
      <w:tr w:rsidR="00D8131F" w:rsidRPr="004C5551" w:rsidTr="004A598D">
        <w:trPr>
          <w:cantSplit/>
          <w:trHeight w:val="510"/>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2014/3.3/04</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Zvyšovanie transparentnosti neziskového sektora a kvality služieb poskytovaných neziskovými organizáciami cez mechanizmus akreditácie MNO</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vnútra SR</w:t>
            </w:r>
          </w:p>
        </w:tc>
      </w:tr>
      <w:tr w:rsidR="00D8131F" w:rsidRPr="004C5551" w:rsidTr="004A598D">
        <w:trPr>
          <w:cantSplit/>
          <w:trHeight w:val="283"/>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2014/3.3/05</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Budovanie kapacít a zlepšenie efektivity verejnej správy</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vnútra SR</w:t>
            </w:r>
          </w:p>
        </w:tc>
      </w:tr>
      <w:tr w:rsidR="00DE59EC" w:rsidRPr="004C5551" w:rsidTr="004A598D">
        <w:trPr>
          <w:cantSplit/>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tcPr>
          <w:p w:rsidR="00DE59EC" w:rsidRPr="004C5551" w:rsidRDefault="00DE59EC" w:rsidP="004A598D">
            <w:pPr>
              <w:jc w:val="left"/>
              <w:rPr>
                <w:color w:val="000000"/>
                <w:sz w:val="20"/>
                <w:szCs w:val="20"/>
              </w:rPr>
            </w:pPr>
            <w:r w:rsidRPr="004C5551">
              <w:rPr>
                <w:b/>
                <w:bCs/>
                <w:sz w:val="20"/>
                <w:szCs w:val="20"/>
              </w:rPr>
              <w:t>Prioritná os 3</w:t>
            </w:r>
          </w:p>
        </w:tc>
      </w:tr>
      <w:tr w:rsidR="00D8131F" w:rsidRPr="004C5551" w:rsidTr="004A598D">
        <w:trPr>
          <w:cantSplit/>
          <w:trHeight w:val="283"/>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2014/4.1/01</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Budovanie kapacít analytických pracovníkov</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financií SR</w:t>
            </w:r>
          </w:p>
        </w:tc>
      </w:tr>
      <w:tr w:rsidR="00D8131F" w:rsidRPr="004C5551" w:rsidTr="004A598D">
        <w:trPr>
          <w:cantSplit/>
          <w:trHeight w:val="510"/>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2014/4.1/02</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Zvýšenie kvality výkonu zamestnancov štátnej správy v oblasti agendy EÚ – príprava na predsedníctvo SR v Rade EÚ</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zahraničných vecí a európskych záležitostí SR</w:t>
            </w:r>
          </w:p>
        </w:tc>
      </w:tr>
      <w:tr w:rsidR="00D8131F" w:rsidRPr="004C5551" w:rsidTr="004A598D">
        <w:trPr>
          <w:cantSplit/>
          <w:trHeight w:val="510"/>
          <w:jc w:val="center"/>
        </w:trPr>
        <w:tc>
          <w:tcPr>
            <w:tcW w:w="2437" w:type="dxa"/>
            <w:shd w:val="clear" w:color="auto" w:fill="auto"/>
            <w:noWrap/>
            <w:tcMar>
              <w:top w:w="0" w:type="dxa"/>
              <w:left w:w="108" w:type="dxa"/>
              <w:bottom w:w="0" w:type="dxa"/>
              <w:right w:w="108" w:type="dxa"/>
            </w:tcMar>
            <w:vAlign w:val="center"/>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2014/4.1/03</w:t>
            </w:r>
          </w:p>
        </w:tc>
        <w:tc>
          <w:tcPr>
            <w:tcW w:w="6592" w:type="dxa"/>
            <w:tcMar>
              <w:top w:w="0" w:type="dxa"/>
              <w:left w:w="108" w:type="dxa"/>
              <w:bottom w:w="0" w:type="dxa"/>
              <w:right w:w="108" w:type="dxa"/>
            </w:tcMar>
            <w:vAlign w:val="center"/>
          </w:tcPr>
          <w:p w:rsidR="00D8131F" w:rsidRPr="004C5551" w:rsidRDefault="00D8131F" w:rsidP="004A598D">
            <w:pPr>
              <w:jc w:val="left"/>
              <w:rPr>
                <w:rFonts w:eastAsiaTheme="minorHAnsi"/>
                <w:sz w:val="20"/>
                <w:szCs w:val="20"/>
                <w:lang w:eastAsia="en-US"/>
              </w:rPr>
            </w:pPr>
            <w:r w:rsidRPr="004C5551">
              <w:rPr>
                <w:sz w:val="20"/>
                <w:szCs w:val="20"/>
              </w:rPr>
              <w:t>Budovanie odborných kapacít Ústavného súdu Slovenskej republiky</w:t>
            </w:r>
          </w:p>
        </w:tc>
        <w:tc>
          <w:tcPr>
            <w:tcW w:w="3610" w:type="dxa"/>
            <w:gridSpan w:val="2"/>
            <w:tcMar>
              <w:top w:w="0" w:type="dxa"/>
              <w:left w:w="108" w:type="dxa"/>
              <w:bottom w:w="0" w:type="dxa"/>
              <w:right w:w="108" w:type="dxa"/>
            </w:tcMar>
            <w:vAlign w:val="center"/>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Kancelária Ústavného súdu Slovenskej republiky</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2014/4.1/04</w:t>
            </w:r>
          </w:p>
        </w:tc>
        <w:tc>
          <w:tcPr>
            <w:tcW w:w="6599"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Zvyšovanie profesionality a špecializácie zamestnancov Najvyššieho kontrolného úradu</w:t>
            </w:r>
          </w:p>
        </w:tc>
        <w:tc>
          <w:tcPr>
            <w:tcW w:w="3603" w:type="dxa"/>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Najvyšší kontrolný úrad Slovenskej republiky</w:t>
            </w:r>
          </w:p>
        </w:tc>
      </w:tr>
      <w:tr w:rsidR="00D8131F"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2014/4.1/05</w:t>
            </w:r>
          </w:p>
        </w:tc>
        <w:tc>
          <w:tcPr>
            <w:tcW w:w="6599" w:type="dxa"/>
            <w:gridSpan w:val="2"/>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Zvyšovanie transparentnosti neziskového sektora a kvality služieb poskytovaných neziskovými organizáciami cez mechanizmus akreditácie MNO</w:t>
            </w:r>
          </w:p>
        </w:tc>
        <w:tc>
          <w:tcPr>
            <w:tcW w:w="3603" w:type="dxa"/>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vnútra SR</w:t>
            </w:r>
          </w:p>
        </w:tc>
      </w:tr>
      <w:tr w:rsidR="00D8131F" w:rsidRPr="004C5551" w:rsidTr="004A598D">
        <w:trPr>
          <w:trHeight w:val="510"/>
          <w:jc w:val="center"/>
        </w:trPr>
        <w:tc>
          <w:tcPr>
            <w:tcW w:w="2437" w:type="dxa"/>
            <w:tcBorders>
              <w:bottom w:val="single" w:sz="4" w:space="0" w:color="auto"/>
            </w:tcBorders>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2014/4.1/06</w:t>
            </w:r>
          </w:p>
        </w:tc>
        <w:tc>
          <w:tcPr>
            <w:tcW w:w="6599" w:type="dxa"/>
            <w:gridSpan w:val="2"/>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Rozvoj ľudských zdrojov väzenského personálu</w:t>
            </w:r>
          </w:p>
        </w:tc>
        <w:tc>
          <w:tcPr>
            <w:tcW w:w="3603" w:type="dxa"/>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Generálne riaditeľstvo Zboru väzenskej a justičnej stráže</w:t>
            </w:r>
          </w:p>
        </w:tc>
      </w:tr>
      <w:tr w:rsidR="00D8131F" w:rsidRPr="004C5551" w:rsidTr="004A598D">
        <w:trPr>
          <w:trHeight w:val="283"/>
          <w:jc w:val="center"/>
        </w:trPr>
        <w:tc>
          <w:tcPr>
            <w:tcW w:w="2437" w:type="dxa"/>
            <w:shd w:val="clear" w:color="auto" w:fill="auto"/>
            <w:noWrap/>
            <w:tcMar>
              <w:top w:w="0" w:type="dxa"/>
              <w:left w:w="108" w:type="dxa"/>
              <w:bottom w:w="0" w:type="dxa"/>
              <w:right w:w="108" w:type="dxa"/>
            </w:tcMar>
            <w:vAlign w:val="center"/>
            <w:hideMark/>
          </w:tcPr>
          <w:p w:rsidR="00D8131F" w:rsidRPr="004C5551" w:rsidRDefault="00D8131F"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2014/4.1/07</w:t>
            </w:r>
          </w:p>
        </w:tc>
        <w:tc>
          <w:tcPr>
            <w:tcW w:w="6599" w:type="dxa"/>
            <w:gridSpan w:val="2"/>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sz w:val="20"/>
                <w:szCs w:val="20"/>
                <w:lang w:eastAsia="en-US"/>
              </w:rPr>
            </w:pPr>
            <w:r w:rsidRPr="004C5551">
              <w:rPr>
                <w:sz w:val="20"/>
                <w:szCs w:val="20"/>
              </w:rPr>
              <w:t>Budovanie kapacít a zlepšenie efektivity verejnej správy</w:t>
            </w:r>
          </w:p>
        </w:tc>
        <w:tc>
          <w:tcPr>
            <w:tcW w:w="3603" w:type="dxa"/>
            <w:shd w:val="clear" w:color="auto" w:fill="FFFFFF"/>
            <w:tcMar>
              <w:top w:w="0" w:type="dxa"/>
              <w:left w:w="108" w:type="dxa"/>
              <w:bottom w:w="0" w:type="dxa"/>
              <w:right w:w="108" w:type="dxa"/>
            </w:tcMar>
            <w:vAlign w:val="center"/>
            <w:hideMark/>
          </w:tcPr>
          <w:p w:rsidR="00D8131F" w:rsidRPr="004C5551" w:rsidRDefault="00D8131F" w:rsidP="004A598D">
            <w:pPr>
              <w:jc w:val="left"/>
              <w:rPr>
                <w:rFonts w:eastAsiaTheme="minorHAnsi"/>
                <w:color w:val="000000"/>
                <w:sz w:val="20"/>
                <w:szCs w:val="20"/>
                <w:lang w:eastAsia="en-US"/>
              </w:rPr>
            </w:pPr>
            <w:r w:rsidRPr="004C5551">
              <w:rPr>
                <w:color w:val="000000"/>
                <w:sz w:val="20"/>
                <w:szCs w:val="20"/>
              </w:rPr>
              <w:t>Ministerstvo vnútra SR</w:t>
            </w:r>
          </w:p>
        </w:tc>
      </w:tr>
      <w:tr w:rsidR="00DE59EC" w:rsidRPr="004C5551" w:rsidTr="004A598D">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DE59EC" w:rsidRPr="004C5551" w:rsidRDefault="00DE59EC" w:rsidP="004A598D">
            <w:pPr>
              <w:jc w:val="left"/>
              <w:rPr>
                <w:rFonts w:eastAsiaTheme="minorHAnsi"/>
                <w:sz w:val="20"/>
                <w:szCs w:val="20"/>
                <w:lang w:eastAsia="en-US"/>
              </w:rPr>
            </w:pPr>
            <w:r w:rsidRPr="004C5551">
              <w:rPr>
                <w:b/>
                <w:bCs/>
                <w:sz w:val="20"/>
                <w:szCs w:val="20"/>
              </w:rPr>
              <w:t>Prioritná os 4</w:t>
            </w:r>
          </w:p>
        </w:tc>
      </w:tr>
      <w:tr w:rsidR="009E2776"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9E2776" w:rsidRPr="004C5551" w:rsidRDefault="009E2776"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2013/3.3/01</w:t>
            </w:r>
          </w:p>
        </w:tc>
        <w:tc>
          <w:tcPr>
            <w:tcW w:w="6599" w:type="dxa"/>
            <w:gridSpan w:val="2"/>
            <w:noWrap/>
            <w:tcMar>
              <w:top w:w="0" w:type="dxa"/>
              <w:left w:w="108" w:type="dxa"/>
              <w:bottom w:w="0" w:type="dxa"/>
              <w:right w:w="108" w:type="dxa"/>
            </w:tcMar>
            <w:vAlign w:val="center"/>
            <w:hideMark/>
          </w:tcPr>
          <w:p w:rsidR="009E2776" w:rsidRPr="004C5551" w:rsidRDefault="009E2776" w:rsidP="004A598D">
            <w:pPr>
              <w:jc w:val="left"/>
              <w:rPr>
                <w:rFonts w:eastAsiaTheme="minorHAnsi"/>
                <w:sz w:val="20"/>
                <w:szCs w:val="20"/>
                <w:lang w:eastAsia="en-US"/>
              </w:rPr>
            </w:pPr>
            <w:r w:rsidRPr="004C5551">
              <w:rPr>
                <w:sz w:val="20"/>
                <w:szCs w:val="20"/>
              </w:rPr>
              <w:t>Vzdelávanie zamestnancov rezortu MPSVR SR</w:t>
            </w:r>
          </w:p>
        </w:tc>
        <w:tc>
          <w:tcPr>
            <w:tcW w:w="3603" w:type="dxa"/>
            <w:noWrap/>
            <w:tcMar>
              <w:top w:w="0" w:type="dxa"/>
              <w:left w:w="108" w:type="dxa"/>
              <w:bottom w:w="0" w:type="dxa"/>
              <w:right w:w="108" w:type="dxa"/>
            </w:tcMar>
            <w:vAlign w:val="center"/>
            <w:hideMark/>
          </w:tcPr>
          <w:p w:rsidR="009E2776" w:rsidRPr="004C5551" w:rsidRDefault="009E2776" w:rsidP="004A598D">
            <w:pPr>
              <w:jc w:val="left"/>
              <w:rPr>
                <w:rFonts w:eastAsiaTheme="minorHAnsi"/>
                <w:sz w:val="20"/>
                <w:szCs w:val="20"/>
                <w:lang w:eastAsia="en-US"/>
              </w:rPr>
            </w:pPr>
            <w:r w:rsidRPr="004C5551">
              <w:rPr>
                <w:sz w:val="20"/>
                <w:szCs w:val="20"/>
              </w:rPr>
              <w:t>Ministerstvo práce, sociálnych vecí a rodiny SR</w:t>
            </w:r>
          </w:p>
        </w:tc>
      </w:tr>
      <w:tr w:rsidR="009E2776" w:rsidRPr="004C5551" w:rsidTr="004A598D">
        <w:trPr>
          <w:trHeight w:val="510"/>
          <w:jc w:val="center"/>
        </w:trPr>
        <w:tc>
          <w:tcPr>
            <w:tcW w:w="2437" w:type="dxa"/>
            <w:shd w:val="clear" w:color="auto" w:fill="auto"/>
            <w:noWrap/>
            <w:tcMar>
              <w:top w:w="0" w:type="dxa"/>
              <w:left w:w="108" w:type="dxa"/>
              <w:bottom w:w="0" w:type="dxa"/>
              <w:right w:w="108" w:type="dxa"/>
            </w:tcMar>
            <w:vAlign w:val="center"/>
            <w:hideMark/>
          </w:tcPr>
          <w:p w:rsidR="009E2776" w:rsidRPr="004C5551" w:rsidRDefault="009E2776" w:rsidP="004A598D">
            <w:pPr>
              <w:jc w:val="left"/>
              <w:rPr>
                <w:rFonts w:eastAsiaTheme="minorHAnsi"/>
                <w:b/>
                <w:bCs/>
                <w:sz w:val="20"/>
                <w:szCs w:val="20"/>
                <w:lang w:eastAsia="en-US"/>
              </w:rPr>
            </w:pPr>
            <w:r w:rsidRPr="004C5551">
              <w:rPr>
                <w:b/>
                <w:bCs/>
                <w:sz w:val="20"/>
                <w:szCs w:val="20"/>
              </w:rPr>
              <w:t xml:space="preserve">OP </w:t>
            </w:r>
            <w:proofErr w:type="spellStart"/>
            <w:r w:rsidRPr="004C5551">
              <w:rPr>
                <w:b/>
                <w:bCs/>
                <w:sz w:val="20"/>
                <w:szCs w:val="20"/>
              </w:rPr>
              <w:t>ZaSI</w:t>
            </w:r>
            <w:proofErr w:type="spellEnd"/>
            <w:r w:rsidRPr="004C5551">
              <w:rPr>
                <w:b/>
                <w:bCs/>
                <w:sz w:val="20"/>
                <w:szCs w:val="20"/>
              </w:rPr>
              <w:t xml:space="preserve"> NP 2013/4.1/01</w:t>
            </w:r>
          </w:p>
        </w:tc>
        <w:tc>
          <w:tcPr>
            <w:tcW w:w="6599" w:type="dxa"/>
            <w:gridSpan w:val="2"/>
            <w:noWrap/>
            <w:tcMar>
              <w:top w:w="0" w:type="dxa"/>
              <w:left w:w="108" w:type="dxa"/>
              <w:bottom w:w="0" w:type="dxa"/>
              <w:right w:w="108" w:type="dxa"/>
            </w:tcMar>
            <w:vAlign w:val="center"/>
            <w:hideMark/>
          </w:tcPr>
          <w:p w:rsidR="009E2776" w:rsidRPr="004C5551" w:rsidRDefault="009E2776" w:rsidP="004A598D">
            <w:pPr>
              <w:jc w:val="left"/>
              <w:rPr>
                <w:rFonts w:eastAsiaTheme="minorHAnsi"/>
                <w:sz w:val="20"/>
                <w:szCs w:val="20"/>
                <w:lang w:eastAsia="en-US"/>
              </w:rPr>
            </w:pPr>
            <w:r w:rsidRPr="004C5551">
              <w:rPr>
                <w:sz w:val="20"/>
                <w:szCs w:val="20"/>
              </w:rPr>
              <w:t>Vzdelávanie zamestnancov rezortu MPSVR SR</w:t>
            </w:r>
          </w:p>
        </w:tc>
        <w:tc>
          <w:tcPr>
            <w:tcW w:w="3603" w:type="dxa"/>
            <w:noWrap/>
            <w:tcMar>
              <w:top w:w="0" w:type="dxa"/>
              <w:left w:w="108" w:type="dxa"/>
              <w:bottom w:w="0" w:type="dxa"/>
              <w:right w:w="108" w:type="dxa"/>
            </w:tcMar>
            <w:vAlign w:val="center"/>
            <w:hideMark/>
          </w:tcPr>
          <w:p w:rsidR="009E2776" w:rsidRPr="004C5551" w:rsidRDefault="009E2776" w:rsidP="004A598D">
            <w:pPr>
              <w:jc w:val="left"/>
              <w:rPr>
                <w:rFonts w:eastAsiaTheme="minorHAnsi"/>
                <w:sz w:val="20"/>
                <w:szCs w:val="20"/>
                <w:lang w:eastAsia="en-US"/>
              </w:rPr>
            </w:pPr>
            <w:r w:rsidRPr="004C5551">
              <w:rPr>
                <w:sz w:val="20"/>
                <w:szCs w:val="20"/>
              </w:rPr>
              <w:t>Ministerstvo práce, sociálnych vecí a rodiny SR</w:t>
            </w:r>
          </w:p>
        </w:tc>
      </w:tr>
    </w:tbl>
    <w:p w:rsidR="00BB1CF1" w:rsidRPr="004C5551" w:rsidRDefault="00BB1CF1" w:rsidP="00DC7264">
      <w:pPr>
        <w:pStyle w:val="zdroj"/>
        <w:spacing w:before="0"/>
        <w:ind w:left="567"/>
      </w:pPr>
      <w:r w:rsidRPr="004C5551">
        <w:t>Zdroj: RO, ITMS</w:t>
      </w:r>
    </w:p>
    <w:p w:rsidR="00D8131F" w:rsidRPr="004C5551" w:rsidRDefault="00D8131F">
      <w:pPr>
        <w:jc w:val="left"/>
        <w:rPr>
          <w:i/>
          <w:color w:val="000000"/>
          <w:sz w:val="20"/>
          <w:szCs w:val="20"/>
        </w:rPr>
      </w:pPr>
      <w:r w:rsidRPr="004C5551">
        <w:br w:type="page"/>
      </w:r>
    </w:p>
    <w:p w:rsidR="0084617B" w:rsidRPr="004C5551" w:rsidRDefault="00B66E3B" w:rsidP="0084617B">
      <w:pPr>
        <w:pStyle w:val="Nadpis7"/>
      </w:pPr>
      <w:r w:rsidRPr="004C5551">
        <w:t>Tabuľka 3</w:t>
      </w:r>
      <w:r w:rsidR="00DA6CD1" w:rsidRPr="004C5551">
        <w:t>7</w:t>
      </w:r>
      <w:r w:rsidR="0084617B" w:rsidRPr="004C5551">
        <w:t xml:space="preserve"> Čerpanie výdavkov kapitoly 22 </w:t>
      </w:r>
      <w:r w:rsidR="005C10C1" w:rsidRPr="004C5551">
        <w:rPr>
          <w:color w:val="000000" w:themeColor="text1"/>
        </w:rPr>
        <w:t>–</w:t>
      </w:r>
      <w:r w:rsidR="0084617B" w:rsidRPr="004C5551">
        <w:t xml:space="preserve"> MPSVR SR podľa programového rozpočtovania</w:t>
      </w:r>
    </w:p>
    <w:tbl>
      <w:tblPr>
        <w:tblW w:w="140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84617B" w:rsidRPr="004C5551" w:rsidTr="00002192">
        <w:trPr>
          <w:trHeight w:val="525"/>
          <w:tblHeader/>
        </w:trPr>
        <w:tc>
          <w:tcPr>
            <w:tcW w:w="1862" w:type="dxa"/>
            <w:shd w:val="clear" w:color="auto" w:fill="FF9999" w:themeFill="accent3" w:themeFillTint="66"/>
            <w:noWrap/>
            <w:vAlign w:val="center"/>
            <w:hideMark/>
          </w:tcPr>
          <w:p w:rsidR="0084617B" w:rsidRPr="004C5551" w:rsidRDefault="0084617B" w:rsidP="0084617B">
            <w:pPr>
              <w:jc w:val="center"/>
              <w:rPr>
                <w:b/>
                <w:bCs/>
              </w:rPr>
            </w:pPr>
            <w:r w:rsidRPr="004C5551">
              <w:rPr>
                <w:b/>
                <w:bCs/>
              </w:rPr>
              <w:t>Kód programu</w:t>
            </w:r>
          </w:p>
        </w:tc>
        <w:tc>
          <w:tcPr>
            <w:tcW w:w="6662" w:type="dxa"/>
            <w:shd w:val="clear" w:color="auto" w:fill="FF9999" w:themeFill="accent3" w:themeFillTint="66"/>
            <w:noWrap/>
            <w:vAlign w:val="center"/>
            <w:hideMark/>
          </w:tcPr>
          <w:p w:rsidR="0084617B" w:rsidRPr="004C5551" w:rsidRDefault="0084617B" w:rsidP="0084617B">
            <w:pPr>
              <w:jc w:val="center"/>
              <w:rPr>
                <w:b/>
                <w:bCs/>
              </w:rPr>
            </w:pPr>
            <w:r w:rsidRPr="004C5551">
              <w:rPr>
                <w:b/>
                <w:bCs/>
              </w:rPr>
              <w:t>Názov programu</w:t>
            </w:r>
          </w:p>
        </w:tc>
        <w:tc>
          <w:tcPr>
            <w:tcW w:w="1541" w:type="dxa"/>
            <w:shd w:val="clear" w:color="auto" w:fill="FF9999" w:themeFill="accent3" w:themeFillTint="66"/>
            <w:noWrap/>
            <w:vAlign w:val="center"/>
            <w:hideMark/>
          </w:tcPr>
          <w:p w:rsidR="0084617B" w:rsidRPr="004C5551" w:rsidRDefault="0084617B" w:rsidP="0084617B">
            <w:pPr>
              <w:jc w:val="center"/>
              <w:rPr>
                <w:b/>
                <w:bCs/>
              </w:rPr>
            </w:pPr>
            <w:r w:rsidRPr="004C5551">
              <w:rPr>
                <w:b/>
                <w:bCs/>
              </w:rPr>
              <w:t>Schválený rozpočet</w:t>
            </w:r>
          </w:p>
        </w:tc>
        <w:tc>
          <w:tcPr>
            <w:tcW w:w="1606" w:type="dxa"/>
            <w:shd w:val="clear" w:color="auto" w:fill="FF9999" w:themeFill="accent3" w:themeFillTint="66"/>
            <w:noWrap/>
            <w:vAlign w:val="center"/>
            <w:hideMark/>
          </w:tcPr>
          <w:p w:rsidR="0084617B" w:rsidRPr="004C5551" w:rsidRDefault="0084617B" w:rsidP="0084617B">
            <w:pPr>
              <w:jc w:val="center"/>
              <w:rPr>
                <w:b/>
                <w:bCs/>
              </w:rPr>
            </w:pPr>
            <w:r w:rsidRPr="004C5551">
              <w:rPr>
                <w:b/>
                <w:bCs/>
              </w:rPr>
              <w:t>Upravený rozpočet</w:t>
            </w:r>
          </w:p>
        </w:tc>
        <w:tc>
          <w:tcPr>
            <w:tcW w:w="1644" w:type="dxa"/>
            <w:shd w:val="clear" w:color="auto" w:fill="FF9999" w:themeFill="accent3" w:themeFillTint="66"/>
            <w:noWrap/>
            <w:vAlign w:val="center"/>
            <w:hideMark/>
          </w:tcPr>
          <w:p w:rsidR="0084617B" w:rsidRPr="004C5551" w:rsidRDefault="0084617B" w:rsidP="00A20D23">
            <w:pPr>
              <w:jc w:val="center"/>
              <w:rPr>
                <w:b/>
                <w:bCs/>
              </w:rPr>
            </w:pPr>
            <w:r w:rsidRPr="004C5551">
              <w:rPr>
                <w:b/>
                <w:bCs/>
              </w:rPr>
              <w:t>Skutočnosť 31.12.201</w:t>
            </w:r>
            <w:r w:rsidR="00F87DCB" w:rsidRPr="004C5551">
              <w:rPr>
                <w:b/>
                <w:bCs/>
              </w:rPr>
              <w:t>4</w:t>
            </w:r>
          </w:p>
        </w:tc>
        <w:tc>
          <w:tcPr>
            <w:tcW w:w="778" w:type="dxa"/>
            <w:shd w:val="clear" w:color="auto" w:fill="FF9999" w:themeFill="accent3" w:themeFillTint="66"/>
            <w:noWrap/>
            <w:vAlign w:val="center"/>
            <w:hideMark/>
          </w:tcPr>
          <w:p w:rsidR="0084617B" w:rsidRPr="004C5551" w:rsidRDefault="0084617B" w:rsidP="0084617B">
            <w:pPr>
              <w:jc w:val="center"/>
              <w:rPr>
                <w:b/>
                <w:bCs/>
              </w:rPr>
            </w:pPr>
            <w:r w:rsidRPr="004C5551">
              <w:rPr>
                <w:b/>
                <w:bCs/>
              </w:rPr>
              <w:t>%</w:t>
            </w:r>
          </w:p>
        </w:tc>
      </w:tr>
      <w:tr w:rsidR="0084617B" w:rsidRPr="004C5551" w:rsidTr="005C10C1">
        <w:trPr>
          <w:trHeight w:val="262"/>
        </w:trPr>
        <w:tc>
          <w:tcPr>
            <w:tcW w:w="1862" w:type="dxa"/>
            <w:shd w:val="clear" w:color="auto" w:fill="auto"/>
            <w:noWrap/>
            <w:vAlign w:val="bottom"/>
            <w:hideMark/>
          </w:tcPr>
          <w:p w:rsidR="0084617B" w:rsidRPr="004C5551" w:rsidRDefault="0084617B" w:rsidP="0084617B">
            <w:pPr>
              <w:jc w:val="center"/>
              <w:rPr>
                <w:rFonts w:ascii="Arial CE" w:hAnsi="Arial CE" w:cs="Arial"/>
                <w:sz w:val="18"/>
                <w:szCs w:val="18"/>
              </w:rPr>
            </w:pPr>
            <w:r w:rsidRPr="004C5551">
              <w:rPr>
                <w:rFonts w:ascii="Arial CE" w:hAnsi="Arial CE" w:cs="Arial"/>
                <w:sz w:val="18"/>
                <w:szCs w:val="18"/>
              </w:rPr>
              <w:t> </w:t>
            </w:r>
          </w:p>
        </w:tc>
        <w:tc>
          <w:tcPr>
            <w:tcW w:w="6662" w:type="dxa"/>
            <w:shd w:val="clear" w:color="auto" w:fill="auto"/>
            <w:noWrap/>
            <w:vAlign w:val="bottom"/>
            <w:hideMark/>
          </w:tcPr>
          <w:p w:rsidR="0084617B" w:rsidRPr="004C5551" w:rsidRDefault="0084617B" w:rsidP="0084617B">
            <w:pPr>
              <w:jc w:val="center"/>
              <w:rPr>
                <w:rFonts w:ascii="Arial CE" w:hAnsi="Arial CE" w:cs="Arial"/>
                <w:b/>
                <w:bCs/>
                <w:sz w:val="18"/>
                <w:szCs w:val="18"/>
              </w:rPr>
            </w:pPr>
            <w:r w:rsidRPr="004C5551">
              <w:rPr>
                <w:rFonts w:ascii="Arial CE" w:hAnsi="Arial CE" w:cs="Arial"/>
                <w:b/>
                <w:bCs/>
                <w:sz w:val="18"/>
                <w:szCs w:val="18"/>
              </w:rPr>
              <w:t> </w:t>
            </w:r>
          </w:p>
        </w:tc>
        <w:tc>
          <w:tcPr>
            <w:tcW w:w="1541" w:type="dxa"/>
            <w:shd w:val="clear" w:color="auto" w:fill="auto"/>
            <w:noWrap/>
            <w:vAlign w:val="bottom"/>
            <w:hideMark/>
          </w:tcPr>
          <w:p w:rsidR="0084617B" w:rsidRPr="004C5551" w:rsidRDefault="0084617B" w:rsidP="0084617B">
            <w:pPr>
              <w:jc w:val="center"/>
              <w:rPr>
                <w:rFonts w:ascii="Arial CE" w:hAnsi="Arial CE" w:cs="Arial"/>
                <w:b/>
                <w:bCs/>
                <w:sz w:val="18"/>
                <w:szCs w:val="18"/>
              </w:rPr>
            </w:pPr>
            <w:r w:rsidRPr="004C5551">
              <w:rPr>
                <w:rFonts w:ascii="Arial CE" w:hAnsi="Arial CE" w:cs="Arial"/>
                <w:b/>
                <w:bCs/>
                <w:sz w:val="18"/>
                <w:szCs w:val="18"/>
              </w:rPr>
              <w:t> </w:t>
            </w:r>
          </w:p>
        </w:tc>
        <w:tc>
          <w:tcPr>
            <w:tcW w:w="1606" w:type="dxa"/>
            <w:shd w:val="clear" w:color="auto" w:fill="auto"/>
            <w:noWrap/>
            <w:vAlign w:val="bottom"/>
            <w:hideMark/>
          </w:tcPr>
          <w:p w:rsidR="0084617B" w:rsidRPr="004C5551" w:rsidRDefault="0084617B" w:rsidP="0084617B">
            <w:pPr>
              <w:jc w:val="center"/>
              <w:rPr>
                <w:rFonts w:ascii="Arial CE" w:hAnsi="Arial CE" w:cs="Arial"/>
                <w:b/>
                <w:bCs/>
                <w:sz w:val="18"/>
                <w:szCs w:val="18"/>
              </w:rPr>
            </w:pPr>
            <w:r w:rsidRPr="004C5551">
              <w:rPr>
                <w:rFonts w:ascii="Arial CE" w:hAnsi="Arial CE" w:cs="Arial"/>
                <w:b/>
                <w:bCs/>
                <w:sz w:val="18"/>
                <w:szCs w:val="18"/>
              </w:rPr>
              <w:t> </w:t>
            </w:r>
          </w:p>
        </w:tc>
        <w:tc>
          <w:tcPr>
            <w:tcW w:w="1644" w:type="dxa"/>
            <w:shd w:val="clear" w:color="auto" w:fill="auto"/>
            <w:noWrap/>
            <w:vAlign w:val="bottom"/>
            <w:hideMark/>
          </w:tcPr>
          <w:p w:rsidR="0084617B" w:rsidRPr="004C5551" w:rsidRDefault="0084617B" w:rsidP="0084617B">
            <w:pPr>
              <w:jc w:val="center"/>
              <w:rPr>
                <w:rFonts w:ascii="Arial CE" w:hAnsi="Arial CE" w:cs="Arial"/>
                <w:b/>
                <w:bCs/>
                <w:sz w:val="18"/>
                <w:szCs w:val="18"/>
              </w:rPr>
            </w:pPr>
            <w:r w:rsidRPr="004C5551">
              <w:rPr>
                <w:rFonts w:ascii="Arial CE" w:hAnsi="Arial CE" w:cs="Arial"/>
                <w:b/>
                <w:bCs/>
                <w:sz w:val="18"/>
                <w:szCs w:val="18"/>
              </w:rPr>
              <w:t> </w:t>
            </w:r>
          </w:p>
        </w:tc>
        <w:tc>
          <w:tcPr>
            <w:tcW w:w="778" w:type="dxa"/>
            <w:shd w:val="clear" w:color="auto" w:fill="auto"/>
            <w:noWrap/>
            <w:vAlign w:val="bottom"/>
            <w:hideMark/>
          </w:tcPr>
          <w:p w:rsidR="0084617B" w:rsidRPr="004C5551" w:rsidRDefault="0084617B" w:rsidP="0084617B">
            <w:pPr>
              <w:rPr>
                <w:rFonts w:ascii="Arial CE" w:hAnsi="Arial CE" w:cs="Arial"/>
                <w:sz w:val="18"/>
                <w:szCs w:val="18"/>
              </w:rPr>
            </w:pPr>
            <w:r w:rsidRPr="004C5551">
              <w:rPr>
                <w:rFonts w:ascii="Arial CE" w:hAnsi="Arial CE" w:cs="Arial"/>
                <w:sz w:val="18"/>
                <w:szCs w:val="18"/>
              </w:rPr>
              <w:t> </w:t>
            </w:r>
          </w:p>
        </w:tc>
      </w:tr>
      <w:tr w:rsidR="00F87DCB" w:rsidRPr="004C5551" w:rsidTr="00F87DCB">
        <w:trPr>
          <w:trHeight w:val="95"/>
        </w:trPr>
        <w:tc>
          <w:tcPr>
            <w:tcW w:w="1862" w:type="dxa"/>
            <w:shd w:val="clear" w:color="auto" w:fill="auto"/>
            <w:noWrap/>
            <w:vAlign w:val="bottom"/>
            <w:hideMark/>
          </w:tcPr>
          <w:p w:rsidR="00F87DCB" w:rsidRPr="004C5551" w:rsidRDefault="00F87DCB" w:rsidP="0084617B">
            <w:pPr>
              <w:rPr>
                <w:b/>
                <w:bCs/>
                <w:sz w:val="20"/>
                <w:szCs w:val="20"/>
              </w:rPr>
            </w:pPr>
            <w:r w:rsidRPr="004C5551">
              <w:rPr>
                <w:b/>
                <w:bCs/>
                <w:sz w:val="20"/>
                <w:szCs w:val="20"/>
              </w:rPr>
              <w:t>07C</w:t>
            </w:r>
          </w:p>
        </w:tc>
        <w:tc>
          <w:tcPr>
            <w:tcW w:w="6662" w:type="dxa"/>
            <w:shd w:val="clear" w:color="auto" w:fill="auto"/>
            <w:noWrap/>
            <w:vAlign w:val="bottom"/>
            <w:hideMark/>
          </w:tcPr>
          <w:p w:rsidR="00F87DCB" w:rsidRPr="004C5551" w:rsidRDefault="00F87DCB" w:rsidP="0084617B">
            <w:pPr>
              <w:rPr>
                <w:b/>
                <w:bCs/>
                <w:sz w:val="20"/>
                <w:szCs w:val="20"/>
              </w:rPr>
            </w:pPr>
            <w:r w:rsidRPr="004C5551">
              <w:rPr>
                <w:b/>
                <w:bCs/>
                <w:sz w:val="20"/>
                <w:szCs w:val="20"/>
              </w:rPr>
              <w:t>Sociálna inklúzia</w:t>
            </w:r>
          </w:p>
        </w:tc>
        <w:tc>
          <w:tcPr>
            <w:tcW w:w="1541" w:type="dxa"/>
            <w:shd w:val="clear" w:color="auto" w:fill="auto"/>
            <w:noWrap/>
            <w:vAlign w:val="bottom"/>
          </w:tcPr>
          <w:p w:rsidR="00F87DCB" w:rsidRPr="004C5551" w:rsidRDefault="00F87DCB">
            <w:pPr>
              <w:jc w:val="right"/>
              <w:rPr>
                <w:b/>
                <w:bCs/>
                <w:sz w:val="20"/>
                <w:szCs w:val="16"/>
              </w:rPr>
            </w:pPr>
            <w:r w:rsidRPr="004C5551">
              <w:rPr>
                <w:b/>
                <w:bCs/>
                <w:sz w:val="20"/>
                <w:szCs w:val="16"/>
              </w:rPr>
              <w:t>1 886 874 142</w:t>
            </w:r>
          </w:p>
        </w:tc>
        <w:tc>
          <w:tcPr>
            <w:tcW w:w="1606" w:type="dxa"/>
            <w:shd w:val="clear" w:color="auto" w:fill="auto"/>
            <w:noWrap/>
            <w:vAlign w:val="bottom"/>
          </w:tcPr>
          <w:p w:rsidR="00F87DCB" w:rsidRPr="004C5551" w:rsidRDefault="00F87DCB">
            <w:pPr>
              <w:jc w:val="right"/>
              <w:rPr>
                <w:b/>
                <w:bCs/>
                <w:sz w:val="20"/>
                <w:szCs w:val="16"/>
              </w:rPr>
            </w:pPr>
            <w:r w:rsidRPr="004C5551">
              <w:rPr>
                <w:b/>
                <w:bCs/>
                <w:sz w:val="20"/>
                <w:szCs w:val="16"/>
              </w:rPr>
              <w:t>1 779 893 842</w:t>
            </w:r>
          </w:p>
        </w:tc>
        <w:tc>
          <w:tcPr>
            <w:tcW w:w="1644" w:type="dxa"/>
            <w:shd w:val="clear" w:color="auto" w:fill="auto"/>
            <w:noWrap/>
            <w:vAlign w:val="bottom"/>
          </w:tcPr>
          <w:p w:rsidR="00F87DCB" w:rsidRPr="004C5551" w:rsidRDefault="00F87DCB">
            <w:pPr>
              <w:jc w:val="right"/>
              <w:rPr>
                <w:b/>
                <w:bCs/>
                <w:sz w:val="20"/>
                <w:szCs w:val="16"/>
              </w:rPr>
            </w:pPr>
            <w:r w:rsidRPr="004C5551">
              <w:rPr>
                <w:b/>
                <w:bCs/>
                <w:sz w:val="20"/>
                <w:szCs w:val="16"/>
              </w:rPr>
              <w:t>1 776 168 127</w:t>
            </w:r>
          </w:p>
        </w:tc>
        <w:tc>
          <w:tcPr>
            <w:tcW w:w="778" w:type="dxa"/>
            <w:shd w:val="clear" w:color="auto" w:fill="auto"/>
            <w:noWrap/>
            <w:vAlign w:val="bottom"/>
          </w:tcPr>
          <w:p w:rsidR="00F87DCB" w:rsidRPr="004C5551" w:rsidRDefault="00F87DCB">
            <w:pPr>
              <w:jc w:val="right"/>
              <w:rPr>
                <w:b/>
                <w:bCs/>
                <w:sz w:val="20"/>
                <w:szCs w:val="16"/>
              </w:rPr>
            </w:pPr>
            <w:r w:rsidRPr="004C5551">
              <w:rPr>
                <w:b/>
                <w:bCs/>
                <w:sz w:val="20"/>
                <w:szCs w:val="16"/>
              </w:rPr>
              <w:t>99,8</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b/>
                <w:bCs/>
                <w:sz w:val="20"/>
                <w:szCs w:val="20"/>
              </w:rPr>
            </w:pPr>
            <w:r w:rsidRPr="004C5551">
              <w:rPr>
                <w:b/>
                <w:bCs/>
                <w:sz w:val="20"/>
                <w:szCs w:val="20"/>
              </w:rPr>
              <w:t>07C01</w:t>
            </w:r>
          </w:p>
        </w:tc>
        <w:tc>
          <w:tcPr>
            <w:tcW w:w="6662" w:type="dxa"/>
            <w:shd w:val="clear" w:color="auto" w:fill="auto"/>
            <w:noWrap/>
            <w:vAlign w:val="bottom"/>
            <w:hideMark/>
          </w:tcPr>
          <w:p w:rsidR="00F87DCB" w:rsidRPr="004C5551" w:rsidRDefault="00F87DCB" w:rsidP="0084617B">
            <w:pPr>
              <w:rPr>
                <w:b/>
                <w:bCs/>
                <w:sz w:val="20"/>
                <w:szCs w:val="20"/>
              </w:rPr>
            </w:pPr>
            <w:r w:rsidRPr="004C5551">
              <w:rPr>
                <w:b/>
                <w:bCs/>
                <w:sz w:val="20"/>
                <w:szCs w:val="20"/>
              </w:rPr>
              <w:t>Pomoc v hmotnej núdzi</w:t>
            </w:r>
          </w:p>
        </w:tc>
        <w:tc>
          <w:tcPr>
            <w:tcW w:w="1541" w:type="dxa"/>
            <w:shd w:val="clear" w:color="auto" w:fill="auto"/>
            <w:noWrap/>
            <w:vAlign w:val="bottom"/>
          </w:tcPr>
          <w:p w:rsidR="00F87DCB" w:rsidRPr="004C5551" w:rsidRDefault="00F87DCB">
            <w:pPr>
              <w:jc w:val="right"/>
              <w:rPr>
                <w:b/>
                <w:bCs/>
                <w:sz w:val="20"/>
                <w:szCs w:val="16"/>
              </w:rPr>
            </w:pPr>
            <w:r w:rsidRPr="004C5551">
              <w:rPr>
                <w:b/>
                <w:bCs/>
                <w:sz w:val="20"/>
                <w:szCs w:val="16"/>
              </w:rPr>
              <w:t>300 162 571</w:t>
            </w:r>
          </w:p>
        </w:tc>
        <w:tc>
          <w:tcPr>
            <w:tcW w:w="1606" w:type="dxa"/>
            <w:shd w:val="clear" w:color="auto" w:fill="auto"/>
            <w:noWrap/>
            <w:vAlign w:val="bottom"/>
          </w:tcPr>
          <w:p w:rsidR="00F87DCB" w:rsidRPr="004C5551" w:rsidRDefault="00F87DCB">
            <w:pPr>
              <w:jc w:val="right"/>
              <w:rPr>
                <w:b/>
                <w:bCs/>
                <w:sz w:val="20"/>
                <w:szCs w:val="16"/>
              </w:rPr>
            </w:pPr>
            <w:r w:rsidRPr="004C5551">
              <w:rPr>
                <w:b/>
                <w:bCs/>
                <w:sz w:val="20"/>
                <w:szCs w:val="16"/>
              </w:rPr>
              <w:t>271 462 794</w:t>
            </w:r>
          </w:p>
        </w:tc>
        <w:tc>
          <w:tcPr>
            <w:tcW w:w="1644" w:type="dxa"/>
            <w:shd w:val="clear" w:color="auto" w:fill="auto"/>
            <w:noWrap/>
            <w:vAlign w:val="bottom"/>
          </w:tcPr>
          <w:p w:rsidR="00F87DCB" w:rsidRPr="004C5551" w:rsidRDefault="00F87DCB">
            <w:pPr>
              <w:jc w:val="right"/>
              <w:rPr>
                <w:b/>
                <w:bCs/>
                <w:sz w:val="20"/>
                <w:szCs w:val="16"/>
              </w:rPr>
            </w:pPr>
            <w:r w:rsidRPr="004C5551">
              <w:rPr>
                <w:b/>
                <w:bCs/>
                <w:sz w:val="20"/>
                <w:szCs w:val="16"/>
              </w:rPr>
              <w:t>269 985 212</w:t>
            </w:r>
          </w:p>
        </w:tc>
        <w:tc>
          <w:tcPr>
            <w:tcW w:w="778" w:type="dxa"/>
            <w:shd w:val="clear" w:color="auto" w:fill="auto"/>
            <w:noWrap/>
            <w:vAlign w:val="bottom"/>
          </w:tcPr>
          <w:p w:rsidR="00F87DCB" w:rsidRPr="004C5551" w:rsidRDefault="00F87DCB">
            <w:pPr>
              <w:jc w:val="right"/>
              <w:rPr>
                <w:b/>
                <w:bCs/>
                <w:sz w:val="20"/>
                <w:szCs w:val="16"/>
              </w:rPr>
            </w:pPr>
            <w:r w:rsidRPr="004C5551">
              <w:rPr>
                <w:b/>
                <w:bCs/>
                <w:sz w:val="20"/>
                <w:szCs w:val="16"/>
              </w:rPr>
              <w:t>99,5</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07C0101</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Dávka v hmotnej núdzi</w:t>
            </w:r>
          </w:p>
        </w:tc>
        <w:tc>
          <w:tcPr>
            <w:tcW w:w="1541" w:type="dxa"/>
            <w:shd w:val="clear" w:color="auto" w:fill="auto"/>
            <w:noWrap/>
            <w:vAlign w:val="bottom"/>
          </w:tcPr>
          <w:p w:rsidR="00F87DCB" w:rsidRPr="004C5551" w:rsidRDefault="00F87DCB">
            <w:pPr>
              <w:jc w:val="right"/>
              <w:rPr>
                <w:sz w:val="20"/>
                <w:szCs w:val="16"/>
              </w:rPr>
            </w:pPr>
            <w:r w:rsidRPr="004C5551">
              <w:rPr>
                <w:sz w:val="20"/>
                <w:szCs w:val="16"/>
              </w:rPr>
              <w:t>272 640 000</w:t>
            </w:r>
          </w:p>
        </w:tc>
        <w:tc>
          <w:tcPr>
            <w:tcW w:w="1606" w:type="dxa"/>
            <w:shd w:val="clear" w:color="auto" w:fill="auto"/>
            <w:noWrap/>
            <w:vAlign w:val="bottom"/>
          </w:tcPr>
          <w:p w:rsidR="00F87DCB" w:rsidRPr="004C5551" w:rsidRDefault="00F87DCB">
            <w:pPr>
              <w:jc w:val="right"/>
              <w:rPr>
                <w:sz w:val="20"/>
                <w:szCs w:val="16"/>
              </w:rPr>
            </w:pPr>
            <w:r w:rsidRPr="004C5551">
              <w:rPr>
                <w:sz w:val="20"/>
                <w:szCs w:val="16"/>
              </w:rPr>
              <w:t>246 702 234</w:t>
            </w:r>
          </w:p>
        </w:tc>
        <w:tc>
          <w:tcPr>
            <w:tcW w:w="1644" w:type="dxa"/>
            <w:shd w:val="clear" w:color="auto" w:fill="auto"/>
            <w:noWrap/>
            <w:vAlign w:val="bottom"/>
          </w:tcPr>
          <w:p w:rsidR="00F87DCB" w:rsidRPr="004C5551" w:rsidRDefault="00F87DCB">
            <w:pPr>
              <w:jc w:val="right"/>
              <w:rPr>
                <w:sz w:val="20"/>
                <w:szCs w:val="16"/>
              </w:rPr>
            </w:pPr>
            <w:r w:rsidRPr="004C5551">
              <w:rPr>
                <w:sz w:val="20"/>
                <w:szCs w:val="16"/>
              </w:rPr>
              <w:t>245 903 547</w:t>
            </w:r>
          </w:p>
        </w:tc>
        <w:tc>
          <w:tcPr>
            <w:tcW w:w="778" w:type="dxa"/>
            <w:shd w:val="clear" w:color="auto" w:fill="auto"/>
            <w:noWrap/>
            <w:vAlign w:val="bottom"/>
          </w:tcPr>
          <w:p w:rsidR="00F87DCB" w:rsidRPr="004C5551" w:rsidRDefault="00F87DCB">
            <w:pPr>
              <w:jc w:val="right"/>
              <w:rPr>
                <w:sz w:val="20"/>
                <w:szCs w:val="16"/>
              </w:rPr>
            </w:pPr>
            <w:r w:rsidRPr="004C5551">
              <w:rPr>
                <w:sz w:val="20"/>
                <w:szCs w:val="16"/>
              </w:rPr>
              <w:t>99,7</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07C0102</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Dotácia na výkon osobitného príjemcu</w:t>
            </w:r>
          </w:p>
        </w:tc>
        <w:tc>
          <w:tcPr>
            <w:tcW w:w="1541" w:type="dxa"/>
            <w:shd w:val="clear" w:color="auto" w:fill="auto"/>
            <w:noWrap/>
            <w:vAlign w:val="bottom"/>
          </w:tcPr>
          <w:p w:rsidR="00F87DCB" w:rsidRPr="004C5551" w:rsidRDefault="00F87DCB">
            <w:pPr>
              <w:jc w:val="right"/>
              <w:rPr>
                <w:sz w:val="20"/>
                <w:szCs w:val="16"/>
              </w:rPr>
            </w:pPr>
            <w:r w:rsidRPr="004C5551">
              <w:rPr>
                <w:sz w:val="20"/>
                <w:szCs w:val="16"/>
              </w:rPr>
              <w:t>167 800</w:t>
            </w:r>
          </w:p>
        </w:tc>
        <w:tc>
          <w:tcPr>
            <w:tcW w:w="1606" w:type="dxa"/>
            <w:shd w:val="clear" w:color="auto" w:fill="auto"/>
            <w:noWrap/>
            <w:vAlign w:val="bottom"/>
          </w:tcPr>
          <w:p w:rsidR="00F87DCB" w:rsidRPr="004C5551" w:rsidRDefault="00F87DCB">
            <w:pPr>
              <w:jc w:val="right"/>
              <w:rPr>
                <w:sz w:val="20"/>
                <w:szCs w:val="16"/>
              </w:rPr>
            </w:pPr>
            <w:r w:rsidRPr="004C5551">
              <w:rPr>
                <w:sz w:val="20"/>
                <w:szCs w:val="16"/>
              </w:rPr>
              <w:t>179 779</w:t>
            </w:r>
          </w:p>
        </w:tc>
        <w:tc>
          <w:tcPr>
            <w:tcW w:w="1644" w:type="dxa"/>
            <w:shd w:val="clear" w:color="auto" w:fill="auto"/>
            <w:noWrap/>
            <w:vAlign w:val="bottom"/>
          </w:tcPr>
          <w:p w:rsidR="00F87DCB" w:rsidRPr="004C5551" w:rsidRDefault="00F87DCB">
            <w:pPr>
              <w:jc w:val="right"/>
              <w:rPr>
                <w:sz w:val="20"/>
                <w:szCs w:val="16"/>
              </w:rPr>
            </w:pPr>
            <w:r w:rsidRPr="004C5551">
              <w:rPr>
                <w:sz w:val="20"/>
                <w:szCs w:val="16"/>
              </w:rPr>
              <w:t>176 743</w:t>
            </w:r>
          </w:p>
        </w:tc>
        <w:tc>
          <w:tcPr>
            <w:tcW w:w="778" w:type="dxa"/>
            <w:shd w:val="clear" w:color="auto" w:fill="auto"/>
            <w:noWrap/>
            <w:vAlign w:val="bottom"/>
          </w:tcPr>
          <w:p w:rsidR="00F87DCB" w:rsidRPr="004C5551" w:rsidRDefault="00F87DCB">
            <w:pPr>
              <w:jc w:val="right"/>
              <w:rPr>
                <w:sz w:val="20"/>
                <w:szCs w:val="16"/>
              </w:rPr>
            </w:pPr>
            <w:r w:rsidRPr="004C5551">
              <w:rPr>
                <w:sz w:val="20"/>
                <w:szCs w:val="16"/>
              </w:rPr>
              <w:t>98,3</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07C0103</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Dotácia na stravu pre dieťa v hmotnej núdzi </w:t>
            </w:r>
          </w:p>
        </w:tc>
        <w:tc>
          <w:tcPr>
            <w:tcW w:w="1541" w:type="dxa"/>
            <w:shd w:val="clear" w:color="auto" w:fill="auto"/>
            <w:noWrap/>
            <w:vAlign w:val="bottom"/>
          </w:tcPr>
          <w:p w:rsidR="00F87DCB" w:rsidRPr="004C5551" w:rsidRDefault="00F87DCB">
            <w:pPr>
              <w:jc w:val="right"/>
              <w:rPr>
                <w:sz w:val="20"/>
                <w:szCs w:val="16"/>
              </w:rPr>
            </w:pPr>
            <w:r w:rsidRPr="004C5551">
              <w:rPr>
                <w:sz w:val="20"/>
                <w:szCs w:val="16"/>
              </w:rPr>
              <w:t>14 485 300</w:t>
            </w:r>
          </w:p>
        </w:tc>
        <w:tc>
          <w:tcPr>
            <w:tcW w:w="1606" w:type="dxa"/>
            <w:shd w:val="clear" w:color="auto" w:fill="auto"/>
            <w:noWrap/>
            <w:vAlign w:val="bottom"/>
          </w:tcPr>
          <w:p w:rsidR="00F87DCB" w:rsidRPr="004C5551" w:rsidRDefault="00F87DCB">
            <w:pPr>
              <w:jc w:val="right"/>
              <w:rPr>
                <w:sz w:val="20"/>
                <w:szCs w:val="16"/>
              </w:rPr>
            </w:pPr>
            <w:r w:rsidRPr="004C5551">
              <w:rPr>
                <w:sz w:val="20"/>
                <w:szCs w:val="16"/>
              </w:rPr>
              <w:t>12 513 714</w:t>
            </w:r>
          </w:p>
        </w:tc>
        <w:tc>
          <w:tcPr>
            <w:tcW w:w="1644" w:type="dxa"/>
            <w:shd w:val="clear" w:color="auto" w:fill="auto"/>
            <w:noWrap/>
            <w:vAlign w:val="bottom"/>
          </w:tcPr>
          <w:p w:rsidR="00F87DCB" w:rsidRPr="004C5551" w:rsidRDefault="00F87DCB">
            <w:pPr>
              <w:jc w:val="right"/>
              <w:rPr>
                <w:sz w:val="20"/>
                <w:szCs w:val="16"/>
              </w:rPr>
            </w:pPr>
            <w:r w:rsidRPr="004C5551">
              <w:rPr>
                <w:sz w:val="20"/>
                <w:szCs w:val="16"/>
              </w:rPr>
              <w:t>11 888 398</w:t>
            </w:r>
          </w:p>
        </w:tc>
        <w:tc>
          <w:tcPr>
            <w:tcW w:w="778" w:type="dxa"/>
            <w:shd w:val="clear" w:color="auto" w:fill="auto"/>
            <w:noWrap/>
            <w:vAlign w:val="bottom"/>
          </w:tcPr>
          <w:p w:rsidR="00F87DCB" w:rsidRPr="004C5551" w:rsidRDefault="00F87DCB">
            <w:pPr>
              <w:jc w:val="right"/>
              <w:rPr>
                <w:sz w:val="20"/>
                <w:szCs w:val="16"/>
              </w:rPr>
            </w:pPr>
            <w:r w:rsidRPr="004C5551">
              <w:rPr>
                <w:sz w:val="20"/>
                <w:szCs w:val="16"/>
              </w:rPr>
              <w:t>95,0</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07C0104</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Dotácia na školské potreby pre dieťa v hmotnej núdzi</w:t>
            </w:r>
          </w:p>
        </w:tc>
        <w:tc>
          <w:tcPr>
            <w:tcW w:w="1541" w:type="dxa"/>
            <w:shd w:val="clear" w:color="auto" w:fill="auto"/>
            <w:noWrap/>
            <w:vAlign w:val="bottom"/>
          </w:tcPr>
          <w:p w:rsidR="00F87DCB" w:rsidRPr="004C5551" w:rsidRDefault="00F87DCB">
            <w:pPr>
              <w:jc w:val="right"/>
              <w:rPr>
                <w:sz w:val="20"/>
                <w:szCs w:val="16"/>
              </w:rPr>
            </w:pPr>
            <w:r w:rsidRPr="004C5551">
              <w:rPr>
                <w:sz w:val="20"/>
                <w:szCs w:val="16"/>
              </w:rPr>
              <w:t>2 784 000</w:t>
            </w:r>
          </w:p>
        </w:tc>
        <w:tc>
          <w:tcPr>
            <w:tcW w:w="1606" w:type="dxa"/>
            <w:shd w:val="clear" w:color="auto" w:fill="auto"/>
            <w:noWrap/>
            <w:vAlign w:val="bottom"/>
          </w:tcPr>
          <w:p w:rsidR="00F87DCB" w:rsidRPr="004C5551" w:rsidRDefault="00F87DCB">
            <w:pPr>
              <w:jc w:val="right"/>
              <w:rPr>
                <w:sz w:val="20"/>
                <w:szCs w:val="16"/>
              </w:rPr>
            </w:pPr>
            <w:r w:rsidRPr="004C5551">
              <w:rPr>
                <w:sz w:val="20"/>
                <w:szCs w:val="16"/>
              </w:rPr>
              <w:t>2 663 903</w:t>
            </w:r>
          </w:p>
        </w:tc>
        <w:tc>
          <w:tcPr>
            <w:tcW w:w="1644" w:type="dxa"/>
            <w:shd w:val="clear" w:color="auto" w:fill="auto"/>
            <w:noWrap/>
            <w:vAlign w:val="bottom"/>
          </w:tcPr>
          <w:p w:rsidR="00F87DCB" w:rsidRPr="004C5551" w:rsidRDefault="00F87DCB">
            <w:pPr>
              <w:jc w:val="right"/>
              <w:rPr>
                <w:sz w:val="20"/>
                <w:szCs w:val="16"/>
              </w:rPr>
            </w:pPr>
            <w:r w:rsidRPr="004C5551">
              <w:rPr>
                <w:sz w:val="20"/>
                <w:szCs w:val="16"/>
              </w:rPr>
              <w:t>2 640 447</w:t>
            </w:r>
          </w:p>
        </w:tc>
        <w:tc>
          <w:tcPr>
            <w:tcW w:w="778" w:type="dxa"/>
            <w:shd w:val="clear" w:color="auto" w:fill="auto"/>
            <w:noWrap/>
            <w:vAlign w:val="bottom"/>
          </w:tcPr>
          <w:p w:rsidR="00F87DCB" w:rsidRPr="004C5551" w:rsidRDefault="00F87DCB">
            <w:pPr>
              <w:jc w:val="right"/>
              <w:rPr>
                <w:sz w:val="20"/>
                <w:szCs w:val="16"/>
              </w:rPr>
            </w:pPr>
            <w:r w:rsidRPr="004C5551">
              <w:rPr>
                <w:sz w:val="20"/>
                <w:szCs w:val="16"/>
              </w:rPr>
              <w:t>99,1</w:t>
            </w:r>
          </w:p>
        </w:tc>
      </w:tr>
      <w:tr w:rsidR="00F87DCB" w:rsidRPr="004C5551" w:rsidTr="00F87DCB">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07C0106</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Náhradné výživné</w:t>
            </w:r>
          </w:p>
        </w:tc>
        <w:tc>
          <w:tcPr>
            <w:tcW w:w="1541" w:type="dxa"/>
            <w:shd w:val="clear" w:color="auto" w:fill="auto"/>
            <w:noWrap/>
            <w:vAlign w:val="bottom"/>
          </w:tcPr>
          <w:p w:rsidR="00F87DCB" w:rsidRPr="004C5551" w:rsidRDefault="00F87DCB">
            <w:pPr>
              <w:jc w:val="right"/>
              <w:rPr>
                <w:sz w:val="20"/>
                <w:szCs w:val="16"/>
              </w:rPr>
            </w:pPr>
            <w:r w:rsidRPr="004C5551">
              <w:rPr>
                <w:sz w:val="20"/>
                <w:szCs w:val="16"/>
              </w:rPr>
              <w:t>10 085 471</w:t>
            </w:r>
          </w:p>
        </w:tc>
        <w:tc>
          <w:tcPr>
            <w:tcW w:w="1606" w:type="dxa"/>
            <w:shd w:val="clear" w:color="auto" w:fill="auto"/>
            <w:noWrap/>
            <w:vAlign w:val="bottom"/>
          </w:tcPr>
          <w:p w:rsidR="00F87DCB" w:rsidRPr="004C5551" w:rsidRDefault="00F87DCB">
            <w:pPr>
              <w:jc w:val="right"/>
              <w:rPr>
                <w:sz w:val="20"/>
                <w:szCs w:val="16"/>
              </w:rPr>
            </w:pPr>
            <w:r w:rsidRPr="004C5551">
              <w:rPr>
                <w:sz w:val="20"/>
                <w:szCs w:val="16"/>
              </w:rPr>
              <w:t>9 403 164</w:t>
            </w:r>
          </w:p>
        </w:tc>
        <w:tc>
          <w:tcPr>
            <w:tcW w:w="1644" w:type="dxa"/>
            <w:shd w:val="clear" w:color="auto" w:fill="auto"/>
            <w:noWrap/>
            <w:vAlign w:val="bottom"/>
          </w:tcPr>
          <w:p w:rsidR="00F87DCB" w:rsidRPr="004C5551" w:rsidRDefault="00F87DCB">
            <w:pPr>
              <w:jc w:val="right"/>
              <w:rPr>
                <w:sz w:val="20"/>
                <w:szCs w:val="16"/>
              </w:rPr>
            </w:pPr>
            <w:r w:rsidRPr="004C5551">
              <w:rPr>
                <w:sz w:val="20"/>
                <w:szCs w:val="16"/>
              </w:rPr>
              <w:t>9 376 077</w:t>
            </w:r>
          </w:p>
        </w:tc>
        <w:tc>
          <w:tcPr>
            <w:tcW w:w="778" w:type="dxa"/>
            <w:shd w:val="clear" w:color="auto" w:fill="auto"/>
            <w:noWrap/>
            <w:vAlign w:val="bottom"/>
          </w:tcPr>
          <w:p w:rsidR="00F87DCB" w:rsidRPr="004C5551" w:rsidRDefault="00F87DCB">
            <w:pPr>
              <w:jc w:val="right"/>
              <w:rPr>
                <w:sz w:val="20"/>
                <w:szCs w:val="16"/>
              </w:rPr>
            </w:pPr>
            <w:r w:rsidRPr="004C5551">
              <w:rPr>
                <w:sz w:val="20"/>
                <w:szCs w:val="16"/>
              </w:rPr>
              <w:t>99,7</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b/>
                <w:bCs/>
                <w:sz w:val="20"/>
                <w:szCs w:val="20"/>
              </w:rPr>
            </w:pPr>
            <w:r w:rsidRPr="004C5551">
              <w:rPr>
                <w:b/>
                <w:bCs/>
                <w:sz w:val="20"/>
                <w:szCs w:val="20"/>
              </w:rPr>
              <w:t>07C02</w:t>
            </w:r>
          </w:p>
        </w:tc>
        <w:tc>
          <w:tcPr>
            <w:tcW w:w="6662" w:type="dxa"/>
            <w:shd w:val="clear" w:color="auto" w:fill="auto"/>
            <w:noWrap/>
            <w:vAlign w:val="bottom"/>
            <w:hideMark/>
          </w:tcPr>
          <w:p w:rsidR="00F87DCB" w:rsidRPr="004C5551" w:rsidRDefault="00F87DCB" w:rsidP="0084617B">
            <w:pPr>
              <w:rPr>
                <w:b/>
                <w:bCs/>
                <w:sz w:val="20"/>
                <w:szCs w:val="20"/>
              </w:rPr>
            </w:pPr>
            <w:r w:rsidRPr="004C5551">
              <w:rPr>
                <w:b/>
                <w:bCs/>
                <w:sz w:val="20"/>
                <w:szCs w:val="20"/>
              </w:rPr>
              <w:t>Podpora rodiny</w:t>
            </w:r>
          </w:p>
        </w:tc>
        <w:tc>
          <w:tcPr>
            <w:tcW w:w="1541" w:type="dxa"/>
            <w:shd w:val="clear" w:color="auto" w:fill="auto"/>
            <w:noWrap/>
            <w:vAlign w:val="bottom"/>
            <w:hideMark/>
          </w:tcPr>
          <w:p w:rsidR="00F87DCB" w:rsidRPr="004C5551" w:rsidRDefault="00F87DCB">
            <w:pPr>
              <w:jc w:val="right"/>
              <w:rPr>
                <w:b/>
                <w:bCs/>
                <w:sz w:val="20"/>
                <w:szCs w:val="16"/>
              </w:rPr>
            </w:pPr>
            <w:r w:rsidRPr="004C5551">
              <w:rPr>
                <w:b/>
                <w:bCs/>
                <w:sz w:val="20"/>
                <w:szCs w:val="16"/>
              </w:rPr>
              <w:t>1 006 846 622</w:t>
            </w:r>
          </w:p>
        </w:tc>
        <w:tc>
          <w:tcPr>
            <w:tcW w:w="1606" w:type="dxa"/>
            <w:shd w:val="clear" w:color="auto" w:fill="auto"/>
            <w:noWrap/>
            <w:vAlign w:val="bottom"/>
            <w:hideMark/>
          </w:tcPr>
          <w:p w:rsidR="00F87DCB" w:rsidRPr="004C5551" w:rsidRDefault="00F87DCB">
            <w:pPr>
              <w:jc w:val="right"/>
              <w:rPr>
                <w:b/>
                <w:bCs/>
                <w:sz w:val="20"/>
                <w:szCs w:val="16"/>
              </w:rPr>
            </w:pPr>
            <w:r w:rsidRPr="004C5551">
              <w:rPr>
                <w:b/>
                <w:bCs/>
                <w:sz w:val="20"/>
                <w:szCs w:val="16"/>
              </w:rPr>
              <w:t>955 855 772</w:t>
            </w:r>
          </w:p>
        </w:tc>
        <w:tc>
          <w:tcPr>
            <w:tcW w:w="1644" w:type="dxa"/>
            <w:shd w:val="clear" w:color="auto" w:fill="auto"/>
            <w:noWrap/>
            <w:vAlign w:val="bottom"/>
            <w:hideMark/>
          </w:tcPr>
          <w:p w:rsidR="00F87DCB" w:rsidRPr="004C5551" w:rsidRDefault="00F87DCB">
            <w:pPr>
              <w:jc w:val="right"/>
              <w:rPr>
                <w:b/>
                <w:bCs/>
                <w:sz w:val="20"/>
                <w:szCs w:val="16"/>
              </w:rPr>
            </w:pPr>
            <w:r w:rsidRPr="004C5551">
              <w:rPr>
                <w:b/>
                <w:bCs/>
                <w:sz w:val="20"/>
                <w:szCs w:val="16"/>
              </w:rPr>
              <w:t>955 548 567</w:t>
            </w:r>
          </w:p>
        </w:tc>
        <w:tc>
          <w:tcPr>
            <w:tcW w:w="778" w:type="dxa"/>
            <w:shd w:val="clear" w:color="auto" w:fill="auto"/>
            <w:noWrap/>
            <w:vAlign w:val="bottom"/>
            <w:hideMark/>
          </w:tcPr>
          <w:p w:rsidR="00F87DCB" w:rsidRPr="004C5551" w:rsidRDefault="00F87DCB">
            <w:pPr>
              <w:jc w:val="right"/>
              <w:rPr>
                <w:b/>
                <w:bCs/>
                <w:sz w:val="20"/>
                <w:szCs w:val="16"/>
              </w:rPr>
            </w:pPr>
            <w:r w:rsidRPr="004C5551">
              <w:rPr>
                <w:b/>
                <w:bCs/>
                <w:sz w:val="20"/>
                <w:szCs w:val="16"/>
              </w:rPr>
              <w:t>100,0</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07C0201</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Prídavok na dieťa</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321 087 282</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319 073 171</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319 006 214</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100,0</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07C0202</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Rodičovský príspevok</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361 040 898</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356 135 899</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356 000 893</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100,0</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07C0206</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Ostatné príspevky na podporu rodiny</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51 585 932</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46 112 507</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46 045 478</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99,9</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07C020A</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Štátom platené poistné za osoby starajúce sa o dieťa</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269 909 094</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232 909 094</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232 909 094</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100,0</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07C020B</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Príspevok na starostlivosť o dieťa</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3 223 416</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1 625 101</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1 586 888</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97,6</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b/>
                <w:bCs/>
                <w:sz w:val="20"/>
                <w:szCs w:val="20"/>
              </w:rPr>
            </w:pPr>
            <w:r w:rsidRPr="004C5551">
              <w:rPr>
                <w:b/>
                <w:bCs/>
                <w:sz w:val="20"/>
                <w:szCs w:val="20"/>
              </w:rPr>
              <w:t>07C03</w:t>
            </w:r>
          </w:p>
        </w:tc>
        <w:tc>
          <w:tcPr>
            <w:tcW w:w="6662" w:type="dxa"/>
            <w:shd w:val="clear" w:color="auto" w:fill="auto"/>
            <w:noWrap/>
            <w:vAlign w:val="bottom"/>
            <w:hideMark/>
          </w:tcPr>
          <w:p w:rsidR="00F87DCB" w:rsidRPr="004C5551" w:rsidRDefault="00F87DCB" w:rsidP="0084617B">
            <w:pPr>
              <w:rPr>
                <w:b/>
                <w:bCs/>
                <w:sz w:val="20"/>
                <w:szCs w:val="20"/>
              </w:rPr>
            </w:pPr>
            <w:r w:rsidRPr="004C5551">
              <w:rPr>
                <w:b/>
                <w:bCs/>
                <w:sz w:val="20"/>
                <w:szCs w:val="20"/>
              </w:rPr>
              <w:t>Kompenzácia sociálnych dôsledkov ŤZP</w:t>
            </w:r>
          </w:p>
        </w:tc>
        <w:tc>
          <w:tcPr>
            <w:tcW w:w="1541" w:type="dxa"/>
            <w:shd w:val="clear" w:color="auto" w:fill="auto"/>
            <w:noWrap/>
            <w:vAlign w:val="bottom"/>
            <w:hideMark/>
          </w:tcPr>
          <w:p w:rsidR="00F87DCB" w:rsidRPr="004C5551" w:rsidRDefault="00F87DCB">
            <w:pPr>
              <w:jc w:val="right"/>
              <w:rPr>
                <w:b/>
                <w:bCs/>
                <w:sz w:val="20"/>
                <w:szCs w:val="16"/>
              </w:rPr>
            </w:pPr>
            <w:r w:rsidRPr="004C5551">
              <w:rPr>
                <w:b/>
                <w:bCs/>
                <w:sz w:val="20"/>
                <w:szCs w:val="16"/>
              </w:rPr>
              <w:t>246 012 289</w:t>
            </w:r>
          </w:p>
        </w:tc>
        <w:tc>
          <w:tcPr>
            <w:tcW w:w="1606" w:type="dxa"/>
            <w:shd w:val="clear" w:color="auto" w:fill="auto"/>
            <w:noWrap/>
            <w:vAlign w:val="bottom"/>
            <w:hideMark/>
          </w:tcPr>
          <w:p w:rsidR="00F87DCB" w:rsidRPr="004C5551" w:rsidRDefault="00F87DCB">
            <w:pPr>
              <w:jc w:val="right"/>
              <w:rPr>
                <w:b/>
                <w:bCs/>
                <w:sz w:val="20"/>
                <w:szCs w:val="16"/>
              </w:rPr>
            </w:pPr>
            <w:r w:rsidRPr="004C5551">
              <w:rPr>
                <w:b/>
                <w:bCs/>
                <w:sz w:val="20"/>
                <w:szCs w:val="16"/>
              </w:rPr>
              <w:t>236 374 437</w:t>
            </w:r>
          </w:p>
        </w:tc>
        <w:tc>
          <w:tcPr>
            <w:tcW w:w="1644" w:type="dxa"/>
            <w:shd w:val="clear" w:color="auto" w:fill="auto"/>
            <w:noWrap/>
            <w:vAlign w:val="bottom"/>
            <w:hideMark/>
          </w:tcPr>
          <w:p w:rsidR="00F87DCB" w:rsidRPr="004C5551" w:rsidRDefault="00F87DCB">
            <w:pPr>
              <w:jc w:val="right"/>
              <w:rPr>
                <w:b/>
                <w:bCs/>
                <w:sz w:val="20"/>
                <w:szCs w:val="16"/>
              </w:rPr>
            </w:pPr>
            <w:r w:rsidRPr="004C5551">
              <w:rPr>
                <w:b/>
                <w:bCs/>
                <w:sz w:val="20"/>
                <w:szCs w:val="16"/>
              </w:rPr>
              <w:t>236 185 232</w:t>
            </w:r>
          </w:p>
        </w:tc>
        <w:tc>
          <w:tcPr>
            <w:tcW w:w="778" w:type="dxa"/>
            <w:shd w:val="clear" w:color="auto" w:fill="auto"/>
            <w:noWrap/>
            <w:vAlign w:val="bottom"/>
            <w:hideMark/>
          </w:tcPr>
          <w:p w:rsidR="00F87DCB" w:rsidRPr="004C5551" w:rsidRDefault="00F87DCB">
            <w:pPr>
              <w:jc w:val="right"/>
              <w:rPr>
                <w:b/>
                <w:bCs/>
                <w:sz w:val="20"/>
                <w:szCs w:val="16"/>
              </w:rPr>
            </w:pPr>
            <w:r w:rsidRPr="004C5551">
              <w:rPr>
                <w:b/>
                <w:bCs/>
                <w:sz w:val="20"/>
                <w:szCs w:val="16"/>
              </w:rPr>
              <w:t>99,9</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b/>
                <w:bCs/>
                <w:sz w:val="20"/>
                <w:szCs w:val="20"/>
              </w:rPr>
            </w:pPr>
            <w:r w:rsidRPr="004C5551">
              <w:rPr>
                <w:b/>
                <w:bCs/>
                <w:sz w:val="20"/>
                <w:szCs w:val="20"/>
              </w:rPr>
              <w:t>07C04</w:t>
            </w:r>
          </w:p>
        </w:tc>
        <w:tc>
          <w:tcPr>
            <w:tcW w:w="6662" w:type="dxa"/>
            <w:shd w:val="clear" w:color="auto" w:fill="auto"/>
            <w:noWrap/>
            <w:vAlign w:val="bottom"/>
            <w:hideMark/>
          </w:tcPr>
          <w:p w:rsidR="00F87DCB" w:rsidRPr="004C5551" w:rsidRDefault="00F87DCB" w:rsidP="0084617B">
            <w:pPr>
              <w:rPr>
                <w:b/>
                <w:bCs/>
                <w:sz w:val="20"/>
                <w:szCs w:val="20"/>
              </w:rPr>
            </w:pPr>
            <w:r w:rsidRPr="004C5551">
              <w:rPr>
                <w:b/>
                <w:bCs/>
                <w:sz w:val="20"/>
                <w:szCs w:val="20"/>
              </w:rPr>
              <w:t>Iniciatívy v oblasti sociálnej inklúzie</w:t>
            </w:r>
          </w:p>
        </w:tc>
        <w:tc>
          <w:tcPr>
            <w:tcW w:w="1541" w:type="dxa"/>
            <w:shd w:val="clear" w:color="auto" w:fill="auto"/>
            <w:noWrap/>
            <w:vAlign w:val="bottom"/>
            <w:hideMark/>
          </w:tcPr>
          <w:p w:rsidR="00F87DCB" w:rsidRPr="004C5551" w:rsidRDefault="00F87DCB">
            <w:pPr>
              <w:jc w:val="right"/>
              <w:rPr>
                <w:b/>
                <w:bCs/>
                <w:sz w:val="20"/>
                <w:szCs w:val="16"/>
              </w:rPr>
            </w:pPr>
            <w:r w:rsidRPr="004C5551">
              <w:rPr>
                <w:b/>
                <w:bCs/>
                <w:sz w:val="20"/>
                <w:szCs w:val="16"/>
              </w:rPr>
              <w:t>3 892 790</w:t>
            </w:r>
          </w:p>
        </w:tc>
        <w:tc>
          <w:tcPr>
            <w:tcW w:w="1606" w:type="dxa"/>
            <w:shd w:val="clear" w:color="auto" w:fill="auto"/>
            <w:noWrap/>
            <w:vAlign w:val="bottom"/>
            <w:hideMark/>
          </w:tcPr>
          <w:p w:rsidR="00F87DCB" w:rsidRPr="004C5551" w:rsidRDefault="00F87DCB">
            <w:pPr>
              <w:jc w:val="right"/>
              <w:rPr>
                <w:b/>
                <w:bCs/>
                <w:sz w:val="20"/>
                <w:szCs w:val="16"/>
              </w:rPr>
            </w:pPr>
            <w:r w:rsidRPr="004C5551">
              <w:rPr>
                <w:b/>
                <w:bCs/>
                <w:sz w:val="20"/>
                <w:szCs w:val="16"/>
              </w:rPr>
              <w:t>3 699 484</w:t>
            </w:r>
          </w:p>
        </w:tc>
        <w:tc>
          <w:tcPr>
            <w:tcW w:w="1644" w:type="dxa"/>
            <w:shd w:val="clear" w:color="auto" w:fill="auto"/>
            <w:noWrap/>
            <w:vAlign w:val="bottom"/>
            <w:hideMark/>
          </w:tcPr>
          <w:p w:rsidR="00F87DCB" w:rsidRPr="004C5551" w:rsidRDefault="00F87DCB">
            <w:pPr>
              <w:jc w:val="right"/>
              <w:rPr>
                <w:b/>
                <w:bCs/>
                <w:sz w:val="20"/>
                <w:szCs w:val="16"/>
              </w:rPr>
            </w:pPr>
            <w:r w:rsidRPr="004C5551">
              <w:rPr>
                <w:b/>
                <w:bCs/>
                <w:sz w:val="20"/>
                <w:szCs w:val="16"/>
              </w:rPr>
              <w:t>3 672 332</w:t>
            </w:r>
          </w:p>
        </w:tc>
        <w:tc>
          <w:tcPr>
            <w:tcW w:w="778" w:type="dxa"/>
            <w:shd w:val="clear" w:color="auto" w:fill="auto"/>
            <w:noWrap/>
            <w:vAlign w:val="bottom"/>
            <w:hideMark/>
          </w:tcPr>
          <w:p w:rsidR="00F87DCB" w:rsidRPr="004C5551" w:rsidRDefault="00F87DCB">
            <w:pPr>
              <w:jc w:val="right"/>
              <w:rPr>
                <w:b/>
                <w:bCs/>
                <w:sz w:val="20"/>
                <w:szCs w:val="16"/>
              </w:rPr>
            </w:pPr>
            <w:r w:rsidRPr="004C5551">
              <w:rPr>
                <w:b/>
                <w:bCs/>
                <w:sz w:val="20"/>
                <w:szCs w:val="16"/>
              </w:rPr>
              <w:t>99,3</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07C040A</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Ostatné iniciatívy</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2 909 702</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2 756 449</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2 729 342</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99,0</w:t>
            </w:r>
          </w:p>
        </w:tc>
      </w:tr>
      <w:tr w:rsidR="00F87DCB" w:rsidRPr="004C5551" w:rsidTr="005C10C1">
        <w:trPr>
          <w:trHeight w:val="262"/>
        </w:trPr>
        <w:tc>
          <w:tcPr>
            <w:tcW w:w="1862" w:type="dxa"/>
            <w:shd w:val="clear" w:color="auto" w:fill="auto"/>
            <w:noWrap/>
            <w:vAlign w:val="bottom"/>
            <w:hideMark/>
          </w:tcPr>
          <w:p w:rsidR="00F87DCB" w:rsidRPr="004C5551" w:rsidRDefault="00F87DCB" w:rsidP="0084617B">
            <w:pPr>
              <w:rPr>
                <w:sz w:val="18"/>
                <w:szCs w:val="18"/>
              </w:rPr>
            </w:pPr>
            <w:r w:rsidRPr="004C5551">
              <w:rPr>
                <w:sz w:val="18"/>
                <w:szCs w:val="18"/>
              </w:rPr>
              <w:t>07C040C</w:t>
            </w:r>
          </w:p>
        </w:tc>
        <w:tc>
          <w:tcPr>
            <w:tcW w:w="6662" w:type="dxa"/>
            <w:shd w:val="clear" w:color="auto" w:fill="auto"/>
            <w:noWrap/>
            <w:vAlign w:val="bottom"/>
            <w:hideMark/>
          </w:tcPr>
          <w:p w:rsidR="00F87DCB" w:rsidRPr="004C5551" w:rsidRDefault="00F87DCB"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Zvýšenie </w:t>
            </w:r>
            <w:proofErr w:type="spellStart"/>
            <w:r w:rsidRPr="004C5551">
              <w:rPr>
                <w:sz w:val="18"/>
                <w:szCs w:val="18"/>
              </w:rPr>
              <w:t>zamestnateľnosti</w:t>
            </w:r>
            <w:proofErr w:type="spellEnd"/>
            <w:r w:rsidRPr="004C5551">
              <w:rPr>
                <w:sz w:val="18"/>
                <w:szCs w:val="18"/>
              </w:rPr>
              <w:t xml:space="preserve"> cez FSR</w:t>
            </w:r>
          </w:p>
        </w:tc>
        <w:tc>
          <w:tcPr>
            <w:tcW w:w="1541" w:type="dxa"/>
            <w:shd w:val="clear" w:color="auto" w:fill="auto"/>
            <w:noWrap/>
            <w:vAlign w:val="bottom"/>
            <w:hideMark/>
          </w:tcPr>
          <w:p w:rsidR="00F87DCB" w:rsidRPr="004C5551" w:rsidRDefault="00F87DCB">
            <w:pPr>
              <w:jc w:val="right"/>
              <w:rPr>
                <w:sz w:val="20"/>
                <w:szCs w:val="16"/>
              </w:rPr>
            </w:pPr>
            <w:r w:rsidRPr="004C5551">
              <w:rPr>
                <w:sz w:val="20"/>
                <w:szCs w:val="16"/>
              </w:rPr>
              <w:t>983 088</w:t>
            </w:r>
          </w:p>
        </w:tc>
        <w:tc>
          <w:tcPr>
            <w:tcW w:w="1606" w:type="dxa"/>
            <w:shd w:val="clear" w:color="auto" w:fill="auto"/>
            <w:noWrap/>
            <w:vAlign w:val="bottom"/>
            <w:hideMark/>
          </w:tcPr>
          <w:p w:rsidR="00F87DCB" w:rsidRPr="004C5551" w:rsidRDefault="00F87DCB">
            <w:pPr>
              <w:jc w:val="right"/>
              <w:rPr>
                <w:sz w:val="20"/>
                <w:szCs w:val="16"/>
              </w:rPr>
            </w:pPr>
            <w:r w:rsidRPr="004C5551">
              <w:rPr>
                <w:sz w:val="20"/>
                <w:szCs w:val="16"/>
              </w:rPr>
              <w:t>913 035</w:t>
            </w:r>
          </w:p>
        </w:tc>
        <w:tc>
          <w:tcPr>
            <w:tcW w:w="1644" w:type="dxa"/>
            <w:shd w:val="clear" w:color="auto" w:fill="auto"/>
            <w:noWrap/>
            <w:vAlign w:val="bottom"/>
            <w:hideMark/>
          </w:tcPr>
          <w:p w:rsidR="00F87DCB" w:rsidRPr="004C5551" w:rsidRDefault="00F87DCB">
            <w:pPr>
              <w:jc w:val="right"/>
              <w:rPr>
                <w:sz w:val="20"/>
                <w:szCs w:val="16"/>
              </w:rPr>
            </w:pPr>
            <w:r w:rsidRPr="004C5551">
              <w:rPr>
                <w:sz w:val="20"/>
                <w:szCs w:val="16"/>
              </w:rPr>
              <w:t>912 990</w:t>
            </w:r>
          </w:p>
        </w:tc>
        <w:tc>
          <w:tcPr>
            <w:tcW w:w="778" w:type="dxa"/>
            <w:shd w:val="clear" w:color="auto" w:fill="auto"/>
            <w:noWrap/>
            <w:vAlign w:val="bottom"/>
            <w:hideMark/>
          </w:tcPr>
          <w:p w:rsidR="00F87DCB" w:rsidRPr="004C5551" w:rsidRDefault="00F87DCB">
            <w:pPr>
              <w:jc w:val="right"/>
              <w:rPr>
                <w:sz w:val="20"/>
                <w:szCs w:val="16"/>
              </w:rPr>
            </w:pPr>
            <w:r w:rsidRPr="004C5551">
              <w:rPr>
                <w:sz w:val="20"/>
                <w:szCs w:val="16"/>
              </w:rPr>
              <w:t>100,0</w:t>
            </w:r>
          </w:p>
        </w:tc>
      </w:tr>
      <w:tr w:rsidR="00F72922" w:rsidRPr="004C5551" w:rsidTr="00F72922">
        <w:trPr>
          <w:trHeight w:val="454"/>
        </w:trPr>
        <w:tc>
          <w:tcPr>
            <w:tcW w:w="1862" w:type="dxa"/>
            <w:shd w:val="clear" w:color="auto" w:fill="auto"/>
            <w:noWrap/>
            <w:vAlign w:val="bottom"/>
          </w:tcPr>
          <w:p w:rsidR="00F72922" w:rsidRPr="004C5551" w:rsidRDefault="00F72922" w:rsidP="0084617B">
            <w:pPr>
              <w:rPr>
                <w:sz w:val="18"/>
                <w:szCs w:val="18"/>
              </w:rPr>
            </w:pPr>
            <w:r w:rsidRPr="004C5551">
              <w:rPr>
                <w:sz w:val="18"/>
                <w:szCs w:val="18"/>
              </w:rPr>
              <w:t>07C040G</w:t>
            </w:r>
          </w:p>
        </w:tc>
        <w:tc>
          <w:tcPr>
            <w:tcW w:w="6662" w:type="dxa"/>
            <w:shd w:val="clear" w:color="auto" w:fill="auto"/>
            <w:noWrap/>
            <w:vAlign w:val="bottom"/>
          </w:tcPr>
          <w:p w:rsidR="00F72922" w:rsidRPr="004C5551" w:rsidRDefault="00F72922" w:rsidP="00F72922">
            <w:pPr>
              <w:rPr>
                <w:sz w:val="18"/>
                <w:szCs w:val="18"/>
              </w:rPr>
            </w:pPr>
            <w:r w:rsidRPr="004C5551">
              <w:rPr>
                <w:sz w:val="18"/>
                <w:szCs w:val="18"/>
              </w:rPr>
              <w:t xml:space="preserve"> </w:t>
            </w:r>
            <w:r w:rsidRPr="004C5551">
              <w:rPr>
                <w:color w:val="000000" w:themeColor="text1"/>
              </w:rPr>
              <w:t>–</w:t>
            </w:r>
            <w:r w:rsidRPr="004C5551">
              <w:rPr>
                <w:sz w:val="18"/>
                <w:szCs w:val="18"/>
              </w:rPr>
              <w:t xml:space="preserve"> Zabezpečenie hodnotenia a implementácie </w:t>
            </w:r>
            <w:r w:rsidR="008D4AC2" w:rsidRPr="004C5551">
              <w:rPr>
                <w:sz w:val="18"/>
                <w:szCs w:val="18"/>
              </w:rPr>
              <w:t>horizontálnej</w:t>
            </w:r>
            <w:r w:rsidRPr="004C5551">
              <w:rPr>
                <w:sz w:val="18"/>
                <w:szCs w:val="18"/>
              </w:rPr>
              <w:t xml:space="preserve"> priority Rovnosť príležitostí – MDVRR SR</w:t>
            </w:r>
          </w:p>
        </w:tc>
        <w:tc>
          <w:tcPr>
            <w:tcW w:w="1541" w:type="dxa"/>
            <w:shd w:val="clear" w:color="auto" w:fill="auto"/>
            <w:noWrap/>
            <w:vAlign w:val="bottom"/>
          </w:tcPr>
          <w:p w:rsidR="00F72922" w:rsidRPr="004C5551" w:rsidRDefault="00F72922">
            <w:pPr>
              <w:jc w:val="right"/>
              <w:rPr>
                <w:sz w:val="20"/>
                <w:szCs w:val="20"/>
              </w:rPr>
            </w:pPr>
            <w:r w:rsidRPr="004C5551">
              <w:rPr>
                <w:sz w:val="20"/>
                <w:szCs w:val="20"/>
              </w:rPr>
              <w:t>0</w:t>
            </w:r>
          </w:p>
        </w:tc>
        <w:tc>
          <w:tcPr>
            <w:tcW w:w="1606" w:type="dxa"/>
            <w:shd w:val="clear" w:color="auto" w:fill="auto"/>
            <w:noWrap/>
            <w:vAlign w:val="bottom"/>
          </w:tcPr>
          <w:p w:rsidR="00F72922" w:rsidRPr="004C5551" w:rsidRDefault="00F72922">
            <w:pPr>
              <w:jc w:val="right"/>
              <w:rPr>
                <w:sz w:val="20"/>
                <w:szCs w:val="20"/>
              </w:rPr>
            </w:pPr>
            <w:r w:rsidRPr="004C5551">
              <w:rPr>
                <w:sz w:val="20"/>
                <w:szCs w:val="20"/>
              </w:rPr>
              <w:t>30 000</w:t>
            </w:r>
          </w:p>
        </w:tc>
        <w:tc>
          <w:tcPr>
            <w:tcW w:w="1644" w:type="dxa"/>
            <w:shd w:val="clear" w:color="auto" w:fill="auto"/>
            <w:noWrap/>
            <w:vAlign w:val="bottom"/>
          </w:tcPr>
          <w:p w:rsidR="00F72922" w:rsidRPr="004C5551" w:rsidRDefault="00F72922">
            <w:pPr>
              <w:jc w:val="right"/>
              <w:rPr>
                <w:sz w:val="20"/>
                <w:szCs w:val="20"/>
              </w:rPr>
            </w:pPr>
            <w:r w:rsidRPr="004C5551">
              <w:rPr>
                <w:sz w:val="20"/>
                <w:szCs w:val="20"/>
              </w:rPr>
              <w:t>30 000</w:t>
            </w:r>
          </w:p>
        </w:tc>
        <w:tc>
          <w:tcPr>
            <w:tcW w:w="778" w:type="dxa"/>
            <w:shd w:val="clear" w:color="auto" w:fill="auto"/>
            <w:noWrap/>
            <w:vAlign w:val="bottom"/>
          </w:tcPr>
          <w:p w:rsidR="00F72922" w:rsidRPr="004C5551" w:rsidRDefault="00F72922">
            <w:pPr>
              <w:jc w:val="right"/>
              <w:rPr>
                <w:sz w:val="20"/>
                <w:szCs w:val="20"/>
              </w:rPr>
            </w:pPr>
            <w:r w:rsidRPr="004C5551">
              <w:rPr>
                <w:sz w:val="20"/>
                <w:szCs w:val="20"/>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07C05</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Starostlivosť o ohrozené deti</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82 713 485</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83 245 924</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83 459 464</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100,3</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07C0501</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Náhradná rodinná starostlivosť</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15 566 096</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13 647 696</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13 593 769</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99,6</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07C0502</w:t>
            </w:r>
          </w:p>
        </w:tc>
        <w:tc>
          <w:tcPr>
            <w:tcW w:w="6662" w:type="dxa"/>
            <w:shd w:val="clear" w:color="auto" w:fill="auto"/>
            <w:noWrap/>
            <w:vAlign w:val="bottom"/>
            <w:hideMark/>
          </w:tcPr>
          <w:p w:rsidR="00F72922" w:rsidRPr="004C5551" w:rsidRDefault="00F72922" w:rsidP="005C10C1">
            <w:pPr>
              <w:rPr>
                <w:sz w:val="18"/>
                <w:szCs w:val="18"/>
              </w:rPr>
            </w:pPr>
            <w:r w:rsidRPr="004C5551">
              <w:rPr>
                <w:sz w:val="18"/>
                <w:szCs w:val="18"/>
              </w:rPr>
              <w:t xml:space="preserve"> </w:t>
            </w:r>
            <w:r w:rsidRPr="004C5551">
              <w:rPr>
                <w:color w:val="000000" w:themeColor="text1"/>
              </w:rPr>
              <w:t>–</w:t>
            </w:r>
            <w:r w:rsidRPr="004C5551">
              <w:rPr>
                <w:sz w:val="18"/>
                <w:szCs w:val="18"/>
              </w:rPr>
              <w:t xml:space="preserve"> Ústavná starostlivosť v štátnych detských domovoch</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57 047 389</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58 700 685</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58 988 080</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100,5</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07C0503</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Ústavná starostlivosť v neštátnych zariadeniach</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 xml:space="preserve">9 000 </w:t>
            </w:r>
            <w:proofErr w:type="spellStart"/>
            <w:r w:rsidRPr="004C5551">
              <w:rPr>
                <w:sz w:val="20"/>
                <w:szCs w:val="16"/>
              </w:rPr>
              <w:t>000</w:t>
            </w:r>
            <w:proofErr w:type="spellEnd"/>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9 909 270</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9 898 835</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99,9</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07C0504</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Prevencia a sanácia (MVO)</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1 100 000</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988 273</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978 780</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99,0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07C06</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Nesystémové dávky sociálneho poistenia</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52 088 695</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52 088 695</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52 088 695</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07C07</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Vianočný príspevok dôchodcom</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 xml:space="preserve">65 000 </w:t>
            </w:r>
            <w:proofErr w:type="spellStart"/>
            <w:r w:rsidRPr="004C5551">
              <w:rPr>
                <w:b/>
                <w:bCs/>
                <w:sz w:val="20"/>
                <w:szCs w:val="16"/>
              </w:rPr>
              <w:t>000</w:t>
            </w:r>
            <w:proofErr w:type="spellEnd"/>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81 300 000</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81 300 000</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07C08</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Podpora sociálnej inklúzie</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57 700 930</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24 276 976</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24 276 976</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07C0801</w:t>
            </w:r>
          </w:p>
        </w:tc>
        <w:tc>
          <w:tcPr>
            <w:tcW w:w="6662" w:type="dxa"/>
            <w:shd w:val="clear" w:color="auto" w:fill="auto"/>
            <w:noWrap/>
            <w:vAlign w:val="bottom"/>
            <w:hideMark/>
          </w:tcPr>
          <w:p w:rsidR="00F72922" w:rsidRPr="004C5551" w:rsidRDefault="00F72922" w:rsidP="008D4AC2">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soc. inklúzie osôb ohroz. soc. vylúčením alebo sociálne vylúčených prostredníctvom rozvoja služieb starostlivosti s osobitným zreteľom na </w:t>
            </w:r>
            <w:proofErr w:type="spellStart"/>
            <w:r w:rsidRPr="004C5551">
              <w:rPr>
                <w:sz w:val="18"/>
                <w:szCs w:val="18"/>
              </w:rPr>
              <w:t>marginalizované</w:t>
            </w:r>
            <w:proofErr w:type="spellEnd"/>
            <w:r w:rsidRPr="004C5551">
              <w:rPr>
                <w:sz w:val="18"/>
                <w:szCs w:val="18"/>
              </w:rPr>
              <w:t xml:space="preserve"> rómske komunity </w:t>
            </w:r>
            <w:r w:rsidRPr="004C5551">
              <w:rPr>
                <w:color w:val="000000" w:themeColor="text1"/>
              </w:rPr>
              <w:t>–</w:t>
            </w:r>
            <w:r w:rsidRPr="004C5551">
              <w:rPr>
                <w:sz w:val="18"/>
                <w:szCs w:val="18"/>
              </w:rPr>
              <w:t xml:space="preserve"> op</w:t>
            </w:r>
            <w:r w:rsidR="008D4AC2" w:rsidRPr="004C5551">
              <w:rPr>
                <w:sz w:val="18"/>
                <w:szCs w:val="18"/>
              </w:rPr>
              <w:t>atrenie</w:t>
            </w:r>
            <w:r w:rsidRPr="004C5551">
              <w:rPr>
                <w:sz w:val="18"/>
                <w:szCs w:val="18"/>
              </w:rPr>
              <w:t xml:space="preserve"> 2.1</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21 823 461</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18 217 981</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18 217 981</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07C0802</w:t>
            </w:r>
          </w:p>
        </w:tc>
        <w:tc>
          <w:tcPr>
            <w:tcW w:w="6662" w:type="dxa"/>
            <w:shd w:val="clear" w:color="auto" w:fill="auto"/>
            <w:noWrap/>
            <w:vAlign w:val="bottom"/>
            <w:hideMark/>
          </w:tcPr>
          <w:p w:rsidR="00F72922" w:rsidRPr="004C5551" w:rsidRDefault="00F72922" w:rsidP="005C10C1">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vytvárania rovnosti príležitostí v prístupe na trh práce a podpora integrácie znevýhodnených skupín na trh práce s osobitným zreteľom na </w:t>
            </w:r>
            <w:proofErr w:type="spellStart"/>
            <w:r w:rsidRPr="004C5551">
              <w:rPr>
                <w:sz w:val="18"/>
                <w:szCs w:val="18"/>
              </w:rPr>
              <w:t>marginalizované</w:t>
            </w:r>
            <w:proofErr w:type="spellEnd"/>
            <w:r w:rsidRPr="004C5551">
              <w:rPr>
                <w:sz w:val="18"/>
                <w:szCs w:val="18"/>
              </w:rPr>
              <w:t xml:space="preserve"> komunity </w:t>
            </w:r>
            <w:r w:rsidRPr="004C5551">
              <w:rPr>
                <w:color w:val="000000" w:themeColor="text1"/>
              </w:rPr>
              <w:t>–</w:t>
            </w:r>
            <w:r w:rsidRPr="004C5551">
              <w:rPr>
                <w:sz w:val="18"/>
                <w:szCs w:val="18"/>
              </w:rPr>
              <w:t xml:space="preserve"> opatrenie 2.2</w:t>
            </w:r>
          </w:p>
        </w:tc>
        <w:tc>
          <w:tcPr>
            <w:tcW w:w="1541" w:type="dxa"/>
            <w:shd w:val="clear" w:color="auto" w:fill="auto"/>
            <w:noWrap/>
            <w:vAlign w:val="bottom"/>
            <w:hideMark/>
          </w:tcPr>
          <w:p w:rsidR="00F72922" w:rsidRPr="004C5551" w:rsidRDefault="00F72922">
            <w:pPr>
              <w:jc w:val="right"/>
              <w:rPr>
                <w:sz w:val="20"/>
                <w:szCs w:val="20"/>
              </w:rPr>
            </w:pPr>
            <w:r w:rsidRPr="004C5551">
              <w:rPr>
                <w:sz w:val="20"/>
                <w:szCs w:val="20"/>
              </w:rPr>
              <w:t>18 461 697</w:t>
            </w:r>
          </w:p>
        </w:tc>
        <w:tc>
          <w:tcPr>
            <w:tcW w:w="1606" w:type="dxa"/>
            <w:shd w:val="clear" w:color="auto" w:fill="auto"/>
            <w:noWrap/>
            <w:vAlign w:val="bottom"/>
            <w:hideMark/>
          </w:tcPr>
          <w:p w:rsidR="00F72922" w:rsidRPr="004C5551" w:rsidRDefault="00F72922">
            <w:pPr>
              <w:jc w:val="right"/>
              <w:rPr>
                <w:sz w:val="20"/>
                <w:szCs w:val="20"/>
              </w:rPr>
            </w:pPr>
            <w:r w:rsidRPr="004C5551">
              <w:rPr>
                <w:sz w:val="20"/>
                <w:szCs w:val="20"/>
              </w:rPr>
              <w:t>2 946 807</w:t>
            </w:r>
          </w:p>
        </w:tc>
        <w:tc>
          <w:tcPr>
            <w:tcW w:w="1644" w:type="dxa"/>
            <w:shd w:val="clear" w:color="auto" w:fill="auto"/>
            <w:noWrap/>
            <w:vAlign w:val="bottom"/>
            <w:hideMark/>
          </w:tcPr>
          <w:p w:rsidR="00F72922" w:rsidRPr="004C5551" w:rsidRDefault="00F72922">
            <w:pPr>
              <w:jc w:val="right"/>
              <w:rPr>
                <w:sz w:val="20"/>
                <w:szCs w:val="20"/>
              </w:rPr>
            </w:pPr>
            <w:r w:rsidRPr="004C5551">
              <w:rPr>
                <w:sz w:val="20"/>
                <w:szCs w:val="20"/>
              </w:rPr>
              <w:t>2 946 807</w:t>
            </w:r>
          </w:p>
        </w:tc>
        <w:tc>
          <w:tcPr>
            <w:tcW w:w="778" w:type="dxa"/>
            <w:shd w:val="clear" w:color="auto" w:fill="auto"/>
            <w:noWrap/>
            <w:vAlign w:val="bottom"/>
            <w:hideMark/>
          </w:tcPr>
          <w:p w:rsidR="00F72922" w:rsidRPr="004C5551" w:rsidRDefault="00F72922">
            <w:pPr>
              <w:jc w:val="right"/>
              <w:rPr>
                <w:sz w:val="20"/>
                <w:szCs w:val="20"/>
              </w:rPr>
            </w:pPr>
            <w:r w:rsidRPr="004C5551">
              <w:rPr>
                <w:sz w:val="20"/>
                <w:szCs w:val="20"/>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07C0803</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zosúladenia rodinného a pracovného života </w:t>
            </w:r>
            <w:r w:rsidRPr="004C5551">
              <w:rPr>
                <w:color w:val="000000" w:themeColor="text1"/>
              </w:rPr>
              <w:t>–</w:t>
            </w:r>
            <w:r w:rsidRPr="004C5551">
              <w:rPr>
                <w:sz w:val="18"/>
                <w:szCs w:val="18"/>
              </w:rPr>
              <w:t xml:space="preserve"> opatrenie 2.3</w:t>
            </w:r>
          </w:p>
        </w:tc>
        <w:tc>
          <w:tcPr>
            <w:tcW w:w="1541" w:type="dxa"/>
            <w:shd w:val="clear" w:color="auto" w:fill="auto"/>
            <w:noWrap/>
            <w:vAlign w:val="bottom"/>
            <w:hideMark/>
          </w:tcPr>
          <w:p w:rsidR="00F72922" w:rsidRPr="004C5551" w:rsidRDefault="00F72922">
            <w:pPr>
              <w:jc w:val="right"/>
              <w:rPr>
                <w:sz w:val="20"/>
                <w:szCs w:val="20"/>
              </w:rPr>
            </w:pPr>
            <w:r w:rsidRPr="004C5551">
              <w:rPr>
                <w:sz w:val="20"/>
                <w:szCs w:val="20"/>
              </w:rPr>
              <w:t>17 415 772</w:t>
            </w:r>
          </w:p>
        </w:tc>
        <w:tc>
          <w:tcPr>
            <w:tcW w:w="1606" w:type="dxa"/>
            <w:shd w:val="clear" w:color="auto" w:fill="auto"/>
            <w:noWrap/>
            <w:vAlign w:val="bottom"/>
            <w:hideMark/>
          </w:tcPr>
          <w:p w:rsidR="00F72922" w:rsidRPr="004C5551" w:rsidRDefault="00F72922">
            <w:pPr>
              <w:jc w:val="right"/>
              <w:rPr>
                <w:sz w:val="20"/>
                <w:szCs w:val="20"/>
              </w:rPr>
            </w:pPr>
            <w:r w:rsidRPr="004C5551">
              <w:rPr>
                <w:sz w:val="20"/>
                <w:szCs w:val="20"/>
              </w:rPr>
              <w:t>3 112 188</w:t>
            </w:r>
          </w:p>
        </w:tc>
        <w:tc>
          <w:tcPr>
            <w:tcW w:w="1644" w:type="dxa"/>
            <w:shd w:val="clear" w:color="auto" w:fill="auto"/>
            <w:noWrap/>
            <w:vAlign w:val="bottom"/>
            <w:hideMark/>
          </w:tcPr>
          <w:p w:rsidR="00F72922" w:rsidRPr="004C5551" w:rsidRDefault="00F72922">
            <w:pPr>
              <w:jc w:val="right"/>
              <w:rPr>
                <w:sz w:val="20"/>
                <w:szCs w:val="20"/>
              </w:rPr>
            </w:pPr>
            <w:r w:rsidRPr="004C5551">
              <w:rPr>
                <w:sz w:val="20"/>
                <w:szCs w:val="20"/>
              </w:rPr>
              <w:t>3 112 188</w:t>
            </w:r>
          </w:p>
        </w:tc>
        <w:tc>
          <w:tcPr>
            <w:tcW w:w="778" w:type="dxa"/>
            <w:shd w:val="clear" w:color="auto" w:fill="auto"/>
            <w:noWrap/>
            <w:vAlign w:val="bottom"/>
            <w:hideMark/>
          </w:tcPr>
          <w:p w:rsidR="00F72922" w:rsidRPr="004C5551" w:rsidRDefault="00F72922">
            <w:pPr>
              <w:jc w:val="right"/>
              <w:rPr>
                <w:sz w:val="20"/>
                <w:szCs w:val="20"/>
              </w:rPr>
            </w:pPr>
            <w:r w:rsidRPr="004C5551">
              <w:rPr>
                <w:sz w:val="20"/>
                <w:szCs w:val="20"/>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07C0A</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Podpora sociálnych služieb</w:t>
            </w:r>
          </w:p>
        </w:tc>
        <w:tc>
          <w:tcPr>
            <w:tcW w:w="1541" w:type="dxa"/>
            <w:shd w:val="clear" w:color="auto" w:fill="auto"/>
            <w:noWrap/>
            <w:vAlign w:val="bottom"/>
            <w:hideMark/>
          </w:tcPr>
          <w:p w:rsidR="00F72922" w:rsidRPr="004C5551" w:rsidRDefault="00F72922">
            <w:pPr>
              <w:jc w:val="right"/>
              <w:rPr>
                <w:b/>
                <w:bCs/>
                <w:sz w:val="20"/>
                <w:szCs w:val="20"/>
              </w:rPr>
            </w:pPr>
            <w:r w:rsidRPr="004C5551">
              <w:rPr>
                <w:b/>
                <w:bCs/>
                <w:sz w:val="20"/>
                <w:szCs w:val="20"/>
              </w:rPr>
              <w:t>72 456 760</w:t>
            </w:r>
          </w:p>
        </w:tc>
        <w:tc>
          <w:tcPr>
            <w:tcW w:w="1606" w:type="dxa"/>
            <w:shd w:val="clear" w:color="auto" w:fill="auto"/>
            <w:noWrap/>
            <w:vAlign w:val="bottom"/>
            <w:hideMark/>
          </w:tcPr>
          <w:p w:rsidR="00F72922" w:rsidRPr="004C5551" w:rsidRDefault="00F72922">
            <w:pPr>
              <w:jc w:val="right"/>
              <w:rPr>
                <w:b/>
                <w:bCs/>
                <w:sz w:val="20"/>
                <w:szCs w:val="20"/>
              </w:rPr>
            </w:pPr>
            <w:r w:rsidRPr="004C5551">
              <w:rPr>
                <w:b/>
                <w:bCs/>
                <w:sz w:val="20"/>
                <w:szCs w:val="20"/>
              </w:rPr>
              <w:t>71 589 760</w:t>
            </w:r>
          </w:p>
        </w:tc>
        <w:tc>
          <w:tcPr>
            <w:tcW w:w="1644" w:type="dxa"/>
            <w:shd w:val="clear" w:color="auto" w:fill="auto"/>
            <w:noWrap/>
            <w:vAlign w:val="bottom"/>
            <w:hideMark/>
          </w:tcPr>
          <w:p w:rsidR="00F72922" w:rsidRPr="004C5551" w:rsidRDefault="00F72922">
            <w:pPr>
              <w:jc w:val="right"/>
              <w:rPr>
                <w:b/>
                <w:bCs/>
                <w:sz w:val="20"/>
                <w:szCs w:val="20"/>
              </w:rPr>
            </w:pPr>
            <w:r w:rsidRPr="004C5551">
              <w:rPr>
                <w:b/>
                <w:bCs/>
                <w:sz w:val="20"/>
                <w:szCs w:val="20"/>
              </w:rPr>
              <w:t>69 651 649</w:t>
            </w:r>
          </w:p>
        </w:tc>
        <w:tc>
          <w:tcPr>
            <w:tcW w:w="778" w:type="dxa"/>
            <w:shd w:val="clear" w:color="auto" w:fill="auto"/>
            <w:noWrap/>
            <w:vAlign w:val="bottom"/>
            <w:hideMark/>
          </w:tcPr>
          <w:p w:rsidR="00F72922" w:rsidRPr="004C5551" w:rsidRDefault="00F72922">
            <w:pPr>
              <w:jc w:val="right"/>
              <w:rPr>
                <w:b/>
                <w:bCs/>
                <w:sz w:val="20"/>
                <w:szCs w:val="20"/>
              </w:rPr>
            </w:pPr>
            <w:r w:rsidRPr="004C5551">
              <w:rPr>
                <w:b/>
                <w:bCs/>
                <w:sz w:val="20"/>
                <w:szCs w:val="20"/>
              </w:rPr>
              <w:t>97,3</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07E</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Tvorba a implementácia politík</w:t>
            </w:r>
          </w:p>
        </w:tc>
        <w:tc>
          <w:tcPr>
            <w:tcW w:w="1541" w:type="dxa"/>
            <w:shd w:val="clear" w:color="auto" w:fill="auto"/>
            <w:noWrap/>
            <w:vAlign w:val="bottom"/>
            <w:hideMark/>
          </w:tcPr>
          <w:p w:rsidR="00F72922" w:rsidRPr="004C5551" w:rsidRDefault="00F72922">
            <w:pPr>
              <w:jc w:val="right"/>
              <w:rPr>
                <w:b/>
                <w:bCs/>
                <w:sz w:val="20"/>
                <w:szCs w:val="20"/>
              </w:rPr>
            </w:pPr>
            <w:r w:rsidRPr="004C5551">
              <w:rPr>
                <w:b/>
                <w:bCs/>
                <w:sz w:val="20"/>
                <w:szCs w:val="20"/>
              </w:rPr>
              <w:t>145 888 125</w:t>
            </w:r>
          </w:p>
        </w:tc>
        <w:tc>
          <w:tcPr>
            <w:tcW w:w="1606" w:type="dxa"/>
            <w:shd w:val="clear" w:color="auto" w:fill="auto"/>
            <w:noWrap/>
            <w:vAlign w:val="bottom"/>
            <w:hideMark/>
          </w:tcPr>
          <w:p w:rsidR="00F72922" w:rsidRPr="004C5551" w:rsidRDefault="00F72922">
            <w:pPr>
              <w:jc w:val="right"/>
              <w:rPr>
                <w:b/>
                <w:bCs/>
                <w:sz w:val="20"/>
                <w:szCs w:val="20"/>
              </w:rPr>
            </w:pPr>
            <w:r w:rsidRPr="004C5551">
              <w:rPr>
                <w:b/>
                <w:bCs/>
                <w:sz w:val="20"/>
                <w:szCs w:val="20"/>
              </w:rPr>
              <w:t>161 434 325</w:t>
            </w:r>
          </w:p>
        </w:tc>
        <w:tc>
          <w:tcPr>
            <w:tcW w:w="1644" w:type="dxa"/>
            <w:shd w:val="clear" w:color="auto" w:fill="auto"/>
            <w:noWrap/>
            <w:vAlign w:val="bottom"/>
            <w:hideMark/>
          </w:tcPr>
          <w:p w:rsidR="00F72922" w:rsidRPr="004C5551" w:rsidRDefault="00F72922">
            <w:pPr>
              <w:jc w:val="right"/>
              <w:rPr>
                <w:b/>
                <w:bCs/>
                <w:sz w:val="20"/>
                <w:szCs w:val="20"/>
              </w:rPr>
            </w:pPr>
            <w:r w:rsidRPr="004C5551">
              <w:rPr>
                <w:b/>
                <w:bCs/>
                <w:sz w:val="20"/>
                <w:szCs w:val="20"/>
              </w:rPr>
              <w:t>161 863 604</w:t>
            </w:r>
          </w:p>
        </w:tc>
        <w:tc>
          <w:tcPr>
            <w:tcW w:w="778" w:type="dxa"/>
            <w:shd w:val="clear" w:color="auto" w:fill="auto"/>
            <w:noWrap/>
            <w:vAlign w:val="bottom"/>
            <w:hideMark/>
          </w:tcPr>
          <w:p w:rsidR="00F72922" w:rsidRPr="004C5551" w:rsidRDefault="00F72922">
            <w:pPr>
              <w:jc w:val="right"/>
              <w:rPr>
                <w:b/>
                <w:bCs/>
                <w:sz w:val="20"/>
                <w:szCs w:val="20"/>
              </w:rPr>
            </w:pPr>
            <w:r w:rsidRPr="004C5551">
              <w:rPr>
                <w:b/>
                <w:bCs/>
                <w:sz w:val="20"/>
                <w:szCs w:val="20"/>
              </w:rPr>
              <w:t>100,3</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07E03</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Riadiaca, koncepčná a výskumná činnosť</w:t>
            </w:r>
          </w:p>
        </w:tc>
        <w:tc>
          <w:tcPr>
            <w:tcW w:w="1541" w:type="dxa"/>
            <w:shd w:val="clear" w:color="auto" w:fill="auto"/>
            <w:noWrap/>
            <w:vAlign w:val="bottom"/>
            <w:hideMark/>
          </w:tcPr>
          <w:p w:rsidR="00F72922" w:rsidRPr="004C5551" w:rsidRDefault="00F72922">
            <w:pPr>
              <w:jc w:val="right"/>
              <w:rPr>
                <w:b/>
                <w:bCs/>
                <w:sz w:val="20"/>
                <w:szCs w:val="20"/>
              </w:rPr>
            </w:pPr>
            <w:r w:rsidRPr="004C5551">
              <w:rPr>
                <w:b/>
                <w:bCs/>
                <w:sz w:val="20"/>
                <w:szCs w:val="20"/>
              </w:rPr>
              <w:t>18 823 071</w:t>
            </w:r>
          </w:p>
        </w:tc>
        <w:tc>
          <w:tcPr>
            <w:tcW w:w="1606" w:type="dxa"/>
            <w:shd w:val="clear" w:color="auto" w:fill="auto"/>
            <w:noWrap/>
            <w:vAlign w:val="bottom"/>
            <w:hideMark/>
          </w:tcPr>
          <w:p w:rsidR="00F72922" w:rsidRPr="004C5551" w:rsidRDefault="00F72922">
            <w:pPr>
              <w:jc w:val="right"/>
              <w:rPr>
                <w:b/>
                <w:bCs/>
                <w:sz w:val="20"/>
                <w:szCs w:val="20"/>
              </w:rPr>
            </w:pPr>
            <w:r w:rsidRPr="004C5551">
              <w:rPr>
                <w:b/>
                <w:bCs/>
                <w:sz w:val="20"/>
                <w:szCs w:val="20"/>
              </w:rPr>
              <w:t>18 469 984</w:t>
            </w:r>
          </w:p>
        </w:tc>
        <w:tc>
          <w:tcPr>
            <w:tcW w:w="1644" w:type="dxa"/>
            <w:shd w:val="clear" w:color="auto" w:fill="auto"/>
            <w:noWrap/>
            <w:vAlign w:val="bottom"/>
            <w:hideMark/>
          </w:tcPr>
          <w:p w:rsidR="00F72922" w:rsidRPr="004C5551" w:rsidRDefault="00F72922">
            <w:pPr>
              <w:jc w:val="right"/>
              <w:rPr>
                <w:b/>
                <w:bCs/>
                <w:sz w:val="20"/>
                <w:szCs w:val="20"/>
              </w:rPr>
            </w:pPr>
            <w:r w:rsidRPr="004C5551">
              <w:rPr>
                <w:b/>
                <w:bCs/>
                <w:sz w:val="20"/>
                <w:szCs w:val="20"/>
              </w:rPr>
              <w:t>18 889 948</w:t>
            </w:r>
          </w:p>
        </w:tc>
        <w:tc>
          <w:tcPr>
            <w:tcW w:w="778" w:type="dxa"/>
            <w:shd w:val="clear" w:color="auto" w:fill="auto"/>
            <w:noWrap/>
            <w:vAlign w:val="bottom"/>
            <w:hideMark/>
          </w:tcPr>
          <w:p w:rsidR="00F72922" w:rsidRPr="004C5551" w:rsidRDefault="00F72922">
            <w:pPr>
              <w:jc w:val="right"/>
              <w:rPr>
                <w:b/>
                <w:bCs/>
                <w:sz w:val="20"/>
                <w:szCs w:val="20"/>
              </w:rPr>
            </w:pPr>
            <w:r w:rsidRPr="004C5551">
              <w:rPr>
                <w:b/>
                <w:bCs/>
                <w:sz w:val="20"/>
                <w:szCs w:val="20"/>
              </w:rPr>
              <w:t>102,3</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07E0301</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Aparát ministerstva</w:t>
            </w:r>
          </w:p>
        </w:tc>
        <w:tc>
          <w:tcPr>
            <w:tcW w:w="1541" w:type="dxa"/>
            <w:shd w:val="clear" w:color="auto" w:fill="auto"/>
            <w:noWrap/>
            <w:vAlign w:val="bottom"/>
            <w:hideMark/>
          </w:tcPr>
          <w:p w:rsidR="00F72922" w:rsidRPr="004C5551" w:rsidRDefault="00F72922">
            <w:pPr>
              <w:jc w:val="right"/>
              <w:rPr>
                <w:sz w:val="20"/>
                <w:szCs w:val="20"/>
              </w:rPr>
            </w:pPr>
            <w:r w:rsidRPr="004C5551">
              <w:rPr>
                <w:sz w:val="20"/>
                <w:szCs w:val="20"/>
              </w:rPr>
              <w:t>18 823 071</w:t>
            </w:r>
          </w:p>
        </w:tc>
        <w:tc>
          <w:tcPr>
            <w:tcW w:w="1606" w:type="dxa"/>
            <w:shd w:val="clear" w:color="auto" w:fill="auto"/>
            <w:noWrap/>
            <w:vAlign w:val="bottom"/>
            <w:hideMark/>
          </w:tcPr>
          <w:p w:rsidR="00F72922" w:rsidRPr="004C5551" w:rsidRDefault="00F72922">
            <w:pPr>
              <w:jc w:val="right"/>
              <w:rPr>
                <w:sz w:val="20"/>
                <w:szCs w:val="20"/>
              </w:rPr>
            </w:pPr>
            <w:r w:rsidRPr="004C5551">
              <w:rPr>
                <w:sz w:val="20"/>
                <w:szCs w:val="20"/>
              </w:rPr>
              <w:t>18 469 984</w:t>
            </w:r>
          </w:p>
        </w:tc>
        <w:tc>
          <w:tcPr>
            <w:tcW w:w="1644" w:type="dxa"/>
            <w:shd w:val="clear" w:color="auto" w:fill="auto"/>
            <w:noWrap/>
            <w:vAlign w:val="bottom"/>
            <w:hideMark/>
          </w:tcPr>
          <w:p w:rsidR="00F72922" w:rsidRPr="004C5551" w:rsidRDefault="00F72922">
            <w:pPr>
              <w:jc w:val="right"/>
              <w:rPr>
                <w:sz w:val="20"/>
                <w:szCs w:val="20"/>
              </w:rPr>
            </w:pPr>
            <w:r w:rsidRPr="004C5551">
              <w:rPr>
                <w:sz w:val="20"/>
                <w:szCs w:val="20"/>
              </w:rPr>
              <w:t>18 889 948</w:t>
            </w:r>
          </w:p>
        </w:tc>
        <w:tc>
          <w:tcPr>
            <w:tcW w:w="778" w:type="dxa"/>
            <w:shd w:val="clear" w:color="auto" w:fill="auto"/>
            <w:noWrap/>
            <w:vAlign w:val="bottom"/>
            <w:hideMark/>
          </w:tcPr>
          <w:p w:rsidR="00F72922" w:rsidRPr="004C5551" w:rsidRDefault="00F72922">
            <w:pPr>
              <w:jc w:val="right"/>
              <w:rPr>
                <w:b/>
                <w:bCs/>
                <w:sz w:val="20"/>
                <w:szCs w:val="20"/>
              </w:rPr>
            </w:pPr>
            <w:r w:rsidRPr="004C5551">
              <w:rPr>
                <w:b/>
                <w:bCs/>
                <w:sz w:val="20"/>
                <w:szCs w:val="20"/>
              </w:rPr>
              <w:t>102,3</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bCs/>
                <w:sz w:val="20"/>
                <w:szCs w:val="20"/>
              </w:rPr>
            </w:pPr>
            <w:r w:rsidRPr="004C5551">
              <w:rPr>
                <w:b/>
                <w:bCs/>
                <w:sz w:val="20"/>
                <w:szCs w:val="20"/>
              </w:rPr>
              <w:t>07E04</w:t>
            </w:r>
          </w:p>
        </w:tc>
        <w:tc>
          <w:tcPr>
            <w:tcW w:w="6662" w:type="dxa"/>
            <w:shd w:val="clear" w:color="auto" w:fill="auto"/>
            <w:noWrap/>
            <w:vAlign w:val="bottom"/>
            <w:hideMark/>
          </w:tcPr>
          <w:p w:rsidR="00F72922" w:rsidRPr="004C5551" w:rsidRDefault="00F72922" w:rsidP="0084617B">
            <w:pPr>
              <w:rPr>
                <w:b/>
                <w:bCs/>
                <w:sz w:val="20"/>
                <w:szCs w:val="20"/>
              </w:rPr>
            </w:pPr>
            <w:r w:rsidRPr="004C5551">
              <w:rPr>
                <w:b/>
                <w:bCs/>
                <w:sz w:val="20"/>
                <w:szCs w:val="20"/>
              </w:rPr>
              <w:t>Výkon štátnej správy na úseku soc. vecí, rodiny, práce a zamestnanosti</w:t>
            </w:r>
          </w:p>
        </w:tc>
        <w:tc>
          <w:tcPr>
            <w:tcW w:w="1541" w:type="dxa"/>
            <w:shd w:val="clear" w:color="auto" w:fill="auto"/>
            <w:noWrap/>
            <w:vAlign w:val="bottom"/>
            <w:hideMark/>
          </w:tcPr>
          <w:p w:rsidR="00F72922" w:rsidRPr="004C5551" w:rsidRDefault="00F72922">
            <w:pPr>
              <w:jc w:val="right"/>
              <w:rPr>
                <w:b/>
                <w:bCs/>
                <w:sz w:val="20"/>
                <w:szCs w:val="20"/>
              </w:rPr>
            </w:pPr>
            <w:r w:rsidRPr="004C5551">
              <w:rPr>
                <w:b/>
                <w:bCs/>
                <w:sz w:val="20"/>
                <w:szCs w:val="20"/>
              </w:rPr>
              <w:t>127 065 054</w:t>
            </w:r>
          </w:p>
        </w:tc>
        <w:tc>
          <w:tcPr>
            <w:tcW w:w="1606" w:type="dxa"/>
            <w:shd w:val="clear" w:color="auto" w:fill="auto"/>
            <w:noWrap/>
            <w:vAlign w:val="bottom"/>
            <w:hideMark/>
          </w:tcPr>
          <w:p w:rsidR="00F72922" w:rsidRPr="004C5551" w:rsidRDefault="00F72922">
            <w:pPr>
              <w:jc w:val="right"/>
              <w:rPr>
                <w:b/>
                <w:bCs/>
                <w:sz w:val="20"/>
                <w:szCs w:val="20"/>
              </w:rPr>
            </w:pPr>
            <w:r w:rsidRPr="004C5551">
              <w:rPr>
                <w:b/>
                <w:bCs/>
                <w:sz w:val="20"/>
                <w:szCs w:val="20"/>
              </w:rPr>
              <w:t>142 964 341</w:t>
            </w:r>
          </w:p>
        </w:tc>
        <w:tc>
          <w:tcPr>
            <w:tcW w:w="1644" w:type="dxa"/>
            <w:shd w:val="clear" w:color="auto" w:fill="auto"/>
            <w:noWrap/>
            <w:vAlign w:val="bottom"/>
            <w:hideMark/>
          </w:tcPr>
          <w:p w:rsidR="00F72922" w:rsidRPr="004C5551" w:rsidRDefault="00F72922">
            <w:pPr>
              <w:jc w:val="right"/>
              <w:rPr>
                <w:b/>
                <w:bCs/>
                <w:sz w:val="20"/>
                <w:szCs w:val="20"/>
              </w:rPr>
            </w:pPr>
            <w:r w:rsidRPr="004C5551">
              <w:rPr>
                <w:b/>
                <w:bCs/>
                <w:sz w:val="20"/>
                <w:szCs w:val="20"/>
              </w:rPr>
              <w:t>142 973 656</w:t>
            </w:r>
          </w:p>
        </w:tc>
        <w:tc>
          <w:tcPr>
            <w:tcW w:w="778" w:type="dxa"/>
            <w:shd w:val="clear" w:color="auto" w:fill="auto"/>
            <w:noWrap/>
            <w:vAlign w:val="bottom"/>
            <w:hideMark/>
          </w:tcPr>
          <w:p w:rsidR="00F72922" w:rsidRPr="004C5551" w:rsidRDefault="00F72922">
            <w:pPr>
              <w:jc w:val="right"/>
              <w:rPr>
                <w:b/>
                <w:bCs/>
                <w:sz w:val="20"/>
                <w:szCs w:val="20"/>
              </w:rPr>
            </w:pPr>
            <w:r w:rsidRPr="004C5551">
              <w:rPr>
                <w:b/>
                <w:bCs/>
                <w:sz w:val="20"/>
                <w:szCs w:val="20"/>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07E0401</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Špecializovaná štátna správa</w:t>
            </w:r>
          </w:p>
        </w:tc>
        <w:tc>
          <w:tcPr>
            <w:tcW w:w="1541" w:type="dxa"/>
            <w:shd w:val="clear" w:color="auto" w:fill="auto"/>
            <w:noWrap/>
            <w:vAlign w:val="bottom"/>
            <w:hideMark/>
          </w:tcPr>
          <w:p w:rsidR="00F72922" w:rsidRPr="004C5551" w:rsidRDefault="00F72922">
            <w:pPr>
              <w:jc w:val="right"/>
              <w:rPr>
                <w:sz w:val="20"/>
                <w:szCs w:val="20"/>
              </w:rPr>
            </w:pPr>
            <w:r w:rsidRPr="004C5551">
              <w:rPr>
                <w:sz w:val="20"/>
                <w:szCs w:val="20"/>
              </w:rPr>
              <w:t>116 935 848</w:t>
            </w:r>
          </w:p>
        </w:tc>
        <w:tc>
          <w:tcPr>
            <w:tcW w:w="1606" w:type="dxa"/>
            <w:shd w:val="clear" w:color="auto" w:fill="auto"/>
            <w:noWrap/>
            <w:vAlign w:val="bottom"/>
            <w:hideMark/>
          </w:tcPr>
          <w:p w:rsidR="00F72922" w:rsidRPr="004C5551" w:rsidRDefault="00F72922">
            <w:pPr>
              <w:jc w:val="right"/>
              <w:rPr>
                <w:sz w:val="20"/>
                <w:szCs w:val="20"/>
              </w:rPr>
            </w:pPr>
            <w:r w:rsidRPr="004C5551">
              <w:rPr>
                <w:sz w:val="20"/>
                <w:szCs w:val="20"/>
              </w:rPr>
              <w:t>131 757 705</w:t>
            </w:r>
          </w:p>
        </w:tc>
        <w:tc>
          <w:tcPr>
            <w:tcW w:w="1644" w:type="dxa"/>
            <w:shd w:val="clear" w:color="auto" w:fill="auto"/>
            <w:noWrap/>
            <w:vAlign w:val="bottom"/>
            <w:hideMark/>
          </w:tcPr>
          <w:p w:rsidR="00F72922" w:rsidRPr="004C5551" w:rsidRDefault="00F72922">
            <w:pPr>
              <w:jc w:val="right"/>
              <w:rPr>
                <w:sz w:val="20"/>
                <w:szCs w:val="20"/>
              </w:rPr>
            </w:pPr>
            <w:r w:rsidRPr="004C5551">
              <w:rPr>
                <w:sz w:val="20"/>
                <w:szCs w:val="20"/>
              </w:rPr>
              <w:t>131 763 587</w:t>
            </w:r>
          </w:p>
        </w:tc>
        <w:tc>
          <w:tcPr>
            <w:tcW w:w="778" w:type="dxa"/>
            <w:shd w:val="clear" w:color="auto" w:fill="auto"/>
            <w:noWrap/>
            <w:vAlign w:val="bottom"/>
            <w:hideMark/>
          </w:tcPr>
          <w:p w:rsidR="00F72922" w:rsidRPr="004C5551" w:rsidRDefault="00F72922">
            <w:pPr>
              <w:jc w:val="right"/>
              <w:rPr>
                <w:sz w:val="20"/>
                <w:szCs w:val="20"/>
              </w:rPr>
            </w:pPr>
            <w:r w:rsidRPr="004C5551">
              <w:rPr>
                <w:sz w:val="20"/>
                <w:szCs w:val="20"/>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07E0402</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Ostatná štátna správa</w:t>
            </w:r>
          </w:p>
        </w:tc>
        <w:tc>
          <w:tcPr>
            <w:tcW w:w="1541" w:type="dxa"/>
            <w:shd w:val="clear" w:color="auto" w:fill="auto"/>
            <w:noWrap/>
            <w:vAlign w:val="bottom"/>
            <w:hideMark/>
          </w:tcPr>
          <w:p w:rsidR="00F72922" w:rsidRPr="004C5551" w:rsidRDefault="00F72922">
            <w:pPr>
              <w:jc w:val="right"/>
              <w:rPr>
                <w:sz w:val="20"/>
                <w:szCs w:val="20"/>
              </w:rPr>
            </w:pPr>
            <w:r w:rsidRPr="004C5551">
              <w:rPr>
                <w:sz w:val="20"/>
                <w:szCs w:val="20"/>
              </w:rPr>
              <w:t>10 129 206</w:t>
            </w:r>
          </w:p>
        </w:tc>
        <w:tc>
          <w:tcPr>
            <w:tcW w:w="1606" w:type="dxa"/>
            <w:shd w:val="clear" w:color="auto" w:fill="auto"/>
            <w:noWrap/>
            <w:vAlign w:val="bottom"/>
            <w:hideMark/>
          </w:tcPr>
          <w:p w:rsidR="00F72922" w:rsidRPr="004C5551" w:rsidRDefault="00F72922">
            <w:pPr>
              <w:jc w:val="right"/>
              <w:rPr>
                <w:sz w:val="20"/>
                <w:szCs w:val="20"/>
              </w:rPr>
            </w:pPr>
            <w:r w:rsidRPr="004C5551">
              <w:rPr>
                <w:sz w:val="20"/>
                <w:szCs w:val="20"/>
              </w:rPr>
              <w:t>11 206 636</w:t>
            </w:r>
          </w:p>
        </w:tc>
        <w:tc>
          <w:tcPr>
            <w:tcW w:w="1644" w:type="dxa"/>
            <w:shd w:val="clear" w:color="auto" w:fill="auto"/>
            <w:noWrap/>
            <w:vAlign w:val="bottom"/>
            <w:hideMark/>
          </w:tcPr>
          <w:p w:rsidR="00F72922" w:rsidRPr="004C5551" w:rsidRDefault="00F72922">
            <w:pPr>
              <w:jc w:val="right"/>
              <w:rPr>
                <w:sz w:val="20"/>
                <w:szCs w:val="20"/>
              </w:rPr>
            </w:pPr>
            <w:r w:rsidRPr="004C5551">
              <w:rPr>
                <w:sz w:val="20"/>
                <w:szCs w:val="20"/>
              </w:rPr>
              <w:t>11 210 069</w:t>
            </w:r>
          </w:p>
        </w:tc>
        <w:tc>
          <w:tcPr>
            <w:tcW w:w="778" w:type="dxa"/>
            <w:shd w:val="clear" w:color="auto" w:fill="auto"/>
            <w:noWrap/>
            <w:vAlign w:val="bottom"/>
            <w:hideMark/>
          </w:tcPr>
          <w:p w:rsidR="00F72922" w:rsidRPr="004C5551" w:rsidRDefault="00F72922">
            <w:pPr>
              <w:jc w:val="right"/>
              <w:rPr>
                <w:sz w:val="20"/>
                <w:szCs w:val="20"/>
              </w:rPr>
            </w:pPr>
            <w:r w:rsidRPr="004C5551">
              <w:rPr>
                <w:sz w:val="20"/>
                <w:szCs w:val="20"/>
              </w:rPr>
              <w:t>100,0</w:t>
            </w:r>
          </w:p>
        </w:tc>
      </w:tr>
      <w:tr w:rsidR="0084617B" w:rsidRPr="004C5551" w:rsidTr="005C10C1">
        <w:trPr>
          <w:trHeight w:val="262"/>
        </w:trPr>
        <w:tc>
          <w:tcPr>
            <w:tcW w:w="1862" w:type="dxa"/>
            <w:shd w:val="clear" w:color="auto" w:fill="auto"/>
            <w:noWrap/>
            <w:vAlign w:val="bottom"/>
            <w:hideMark/>
          </w:tcPr>
          <w:p w:rsidR="0084617B" w:rsidRPr="004C5551" w:rsidRDefault="0084617B" w:rsidP="0084617B">
            <w:pPr>
              <w:rPr>
                <w:b/>
                <w:sz w:val="18"/>
                <w:szCs w:val="18"/>
              </w:rPr>
            </w:pPr>
            <w:r w:rsidRPr="004C5551">
              <w:rPr>
                <w:b/>
                <w:sz w:val="18"/>
                <w:szCs w:val="18"/>
              </w:rPr>
              <w:t> </w:t>
            </w:r>
          </w:p>
        </w:tc>
        <w:tc>
          <w:tcPr>
            <w:tcW w:w="6662" w:type="dxa"/>
            <w:shd w:val="clear" w:color="auto" w:fill="auto"/>
            <w:noWrap/>
            <w:vAlign w:val="bottom"/>
            <w:hideMark/>
          </w:tcPr>
          <w:p w:rsidR="0084617B" w:rsidRPr="004C5551" w:rsidRDefault="0084617B" w:rsidP="0084617B">
            <w:pPr>
              <w:rPr>
                <w:b/>
                <w:sz w:val="18"/>
                <w:szCs w:val="18"/>
              </w:rPr>
            </w:pPr>
            <w:r w:rsidRPr="004C5551">
              <w:rPr>
                <w:b/>
                <w:sz w:val="18"/>
                <w:szCs w:val="18"/>
              </w:rPr>
              <w:t>Medzirezortné programy a podprogramy, ktorých je kapitola gestorom a účastníkom</w:t>
            </w:r>
          </w:p>
        </w:tc>
        <w:tc>
          <w:tcPr>
            <w:tcW w:w="1541" w:type="dxa"/>
            <w:shd w:val="clear" w:color="auto" w:fill="auto"/>
            <w:noWrap/>
            <w:vAlign w:val="bottom"/>
            <w:hideMark/>
          </w:tcPr>
          <w:p w:rsidR="0084617B" w:rsidRPr="004C5551" w:rsidRDefault="0084617B" w:rsidP="0084617B">
            <w:pPr>
              <w:jc w:val="right"/>
              <w:rPr>
                <w:b/>
                <w:sz w:val="18"/>
                <w:szCs w:val="18"/>
              </w:rPr>
            </w:pPr>
            <w:r w:rsidRPr="004C5551">
              <w:rPr>
                <w:b/>
                <w:sz w:val="18"/>
                <w:szCs w:val="18"/>
              </w:rPr>
              <w:t> </w:t>
            </w:r>
          </w:p>
        </w:tc>
        <w:tc>
          <w:tcPr>
            <w:tcW w:w="1606" w:type="dxa"/>
            <w:shd w:val="clear" w:color="auto" w:fill="auto"/>
            <w:noWrap/>
            <w:vAlign w:val="bottom"/>
            <w:hideMark/>
          </w:tcPr>
          <w:p w:rsidR="0084617B" w:rsidRPr="004C5551" w:rsidRDefault="0084617B" w:rsidP="0084617B">
            <w:pPr>
              <w:jc w:val="right"/>
              <w:rPr>
                <w:b/>
                <w:sz w:val="18"/>
                <w:szCs w:val="18"/>
              </w:rPr>
            </w:pPr>
            <w:r w:rsidRPr="004C5551">
              <w:rPr>
                <w:b/>
                <w:sz w:val="18"/>
                <w:szCs w:val="18"/>
              </w:rPr>
              <w:t> </w:t>
            </w:r>
          </w:p>
        </w:tc>
        <w:tc>
          <w:tcPr>
            <w:tcW w:w="1644" w:type="dxa"/>
            <w:shd w:val="clear" w:color="auto" w:fill="auto"/>
            <w:noWrap/>
            <w:vAlign w:val="bottom"/>
            <w:hideMark/>
          </w:tcPr>
          <w:p w:rsidR="0084617B" w:rsidRPr="004C5551" w:rsidRDefault="0084617B" w:rsidP="0084617B">
            <w:pPr>
              <w:jc w:val="right"/>
              <w:rPr>
                <w:b/>
                <w:sz w:val="18"/>
                <w:szCs w:val="18"/>
              </w:rPr>
            </w:pPr>
            <w:r w:rsidRPr="004C5551">
              <w:rPr>
                <w:b/>
                <w:sz w:val="18"/>
                <w:szCs w:val="18"/>
              </w:rPr>
              <w:t> </w:t>
            </w:r>
          </w:p>
        </w:tc>
        <w:tc>
          <w:tcPr>
            <w:tcW w:w="778" w:type="dxa"/>
            <w:shd w:val="clear" w:color="auto" w:fill="auto"/>
            <w:noWrap/>
            <w:vAlign w:val="bottom"/>
            <w:hideMark/>
          </w:tcPr>
          <w:p w:rsidR="0084617B" w:rsidRPr="004C5551" w:rsidRDefault="0084617B" w:rsidP="0084617B">
            <w:pPr>
              <w:jc w:val="right"/>
              <w:rPr>
                <w:b/>
                <w:sz w:val="18"/>
                <w:szCs w:val="18"/>
              </w:rPr>
            </w:pPr>
            <w:r w:rsidRPr="004C5551">
              <w:rPr>
                <w:b/>
                <w:sz w:val="18"/>
                <w:szCs w:val="18"/>
              </w:rPr>
              <w:t> </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sz w:val="18"/>
                <w:szCs w:val="18"/>
              </w:rPr>
            </w:pPr>
            <w:r w:rsidRPr="004C5551">
              <w:rPr>
                <w:b/>
                <w:sz w:val="18"/>
                <w:szCs w:val="18"/>
              </w:rPr>
              <w:t>06G</w:t>
            </w:r>
          </w:p>
        </w:tc>
        <w:tc>
          <w:tcPr>
            <w:tcW w:w="6662" w:type="dxa"/>
            <w:shd w:val="clear" w:color="auto" w:fill="auto"/>
            <w:noWrap/>
            <w:vAlign w:val="bottom"/>
            <w:hideMark/>
          </w:tcPr>
          <w:p w:rsidR="00F72922" w:rsidRPr="004C5551" w:rsidRDefault="00F72922" w:rsidP="0084617B">
            <w:pPr>
              <w:rPr>
                <w:b/>
                <w:sz w:val="18"/>
                <w:szCs w:val="18"/>
              </w:rPr>
            </w:pPr>
            <w:r w:rsidRPr="004C5551">
              <w:rPr>
                <w:b/>
                <w:sz w:val="18"/>
                <w:szCs w:val="18"/>
              </w:rPr>
              <w:t>Ľudské zdroje</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77 380 964</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154 219 500</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154 446 312</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100,1</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sz w:val="18"/>
                <w:szCs w:val="18"/>
              </w:rPr>
            </w:pPr>
            <w:r w:rsidRPr="004C5551">
              <w:rPr>
                <w:b/>
                <w:sz w:val="18"/>
                <w:szCs w:val="18"/>
              </w:rPr>
              <w:t>06G04</w:t>
            </w:r>
          </w:p>
        </w:tc>
        <w:tc>
          <w:tcPr>
            <w:tcW w:w="6662" w:type="dxa"/>
            <w:shd w:val="clear" w:color="auto" w:fill="auto"/>
            <w:noWrap/>
            <w:vAlign w:val="bottom"/>
            <w:hideMark/>
          </w:tcPr>
          <w:p w:rsidR="00F72922" w:rsidRPr="004C5551" w:rsidRDefault="00F72922" w:rsidP="0084617B">
            <w:pPr>
              <w:rPr>
                <w:b/>
                <w:sz w:val="18"/>
                <w:szCs w:val="18"/>
              </w:rPr>
            </w:pPr>
            <w:r w:rsidRPr="004C5551">
              <w:rPr>
                <w:b/>
                <w:sz w:val="18"/>
                <w:szCs w:val="18"/>
              </w:rPr>
              <w:t xml:space="preserve">Aktívna politika trhu práce a zvýšenie zamestnanosti </w:t>
            </w:r>
            <w:r w:rsidRPr="004C5551">
              <w:rPr>
                <w:color w:val="000000" w:themeColor="text1"/>
              </w:rPr>
              <w:t>–</w:t>
            </w:r>
            <w:r w:rsidRPr="004C5551">
              <w:rPr>
                <w:b/>
                <w:sz w:val="18"/>
                <w:szCs w:val="18"/>
              </w:rPr>
              <w:t xml:space="preserve"> MPSVR SR</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16 039 363</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46 171 890</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46 399 160</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100,5</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06G0404</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Národné programy na rozvoj APTP a zvýšenie zamestnanosti</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12 133 442</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42 943 194</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43 335 332</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100,9</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06G040I</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Zvýšenie zamestnanosti cez SIA</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1 068 742</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391 517</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391 517</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06G040J</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Individuálna štátna pomoc</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2 837 179</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2 837 179</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2 672 311</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94,2</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b/>
                <w:sz w:val="18"/>
                <w:szCs w:val="18"/>
              </w:rPr>
            </w:pPr>
            <w:r w:rsidRPr="004C5551">
              <w:rPr>
                <w:b/>
                <w:sz w:val="18"/>
                <w:szCs w:val="18"/>
              </w:rPr>
              <w:t>06G15</w:t>
            </w:r>
          </w:p>
        </w:tc>
        <w:tc>
          <w:tcPr>
            <w:tcW w:w="6662" w:type="dxa"/>
            <w:shd w:val="clear" w:color="auto" w:fill="auto"/>
            <w:noWrap/>
            <w:vAlign w:val="bottom"/>
            <w:hideMark/>
          </w:tcPr>
          <w:p w:rsidR="00F72922" w:rsidRPr="004C5551" w:rsidRDefault="00F72922" w:rsidP="0084617B">
            <w:pPr>
              <w:rPr>
                <w:b/>
                <w:sz w:val="18"/>
                <w:szCs w:val="18"/>
              </w:rPr>
            </w:pPr>
            <w:r w:rsidRPr="004C5551">
              <w:rPr>
                <w:b/>
                <w:sz w:val="18"/>
                <w:szCs w:val="18"/>
              </w:rPr>
              <w:t>Podpora rastu zamestnanosti</w:t>
            </w:r>
          </w:p>
        </w:tc>
        <w:tc>
          <w:tcPr>
            <w:tcW w:w="1541" w:type="dxa"/>
            <w:shd w:val="clear" w:color="auto" w:fill="auto"/>
            <w:noWrap/>
            <w:vAlign w:val="bottom"/>
            <w:hideMark/>
          </w:tcPr>
          <w:p w:rsidR="00F72922" w:rsidRPr="004C5551" w:rsidRDefault="00F72922">
            <w:pPr>
              <w:jc w:val="right"/>
              <w:rPr>
                <w:b/>
                <w:bCs/>
                <w:sz w:val="20"/>
                <w:szCs w:val="16"/>
              </w:rPr>
            </w:pPr>
            <w:r w:rsidRPr="004C5551">
              <w:rPr>
                <w:b/>
                <w:bCs/>
                <w:sz w:val="20"/>
                <w:szCs w:val="16"/>
              </w:rPr>
              <w:t>40 389 635</w:t>
            </w:r>
          </w:p>
        </w:tc>
        <w:tc>
          <w:tcPr>
            <w:tcW w:w="1606" w:type="dxa"/>
            <w:shd w:val="clear" w:color="auto" w:fill="auto"/>
            <w:noWrap/>
            <w:vAlign w:val="bottom"/>
            <w:hideMark/>
          </w:tcPr>
          <w:p w:rsidR="00F72922" w:rsidRPr="004C5551" w:rsidRDefault="00F72922">
            <w:pPr>
              <w:jc w:val="right"/>
              <w:rPr>
                <w:b/>
                <w:bCs/>
                <w:sz w:val="20"/>
                <w:szCs w:val="16"/>
              </w:rPr>
            </w:pPr>
            <w:r w:rsidRPr="004C5551">
              <w:rPr>
                <w:b/>
                <w:bCs/>
                <w:sz w:val="20"/>
                <w:szCs w:val="16"/>
              </w:rPr>
              <w:t>97 300 653</w:t>
            </w:r>
          </w:p>
        </w:tc>
        <w:tc>
          <w:tcPr>
            <w:tcW w:w="1644" w:type="dxa"/>
            <w:shd w:val="clear" w:color="auto" w:fill="auto"/>
            <w:noWrap/>
            <w:vAlign w:val="bottom"/>
            <w:hideMark/>
          </w:tcPr>
          <w:p w:rsidR="00F72922" w:rsidRPr="004C5551" w:rsidRDefault="00F72922">
            <w:pPr>
              <w:jc w:val="right"/>
              <w:rPr>
                <w:b/>
                <w:bCs/>
                <w:sz w:val="20"/>
                <w:szCs w:val="16"/>
              </w:rPr>
            </w:pPr>
            <w:r w:rsidRPr="004C5551">
              <w:rPr>
                <w:b/>
                <w:bCs/>
                <w:sz w:val="20"/>
                <w:szCs w:val="16"/>
              </w:rPr>
              <w:t>97 300 195</w:t>
            </w:r>
          </w:p>
        </w:tc>
        <w:tc>
          <w:tcPr>
            <w:tcW w:w="778" w:type="dxa"/>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rPr>
          <w:trHeight w:val="262"/>
        </w:trPr>
        <w:tc>
          <w:tcPr>
            <w:tcW w:w="1862" w:type="dxa"/>
            <w:shd w:val="clear" w:color="auto" w:fill="auto"/>
            <w:noWrap/>
            <w:vAlign w:val="bottom"/>
            <w:hideMark/>
          </w:tcPr>
          <w:p w:rsidR="00F72922" w:rsidRPr="004C5551" w:rsidRDefault="00F72922" w:rsidP="0084617B">
            <w:pPr>
              <w:rPr>
                <w:sz w:val="18"/>
                <w:szCs w:val="18"/>
              </w:rPr>
            </w:pPr>
            <w:r w:rsidRPr="004C5551">
              <w:rPr>
                <w:sz w:val="18"/>
                <w:szCs w:val="18"/>
              </w:rPr>
              <w:t>06G1501</w:t>
            </w:r>
          </w:p>
        </w:tc>
        <w:tc>
          <w:tcPr>
            <w:tcW w:w="6662" w:type="dxa"/>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programov v oblasti podpory zamestnanosti a riešenia nezamestnanosti a dlhodobej nezamestnanosti </w:t>
            </w:r>
            <w:r w:rsidRPr="004C5551">
              <w:rPr>
                <w:color w:val="000000" w:themeColor="text1"/>
              </w:rPr>
              <w:t>–</w:t>
            </w:r>
            <w:r w:rsidRPr="004C5551">
              <w:rPr>
                <w:sz w:val="18"/>
                <w:szCs w:val="18"/>
              </w:rPr>
              <w:t xml:space="preserve"> opatrenie 1.1</w:t>
            </w:r>
          </w:p>
        </w:tc>
        <w:tc>
          <w:tcPr>
            <w:tcW w:w="1541" w:type="dxa"/>
            <w:shd w:val="clear" w:color="auto" w:fill="auto"/>
            <w:noWrap/>
            <w:vAlign w:val="bottom"/>
            <w:hideMark/>
          </w:tcPr>
          <w:p w:rsidR="00F72922" w:rsidRPr="004C5551" w:rsidRDefault="00F72922">
            <w:pPr>
              <w:jc w:val="right"/>
              <w:rPr>
                <w:sz w:val="20"/>
                <w:szCs w:val="16"/>
              </w:rPr>
            </w:pPr>
            <w:r w:rsidRPr="004C5551">
              <w:rPr>
                <w:sz w:val="20"/>
                <w:szCs w:val="16"/>
              </w:rPr>
              <w:t>35 925 712</w:t>
            </w:r>
          </w:p>
        </w:tc>
        <w:tc>
          <w:tcPr>
            <w:tcW w:w="1606" w:type="dxa"/>
            <w:shd w:val="clear" w:color="auto" w:fill="auto"/>
            <w:noWrap/>
            <w:vAlign w:val="bottom"/>
            <w:hideMark/>
          </w:tcPr>
          <w:p w:rsidR="00F72922" w:rsidRPr="004C5551" w:rsidRDefault="00F72922">
            <w:pPr>
              <w:jc w:val="right"/>
              <w:rPr>
                <w:sz w:val="20"/>
                <w:szCs w:val="16"/>
              </w:rPr>
            </w:pPr>
            <w:r w:rsidRPr="004C5551">
              <w:rPr>
                <w:sz w:val="20"/>
                <w:szCs w:val="16"/>
              </w:rPr>
              <w:t>96 423 425</w:t>
            </w:r>
          </w:p>
        </w:tc>
        <w:tc>
          <w:tcPr>
            <w:tcW w:w="1644" w:type="dxa"/>
            <w:shd w:val="clear" w:color="auto" w:fill="auto"/>
            <w:noWrap/>
            <w:vAlign w:val="bottom"/>
            <w:hideMark/>
          </w:tcPr>
          <w:p w:rsidR="00F72922" w:rsidRPr="004C5551" w:rsidRDefault="00F72922">
            <w:pPr>
              <w:jc w:val="right"/>
              <w:rPr>
                <w:sz w:val="20"/>
                <w:szCs w:val="16"/>
              </w:rPr>
            </w:pPr>
            <w:r w:rsidRPr="004C5551">
              <w:rPr>
                <w:sz w:val="20"/>
                <w:szCs w:val="16"/>
              </w:rPr>
              <w:t>96 422 967</w:t>
            </w:r>
          </w:p>
        </w:tc>
        <w:tc>
          <w:tcPr>
            <w:tcW w:w="778" w:type="dxa"/>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rPr>
          <w:trHeight w:val="262"/>
        </w:trPr>
        <w:tc>
          <w:tcPr>
            <w:tcW w:w="1862" w:type="dxa"/>
            <w:tcBorders>
              <w:bottom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06G1502</w:t>
            </w:r>
          </w:p>
        </w:tc>
        <w:tc>
          <w:tcPr>
            <w:tcW w:w="6662" w:type="dxa"/>
            <w:tcBorders>
              <w:bottom w:val="single" w:sz="4" w:space="0" w:color="auto"/>
            </w:tcBorders>
            <w:shd w:val="clear" w:color="auto" w:fill="auto"/>
            <w:noWrap/>
            <w:vAlign w:val="bottom"/>
            <w:hideMark/>
          </w:tcPr>
          <w:p w:rsidR="00F72922" w:rsidRPr="004C5551" w:rsidRDefault="00F72922" w:rsidP="0084617B">
            <w:pPr>
              <w:rPr>
                <w:sz w:val="18"/>
                <w:szCs w:val="18"/>
              </w:rPr>
            </w:pPr>
            <w:r w:rsidRPr="004C5551">
              <w:rPr>
                <w:color w:val="000000" w:themeColor="text1"/>
              </w:rPr>
              <w:t>–</w:t>
            </w:r>
            <w:r w:rsidRPr="004C5551">
              <w:rPr>
                <w:sz w:val="18"/>
                <w:szCs w:val="18"/>
              </w:rPr>
              <w:t xml:space="preserve"> Podpora tvorby a udržania prac. miest prostred. zvýšenia adaptability prac., podnikov a podpory podnikania </w:t>
            </w:r>
            <w:r w:rsidRPr="004C5551">
              <w:rPr>
                <w:color w:val="000000" w:themeColor="text1"/>
              </w:rPr>
              <w:t>–</w:t>
            </w:r>
            <w:r w:rsidRPr="004C5551">
              <w:rPr>
                <w:sz w:val="18"/>
                <w:szCs w:val="18"/>
              </w:rPr>
              <w:t xml:space="preserve"> opatrenie 1.2</w:t>
            </w:r>
          </w:p>
        </w:tc>
        <w:tc>
          <w:tcPr>
            <w:tcW w:w="1541" w:type="dxa"/>
            <w:tcBorders>
              <w:bottom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4 463 923</w:t>
            </w:r>
          </w:p>
        </w:tc>
        <w:tc>
          <w:tcPr>
            <w:tcW w:w="1606" w:type="dxa"/>
            <w:tcBorders>
              <w:bottom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877 228</w:t>
            </w:r>
          </w:p>
        </w:tc>
        <w:tc>
          <w:tcPr>
            <w:tcW w:w="1644" w:type="dxa"/>
            <w:tcBorders>
              <w:bottom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877 228</w:t>
            </w:r>
          </w:p>
        </w:tc>
        <w:tc>
          <w:tcPr>
            <w:tcW w:w="778" w:type="dxa"/>
            <w:tcBorders>
              <w:bottom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b/>
                <w:bCs/>
                <w:sz w:val="20"/>
                <w:szCs w:val="20"/>
              </w:rPr>
            </w:pPr>
            <w:r w:rsidRPr="004C5551">
              <w:rPr>
                <w:b/>
                <w:bCs/>
                <w:sz w:val="20"/>
                <w:szCs w:val="20"/>
              </w:rPr>
              <w:t>06G16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84617B">
            <w:pPr>
              <w:rPr>
                <w:b/>
                <w:bCs/>
                <w:sz w:val="20"/>
                <w:szCs w:val="20"/>
              </w:rPr>
            </w:pPr>
            <w:r w:rsidRPr="004C5551">
              <w:rPr>
                <w:b/>
                <w:bCs/>
                <w:sz w:val="20"/>
                <w:szCs w:val="20"/>
              </w:rPr>
              <w:t>Podpora zamestnanosti, sociálnej inklúzie a budovanie kapacít v BSK</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2 369 192</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2 080 822</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2 080 822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06G1601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rastu zamestnanosti zlepšenia zamestnanosti s osobitným zreteľom na vzdelanostnú spoločnosť </w:t>
            </w:r>
            <w:r w:rsidRPr="004C5551">
              <w:rPr>
                <w:color w:val="000000" w:themeColor="text1"/>
              </w:rPr>
              <w:t>–</w:t>
            </w:r>
            <w:r w:rsidRPr="004C5551">
              <w:rPr>
                <w:sz w:val="18"/>
                <w:szCs w:val="18"/>
              </w:rPr>
              <w:t xml:space="preserve"> opatrenie 3.1</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118 018</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269 625</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269 625</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06G1602</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Podpora soc. inklúzie, rodovej rovnosti a zosúladenie prac. a rod. života v BSK </w:t>
            </w:r>
            <w:r w:rsidRPr="004C5551">
              <w:rPr>
                <w:color w:val="000000" w:themeColor="text1"/>
              </w:rPr>
              <w:t>–</w:t>
            </w:r>
            <w:r w:rsidRPr="004C5551">
              <w:rPr>
                <w:sz w:val="18"/>
                <w:szCs w:val="18"/>
              </w:rPr>
              <w:t xml:space="preserve"> opatrenie 3.2</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1 485 952</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1 466 014</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1 466 014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06G1603</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Budovanie kapacít a zlepšovanie. kvality verejnej správy v BSK </w:t>
            </w:r>
            <w:r w:rsidRPr="004C5551">
              <w:rPr>
                <w:color w:val="000000" w:themeColor="text1"/>
              </w:rPr>
              <w:t>–</w:t>
            </w:r>
            <w:r w:rsidRPr="004C5551">
              <w:rPr>
                <w:sz w:val="18"/>
                <w:szCs w:val="18"/>
              </w:rPr>
              <w:t xml:space="preserve"> opatrenie 3.3</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765 222</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345 183</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345 183</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b/>
                <w:bCs/>
                <w:sz w:val="18"/>
                <w:szCs w:val="18"/>
              </w:rPr>
            </w:pPr>
            <w:r w:rsidRPr="004C5551">
              <w:rPr>
                <w:b/>
                <w:bCs/>
                <w:sz w:val="18"/>
                <w:szCs w:val="18"/>
              </w:rPr>
              <w:t>06G17</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84617B">
            <w:pPr>
              <w:rPr>
                <w:b/>
                <w:bCs/>
                <w:sz w:val="18"/>
                <w:szCs w:val="18"/>
              </w:rPr>
            </w:pPr>
            <w:r w:rsidRPr="004C5551">
              <w:rPr>
                <w:b/>
                <w:bCs/>
                <w:sz w:val="18"/>
                <w:szCs w:val="18"/>
              </w:rPr>
              <w:t>Budovanie kapacít a zlepšenie kvality verejnej správy</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11 131 337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3 030 033</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b/>
                <w:bCs/>
                <w:sz w:val="20"/>
                <w:szCs w:val="16"/>
              </w:rPr>
            </w:pPr>
            <w:r w:rsidRPr="004C5551">
              <w:rPr>
                <w:b/>
                <w:bCs/>
                <w:sz w:val="20"/>
                <w:szCs w:val="16"/>
              </w:rPr>
              <w:t>3 030 033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b/>
                <w:bCs/>
                <w:sz w:val="20"/>
                <w:szCs w:val="16"/>
              </w:rPr>
            </w:pPr>
            <w:r w:rsidRPr="004C5551">
              <w:rPr>
                <w:b/>
                <w:bCs/>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rsidP="0084617B">
            <w:pPr>
              <w:rPr>
                <w:sz w:val="18"/>
                <w:szCs w:val="18"/>
              </w:rPr>
            </w:pPr>
            <w:r w:rsidRPr="004C5551">
              <w:rPr>
                <w:sz w:val="18"/>
                <w:szCs w:val="18"/>
              </w:rPr>
              <w:t>06G1701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rsidP="00F72922">
            <w:pPr>
              <w:rPr>
                <w:sz w:val="18"/>
                <w:szCs w:val="18"/>
              </w:rPr>
            </w:pPr>
            <w:r w:rsidRPr="004C5551">
              <w:rPr>
                <w:sz w:val="18"/>
                <w:szCs w:val="18"/>
              </w:rPr>
              <w:t xml:space="preserve"> </w:t>
            </w:r>
            <w:r w:rsidRPr="004C5551">
              <w:rPr>
                <w:color w:val="000000" w:themeColor="text1"/>
              </w:rPr>
              <w:t>–</w:t>
            </w:r>
            <w:r w:rsidRPr="004C5551">
              <w:rPr>
                <w:sz w:val="18"/>
                <w:szCs w:val="18"/>
              </w:rPr>
              <w:t xml:space="preserve"> Zlepšenie kvality služieb poskytovaných verejnej správe a neziskovým organizáciám </w:t>
            </w:r>
            <w:r w:rsidRPr="004C5551">
              <w:rPr>
                <w:color w:val="000000" w:themeColor="text1"/>
              </w:rPr>
              <w:t xml:space="preserve">– </w:t>
            </w:r>
            <w:r w:rsidRPr="004C5551">
              <w:rPr>
                <w:color w:val="000000" w:themeColor="text1"/>
                <w:sz w:val="18"/>
              </w:rPr>
              <w:t>opatrenie</w:t>
            </w:r>
            <w:r w:rsidRPr="004C5551">
              <w:rPr>
                <w:sz w:val="14"/>
                <w:szCs w:val="18"/>
              </w:rPr>
              <w:t>. 4.1</w:t>
            </w:r>
          </w:p>
        </w:tc>
        <w:tc>
          <w:tcPr>
            <w:tcW w:w="1541" w:type="dxa"/>
            <w:tcBorders>
              <w:top w:val="single" w:sz="4" w:space="0" w:color="auto"/>
              <w:left w:val="nil"/>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10 616 308</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F72922" w:rsidRPr="004C5551" w:rsidRDefault="00F72922">
            <w:pPr>
              <w:jc w:val="right"/>
              <w:rPr>
                <w:sz w:val="20"/>
                <w:szCs w:val="16"/>
              </w:rPr>
            </w:pPr>
            <w:r w:rsidRPr="004C5551">
              <w:rPr>
                <w:sz w:val="20"/>
                <w:szCs w:val="16"/>
              </w:rPr>
              <w:t>3 030 033</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3 030 033</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F72922" w:rsidRPr="004C5551" w:rsidRDefault="00F72922">
            <w:pPr>
              <w:jc w:val="right"/>
              <w:rPr>
                <w:sz w:val="20"/>
                <w:szCs w:val="16"/>
              </w:rPr>
            </w:pPr>
            <w:r w:rsidRPr="004C5551">
              <w:rPr>
                <w:sz w:val="20"/>
                <w:szCs w:val="16"/>
              </w:rPr>
              <w:t>100,0</w:t>
            </w:r>
          </w:p>
        </w:tc>
      </w:tr>
      <w:tr w:rsidR="00F72922"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922" w:rsidRPr="004C5551" w:rsidRDefault="00F72922" w:rsidP="0084617B">
            <w:pPr>
              <w:rPr>
                <w:sz w:val="18"/>
                <w:szCs w:val="18"/>
              </w:rPr>
            </w:pPr>
            <w:r w:rsidRPr="004C5551">
              <w:rPr>
                <w:sz w:val="18"/>
                <w:szCs w:val="18"/>
              </w:rPr>
              <w:t>06G1702</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F72922" w:rsidRPr="004C5551" w:rsidRDefault="00F72922" w:rsidP="00F72922">
            <w:pPr>
              <w:rPr>
                <w:sz w:val="18"/>
                <w:szCs w:val="18"/>
              </w:rPr>
            </w:pPr>
            <w:r w:rsidRPr="004C5551">
              <w:rPr>
                <w:sz w:val="18"/>
                <w:szCs w:val="18"/>
              </w:rPr>
              <w:t>Zavedenie systémov riadenia kvality vo verejnej správe a pre mimovládne organizácie v oblasti politiky zamestnanosti a sociálnej politiky – opatrenie 4.2</w:t>
            </w:r>
          </w:p>
        </w:tc>
        <w:tc>
          <w:tcPr>
            <w:tcW w:w="1541" w:type="dxa"/>
            <w:tcBorders>
              <w:top w:val="single" w:sz="4" w:space="0" w:color="auto"/>
              <w:left w:val="nil"/>
              <w:bottom w:val="single" w:sz="4" w:space="0" w:color="auto"/>
              <w:right w:val="nil"/>
            </w:tcBorders>
            <w:shd w:val="clear" w:color="auto" w:fill="auto"/>
            <w:noWrap/>
            <w:vAlign w:val="bottom"/>
          </w:tcPr>
          <w:p w:rsidR="00F72922" w:rsidRPr="004C5551" w:rsidRDefault="00F72922">
            <w:pPr>
              <w:jc w:val="right"/>
              <w:rPr>
                <w:sz w:val="20"/>
                <w:szCs w:val="16"/>
              </w:rPr>
            </w:pPr>
            <w:r w:rsidRPr="004C5551">
              <w:rPr>
                <w:sz w:val="20"/>
                <w:szCs w:val="16"/>
              </w:rPr>
              <w:t>515 029</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F72922" w:rsidRPr="004C5551" w:rsidRDefault="00F72922">
            <w:pPr>
              <w:jc w:val="right"/>
              <w:rPr>
                <w:sz w:val="20"/>
                <w:szCs w:val="16"/>
              </w:rPr>
            </w:pPr>
            <w:r w:rsidRPr="004C5551">
              <w:rPr>
                <w:sz w:val="20"/>
                <w:szCs w:val="16"/>
              </w:rPr>
              <w:t>0</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922" w:rsidRPr="004C5551" w:rsidRDefault="00F72922">
            <w:pPr>
              <w:jc w:val="right"/>
              <w:rPr>
                <w:sz w:val="20"/>
                <w:szCs w:val="16"/>
              </w:rPr>
            </w:pPr>
            <w:r w:rsidRPr="004C5551">
              <w:rPr>
                <w:sz w:val="20"/>
                <w:szCs w:val="16"/>
              </w:rPr>
              <w:t>0</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F72922" w:rsidRPr="004C5551" w:rsidRDefault="00F72922">
            <w:pPr>
              <w:jc w:val="right"/>
              <w:rPr>
                <w:sz w:val="20"/>
                <w:szCs w:val="16"/>
              </w:rPr>
            </w:pPr>
            <w:r w:rsidRPr="004C5551">
              <w:rPr>
                <w:sz w:val="20"/>
                <w:szCs w:val="16"/>
              </w:rPr>
              <w:t>0,0</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06G18</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Technická pomoc</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7 451 437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5 636 102</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5 636 102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100,0</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sz w:val="18"/>
                <w:szCs w:val="18"/>
              </w:rPr>
            </w:pPr>
            <w:r w:rsidRPr="004C5551">
              <w:rPr>
                <w:sz w:val="18"/>
                <w:szCs w:val="18"/>
              </w:rPr>
              <w:t>06G1801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sz w:val="18"/>
                <w:szCs w:val="18"/>
              </w:rPr>
            </w:pPr>
            <w:r w:rsidRPr="004C5551">
              <w:rPr>
                <w:sz w:val="18"/>
                <w:szCs w:val="18"/>
              </w:rPr>
              <w:t xml:space="preserve"> </w:t>
            </w:r>
            <w:r w:rsidRPr="004C5551">
              <w:rPr>
                <w:color w:val="000000" w:themeColor="text1"/>
              </w:rPr>
              <w:t>–</w:t>
            </w:r>
            <w:r w:rsidRPr="004C5551">
              <w:rPr>
                <w:sz w:val="18"/>
                <w:szCs w:val="18"/>
              </w:rPr>
              <w:t xml:space="preserve"> Technická pomoc </w:t>
            </w:r>
            <w:r w:rsidRPr="004C5551">
              <w:rPr>
                <w:color w:val="000000" w:themeColor="text1"/>
              </w:rPr>
              <w:t>–</w:t>
            </w:r>
            <w:r w:rsidRPr="004C5551">
              <w:rPr>
                <w:sz w:val="18"/>
                <w:szCs w:val="18"/>
              </w:rPr>
              <w:t xml:space="preserve"> opatrenie 5.1</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sz w:val="20"/>
                <w:szCs w:val="16"/>
              </w:rPr>
            </w:pPr>
            <w:r w:rsidRPr="004C5551">
              <w:rPr>
                <w:sz w:val="20"/>
                <w:szCs w:val="16"/>
              </w:rPr>
              <w:t>7 451 437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sz w:val="20"/>
                <w:szCs w:val="16"/>
              </w:rPr>
            </w:pPr>
            <w:r w:rsidRPr="004C5551">
              <w:rPr>
                <w:sz w:val="20"/>
                <w:szCs w:val="16"/>
              </w:rPr>
              <w:t>5 636 102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sz w:val="20"/>
                <w:szCs w:val="16"/>
              </w:rPr>
            </w:pPr>
            <w:r w:rsidRPr="004C5551">
              <w:rPr>
                <w:sz w:val="20"/>
                <w:szCs w:val="16"/>
              </w:rPr>
              <w:t>5 636 102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sz w:val="20"/>
                <w:szCs w:val="16"/>
              </w:rPr>
            </w:pPr>
            <w:r w:rsidRPr="004C5551">
              <w:rPr>
                <w:sz w:val="20"/>
                <w:szCs w:val="16"/>
              </w:rPr>
              <w:t>100,0</w:t>
            </w:r>
          </w:p>
        </w:tc>
      </w:tr>
      <w:tr w:rsidR="0084617B"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4C5551" w:rsidRDefault="0084617B" w:rsidP="0084617B">
            <w:pPr>
              <w:rPr>
                <w:sz w:val="20"/>
                <w:szCs w:val="20"/>
              </w:rPr>
            </w:pPr>
            <w:r w:rsidRPr="004C5551">
              <w:rPr>
                <w:sz w:val="20"/>
                <w:szCs w:val="20"/>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84617B" w:rsidRPr="004C5551" w:rsidRDefault="0084617B" w:rsidP="0084617B">
            <w:pPr>
              <w:rPr>
                <w:b/>
                <w:bCs/>
                <w:sz w:val="20"/>
                <w:szCs w:val="20"/>
              </w:rPr>
            </w:pPr>
            <w:r w:rsidRPr="004C5551">
              <w:rPr>
                <w:b/>
                <w:bCs/>
                <w:sz w:val="20"/>
                <w:szCs w:val="20"/>
              </w:rPr>
              <w:t>Podprogramy, ktoré kapitola rieši ako účastník medzirezortného programu</w:t>
            </w:r>
          </w:p>
        </w:tc>
        <w:tc>
          <w:tcPr>
            <w:tcW w:w="1541" w:type="dxa"/>
            <w:tcBorders>
              <w:top w:val="single" w:sz="4" w:space="0" w:color="auto"/>
              <w:left w:val="nil"/>
              <w:bottom w:val="single" w:sz="4" w:space="0" w:color="auto"/>
              <w:right w:val="nil"/>
            </w:tcBorders>
            <w:shd w:val="clear" w:color="auto" w:fill="auto"/>
            <w:noWrap/>
            <w:vAlign w:val="bottom"/>
            <w:hideMark/>
          </w:tcPr>
          <w:p w:rsidR="0084617B" w:rsidRPr="004C5551" w:rsidRDefault="0084617B" w:rsidP="0084617B">
            <w:pPr>
              <w:rPr>
                <w:sz w:val="20"/>
                <w:szCs w:val="20"/>
              </w:rPr>
            </w:pPr>
            <w:r w:rsidRPr="004C5551">
              <w:rPr>
                <w:sz w:val="20"/>
                <w:szCs w:val="20"/>
              </w:rPr>
              <w:t> </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84617B" w:rsidRPr="004C5551" w:rsidRDefault="0084617B" w:rsidP="0084617B">
            <w:pPr>
              <w:rPr>
                <w:sz w:val="20"/>
                <w:szCs w:val="20"/>
              </w:rPr>
            </w:pPr>
            <w:r w:rsidRPr="004C5551">
              <w:rPr>
                <w:sz w:val="20"/>
                <w:szCs w:val="20"/>
              </w:rPr>
              <w:t> </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4C5551" w:rsidRDefault="0084617B" w:rsidP="0084617B">
            <w:pPr>
              <w:jc w:val="right"/>
              <w:rPr>
                <w:sz w:val="20"/>
                <w:szCs w:val="20"/>
              </w:rPr>
            </w:pPr>
            <w:r w:rsidRPr="004C5551">
              <w:rPr>
                <w:sz w:val="20"/>
                <w:szCs w:val="20"/>
              </w:rPr>
              <w:t>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84617B" w:rsidRPr="004C5551" w:rsidRDefault="0084617B" w:rsidP="0084617B">
            <w:pPr>
              <w:jc w:val="right"/>
              <w:rPr>
                <w:sz w:val="20"/>
                <w:szCs w:val="20"/>
              </w:rPr>
            </w:pPr>
            <w:r w:rsidRPr="004C5551">
              <w:rPr>
                <w:sz w:val="20"/>
                <w:szCs w:val="20"/>
              </w:rPr>
              <w:t> </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06H09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 xml:space="preserve">Hospodárska mobilizácia </w:t>
            </w:r>
            <w:r w:rsidRPr="004C5551">
              <w:rPr>
                <w:color w:val="000000" w:themeColor="text1"/>
              </w:rPr>
              <w:t>–</w:t>
            </w:r>
            <w:r w:rsidRPr="004C5551">
              <w:rPr>
                <w:b/>
                <w:bCs/>
                <w:sz w:val="20"/>
                <w:szCs w:val="20"/>
              </w:rPr>
              <w:t xml:space="preserve"> MPSVR SR </w:t>
            </w:r>
            <w:r w:rsidRPr="004C5551">
              <w:rPr>
                <w:sz w:val="20"/>
                <w:szCs w:val="20"/>
              </w:rPr>
              <w:t>(gestor MH SR)</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45 189</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26 856</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24 856</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92,6</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09706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D5516C">
            <w:pPr>
              <w:rPr>
                <w:b/>
                <w:bCs/>
                <w:sz w:val="20"/>
                <w:szCs w:val="20"/>
              </w:rPr>
            </w:pPr>
            <w:r w:rsidRPr="004C5551">
              <w:rPr>
                <w:b/>
                <w:bCs/>
                <w:sz w:val="20"/>
                <w:szCs w:val="20"/>
              </w:rPr>
              <w:t xml:space="preserve">Príspevky SR do medzinárodných organizácií </w:t>
            </w:r>
            <w:r w:rsidRPr="004C5551">
              <w:rPr>
                <w:color w:val="000000" w:themeColor="text1"/>
              </w:rPr>
              <w:t>–</w:t>
            </w:r>
            <w:r w:rsidRPr="004C5551">
              <w:rPr>
                <w:b/>
                <w:bCs/>
                <w:sz w:val="20"/>
                <w:szCs w:val="20"/>
              </w:rPr>
              <w:t xml:space="preserve"> MPSVR SR </w:t>
            </w:r>
            <w:r w:rsidRPr="004C5551">
              <w:rPr>
                <w:sz w:val="18"/>
                <w:szCs w:val="18"/>
              </w:rPr>
              <w:t>(gestor MZVEZ SR)</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440 367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555 618</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555 618</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100,0</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0A909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 xml:space="preserve">Elektronizácia VS a rozvoj elektronických služieb na centrálnej úrovni MF SR </w:t>
            </w:r>
            <w:r w:rsidRPr="004C5551">
              <w:rPr>
                <w:color w:val="000000" w:themeColor="text1"/>
              </w:rPr>
              <w:t>–</w:t>
            </w:r>
            <w:r w:rsidRPr="004C5551">
              <w:rPr>
                <w:b/>
                <w:bCs/>
                <w:sz w:val="20"/>
                <w:szCs w:val="20"/>
              </w:rPr>
              <w:t xml:space="preserve"> MPSVR SR</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4 485 885</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4 485 885</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100,0</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0AR05</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b/>
                <w:bCs/>
                <w:sz w:val="20"/>
                <w:szCs w:val="20"/>
              </w:rPr>
            </w:pPr>
            <w:r w:rsidRPr="004C5551">
              <w:rPr>
                <w:b/>
                <w:bCs/>
                <w:sz w:val="20"/>
                <w:szCs w:val="20"/>
              </w:rPr>
              <w:t xml:space="preserve">MPSVR SR </w:t>
            </w:r>
            <w:r w:rsidRPr="004C5551">
              <w:rPr>
                <w:color w:val="000000" w:themeColor="text1"/>
              </w:rPr>
              <w:t>–</w:t>
            </w:r>
            <w:r w:rsidRPr="004C5551">
              <w:rPr>
                <w:b/>
                <w:bCs/>
                <w:sz w:val="20"/>
                <w:szCs w:val="20"/>
              </w:rPr>
              <w:t xml:space="preserve"> Protidrogová politika </w:t>
            </w:r>
            <w:r w:rsidRPr="004C5551">
              <w:rPr>
                <w:sz w:val="20"/>
                <w:szCs w:val="20"/>
              </w:rPr>
              <w:t>(gestor Úrad vlády SR)</w:t>
            </w:r>
          </w:p>
        </w:tc>
        <w:tc>
          <w:tcPr>
            <w:tcW w:w="1541" w:type="dxa"/>
            <w:tcBorders>
              <w:top w:val="single" w:sz="4" w:space="0" w:color="auto"/>
              <w:left w:val="nil"/>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50 000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58 500</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D5516C" w:rsidRPr="004C5551" w:rsidRDefault="00D5516C">
            <w:pPr>
              <w:jc w:val="right"/>
              <w:rPr>
                <w:b/>
                <w:bCs/>
                <w:sz w:val="20"/>
                <w:szCs w:val="16"/>
              </w:rPr>
            </w:pPr>
            <w:r w:rsidRPr="004C5551">
              <w:rPr>
                <w:b/>
                <w:bCs/>
                <w:sz w:val="20"/>
                <w:szCs w:val="16"/>
              </w:rPr>
              <w:t>58 500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100,0</w:t>
            </w: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516C" w:rsidRPr="004C5551" w:rsidRDefault="00D5516C" w:rsidP="0084617B">
            <w:pPr>
              <w:rPr>
                <w:b/>
                <w:bCs/>
                <w:sz w:val="20"/>
                <w:szCs w:val="20"/>
              </w:rPr>
            </w:pPr>
            <w:r w:rsidRPr="004C5551">
              <w:rPr>
                <w:b/>
                <w:bCs/>
                <w:sz w:val="20"/>
                <w:szCs w:val="20"/>
              </w:rPr>
              <w:t>0D40A</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D5516C" w:rsidRPr="004C5551" w:rsidRDefault="00D5516C" w:rsidP="0084617B">
            <w:pPr>
              <w:rPr>
                <w:b/>
                <w:bCs/>
                <w:sz w:val="20"/>
                <w:szCs w:val="20"/>
              </w:rPr>
            </w:pPr>
            <w:r w:rsidRPr="004C5551">
              <w:rPr>
                <w:b/>
                <w:bCs/>
                <w:sz w:val="20"/>
                <w:szCs w:val="20"/>
              </w:rPr>
              <w:t>SK PRES 2016 – MPSVR SR</w:t>
            </w:r>
          </w:p>
        </w:tc>
        <w:tc>
          <w:tcPr>
            <w:tcW w:w="1541" w:type="dxa"/>
            <w:tcBorders>
              <w:top w:val="single" w:sz="4" w:space="0" w:color="auto"/>
              <w:left w:val="nil"/>
              <w:bottom w:val="single" w:sz="4" w:space="0" w:color="auto"/>
              <w:right w:val="nil"/>
            </w:tcBorders>
            <w:shd w:val="clear" w:color="auto" w:fill="auto"/>
            <w:noWrap/>
            <w:vAlign w:val="bottom"/>
          </w:tcPr>
          <w:p w:rsidR="00D5516C" w:rsidRPr="004C5551" w:rsidRDefault="00D5516C">
            <w:pPr>
              <w:jc w:val="right"/>
              <w:rPr>
                <w:b/>
                <w:bCs/>
                <w:sz w:val="20"/>
                <w:szCs w:val="16"/>
              </w:rPr>
            </w:pPr>
            <w:r w:rsidRPr="004C5551">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D5516C" w:rsidRPr="004C5551" w:rsidRDefault="00D5516C">
            <w:pPr>
              <w:jc w:val="right"/>
              <w:rPr>
                <w:b/>
                <w:bCs/>
                <w:sz w:val="20"/>
                <w:szCs w:val="16"/>
              </w:rPr>
            </w:pPr>
            <w:r w:rsidRPr="004C5551">
              <w:rPr>
                <w:b/>
                <w:bCs/>
                <w:sz w:val="20"/>
                <w:szCs w:val="16"/>
              </w:rPr>
              <w:t>50 238</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D5516C" w:rsidRPr="004C5551" w:rsidRDefault="00D5516C">
            <w:pPr>
              <w:jc w:val="right"/>
              <w:rPr>
                <w:b/>
                <w:bCs/>
                <w:sz w:val="20"/>
                <w:szCs w:val="16"/>
              </w:rPr>
            </w:pPr>
            <w:r w:rsidRPr="004C5551">
              <w:rPr>
                <w:b/>
                <w:bCs/>
                <w:sz w:val="20"/>
                <w:szCs w:val="16"/>
              </w:rPr>
              <w:t>45 672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516C" w:rsidRPr="004C5551" w:rsidRDefault="00D5516C">
            <w:pPr>
              <w:jc w:val="right"/>
              <w:rPr>
                <w:b/>
                <w:bCs/>
                <w:sz w:val="20"/>
                <w:szCs w:val="16"/>
              </w:rPr>
            </w:pPr>
            <w:r w:rsidRPr="004C5551">
              <w:rPr>
                <w:b/>
                <w:bCs/>
                <w:sz w:val="20"/>
                <w:szCs w:val="16"/>
              </w:rPr>
              <w:t>90,9</w:t>
            </w:r>
          </w:p>
        </w:tc>
      </w:tr>
      <w:tr w:rsidR="0084617B" w:rsidRPr="004C5551" w:rsidTr="0084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40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4C5551" w:rsidRDefault="0084617B" w:rsidP="0084617B">
            <w:pPr>
              <w:jc w:val="right"/>
              <w:rPr>
                <w:b/>
                <w:bCs/>
              </w:rPr>
            </w:pPr>
          </w:p>
        </w:tc>
      </w:tr>
      <w:tr w:rsidR="00D5516C" w:rsidRPr="004C5551"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6C" w:rsidRPr="004C5551" w:rsidRDefault="00D5516C" w:rsidP="0084617B">
            <w:pPr>
              <w:rPr>
                <w:b/>
                <w:bCs/>
              </w:rPr>
            </w:pPr>
            <w:r w:rsidRPr="004C5551">
              <w:rPr>
                <w:b/>
                <w:bCs/>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rsidP="0084617B">
            <w:pPr>
              <w:rPr>
                <w:b/>
                <w:bCs/>
              </w:rPr>
            </w:pPr>
            <w:r w:rsidRPr="004C5551">
              <w:rPr>
                <w:b/>
                <w:bCs/>
              </w:rPr>
              <w:t>Výdavky spolu za kapitolu 22</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2 110 678 787</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2 100 724 764</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2 097 648 574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5516C" w:rsidRPr="004C5551" w:rsidRDefault="00D5516C">
            <w:pPr>
              <w:jc w:val="right"/>
              <w:rPr>
                <w:b/>
                <w:bCs/>
                <w:sz w:val="20"/>
                <w:szCs w:val="16"/>
              </w:rPr>
            </w:pPr>
            <w:r w:rsidRPr="004C5551">
              <w:rPr>
                <w:b/>
                <w:bCs/>
                <w:sz w:val="20"/>
                <w:szCs w:val="16"/>
              </w:rPr>
              <w:t>99,9</w:t>
            </w:r>
          </w:p>
        </w:tc>
      </w:tr>
    </w:tbl>
    <w:p w:rsidR="0084617B" w:rsidRPr="004C5551" w:rsidRDefault="0084617B" w:rsidP="00D5516C">
      <w:pPr>
        <w:pStyle w:val="zdroj"/>
      </w:pPr>
      <w:r w:rsidRPr="004C5551">
        <w:t xml:space="preserve">Zdroj: MPSVR SR, </w:t>
      </w:r>
      <w:r w:rsidR="00626154" w:rsidRPr="004C5551">
        <w:t>Návrh štátneho záverečného účtu</w:t>
      </w:r>
    </w:p>
    <w:p w:rsidR="0084617B" w:rsidRPr="004C5551" w:rsidRDefault="0084617B" w:rsidP="00D5516C">
      <w:pPr>
        <w:pStyle w:val="zdroj"/>
        <w:rPr>
          <w:color w:val="000000" w:themeColor="text1"/>
        </w:rPr>
        <w:sectPr w:rsidR="0084617B" w:rsidRPr="004C5551" w:rsidSect="004F3C97">
          <w:pgSz w:w="16838" w:h="11906" w:orient="landscape"/>
          <w:pgMar w:top="1417" w:right="1417" w:bottom="1417" w:left="1417" w:header="708" w:footer="708" w:gutter="0"/>
          <w:cols w:space="708"/>
          <w:docGrid w:linePitch="360"/>
        </w:sectPr>
      </w:pPr>
    </w:p>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84617B" w:rsidRPr="004C5551" w:rsidRDefault="0084617B" w:rsidP="0084617B"/>
    <w:p w:rsidR="006A153B" w:rsidRPr="004C5551" w:rsidRDefault="0084617B" w:rsidP="00A8320D">
      <w:pPr>
        <w:pStyle w:val="Nadpis1"/>
        <w:numPr>
          <w:ilvl w:val="0"/>
          <w:numId w:val="0"/>
        </w:numPr>
        <w:ind w:left="432"/>
        <w:jc w:val="center"/>
        <w:sectPr w:rsidR="006A153B" w:rsidRPr="004C5551" w:rsidSect="004F3C97">
          <w:headerReference w:type="even" r:id="rId114"/>
          <w:headerReference w:type="first" r:id="rId115"/>
          <w:type w:val="oddPage"/>
          <w:pgSz w:w="11906" w:h="16838"/>
          <w:pgMar w:top="1417" w:right="1417" w:bottom="1417" w:left="1417" w:header="708" w:footer="708" w:gutter="0"/>
          <w:cols w:space="708"/>
          <w:titlePg/>
          <w:docGrid w:linePitch="360"/>
        </w:sectPr>
      </w:pPr>
      <w:bookmarkStart w:id="865" w:name="_Toc387413126"/>
      <w:bookmarkStart w:id="866" w:name="_Toc387659192"/>
      <w:bookmarkStart w:id="867" w:name="_Toc388534247"/>
      <w:bookmarkStart w:id="868" w:name="_Toc389646869"/>
      <w:bookmarkStart w:id="869" w:name="_Toc394062247"/>
      <w:bookmarkStart w:id="870" w:name="_Toc418672289"/>
      <w:bookmarkStart w:id="871" w:name="_Toc419355274"/>
      <w:bookmarkStart w:id="872" w:name="_Toc419795397"/>
      <w:bookmarkStart w:id="873" w:name="_Toc422151017"/>
      <w:bookmarkStart w:id="874" w:name="_Toc422233457"/>
      <w:r w:rsidRPr="004C5551">
        <w:t>Príloh</w:t>
      </w:r>
      <w:r w:rsidR="006F6AA3" w:rsidRPr="004C5551">
        <w:t>a</w:t>
      </w:r>
      <w:r w:rsidRPr="004C5551">
        <w:t xml:space="preserve"> ku kapitole 4</w:t>
      </w:r>
      <w:bookmarkEnd w:id="865"/>
      <w:bookmarkEnd w:id="866"/>
      <w:bookmarkEnd w:id="867"/>
      <w:bookmarkEnd w:id="868"/>
      <w:bookmarkEnd w:id="869"/>
      <w:bookmarkEnd w:id="870"/>
      <w:bookmarkEnd w:id="871"/>
      <w:bookmarkEnd w:id="872"/>
      <w:bookmarkEnd w:id="873"/>
      <w:bookmarkEnd w:id="874"/>
    </w:p>
    <w:p w:rsidR="00640486" w:rsidRPr="004C5551" w:rsidRDefault="00640486" w:rsidP="00640486">
      <w:pPr>
        <w:pStyle w:val="Nadpis7"/>
        <w:rPr>
          <w:rFonts w:ascii="Times New Roman Bold" w:hAnsi="Times New Roman Bold"/>
          <w:b w:val="0"/>
          <w:bCs/>
          <w:i/>
          <w:lang w:eastAsia="cs-CZ"/>
        </w:rPr>
      </w:pPr>
      <w:r w:rsidRPr="004C5551">
        <w:rPr>
          <w:rFonts w:ascii="Times New Roman Bold" w:hAnsi="Times New Roman Bold"/>
          <w:bCs/>
          <w:lang w:eastAsia="cs-CZ"/>
        </w:rPr>
        <w:t xml:space="preserve">Tabuľka </w:t>
      </w:r>
      <w:r w:rsidR="00864ED5" w:rsidRPr="004C5551">
        <w:rPr>
          <w:rFonts w:ascii="Times New Roman Bold" w:hAnsi="Times New Roman Bold"/>
          <w:bCs/>
          <w:lang w:eastAsia="cs-CZ"/>
        </w:rPr>
        <w:t>1</w:t>
      </w:r>
      <w:r w:rsidRPr="004C5551">
        <w:rPr>
          <w:rFonts w:ascii="Times New Roman Bold" w:hAnsi="Times New Roman Bold"/>
          <w:bCs/>
          <w:lang w:eastAsia="cs-CZ"/>
        </w:rPr>
        <w:t xml:space="preserve"> Zoznam vybraných indikátorov sociálnej inklúzie</w:t>
      </w:r>
      <w:r w:rsidR="008B18CB">
        <w:rPr>
          <w:rFonts w:ascii="Times New Roman Bold" w:hAnsi="Times New Roman Bold"/>
          <w:bCs/>
          <w:lang w:eastAsia="cs-CZ"/>
        </w:rPr>
        <w:t xml:space="preserve"> </w:t>
      </w:r>
      <w:r w:rsidRPr="004C5551">
        <w:rPr>
          <w:rFonts w:ascii="Times New Roman Bold" w:hAnsi="Times New Roman Bold"/>
          <w:bCs/>
          <w:lang w:eastAsia="cs-CZ"/>
        </w:rPr>
        <w:t>(201</w:t>
      </w:r>
      <w:r w:rsidR="00E61AC9" w:rsidRPr="004C5551">
        <w:rPr>
          <w:rFonts w:ascii="Times New Roman Bold" w:hAnsi="Times New Roman Bold"/>
          <w:bCs/>
          <w:lang w:eastAsia="cs-CZ"/>
        </w:rPr>
        <w:t>2</w:t>
      </w:r>
      <w:r w:rsidR="005C10C1" w:rsidRPr="004C5551">
        <w:rPr>
          <w:rFonts w:ascii="Times New Roman Bold" w:hAnsi="Times New Roman Bold"/>
          <w:bCs/>
          <w:lang w:eastAsia="cs-CZ"/>
        </w:rPr>
        <w:t xml:space="preserve"> </w:t>
      </w:r>
      <w:r w:rsidR="005C10C1" w:rsidRPr="004C5551">
        <w:rPr>
          <w:color w:val="000000" w:themeColor="text1"/>
        </w:rPr>
        <w:t xml:space="preserve">– </w:t>
      </w:r>
      <w:r w:rsidRPr="004C5551">
        <w:rPr>
          <w:rFonts w:ascii="Times New Roman Bold" w:hAnsi="Times New Roman Bold"/>
          <w:bCs/>
          <w:lang w:eastAsia="cs-CZ"/>
        </w:rPr>
        <w:t>201</w:t>
      </w:r>
      <w:r w:rsidR="00E61AC9" w:rsidRPr="004C5551">
        <w:rPr>
          <w:rFonts w:ascii="Times New Roman Bold" w:hAnsi="Times New Roman Bold"/>
          <w:bCs/>
          <w:lang w:eastAsia="cs-CZ"/>
        </w:rPr>
        <w:t>3</w:t>
      </w:r>
      <w:r w:rsidRPr="004C5551">
        <w:rPr>
          <w:rFonts w:ascii="Times New Roman Bold" w:hAnsi="Times New Roman Bold"/>
          <w:bCs/>
          <w:lang w:eastAsia="cs-CZ"/>
        </w:rPr>
        <w:t>)</w:t>
      </w:r>
    </w:p>
    <w:tbl>
      <w:tblPr>
        <w:tblW w:w="0" w:type="auto"/>
        <w:jc w:val="center"/>
        <w:tblInd w:w="-7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950"/>
        <w:gridCol w:w="768"/>
        <w:gridCol w:w="615"/>
        <w:gridCol w:w="615"/>
        <w:gridCol w:w="663"/>
        <w:gridCol w:w="651"/>
        <w:gridCol w:w="651"/>
        <w:gridCol w:w="531"/>
        <w:gridCol w:w="484"/>
        <w:gridCol w:w="510"/>
      </w:tblGrid>
      <w:tr w:rsidR="00640486" w:rsidRPr="004C5551" w:rsidTr="005140F1">
        <w:trPr>
          <w:trHeight w:val="20"/>
          <w:tblHeader/>
          <w:jc w:val="center"/>
        </w:trPr>
        <w:tc>
          <w:tcPr>
            <w:tcW w:w="8509" w:type="dxa"/>
            <w:vMerge w:val="restart"/>
            <w:shd w:val="clear" w:color="auto" w:fill="FF9999" w:themeFill="accent3" w:themeFillTint="66"/>
            <w:noWrap/>
            <w:vAlign w:val="bottom"/>
            <w:hideMark/>
          </w:tcPr>
          <w:p w:rsidR="00640486" w:rsidRPr="004C5551" w:rsidRDefault="00640486" w:rsidP="00B55E2C">
            <w:pPr>
              <w:ind w:left="363" w:hanging="363"/>
              <w:rPr>
                <w:b/>
                <w:bCs/>
                <w:color w:val="000000" w:themeColor="text1"/>
                <w:sz w:val="20"/>
                <w:szCs w:val="20"/>
              </w:rPr>
            </w:pPr>
            <w:r w:rsidRPr="004C5551">
              <w:rPr>
                <w:b/>
                <w:bCs/>
                <w:color w:val="000000" w:themeColor="text1"/>
                <w:sz w:val="20"/>
                <w:szCs w:val="20"/>
              </w:rPr>
              <w:t>Indikátor</w:t>
            </w:r>
            <w:r w:rsidRPr="004C5551">
              <w:rPr>
                <w:b/>
                <w:color w:val="000000" w:themeColor="text1"/>
                <w:sz w:val="20"/>
                <w:szCs w:val="20"/>
              </w:rPr>
              <w:t> </w:t>
            </w:r>
          </w:p>
        </w:tc>
        <w:tc>
          <w:tcPr>
            <w:tcW w:w="0" w:type="auto"/>
            <w:gridSpan w:val="3"/>
            <w:shd w:val="clear" w:color="auto" w:fill="FF9999" w:themeFill="accent3" w:themeFillTint="66"/>
            <w:noWrap/>
            <w:vAlign w:val="bottom"/>
            <w:hideMark/>
          </w:tcPr>
          <w:p w:rsidR="00640486" w:rsidRPr="004C5551" w:rsidRDefault="00640486" w:rsidP="00E61AC9">
            <w:pPr>
              <w:jc w:val="center"/>
              <w:rPr>
                <w:b/>
                <w:bCs/>
                <w:color w:val="000000" w:themeColor="text1"/>
                <w:sz w:val="20"/>
                <w:szCs w:val="20"/>
              </w:rPr>
            </w:pPr>
            <w:r w:rsidRPr="004C5551">
              <w:rPr>
                <w:b/>
                <w:bCs/>
                <w:color w:val="000000" w:themeColor="text1"/>
                <w:sz w:val="20"/>
                <w:szCs w:val="20"/>
              </w:rPr>
              <w:t>201</w:t>
            </w:r>
            <w:r w:rsidR="00E61AC9" w:rsidRPr="004C5551">
              <w:rPr>
                <w:b/>
                <w:bCs/>
                <w:color w:val="000000" w:themeColor="text1"/>
                <w:sz w:val="20"/>
                <w:szCs w:val="20"/>
              </w:rPr>
              <w:t>2</w:t>
            </w:r>
          </w:p>
        </w:tc>
        <w:tc>
          <w:tcPr>
            <w:tcW w:w="0" w:type="auto"/>
            <w:gridSpan w:val="3"/>
            <w:shd w:val="clear" w:color="auto" w:fill="FF9999" w:themeFill="accent3" w:themeFillTint="66"/>
            <w:noWrap/>
            <w:vAlign w:val="bottom"/>
            <w:hideMark/>
          </w:tcPr>
          <w:p w:rsidR="00640486" w:rsidRPr="004C5551" w:rsidRDefault="00640486" w:rsidP="00E61AC9">
            <w:pPr>
              <w:jc w:val="center"/>
              <w:rPr>
                <w:b/>
                <w:bCs/>
                <w:color w:val="000000" w:themeColor="text1"/>
                <w:sz w:val="20"/>
                <w:szCs w:val="20"/>
              </w:rPr>
            </w:pPr>
            <w:r w:rsidRPr="004C5551">
              <w:rPr>
                <w:b/>
                <w:bCs/>
                <w:color w:val="000000" w:themeColor="text1"/>
                <w:sz w:val="20"/>
                <w:szCs w:val="20"/>
              </w:rPr>
              <w:t>201</w:t>
            </w:r>
            <w:r w:rsidR="00E61AC9" w:rsidRPr="004C5551">
              <w:rPr>
                <w:b/>
                <w:bCs/>
                <w:color w:val="000000" w:themeColor="text1"/>
                <w:sz w:val="20"/>
                <w:szCs w:val="20"/>
              </w:rPr>
              <w:t>3</w:t>
            </w:r>
          </w:p>
        </w:tc>
        <w:tc>
          <w:tcPr>
            <w:tcW w:w="0" w:type="auto"/>
            <w:gridSpan w:val="3"/>
            <w:shd w:val="clear" w:color="auto" w:fill="FF9999" w:themeFill="accent3" w:themeFillTint="66"/>
          </w:tcPr>
          <w:p w:rsidR="00640486" w:rsidRPr="004C5551" w:rsidRDefault="00640486" w:rsidP="00B55E2C">
            <w:pPr>
              <w:jc w:val="center"/>
              <w:rPr>
                <w:b/>
                <w:bCs/>
                <w:color w:val="000000" w:themeColor="text1"/>
                <w:sz w:val="20"/>
                <w:szCs w:val="20"/>
              </w:rPr>
            </w:pPr>
            <w:r w:rsidRPr="004C5551">
              <w:rPr>
                <w:b/>
                <w:bCs/>
                <w:color w:val="000000" w:themeColor="text1"/>
                <w:sz w:val="20"/>
                <w:szCs w:val="20"/>
              </w:rPr>
              <w:t>rozdiel</w:t>
            </w:r>
          </w:p>
        </w:tc>
      </w:tr>
      <w:tr w:rsidR="005140F1" w:rsidRPr="004C5551" w:rsidTr="005140F1">
        <w:trPr>
          <w:trHeight w:val="20"/>
          <w:tblHeader/>
          <w:jc w:val="center"/>
        </w:trPr>
        <w:tc>
          <w:tcPr>
            <w:tcW w:w="8509" w:type="dxa"/>
            <w:vMerge/>
            <w:shd w:val="clear" w:color="auto" w:fill="FF9999" w:themeFill="accent3" w:themeFillTint="66"/>
            <w:noWrap/>
            <w:vAlign w:val="bottom"/>
            <w:hideMark/>
          </w:tcPr>
          <w:p w:rsidR="00640486" w:rsidRPr="004C5551" w:rsidRDefault="00640486" w:rsidP="00B55E2C">
            <w:pPr>
              <w:rPr>
                <w:b/>
                <w:bCs/>
                <w:color w:val="000000" w:themeColor="text1"/>
                <w:sz w:val="20"/>
                <w:szCs w:val="20"/>
              </w:rPr>
            </w:pP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Spolu</w:t>
            </w: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Muži</w:t>
            </w: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Ženy</w:t>
            </w: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Spolu</w:t>
            </w: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Muži</w:t>
            </w:r>
          </w:p>
        </w:tc>
        <w:tc>
          <w:tcPr>
            <w:tcW w:w="0" w:type="auto"/>
            <w:shd w:val="clear" w:color="auto" w:fill="FF9999" w:themeFill="accent3" w:themeFillTint="66"/>
            <w:noWrap/>
            <w:vAlign w:val="bottom"/>
            <w:hideMark/>
          </w:tcPr>
          <w:p w:rsidR="00640486" w:rsidRPr="004C5551" w:rsidRDefault="00640486" w:rsidP="00B55E2C">
            <w:pPr>
              <w:rPr>
                <w:b/>
                <w:bCs/>
                <w:color w:val="000000" w:themeColor="text1"/>
                <w:sz w:val="20"/>
                <w:szCs w:val="20"/>
              </w:rPr>
            </w:pPr>
            <w:r w:rsidRPr="004C5551">
              <w:rPr>
                <w:b/>
                <w:bCs/>
                <w:color w:val="000000" w:themeColor="text1"/>
                <w:sz w:val="20"/>
                <w:szCs w:val="20"/>
              </w:rPr>
              <w:t>Ženy</w:t>
            </w:r>
          </w:p>
        </w:tc>
        <w:tc>
          <w:tcPr>
            <w:tcW w:w="0" w:type="auto"/>
            <w:shd w:val="clear" w:color="auto" w:fill="FF9999" w:themeFill="accent3" w:themeFillTint="66"/>
            <w:vAlign w:val="bottom"/>
          </w:tcPr>
          <w:p w:rsidR="00640486" w:rsidRPr="004C5551" w:rsidRDefault="00640486" w:rsidP="00B55E2C">
            <w:pPr>
              <w:rPr>
                <w:b/>
                <w:bCs/>
                <w:color w:val="000000" w:themeColor="text1"/>
                <w:sz w:val="20"/>
                <w:szCs w:val="20"/>
              </w:rPr>
            </w:pPr>
            <w:r w:rsidRPr="004C5551">
              <w:rPr>
                <w:b/>
                <w:bCs/>
                <w:color w:val="000000" w:themeColor="text1"/>
                <w:sz w:val="20"/>
                <w:szCs w:val="20"/>
              </w:rPr>
              <w:t>Spolu</w:t>
            </w:r>
          </w:p>
        </w:tc>
        <w:tc>
          <w:tcPr>
            <w:tcW w:w="0" w:type="auto"/>
            <w:shd w:val="clear" w:color="auto" w:fill="FF9999" w:themeFill="accent3" w:themeFillTint="66"/>
            <w:vAlign w:val="bottom"/>
          </w:tcPr>
          <w:p w:rsidR="00640486" w:rsidRPr="004C5551" w:rsidRDefault="00640486" w:rsidP="00B55E2C">
            <w:pPr>
              <w:rPr>
                <w:b/>
                <w:bCs/>
                <w:color w:val="000000" w:themeColor="text1"/>
                <w:sz w:val="20"/>
                <w:szCs w:val="20"/>
              </w:rPr>
            </w:pPr>
            <w:r w:rsidRPr="004C5551">
              <w:rPr>
                <w:b/>
                <w:bCs/>
                <w:color w:val="000000" w:themeColor="text1"/>
                <w:sz w:val="20"/>
                <w:szCs w:val="20"/>
              </w:rPr>
              <w:t>Muži</w:t>
            </w:r>
          </w:p>
        </w:tc>
        <w:tc>
          <w:tcPr>
            <w:tcW w:w="0" w:type="auto"/>
            <w:shd w:val="clear" w:color="auto" w:fill="FF9999" w:themeFill="accent3" w:themeFillTint="66"/>
            <w:vAlign w:val="bottom"/>
          </w:tcPr>
          <w:p w:rsidR="00640486" w:rsidRPr="004C5551" w:rsidRDefault="00640486" w:rsidP="00B55E2C">
            <w:pPr>
              <w:rPr>
                <w:b/>
                <w:bCs/>
                <w:color w:val="000000" w:themeColor="text1"/>
                <w:sz w:val="20"/>
                <w:szCs w:val="20"/>
              </w:rPr>
            </w:pPr>
            <w:r w:rsidRPr="004C5551">
              <w:rPr>
                <w:b/>
                <w:bCs/>
                <w:color w:val="000000" w:themeColor="text1"/>
                <w:sz w:val="20"/>
                <w:szCs w:val="20"/>
              </w:rPr>
              <w:t>Ženy</w:t>
            </w:r>
          </w:p>
        </w:tc>
      </w:tr>
      <w:tr w:rsidR="00640486" w:rsidRPr="004C5551" w:rsidTr="001C4C0A">
        <w:trPr>
          <w:trHeight w:val="20"/>
          <w:jc w:val="center"/>
        </w:trPr>
        <w:tc>
          <w:tcPr>
            <w:tcW w:w="14438" w:type="dxa"/>
            <w:gridSpan w:val="10"/>
            <w:shd w:val="clear" w:color="auto" w:fill="FF9999" w:themeFill="accent3" w:themeFillTint="66"/>
            <w:vAlign w:val="center"/>
          </w:tcPr>
          <w:p w:rsidR="00640486" w:rsidRPr="004C5551" w:rsidRDefault="00640486" w:rsidP="00B55E2C">
            <w:pPr>
              <w:rPr>
                <w:b/>
                <w:color w:val="000000"/>
                <w:sz w:val="20"/>
                <w:szCs w:val="20"/>
              </w:rPr>
            </w:pPr>
            <w:r w:rsidRPr="004C5551">
              <w:rPr>
                <w:b/>
                <w:color w:val="000000" w:themeColor="text1"/>
                <w:sz w:val="20"/>
                <w:szCs w:val="20"/>
              </w:rPr>
              <w:t>Primárne indikátory</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Miera rizika chudoby podľa pohlavia (celá populácia)</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13,2</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13,2</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13,3</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12,8</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12,8</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12,9</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-0,4</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-0,4</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(0 </w:t>
            </w:r>
            <w:r w:rsidRPr="004C5551">
              <w:rPr>
                <w:color w:val="000000" w:themeColor="text1"/>
              </w:rPr>
              <w:t xml:space="preserve">– </w:t>
            </w:r>
            <w:r w:rsidRPr="004C5551">
              <w:rPr>
                <w:color w:val="000000" w:themeColor="text1"/>
                <w:sz w:val="20"/>
                <w:szCs w:val="20"/>
              </w:rPr>
              <w:t>5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21,4</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23,0</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19,2</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17,6</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18,6</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16,5</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-3,8</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-4,4</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-2,7</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(6 </w:t>
            </w:r>
            <w:r w:rsidRPr="004C5551">
              <w:rPr>
                <w:color w:val="000000" w:themeColor="text1"/>
              </w:rPr>
              <w:t xml:space="preserve">– </w:t>
            </w:r>
            <w:r w:rsidRPr="004C5551">
              <w:rPr>
                <w:color w:val="000000" w:themeColor="text1"/>
                <w:sz w:val="20"/>
                <w:szCs w:val="20"/>
              </w:rPr>
              <w:t>11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20,2</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18,7</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21,8</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22,4</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21,0</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24,1</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2,2</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2,3</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2,3</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(12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23,7</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23,6</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23,8</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20,7</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20,8</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20,7</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-3,0</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-2,8</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-3,1</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podľa pohlavia (0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21,9</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21,9</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22,0</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20,3</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20,2</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20,5</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-1,6</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-1,7</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-1,5</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podľa pohlavia (18 </w:t>
            </w:r>
            <w:r w:rsidRPr="004C5551">
              <w:rPr>
                <w:color w:val="000000" w:themeColor="text1"/>
              </w:rPr>
              <w:t xml:space="preserve">– </w:t>
            </w:r>
            <w:r w:rsidRPr="004C5551">
              <w:rPr>
                <w:color w:val="000000" w:themeColor="text1"/>
                <w:sz w:val="20"/>
                <w:szCs w:val="20"/>
              </w:rPr>
              <w:t>24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14,4</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13,0</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16,0</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15,1</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15,7</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14,5</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0,7</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2,7</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-1,5</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podľa pohlavia(25 </w:t>
            </w:r>
            <w:r w:rsidRPr="004C5551">
              <w:rPr>
                <w:color w:val="000000" w:themeColor="text1"/>
              </w:rPr>
              <w:t xml:space="preserve">– </w:t>
            </w:r>
            <w:r w:rsidRPr="004C5551">
              <w:rPr>
                <w:color w:val="000000" w:themeColor="text1"/>
                <w:sz w:val="20"/>
                <w:szCs w:val="20"/>
              </w:rPr>
              <w:t>54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12,4</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12,4</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12,3</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12,1</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11,5</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12,7</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-0,3</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-0,9</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0,4</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podľa pohlavia (55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10,2</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9,7</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10,6</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9,7</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9,7</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9,6</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-0,5</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0,0</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-1,0</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5C10C1">
            <w:pPr>
              <w:rPr>
                <w:color w:val="000000" w:themeColor="text1"/>
                <w:sz w:val="20"/>
                <w:szCs w:val="20"/>
              </w:rPr>
            </w:pPr>
            <w:r w:rsidRPr="004C5551">
              <w:rPr>
                <w:color w:val="000000" w:themeColor="text1"/>
                <w:sz w:val="20"/>
                <w:szCs w:val="20"/>
              </w:rPr>
              <w:t xml:space="preserve">Miera rizika chudoby podľa pohlavia (18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12,3</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12,1</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12,5</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12,1</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12,0</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12,3</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-0,2</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-0,2</w:t>
            </w:r>
          </w:p>
        </w:tc>
      </w:tr>
      <w:tr w:rsidR="005140F1"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Miera rizika chudoby podľa pohlavia (65+ roční)</w:t>
            </w:r>
          </w:p>
        </w:tc>
        <w:tc>
          <w:tcPr>
            <w:tcW w:w="0" w:type="auto"/>
            <w:shd w:val="clear" w:color="000000" w:fill="FFFFFF"/>
            <w:noWrap/>
            <w:vAlign w:val="center"/>
          </w:tcPr>
          <w:p w:rsidR="0060041A" w:rsidRPr="004C5551" w:rsidRDefault="0060041A" w:rsidP="0060041A">
            <w:pPr>
              <w:ind w:right="120"/>
              <w:jc w:val="right"/>
              <w:rPr>
                <w:b/>
                <w:bCs/>
                <w:color w:val="000000" w:themeColor="text1"/>
                <w:sz w:val="20"/>
                <w:szCs w:val="20"/>
              </w:rPr>
            </w:pPr>
            <w:r w:rsidRPr="004C5551">
              <w:rPr>
                <w:b/>
                <w:bCs/>
                <w:color w:val="000000" w:themeColor="text1"/>
                <w:sz w:val="20"/>
                <w:szCs w:val="20"/>
              </w:rPr>
              <w:t>7,8</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5,9</w:t>
            </w:r>
          </w:p>
        </w:tc>
        <w:tc>
          <w:tcPr>
            <w:tcW w:w="0" w:type="auto"/>
            <w:shd w:val="clear" w:color="000000" w:fill="FFFFFF"/>
            <w:noWrap/>
            <w:vAlign w:val="center"/>
          </w:tcPr>
          <w:p w:rsidR="0060041A" w:rsidRPr="004C5551" w:rsidRDefault="0060041A" w:rsidP="0060041A">
            <w:pPr>
              <w:ind w:right="120"/>
              <w:jc w:val="right"/>
              <w:rPr>
                <w:color w:val="000000" w:themeColor="text1"/>
                <w:sz w:val="20"/>
                <w:szCs w:val="20"/>
              </w:rPr>
            </w:pPr>
            <w:r w:rsidRPr="004C5551">
              <w:rPr>
                <w:color w:val="000000" w:themeColor="text1"/>
                <w:sz w:val="20"/>
                <w:szCs w:val="20"/>
              </w:rPr>
              <w:t>9,0</w:t>
            </w:r>
          </w:p>
        </w:tc>
        <w:tc>
          <w:tcPr>
            <w:tcW w:w="0" w:type="auto"/>
            <w:shd w:val="clear" w:color="000000" w:fill="FFFFFF"/>
            <w:noWrap/>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6,0</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3,3</w:t>
            </w:r>
          </w:p>
        </w:tc>
        <w:tc>
          <w:tcPr>
            <w:tcW w:w="0" w:type="auto"/>
            <w:shd w:val="clear" w:color="000000" w:fill="FFFFFF"/>
            <w:noWrap/>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7,6</w:t>
            </w:r>
          </w:p>
        </w:tc>
        <w:tc>
          <w:tcPr>
            <w:tcW w:w="0" w:type="auto"/>
            <w:shd w:val="clear" w:color="000000" w:fill="FFFFFF"/>
            <w:vAlign w:val="center"/>
          </w:tcPr>
          <w:p w:rsidR="0060041A" w:rsidRPr="004C5551" w:rsidRDefault="0060041A" w:rsidP="00B55E2C">
            <w:pPr>
              <w:ind w:right="120"/>
              <w:jc w:val="right"/>
              <w:rPr>
                <w:b/>
                <w:bCs/>
                <w:color w:val="000000" w:themeColor="text1"/>
                <w:sz w:val="20"/>
                <w:szCs w:val="20"/>
              </w:rPr>
            </w:pPr>
            <w:r w:rsidRPr="004C5551">
              <w:rPr>
                <w:b/>
                <w:bCs/>
                <w:color w:val="000000" w:themeColor="text1"/>
                <w:sz w:val="20"/>
                <w:szCs w:val="20"/>
              </w:rPr>
              <w:t>-1,8</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-2,6</w:t>
            </w:r>
          </w:p>
        </w:tc>
        <w:tc>
          <w:tcPr>
            <w:tcW w:w="0" w:type="auto"/>
            <w:shd w:val="clear" w:color="000000" w:fill="FFFFFF"/>
            <w:vAlign w:val="center"/>
          </w:tcPr>
          <w:p w:rsidR="0060041A" w:rsidRPr="004C5551" w:rsidRDefault="0060041A" w:rsidP="00B55E2C">
            <w:pPr>
              <w:ind w:right="120"/>
              <w:jc w:val="right"/>
              <w:rPr>
                <w:color w:val="000000" w:themeColor="text1"/>
                <w:sz w:val="20"/>
                <w:szCs w:val="20"/>
              </w:rPr>
            </w:pPr>
            <w:r w:rsidRPr="004C5551">
              <w:rPr>
                <w:color w:val="000000" w:themeColor="text1"/>
                <w:sz w:val="20"/>
                <w:szCs w:val="20"/>
              </w:rPr>
              <w:t>-1,4</w:t>
            </w:r>
          </w:p>
        </w:tc>
      </w:tr>
      <w:tr w:rsidR="0060041A"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 xml:space="preserve">Hranica rizika chudoby </w:t>
            </w:r>
            <w:r w:rsidRPr="004C5551">
              <w:rPr>
                <w:color w:val="000000" w:themeColor="text1"/>
              </w:rPr>
              <w:t>–</w:t>
            </w:r>
            <w:r w:rsidRPr="004C5551">
              <w:rPr>
                <w:color w:val="000000" w:themeColor="text1"/>
                <w:sz w:val="20"/>
                <w:szCs w:val="20"/>
              </w:rPr>
              <w:t xml:space="preserve"> domácnosť jednotlivca (</w:t>
            </w:r>
            <w:r w:rsidR="00AA0137" w:rsidRPr="004C5551">
              <w:rPr>
                <w:color w:val="000000" w:themeColor="text1"/>
                <w:sz w:val="20"/>
                <w:szCs w:val="20"/>
              </w:rPr>
              <w:t>€</w:t>
            </w:r>
            <w:r w:rsidRPr="004C5551">
              <w:rPr>
                <w:color w:val="000000" w:themeColor="text1"/>
                <w:sz w:val="20"/>
                <w:szCs w:val="20"/>
              </w:rPr>
              <w:t>)</w:t>
            </w:r>
          </w:p>
        </w:tc>
        <w:tc>
          <w:tcPr>
            <w:tcW w:w="0" w:type="auto"/>
            <w:gridSpan w:val="3"/>
            <w:shd w:val="clear" w:color="000000" w:fill="FFFFFF"/>
            <w:noWrap/>
            <w:vAlign w:val="center"/>
          </w:tcPr>
          <w:p w:rsidR="0060041A" w:rsidRPr="004C5551" w:rsidRDefault="0060041A" w:rsidP="0060041A">
            <w:pPr>
              <w:ind w:right="595"/>
              <w:jc w:val="right"/>
              <w:rPr>
                <w:b/>
                <w:bCs/>
                <w:color w:val="000000" w:themeColor="text1"/>
                <w:sz w:val="20"/>
                <w:szCs w:val="20"/>
              </w:rPr>
            </w:pPr>
            <w:r w:rsidRPr="004C5551">
              <w:rPr>
                <w:b/>
                <w:bCs/>
                <w:color w:val="000000" w:themeColor="text1"/>
                <w:sz w:val="20"/>
                <w:szCs w:val="20"/>
              </w:rPr>
              <w:t>4 156</w:t>
            </w:r>
          </w:p>
        </w:tc>
        <w:tc>
          <w:tcPr>
            <w:tcW w:w="0" w:type="auto"/>
            <w:gridSpan w:val="3"/>
            <w:shd w:val="clear" w:color="000000" w:fill="FFFFFF"/>
            <w:noWrap/>
            <w:vAlign w:val="center"/>
          </w:tcPr>
          <w:p w:rsidR="0060041A" w:rsidRPr="004C5551" w:rsidRDefault="0060041A" w:rsidP="00B55E2C">
            <w:pPr>
              <w:ind w:right="595"/>
              <w:jc w:val="right"/>
              <w:rPr>
                <w:b/>
                <w:bCs/>
                <w:color w:val="000000" w:themeColor="text1"/>
                <w:sz w:val="20"/>
                <w:szCs w:val="20"/>
              </w:rPr>
            </w:pPr>
            <w:r w:rsidRPr="004C5551">
              <w:rPr>
                <w:b/>
                <w:bCs/>
                <w:color w:val="000000" w:themeColor="text1"/>
                <w:sz w:val="20"/>
                <w:szCs w:val="20"/>
              </w:rPr>
              <w:t>4 042</w:t>
            </w:r>
          </w:p>
        </w:tc>
        <w:tc>
          <w:tcPr>
            <w:tcW w:w="0" w:type="auto"/>
            <w:gridSpan w:val="3"/>
            <w:shd w:val="clear" w:color="000000" w:fill="FFFFFF"/>
            <w:vAlign w:val="center"/>
          </w:tcPr>
          <w:p w:rsidR="0060041A" w:rsidRPr="004C5551" w:rsidRDefault="0060041A" w:rsidP="0060041A">
            <w:pPr>
              <w:ind w:right="502"/>
              <w:jc w:val="right"/>
              <w:rPr>
                <w:color w:val="000000"/>
                <w:sz w:val="20"/>
                <w:szCs w:val="20"/>
              </w:rPr>
            </w:pPr>
            <w:r w:rsidRPr="004C5551">
              <w:rPr>
                <w:color w:val="000000"/>
                <w:sz w:val="20"/>
                <w:szCs w:val="20"/>
              </w:rPr>
              <w:t>-114</w:t>
            </w:r>
          </w:p>
        </w:tc>
      </w:tr>
      <w:tr w:rsidR="0060041A"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 xml:space="preserve">Hranica rizika chudoby </w:t>
            </w:r>
            <w:r w:rsidRPr="004C5551">
              <w:rPr>
                <w:color w:val="000000" w:themeColor="text1"/>
              </w:rPr>
              <w:t>–</w:t>
            </w:r>
            <w:r w:rsidRPr="004C5551">
              <w:rPr>
                <w:color w:val="000000" w:themeColor="text1"/>
                <w:sz w:val="20"/>
                <w:szCs w:val="20"/>
              </w:rPr>
              <w:t xml:space="preserve"> domácnosť jednotlivca (PPS)</w:t>
            </w:r>
          </w:p>
        </w:tc>
        <w:tc>
          <w:tcPr>
            <w:tcW w:w="0" w:type="auto"/>
            <w:gridSpan w:val="3"/>
            <w:shd w:val="clear" w:color="000000" w:fill="FFFFFF"/>
            <w:noWrap/>
            <w:vAlign w:val="center"/>
          </w:tcPr>
          <w:p w:rsidR="0060041A" w:rsidRPr="004C5551" w:rsidRDefault="0060041A" w:rsidP="0060041A">
            <w:pPr>
              <w:ind w:right="595"/>
              <w:jc w:val="right"/>
              <w:rPr>
                <w:b/>
                <w:bCs/>
                <w:color w:val="000000" w:themeColor="text1"/>
                <w:sz w:val="20"/>
                <w:szCs w:val="20"/>
              </w:rPr>
            </w:pPr>
            <w:r w:rsidRPr="004C5551">
              <w:rPr>
                <w:b/>
                <w:bCs/>
                <w:color w:val="000000" w:themeColor="text1"/>
                <w:sz w:val="20"/>
                <w:szCs w:val="20"/>
              </w:rPr>
              <w:t>5 879</w:t>
            </w:r>
          </w:p>
        </w:tc>
        <w:tc>
          <w:tcPr>
            <w:tcW w:w="0" w:type="auto"/>
            <w:gridSpan w:val="3"/>
            <w:shd w:val="clear" w:color="000000" w:fill="FFFFFF"/>
            <w:noWrap/>
            <w:vAlign w:val="center"/>
          </w:tcPr>
          <w:p w:rsidR="0060041A" w:rsidRPr="004C5551" w:rsidRDefault="0060041A" w:rsidP="00B55E2C">
            <w:pPr>
              <w:ind w:right="595"/>
              <w:jc w:val="right"/>
              <w:rPr>
                <w:b/>
                <w:bCs/>
                <w:color w:val="000000" w:themeColor="text1"/>
                <w:sz w:val="20"/>
                <w:szCs w:val="20"/>
              </w:rPr>
            </w:pPr>
            <w:r w:rsidRPr="004C5551">
              <w:rPr>
                <w:b/>
                <w:bCs/>
                <w:color w:val="000000" w:themeColor="text1"/>
                <w:sz w:val="20"/>
                <w:szCs w:val="20"/>
              </w:rPr>
              <w:t>5 743</w:t>
            </w:r>
          </w:p>
        </w:tc>
        <w:tc>
          <w:tcPr>
            <w:tcW w:w="0" w:type="auto"/>
            <w:gridSpan w:val="3"/>
            <w:shd w:val="clear" w:color="000000" w:fill="FFFFFF"/>
            <w:vAlign w:val="center"/>
          </w:tcPr>
          <w:p w:rsidR="0060041A" w:rsidRPr="004C5551" w:rsidRDefault="0060041A" w:rsidP="0060041A">
            <w:pPr>
              <w:ind w:right="502"/>
              <w:jc w:val="right"/>
              <w:rPr>
                <w:color w:val="000000"/>
                <w:sz w:val="20"/>
                <w:szCs w:val="20"/>
              </w:rPr>
            </w:pPr>
            <w:r w:rsidRPr="004C5551">
              <w:rPr>
                <w:color w:val="000000"/>
                <w:sz w:val="20"/>
                <w:szCs w:val="20"/>
              </w:rPr>
              <w:t>-136</w:t>
            </w:r>
          </w:p>
        </w:tc>
      </w:tr>
      <w:tr w:rsidR="0060041A"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 xml:space="preserve">Hranica rizika chudoby </w:t>
            </w:r>
            <w:r w:rsidRPr="004C5551">
              <w:rPr>
                <w:color w:val="000000" w:themeColor="text1"/>
              </w:rPr>
              <w:t>–</w:t>
            </w:r>
            <w:r w:rsidRPr="004C5551">
              <w:rPr>
                <w:color w:val="000000" w:themeColor="text1"/>
                <w:sz w:val="20"/>
                <w:szCs w:val="20"/>
              </w:rPr>
              <w:t xml:space="preserve"> domácnosť 2 dospelí a 2 deti (</w:t>
            </w:r>
            <w:r w:rsidR="00AA0137" w:rsidRPr="004C5551">
              <w:rPr>
                <w:color w:val="000000" w:themeColor="text1"/>
                <w:sz w:val="20"/>
                <w:szCs w:val="20"/>
              </w:rPr>
              <w:t>€</w:t>
            </w:r>
            <w:r w:rsidRPr="004C5551">
              <w:rPr>
                <w:color w:val="000000" w:themeColor="text1"/>
                <w:sz w:val="20"/>
                <w:szCs w:val="20"/>
              </w:rPr>
              <w:t>)</w:t>
            </w:r>
          </w:p>
        </w:tc>
        <w:tc>
          <w:tcPr>
            <w:tcW w:w="0" w:type="auto"/>
            <w:gridSpan w:val="3"/>
            <w:shd w:val="clear" w:color="000000" w:fill="FFFFFF"/>
            <w:noWrap/>
            <w:vAlign w:val="center"/>
          </w:tcPr>
          <w:p w:rsidR="0060041A" w:rsidRPr="004C5551" w:rsidRDefault="0060041A" w:rsidP="0060041A">
            <w:pPr>
              <w:ind w:right="595"/>
              <w:jc w:val="right"/>
              <w:rPr>
                <w:b/>
                <w:bCs/>
                <w:color w:val="000000" w:themeColor="text1"/>
                <w:sz w:val="20"/>
                <w:szCs w:val="20"/>
              </w:rPr>
            </w:pPr>
            <w:r w:rsidRPr="004C5551">
              <w:rPr>
                <w:b/>
                <w:bCs/>
                <w:color w:val="000000" w:themeColor="text1"/>
                <w:sz w:val="20"/>
                <w:szCs w:val="20"/>
              </w:rPr>
              <w:t>8 728</w:t>
            </w:r>
          </w:p>
        </w:tc>
        <w:tc>
          <w:tcPr>
            <w:tcW w:w="0" w:type="auto"/>
            <w:gridSpan w:val="3"/>
            <w:shd w:val="clear" w:color="000000" w:fill="FFFFFF"/>
            <w:noWrap/>
            <w:vAlign w:val="center"/>
          </w:tcPr>
          <w:p w:rsidR="0060041A" w:rsidRPr="004C5551" w:rsidRDefault="0060041A" w:rsidP="00B55E2C">
            <w:pPr>
              <w:ind w:right="595"/>
              <w:jc w:val="right"/>
              <w:rPr>
                <w:b/>
                <w:bCs/>
                <w:color w:val="000000" w:themeColor="text1"/>
                <w:sz w:val="20"/>
                <w:szCs w:val="20"/>
              </w:rPr>
            </w:pPr>
            <w:r w:rsidRPr="004C5551">
              <w:rPr>
                <w:b/>
                <w:bCs/>
                <w:color w:val="000000" w:themeColor="text1"/>
                <w:sz w:val="20"/>
                <w:szCs w:val="20"/>
              </w:rPr>
              <w:t>8 749</w:t>
            </w:r>
          </w:p>
        </w:tc>
        <w:tc>
          <w:tcPr>
            <w:tcW w:w="0" w:type="auto"/>
            <w:gridSpan w:val="3"/>
            <w:shd w:val="clear" w:color="000000" w:fill="FFFFFF"/>
            <w:vAlign w:val="center"/>
          </w:tcPr>
          <w:p w:rsidR="0060041A" w:rsidRPr="004C5551" w:rsidRDefault="0060041A" w:rsidP="0060041A">
            <w:pPr>
              <w:ind w:right="502"/>
              <w:jc w:val="right"/>
              <w:rPr>
                <w:color w:val="000000"/>
                <w:sz w:val="20"/>
                <w:szCs w:val="20"/>
              </w:rPr>
            </w:pPr>
            <w:r w:rsidRPr="004C5551">
              <w:rPr>
                <w:color w:val="000000"/>
                <w:sz w:val="20"/>
                <w:szCs w:val="20"/>
              </w:rPr>
              <w:t>21</w:t>
            </w:r>
          </w:p>
        </w:tc>
      </w:tr>
      <w:tr w:rsidR="0060041A" w:rsidRPr="004C5551" w:rsidTr="005140F1">
        <w:trPr>
          <w:trHeight w:val="20"/>
          <w:jc w:val="center"/>
        </w:trPr>
        <w:tc>
          <w:tcPr>
            <w:tcW w:w="8509" w:type="dxa"/>
            <w:shd w:val="clear" w:color="000000" w:fill="FFFFFF"/>
            <w:vAlign w:val="center"/>
            <w:hideMark/>
          </w:tcPr>
          <w:p w:rsidR="0060041A" w:rsidRPr="004C5551" w:rsidRDefault="0060041A" w:rsidP="00B55E2C">
            <w:pPr>
              <w:rPr>
                <w:color w:val="000000" w:themeColor="text1"/>
                <w:sz w:val="20"/>
                <w:szCs w:val="20"/>
              </w:rPr>
            </w:pPr>
            <w:r w:rsidRPr="004C5551">
              <w:rPr>
                <w:color w:val="000000" w:themeColor="text1"/>
                <w:sz w:val="20"/>
                <w:szCs w:val="20"/>
              </w:rPr>
              <w:t xml:space="preserve">Hranica rizika chudoby </w:t>
            </w:r>
            <w:r w:rsidRPr="004C5551">
              <w:rPr>
                <w:color w:val="000000" w:themeColor="text1"/>
              </w:rPr>
              <w:t>–</w:t>
            </w:r>
            <w:r w:rsidRPr="004C5551">
              <w:rPr>
                <w:color w:val="000000" w:themeColor="text1"/>
                <w:sz w:val="20"/>
                <w:szCs w:val="20"/>
              </w:rPr>
              <w:t xml:space="preserve"> domácnosť 2 dospelí a 2 deti (PPS)</w:t>
            </w:r>
          </w:p>
        </w:tc>
        <w:tc>
          <w:tcPr>
            <w:tcW w:w="0" w:type="auto"/>
            <w:gridSpan w:val="3"/>
            <w:shd w:val="clear" w:color="000000" w:fill="FFFFFF"/>
            <w:noWrap/>
            <w:vAlign w:val="center"/>
          </w:tcPr>
          <w:p w:rsidR="0060041A" w:rsidRPr="004C5551" w:rsidRDefault="0060041A" w:rsidP="0060041A">
            <w:pPr>
              <w:ind w:right="595"/>
              <w:jc w:val="right"/>
              <w:rPr>
                <w:b/>
                <w:bCs/>
                <w:color w:val="000000" w:themeColor="text1"/>
                <w:sz w:val="20"/>
                <w:szCs w:val="20"/>
              </w:rPr>
            </w:pPr>
            <w:r w:rsidRPr="004C5551">
              <w:rPr>
                <w:b/>
                <w:bCs/>
                <w:color w:val="000000" w:themeColor="text1"/>
                <w:sz w:val="20"/>
                <w:szCs w:val="20"/>
              </w:rPr>
              <w:t>12 346</w:t>
            </w:r>
          </w:p>
        </w:tc>
        <w:tc>
          <w:tcPr>
            <w:tcW w:w="0" w:type="auto"/>
            <w:gridSpan w:val="3"/>
            <w:shd w:val="clear" w:color="000000" w:fill="FFFFFF"/>
            <w:noWrap/>
            <w:vAlign w:val="center"/>
          </w:tcPr>
          <w:p w:rsidR="0060041A" w:rsidRPr="004C5551" w:rsidRDefault="0060041A" w:rsidP="00B55E2C">
            <w:pPr>
              <w:ind w:right="595"/>
              <w:jc w:val="right"/>
              <w:rPr>
                <w:b/>
                <w:bCs/>
                <w:color w:val="000000" w:themeColor="text1"/>
                <w:sz w:val="20"/>
                <w:szCs w:val="20"/>
              </w:rPr>
            </w:pPr>
            <w:r w:rsidRPr="004C5551">
              <w:rPr>
                <w:b/>
                <w:bCs/>
                <w:color w:val="000000" w:themeColor="text1"/>
                <w:sz w:val="20"/>
                <w:szCs w:val="20"/>
              </w:rPr>
              <w:t>12 060</w:t>
            </w:r>
          </w:p>
        </w:tc>
        <w:tc>
          <w:tcPr>
            <w:tcW w:w="0" w:type="auto"/>
            <w:gridSpan w:val="3"/>
            <w:shd w:val="clear" w:color="000000" w:fill="FFFFFF"/>
            <w:vAlign w:val="center"/>
          </w:tcPr>
          <w:p w:rsidR="0060041A" w:rsidRPr="004C5551" w:rsidRDefault="0060041A" w:rsidP="0060041A">
            <w:pPr>
              <w:ind w:right="502"/>
              <w:jc w:val="right"/>
              <w:rPr>
                <w:color w:val="000000"/>
                <w:sz w:val="20"/>
                <w:szCs w:val="20"/>
              </w:rPr>
            </w:pPr>
            <w:r w:rsidRPr="004C5551">
              <w:rPr>
                <w:color w:val="000000"/>
                <w:sz w:val="20"/>
                <w:szCs w:val="20"/>
              </w:rPr>
              <w:t>-286</w:t>
            </w:r>
          </w:p>
        </w:tc>
      </w:tr>
      <w:tr w:rsidR="005140F1" w:rsidRPr="004C5551" w:rsidTr="005140F1">
        <w:trPr>
          <w:trHeight w:val="20"/>
          <w:jc w:val="center"/>
        </w:trPr>
        <w:tc>
          <w:tcPr>
            <w:tcW w:w="8509" w:type="dxa"/>
            <w:shd w:val="clear" w:color="000000" w:fill="FFFFFF"/>
            <w:vAlign w:val="center"/>
            <w:hideMark/>
          </w:tcPr>
          <w:p w:rsidR="00640486" w:rsidRPr="004C5551" w:rsidRDefault="00640486" w:rsidP="00B55E2C">
            <w:pPr>
              <w:rPr>
                <w:color w:val="000000" w:themeColor="text1"/>
                <w:sz w:val="20"/>
                <w:szCs w:val="20"/>
              </w:rPr>
            </w:pPr>
            <w:r w:rsidRPr="004C5551">
              <w:rPr>
                <w:color w:val="000000" w:themeColor="text1"/>
                <w:sz w:val="20"/>
                <w:szCs w:val="20"/>
              </w:rPr>
              <w:t>Pretrvávajúca miera rizika chudoby (celá populácia)</w:t>
            </w:r>
          </w:p>
        </w:tc>
        <w:tc>
          <w:tcPr>
            <w:tcW w:w="0" w:type="auto"/>
            <w:shd w:val="clear" w:color="000000" w:fill="FFFFFF"/>
            <w:noWrap/>
            <w:vAlign w:val="center"/>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8,6</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8,5</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8,7</w:t>
            </w:r>
          </w:p>
        </w:tc>
        <w:tc>
          <w:tcPr>
            <w:tcW w:w="0" w:type="auto"/>
            <w:shd w:val="clear" w:color="000000" w:fill="FFFFFF"/>
            <w:noWrap/>
            <w:vAlign w:val="center"/>
            <w:hideMark/>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7,1</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6,7</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7,4</w:t>
            </w:r>
          </w:p>
        </w:tc>
        <w:tc>
          <w:tcPr>
            <w:tcW w:w="0" w:type="auto"/>
            <w:shd w:val="clear" w:color="000000" w:fill="FFFFFF"/>
            <w:vAlign w:val="center"/>
          </w:tcPr>
          <w:p w:rsidR="00640486" w:rsidRPr="004C5551" w:rsidRDefault="0060041A" w:rsidP="00B55E2C">
            <w:pPr>
              <w:ind w:right="120"/>
              <w:jc w:val="right"/>
              <w:rPr>
                <w:b/>
                <w:bCs/>
                <w:color w:val="000000"/>
                <w:sz w:val="20"/>
                <w:szCs w:val="20"/>
              </w:rPr>
            </w:pPr>
            <w:r w:rsidRPr="004C5551">
              <w:rPr>
                <w:b/>
                <w:bCs/>
                <w:color w:val="000000"/>
                <w:sz w:val="20"/>
                <w:szCs w:val="20"/>
              </w:rPr>
              <w:t>-1,5</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-1,8</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-1,3</w:t>
            </w:r>
          </w:p>
        </w:tc>
      </w:tr>
      <w:tr w:rsidR="005140F1" w:rsidRPr="004C5551" w:rsidTr="005140F1">
        <w:trPr>
          <w:trHeight w:val="20"/>
          <w:jc w:val="center"/>
        </w:trPr>
        <w:tc>
          <w:tcPr>
            <w:tcW w:w="8509" w:type="dxa"/>
            <w:shd w:val="clear" w:color="000000" w:fill="FFFFFF"/>
            <w:vAlign w:val="center"/>
            <w:hideMark/>
          </w:tcPr>
          <w:p w:rsidR="00640486" w:rsidRPr="004C5551" w:rsidRDefault="00640486" w:rsidP="005C10C1">
            <w:pPr>
              <w:rPr>
                <w:color w:val="000000" w:themeColor="text1"/>
                <w:sz w:val="20"/>
                <w:szCs w:val="20"/>
              </w:rPr>
            </w:pPr>
            <w:r w:rsidRPr="004C5551">
              <w:rPr>
                <w:color w:val="000000" w:themeColor="text1"/>
                <w:sz w:val="20"/>
                <w:szCs w:val="20"/>
              </w:rPr>
              <w:t>Pretrvávajúca miera rizika chudoby (0</w:t>
            </w:r>
            <w:r w:rsidR="005C10C1" w:rsidRPr="004C5551">
              <w:rPr>
                <w:color w:val="000000" w:themeColor="text1"/>
                <w:sz w:val="20"/>
                <w:szCs w:val="20"/>
              </w:rPr>
              <w:t xml:space="preserve"> </w:t>
            </w:r>
            <w:r w:rsidR="005C10C1" w:rsidRPr="004C5551">
              <w:rPr>
                <w:color w:val="000000" w:themeColor="text1"/>
              </w:rPr>
              <w:t xml:space="preserve">– </w:t>
            </w:r>
            <w:r w:rsidRPr="004C5551">
              <w:rPr>
                <w:color w:val="000000" w:themeColor="text1"/>
                <w:sz w:val="20"/>
                <w:szCs w:val="20"/>
              </w:rPr>
              <w:t>17</w:t>
            </w:r>
            <w:r w:rsidR="00704644" w:rsidRPr="004C5551">
              <w:rPr>
                <w:color w:val="000000" w:themeColor="text1"/>
                <w:sz w:val="20"/>
                <w:szCs w:val="20"/>
              </w:rPr>
              <w:t xml:space="preserve"> roční</w:t>
            </w:r>
            <w:r w:rsidRPr="004C5551">
              <w:rPr>
                <w:color w:val="000000" w:themeColor="text1"/>
                <w:sz w:val="20"/>
                <w:szCs w:val="20"/>
              </w:rPr>
              <w:t>)</w:t>
            </w:r>
          </w:p>
        </w:tc>
        <w:tc>
          <w:tcPr>
            <w:tcW w:w="0" w:type="auto"/>
            <w:shd w:val="clear" w:color="000000" w:fill="FFFFFF"/>
            <w:noWrap/>
            <w:vAlign w:val="center"/>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16,3</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15,1</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17,5</w:t>
            </w:r>
          </w:p>
        </w:tc>
        <w:tc>
          <w:tcPr>
            <w:tcW w:w="0" w:type="auto"/>
            <w:shd w:val="clear" w:color="000000" w:fill="FFFFFF"/>
            <w:noWrap/>
            <w:vAlign w:val="center"/>
            <w:hideMark/>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11,0</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11,3</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10,5</w:t>
            </w:r>
          </w:p>
        </w:tc>
        <w:tc>
          <w:tcPr>
            <w:tcW w:w="0" w:type="auto"/>
            <w:shd w:val="clear" w:color="000000" w:fill="FFFFFF"/>
            <w:vAlign w:val="center"/>
          </w:tcPr>
          <w:p w:rsidR="00640486" w:rsidRPr="004C5551" w:rsidRDefault="0060041A" w:rsidP="00B55E2C">
            <w:pPr>
              <w:ind w:right="120"/>
              <w:jc w:val="right"/>
              <w:rPr>
                <w:b/>
                <w:bCs/>
                <w:color w:val="000000"/>
                <w:sz w:val="20"/>
                <w:szCs w:val="20"/>
              </w:rPr>
            </w:pPr>
            <w:r w:rsidRPr="004C5551">
              <w:rPr>
                <w:b/>
                <w:bCs/>
                <w:color w:val="000000"/>
                <w:sz w:val="20"/>
                <w:szCs w:val="20"/>
              </w:rPr>
              <w:t>-5,3</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-3,8</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-7,0</w:t>
            </w:r>
          </w:p>
        </w:tc>
      </w:tr>
      <w:tr w:rsidR="005140F1" w:rsidRPr="004C5551" w:rsidTr="005140F1">
        <w:trPr>
          <w:trHeight w:val="20"/>
          <w:jc w:val="center"/>
        </w:trPr>
        <w:tc>
          <w:tcPr>
            <w:tcW w:w="8509" w:type="dxa"/>
            <w:shd w:val="clear" w:color="000000" w:fill="FFFFFF"/>
            <w:vAlign w:val="center"/>
            <w:hideMark/>
          </w:tcPr>
          <w:p w:rsidR="00640486" w:rsidRPr="004C5551" w:rsidRDefault="00640486" w:rsidP="005C10C1">
            <w:pPr>
              <w:rPr>
                <w:color w:val="000000" w:themeColor="text1"/>
                <w:sz w:val="20"/>
                <w:szCs w:val="20"/>
              </w:rPr>
            </w:pPr>
            <w:r w:rsidRPr="004C5551">
              <w:rPr>
                <w:color w:val="000000" w:themeColor="text1"/>
                <w:sz w:val="20"/>
                <w:szCs w:val="20"/>
              </w:rPr>
              <w:t>Pretrvávajúca miera rizika chudoby (18</w:t>
            </w:r>
            <w:r w:rsidR="005C10C1" w:rsidRPr="004C5551">
              <w:rPr>
                <w:color w:val="000000" w:themeColor="text1"/>
                <w:sz w:val="20"/>
                <w:szCs w:val="20"/>
              </w:rPr>
              <w:t xml:space="preserve"> </w:t>
            </w:r>
            <w:r w:rsidR="005C10C1" w:rsidRPr="004C5551">
              <w:rPr>
                <w:color w:val="000000" w:themeColor="text1"/>
              </w:rPr>
              <w:t xml:space="preserve">– </w:t>
            </w:r>
            <w:r w:rsidRPr="004C5551">
              <w:rPr>
                <w:color w:val="000000" w:themeColor="text1"/>
                <w:sz w:val="20"/>
                <w:szCs w:val="20"/>
              </w:rPr>
              <w:t>64</w:t>
            </w:r>
            <w:r w:rsidR="00704644" w:rsidRPr="004C5551">
              <w:rPr>
                <w:color w:val="000000" w:themeColor="text1"/>
                <w:sz w:val="20"/>
                <w:szCs w:val="20"/>
              </w:rPr>
              <w:t xml:space="preserve"> roční</w:t>
            </w:r>
            <w:r w:rsidRPr="004C5551">
              <w:rPr>
                <w:color w:val="000000" w:themeColor="text1"/>
                <w:sz w:val="20"/>
                <w:szCs w:val="20"/>
              </w:rPr>
              <w:t>)</w:t>
            </w:r>
          </w:p>
        </w:tc>
        <w:tc>
          <w:tcPr>
            <w:tcW w:w="0" w:type="auto"/>
            <w:shd w:val="clear" w:color="000000" w:fill="FFFFFF"/>
            <w:noWrap/>
            <w:vAlign w:val="center"/>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8,2</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8,3</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8,0</w:t>
            </w:r>
          </w:p>
        </w:tc>
        <w:tc>
          <w:tcPr>
            <w:tcW w:w="0" w:type="auto"/>
            <w:shd w:val="clear" w:color="000000" w:fill="FFFFFF"/>
            <w:noWrap/>
            <w:vAlign w:val="center"/>
            <w:hideMark/>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6,9</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6,5</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7,3</w:t>
            </w:r>
          </w:p>
        </w:tc>
        <w:tc>
          <w:tcPr>
            <w:tcW w:w="0" w:type="auto"/>
            <w:shd w:val="clear" w:color="000000" w:fill="FFFFFF"/>
            <w:vAlign w:val="center"/>
          </w:tcPr>
          <w:p w:rsidR="00640486" w:rsidRPr="004C5551" w:rsidRDefault="0060041A" w:rsidP="00B55E2C">
            <w:pPr>
              <w:ind w:right="120"/>
              <w:jc w:val="right"/>
              <w:rPr>
                <w:b/>
                <w:bCs/>
                <w:color w:val="000000"/>
                <w:sz w:val="20"/>
                <w:szCs w:val="20"/>
              </w:rPr>
            </w:pPr>
            <w:r w:rsidRPr="004C5551">
              <w:rPr>
                <w:b/>
                <w:bCs/>
                <w:color w:val="000000"/>
                <w:sz w:val="20"/>
                <w:szCs w:val="20"/>
              </w:rPr>
              <w:t>-1,3</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-1,8</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-0,7</w:t>
            </w:r>
          </w:p>
        </w:tc>
      </w:tr>
      <w:tr w:rsidR="005140F1" w:rsidRPr="004C5551" w:rsidTr="005140F1">
        <w:trPr>
          <w:trHeight w:val="20"/>
          <w:jc w:val="center"/>
        </w:trPr>
        <w:tc>
          <w:tcPr>
            <w:tcW w:w="8509" w:type="dxa"/>
            <w:shd w:val="clear" w:color="000000" w:fill="FFFFFF"/>
            <w:vAlign w:val="center"/>
            <w:hideMark/>
          </w:tcPr>
          <w:p w:rsidR="00640486" w:rsidRPr="004C5551" w:rsidRDefault="00640486" w:rsidP="00B55E2C">
            <w:pPr>
              <w:rPr>
                <w:color w:val="000000" w:themeColor="text1"/>
                <w:sz w:val="20"/>
                <w:szCs w:val="20"/>
              </w:rPr>
            </w:pPr>
            <w:r w:rsidRPr="004C5551">
              <w:rPr>
                <w:color w:val="000000" w:themeColor="text1"/>
                <w:sz w:val="20"/>
                <w:szCs w:val="20"/>
              </w:rPr>
              <w:t>Pretrvávajúca miera rizika chudoby (65+</w:t>
            </w:r>
            <w:r w:rsidR="00704644" w:rsidRPr="004C5551">
              <w:rPr>
                <w:color w:val="000000" w:themeColor="text1"/>
                <w:sz w:val="20"/>
                <w:szCs w:val="20"/>
              </w:rPr>
              <w:t xml:space="preserve"> roční</w:t>
            </w:r>
            <w:r w:rsidRPr="004C5551">
              <w:rPr>
                <w:color w:val="000000" w:themeColor="text1"/>
                <w:sz w:val="20"/>
                <w:szCs w:val="20"/>
              </w:rPr>
              <w:t>)</w:t>
            </w:r>
          </w:p>
        </w:tc>
        <w:tc>
          <w:tcPr>
            <w:tcW w:w="0" w:type="auto"/>
            <w:shd w:val="clear" w:color="000000" w:fill="FFFFFF"/>
            <w:noWrap/>
            <w:vAlign w:val="center"/>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2,5</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0,5</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3,8</w:t>
            </w:r>
          </w:p>
        </w:tc>
        <w:tc>
          <w:tcPr>
            <w:tcW w:w="0" w:type="auto"/>
            <w:shd w:val="clear" w:color="000000" w:fill="FFFFFF"/>
            <w:noWrap/>
            <w:vAlign w:val="center"/>
            <w:hideMark/>
          </w:tcPr>
          <w:p w:rsidR="00640486" w:rsidRPr="004C5551" w:rsidRDefault="0060041A" w:rsidP="00B55E2C">
            <w:pPr>
              <w:ind w:right="120"/>
              <w:jc w:val="right"/>
              <w:rPr>
                <w:b/>
                <w:bCs/>
                <w:color w:val="000000" w:themeColor="text1"/>
                <w:sz w:val="20"/>
                <w:szCs w:val="20"/>
              </w:rPr>
            </w:pPr>
            <w:r w:rsidRPr="004C5551">
              <w:rPr>
                <w:b/>
                <w:bCs/>
                <w:color w:val="000000" w:themeColor="text1"/>
                <w:sz w:val="20"/>
                <w:szCs w:val="20"/>
              </w:rPr>
              <w:t>4,3</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1,8</w:t>
            </w:r>
          </w:p>
        </w:tc>
        <w:tc>
          <w:tcPr>
            <w:tcW w:w="0" w:type="auto"/>
            <w:shd w:val="clear" w:color="000000" w:fill="FFFFFF"/>
            <w:noWrap/>
            <w:vAlign w:val="center"/>
          </w:tcPr>
          <w:p w:rsidR="00640486" w:rsidRPr="004C5551" w:rsidRDefault="0060041A" w:rsidP="00B55E2C">
            <w:pPr>
              <w:ind w:right="120"/>
              <w:jc w:val="right"/>
              <w:rPr>
                <w:color w:val="000000" w:themeColor="text1"/>
                <w:sz w:val="20"/>
                <w:szCs w:val="20"/>
              </w:rPr>
            </w:pPr>
            <w:r w:rsidRPr="004C5551">
              <w:rPr>
                <w:color w:val="000000" w:themeColor="text1"/>
                <w:sz w:val="20"/>
                <w:szCs w:val="20"/>
              </w:rPr>
              <w:t>5,8</w:t>
            </w:r>
          </w:p>
        </w:tc>
        <w:tc>
          <w:tcPr>
            <w:tcW w:w="0" w:type="auto"/>
            <w:shd w:val="clear" w:color="000000" w:fill="FFFFFF"/>
            <w:vAlign w:val="center"/>
          </w:tcPr>
          <w:p w:rsidR="00640486" w:rsidRPr="004C5551" w:rsidRDefault="0060041A" w:rsidP="00B55E2C">
            <w:pPr>
              <w:ind w:right="120"/>
              <w:jc w:val="right"/>
              <w:rPr>
                <w:b/>
                <w:bCs/>
                <w:color w:val="000000"/>
                <w:sz w:val="20"/>
                <w:szCs w:val="20"/>
              </w:rPr>
            </w:pPr>
            <w:r w:rsidRPr="004C5551">
              <w:rPr>
                <w:b/>
                <w:bCs/>
                <w:color w:val="000000"/>
                <w:sz w:val="20"/>
                <w:szCs w:val="20"/>
              </w:rPr>
              <w:t>1,8</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1,3</w:t>
            </w:r>
          </w:p>
        </w:tc>
        <w:tc>
          <w:tcPr>
            <w:tcW w:w="0" w:type="auto"/>
            <w:shd w:val="clear" w:color="000000" w:fill="FFFFFF"/>
            <w:vAlign w:val="center"/>
          </w:tcPr>
          <w:p w:rsidR="00640486" w:rsidRPr="004C5551" w:rsidRDefault="0060041A" w:rsidP="00B55E2C">
            <w:pPr>
              <w:ind w:right="120"/>
              <w:jc w:val="right"/>
              <w:rPr>
                <w:color w:val="000000"/>
                <w:sz w:val="20"/>
                <w:szCs w:val="20"/>
              </w:rPr>
            </w:pPr>
            <w:r w:rsidRPr="004C5551">
              <w:rPr>
                <w:color w:val="000000"/>
                <w:sz w:val="20"/>
                <w:szCs w:val="20"/>
              </w:rPr>
              <w:t>2,0</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B55E2C">
            <w:pPr>
              <w:rPr>
                <w:color w:val="000000" w:themeColor="text1"/>
                <w:sz w:val="20"/>
                <w:szCs w:val="20"/>
              </w:rPr>
            </w:pPr>
            <w:r w:rsidRPr="004C5551">
              <w:rPr>
                <w:color w:val="000000" w:themeColor="text1"/>
                <w:sz w:val="20"/>
                <w:szCs w:val="20"/>
              </w:rPr>
              <w:t>Relatívny prepad mediánu príjmov v riziku chudoby (celá populácia)</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20,5</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20,5</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20,6</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24,1</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25,5</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23,0</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3,6</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5,0</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2,4</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Relatívny prepad mediánu príjmov v riziku chudoby (0 </w:t>
            </w:r>
            <w:r w:rsidRPr="004C5551">
              <w:rPr>
                <w:color w:val="000000" w:themeColor="text1"/>
              </w:rPr>
              <w:t xml:space="preserve">– </w:t>
            </w:r>
            <w:r w:rsidRPr="004C5551">
              <w:rPr>
                <w:color w:val="000000" w:themeColor="text1"/>
                <w:sz w:val="20"/>
                <w:szCs w:val="20"/>
              </w:rPr>
              <w:t>5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25,2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23,5</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26,9u</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29,8</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25,5</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29,8u</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4,6</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Relatívny prepad mediánu príjmov v riziku chudoby (6 </w:t>
            </w:r>
            <w:r w:rsidRPr="004C5551">
              <w:rPr>
                <w:color w:val="000000" w:themeColor="text1"/>
              </w:rPr>
              <w:t xml:space="preserve">– </w:t>
            </w:r>
            <w:r w:rsidRPr="004C5551">
              <w:rPr>
                <w:color w:val="000000" w:themeColor="text1"/>
                <w:sz w:val="20"/>
                <w:szCs w:val="20"/>
              </w:rPr>
              <w:t>11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28,9</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28,9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29,8</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29,9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31,9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22,2</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1,0</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3,0</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-7,6</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Relatívny prepad mediánu príjmov v riziku chudoby (12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21,2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21,2</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21,2</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29,9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29,8</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31,7</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8,7</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8,6</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10,5</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Relatívny prepad mediánu príjmov v riziku chudoby (0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24,0</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23,3</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25,2</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28,9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29,8</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29,8</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4,9</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6,5</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4,6</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Relatívny prepad mediánu príjmov v riziku chudoby (18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21,2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21,2</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21,4</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24,4</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24,9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24,1</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3,2</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2,7</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B55E2C">
            <w:pPr>
              <w:rPr>
                <w:color w:val="000000" w:themeColor="text1"/>
                <w:sz w:val="20"/>
                <w:szCs w:val="20"/>
              </w:rPr>
            </w:pPr>
            <w:r w:rsidRPr="004C5551">
              <w:rPr>
                <w:color w:val="000000" w:themeColor="text1"/>
                <w:sz w:val="20"/>
                <w:szCs w:val="20"/>
              </w:rPr>
              <w:t>Relatívny prepad mediánu príjmov v riziku chudoby (65+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12,4</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10,4u</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14,1</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7,9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5,6u</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9,3</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-4,5</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-4,8</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-4,8</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B55E2C">
            <w:pPr>
              <w:rPr>
                <w:color w:val="000000" w:themeColor="text1"/>
                <w:sz w:val="20"/>
                <w:szCs w:val="20"/>
              </w:rPr>
            </w:pPr>
            <w:r w:rsidRPr="004C5551">
              <w:rPr>
                <w:color w:val="000000" w:themeColor="text1"/>
                <w:sz w:val="20"/>
                <w:szCs w:val="20"/>
              </w:rPr>
              <w:t>Dlhodobá miera nezamestnanosti</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9,4</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9,3</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9,5</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10,0</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10,0</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9,9</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0,6</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0,4</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(populácia 0 </w:t>
            </w:r>
            <w:r w:rsidRPr="004C5551">
              <w:rPr>
                <w:color w:val="000000" w:themeColor="text1"/>
              </w:rPr>
              <w:t xml:space="preserve">– </w:t>
            </w:r>
            <w:r w:rsidRPr="004C5551">
              <w:rPr>
                <w:color w:val="000000" w:themeColor="text1"/>
                <w:sz w:val="20"/>
                <w:szCs w:val="20"/>
              </w:rPr>
              <w:t>59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7,2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7,0</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7,5</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7,6</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7,2</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0,4</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0,4</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(0 </w:t>
            </w:r>
            <w:r w:rsidRPr="004C5551">
              <w:rPr>
                <w:color w:val="000000" w:themeColor="text1"/>
              </w:rPr>
              <w:t xml:space="preserve">– </w:t>
            </w:r>
            <w:r w:rsidRPr="004C5551">
              <w:rPr>
                <w:color w:val="000000" w:themeColor="text1"/>
                <w:sz w:val="20"/>
                <w:szCs w:val="20"/>
              </w:rPr>
              <w:t>5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7,0</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7,6</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6,2</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7,7</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7,6</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0,7</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0,0</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1,7</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(6 </w:t>
            </w:r>
            <w:r w:rsidRPr="004C5551">
              <w:rPr>
                <w:color w:val="000000" w:themeColor="text1"/>
              </w:rPr>
              <w:t xml:space="preserve">– </w:t>
            </w:r>
            <w:r w:rsidRPr="004C5551">
              <w:rPr>
                <w:color w:val="000000" w:themeColor="text1"/>
                <w:sz w:val="20"/>
                <w:szCs w:val="20"/>
              </w:rPr>
              <w:t>11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6,2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6,5</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5,9</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7,7</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6,8</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8,8</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1,5</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2,9</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(12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8,1</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9,3</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6,7</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9,6</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9,2</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10,2</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1,5</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3,5</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(0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7,2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6,3</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8,4</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8,0</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9,0</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1,2</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2,7</w:t>
            </w:r>
          </w:p>
        </w:tc>
      </w:tr>
      <w:tr w:rsidR="00291FD2" w:rsidRPr="004C5551" w:rsidTr="005140F1">
        <w:trPr>
          <w:trHeight w:val="20"/>
          <w:jc w:val="center"/>
        </w:trPr>
        <w:tc>
          <w:tcPr>
            <w:tcW w:w="8509" w:type="dxa"/>
            <w:shd w:val="clear" w:color="000000" w:fill="FFFFFF"/>
            <w:vAlign w:val="center"/>
            <w:hideMark/>
          </w:tcPr>
          <w:p w:rsidR="00E97636" w:rsidRPr="004C5551" w:rsidRDefault="00E97636" w:rsidP="005C10C1">
            <w:pPr>
              <w:rPr>
                <w:color w:val="000000" w:themeColor="text1"/>
                <w:sz w:val="20"/>
                <w:szCs w:val="20"/>
              </w:rPr>
            </w:pPr>
            <w:r w:rsidRPr="004C5551">
              <w:rPr>
                <w:color w:val="000000" w:themeColor="text1"/>
                <w:sz w:val="20"/>
                <w:szCs w:val="20"/>
              </w:rPr>
              <w:t xml:space="preserve">Populácia žijúca v domácnostiach s veľmi nízkou pracovnou intenzitou (18 </w:t>
            </w:r>
            <w:r w:rsidRPr="004C5551">
              <w:rPr>
                <w:color w:val="000000" w:themeColor="text1"/>
              </w:rPr>
              <w:t xml:space="preserve">– </w:t>
            </w:r>
            <w:r w:rsidRPr="004C5551">
              <w:rPr>
                <w:color w:val="000000" w:themeColor="text1"/>
                <w:sz w:val="20"/>
                <w:szCs w:val="20"/>
              </w:rPr>
              <w:t>59 roční)</w:t>
            </w:r>
          </w:p>
        </w:tc>
        <w:tc>
          <w:tcPr>
            <w:tcW w:w="0" w:type="auto"/>
            <w:shd w:val="clear" w:color="000000" w:fill="FFFFFF"/>
            <w:noWrap/>
            <w:vAlign w:val="center"/>
          </w:tcPr>
          <w:p w:rsidR="00E97636" w:rsidRPr="004C5551" w:rsidRDefault="00E97636" w:rsidP="005140F1">
            <w:pPr>
              <w:ind w:right="120"/>
              <w:jc w:val="right"/>
              <w:rPr>
                <w:b/>
                <w:bCs/>
                <w:color w:val="000000" w:themeColor="text1"/>
                <w:sz w:val="20"/>
                <w:szCs w:val="20"/>
              </w:rPr>
            </w:pPr>
            <w:r w:rsidRPr="004C5551">
              <w:rPr>
                <w:b/>
                <w:bCs/>
                <w:color w:val="000000" w:themeColor="text1"/>
                <w:sz w:val="20"/>
                <w:szCs w:val="20"/>
              </w:rPr>
              <w:t>7,2</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6,8</w:t>
            </w:r>
          </w:p>
        </w:tc>
        <w:tc>
          <w:tcPr>
            <w:tcW w:w="0" w:type="auto"/>
            <w:shd w:val="clear" w:color="000000" w:fill="FFFFFF"/>
            <w:noWrap/>
            <w:vAlign w:val="center"/>
          </w:tcPr>
          <w:p w:rsidR="00E97636" w:rsidRPr="004C5551" w:rsidRDefault="00E97636" w:rsidP="005140F1">
            <w:pPr>
              <w:ind w:right="120"/>
              <w:jc w:val="right"/>
              <w:rPr>
                <w:color w:val="000000" w:themeColor="text1"/>
                <w:sz w:val="20"/>
                <w:szCs w:val="20"/>
              </w:rPr>
            </w:pPr>
            <w:r w:rsidRPr="004C5551">
              <w:rPr>
                <w:color w:val="000000" w:themeColor="text1"/>
                <w:sz w:val="20"/>
                <w:szCs w:val="20"/>
              </w:rPr>
              <w:t>7,7</w:t>
            </w:r>
          </w:p>
        </w:tc>
        <w:tc>
          <w:tcPr>
            <w:tcW w:w="0" w:type="auto"/>
            <w:shd w:val="clear" w:color="000000" w:fill="FFFFFF"/>
            <w:noWrap/>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7,3</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6,9</w:t>
            </w:r>
          </w:p>
        </w:tc>
        <w:tc>
          <w:tcPr>
            <w:tcW w:w="0" w:type="auto"/>
            <w:shd w:val="clear" w:color="000000" w:fill="FFFFFF"/>
            <w:noWrap/>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6,1</w:t>
            </w:r>
          </w:p>
        </w:tc>
        <w:tc>
          <w:tcPr>
            <w:tcW w:w="0" w:type="auto"/>
            <w:shd w:val="clear" w:color="000000" w:fill="FFFFFF"/>
            <w:vAlign w:val="center"/>
          </w:tcPr>
          <w:p w:rsidR="00E97636" w:rsidRPr="004C5551" w:rsidRDefault="00E97636" w:rsidP="00B55E2C">
            <w:pPr>
              <w:ind w:right="120"/>
              <w:jc w:val="right"/>
              <w:rPr>
                <w:b/>
                <w:bCs/>
                <w:color w:val="000000" w:themeColor="text1"/>
                <w:sz w:val="20"/>
                <w:szCs w:val="20"/>
              </w:rPr>
            </w:pPr>
            <w:r w:rsidRPr="004C5551">
              <w:rPr>
                <w:b/>
                <w:bCs/>
                <w:color w:val="000000" w:themeColor="text1"/>
                <w:sz w:val="20"/>
                <w:szCs w:val="20"/>
              </w:rPr>
              <w:t>0,1</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E97636" w:rsidRPr="004C5551" w:rsidRDefault="00E97636" w:rsidP="00B55E2C">
            <w:pPr>
              <w:ind w:right="120"/>
              <w:jc w:val="right"/>
              <w:rPr>
                <w:color w:val="000000" w:themeColor="text1"/>
                <w:sz w:val="20"/>
                <w:szCs w:val="20"/>
              </w:rPr>
            </w:pPr>
            <w:r w:rsidRPr="004C5551">
              <w:rPr>
                <w:color w:val="000000" w:themeColor="text1"/>
                <w:sz w:val="20"/>
                <w:szCs w:val="20"/>
              </w:rPr>
              <w:t>-1,6</w:t>
            </w:r>
          </w:p>
        </w:tc>
      </w:tr>
      <w:tr w:rsidR="00E97636" w:rsidRPr="004C5551" w:rsidTr="005140F1">
        <w:trPr>
          <w:trHeight w:val="20"/>
          <w:jc w:val="center"/>
        </w:trPr>
        <w:tc>
          <w:tcPr>
            <w:tcW w:w="8509" w:type="dxa"/>
            <w:shd w:val="clear" w:color="000000" w:fill="FFFFFF"/>
            <w:vAlign w:val="center"/>
          </w:tcPr>
          <w:p w:rsidR="00E97636" w:rsidRPr="004C5551" w:rsidRDefault="00E97636" w:rsidP="00291FD2">
            <w:pPr>
              <w:rPr>
                <w:color w:val="000000" w:themeColor="text1"/>
                <w:sz w:val="20"/>
                <w:szCs w:val="20"/>
              </w:rPr>
            </w:pPr>
            <w:r w:rsidRPr="004C5551">
              <w:rPr>
                <w:color w:val="000000" w:themeColor="text1"/>
                <w:sz w:val="20"/>
                <w:szCs w:val="20"/>
              </w:rPr>
              <w:t xml:space="preserve">Deti žijúce v domácnostiach bez zamestnania (0 – 17 </w:t>
            </w:r>
            <w:r w:rsidR="00291FD2" w:rsidRPr="004C5551">
              <w:rPr>
                <w:color w:val="000000" w:themeColor="text1"/>
                <w:sz w:val="20"/>
                <w:szCs w:val="20"/>
              </w:rPr>
              <w:t>ročné</w:t>
            </w:r>
            <w:r w:rsidRPr="004C5551">
              <w:rPr>
                <w:color w:val="000000" w:themeColor="text1"/>
                <w:sz w:val="20"/>
                <w:szCs w:val="20"/>
              </w:rPr>
              <w:t>)</w:t>
            </w:r>
          </w:p>
        </w:tc>
        <w:tc>
          <w:tcPr>
            <w:tcW w:w="0" w:type="auto"/>
            <w:gridSpan w:val="3"/>
            <w:shd w:val="clear" w:color="000000" w:fill="FFFFFF"/>
            <w:noWrap/>
            <w:vAlign w:val="center"/>
          </w:tcPr>
          <w:p w:rsidR="00E97636" w:rsidRPr="004C5551" w:rsidRDefault="00E97636" w:rsidP="00E97636">
            <w:pPr>
              <w:ind w:right="120"/>
              <w:jc w:val="center"/>
              <w:rPr>
                <w:b/>
                <w:color w:val="000000" w:themeColor="text1"/>
                <w:sz w:val="20"/>
                <w:szCs w:val="20"/>
              </w:rPr>
            </w:pPr>
            <w:r w:rsidRPr="004C5551">
              <w:rPr>
                <w:b/>
                <w:color w:val="000000" w:themeColor="text1"/>
                <w:sz w:val="20"/>
                <w:szCs w:val="20"/>
              </w:rPr>
              <w:t>9,9</w:t>
            </w:r>
          </w:p>
        </w:tc>
        <w:tc>
          <w:tcPr>
            <w:tcW w:w="0" w:type="auto"/>
            <w:gridSpan w:val="3"/>
            <w:shd w:val="clear" w:color="000000" w:fill="FFFFFF"/>
            <w:noWrap/>
            <w:vAlign w:val="center"/>
          </w:tcPr>
          <w:p w:rsidR="00E97636" w:rsidRPr="004C5551" w:rsidRDefault="00E97636" w:rsidP="00E97636">
            <w:pPr>
              <w:ind w:right="120"/>
              <w:jc w:val="center"/>
              <w:rPr>
                <w:b/>
                <w:color w:val="000000" w:themeColor="text1"/>
                <w:sz w:val="20"/>
                <w:szCs w:val="20"/>
              </w:rPr>
            </w:pPr>
            <w:r w:rsidRPr="004C5551">
              <w:rPr>
                <w:b/>
                <w:color w:val="000000" w:themeColor="text1"/>
                <w:sz w:val="20"/>
                <w:szCs w:val="20"/>
              </w:rPr>
              <w:t>10,4</w:t>
            </w:r>
          </w:p>
        </w:tc>
        <w:tc>
          <w:tcPr>
            <w:tcW w:w="0" w:type="auto"/>
            <w:gridSpan w:val="3"/>
            <w:shd w:val="clear" w:color="000000" w:fill="FFFFFF"/>
            <w:vAlign w:val="center"/>
          </w:tcPr>
          <w:p w:rsidR="00E97636" w:rsidRPr="004C5551" w:rsidRDefault="00E97636" w:rsidP="00E97636">
            <w:pPr>
              <w:ind w:right="120"/>
              <w:jc w:val="center"/>
              <w:rPr>
                <w:color w:val="000000" w:themeColor="text1"/>
                <w:sz w:val="20"/>
                <w:szCs w:val="20"/>
              </w:rPr>
            </w:pPr>
            <w:r w:rsidRPr="004C5551">
              <w:rPr>
                <w:color w:val="000000" w:themeColor="text1"/>
                <w:sz w:val="20"/>
                <w:szCs w:val="20"/>
              </w:rPr>
              <w:t>0,5</w:t>
            </w:r>
          </w:p>
        </w:tc>
      </w:tr>
      <w:tr w:rsidR="005140F1" w:rsidRPr="004C5551" w:rsidTr="005140F1">
        <w:trPr>
          <w:trHeight w:val="20"/>
          <w:jc w:val="center"/>
        </w:trPr>
        <w:tc>
          <w:tcPr>
            <w:tcW w:w="8509" w:type="dxa"/>
            <w:shd w:val="clear" w:color="000000" w:fill="FFFFFF"/>
            <w:vAlign w:val="center"/>
          </w:tcPr>
          <w:p w:rsidR="00E97636" w:rsidRPr="004C5551" w:rsidRDefault="00291FD2" w:rsidP="005C10C1">
            <w:pPr>
              <w:rPr>
                <w:color w:val="000000" w:themeColor="text1"/>
                <w:sz w:val="20"/>
                <w:szCs w:val="20"/>
              </w:rPr>
            </w:pPr>
            <w:r w:rsidRPr="004C5551">
              <w:rPr>
                <w:color w:val="000000" w:themeColor="text1"/>
                <w:sz w:val="20"/>
                <w:szCs w:val="20"/>
              </w:rPr>
              <w:t xml:space="preserve">Populácia žijúca v domácnostiach bez zamestnania (18 </w:t>
            </w:r>
            <w:r w:rsidRPr="004C5551">
              <w:rPr>
                <w:color w:val="000000" w:themeColor="text1"/>
              </w:rPr>
              <w:t xml:space="preserve">– </w:t>
            </w:r>
            <w:r w:rsidRPr="004C5551">
              <w:rPr>
                <w:color w:val="000000" w:themeColor="text1"/>
                <w:sz w:val="20"/>
                <w:szCs w:val="20"/>
              </w:rPr>
              <w:t>59 roční)</w:t>
            </w:r>
          </w:p>
        </w:tc>
        <w:tc>
          <w:tcPr>
            <w:tcW w:w="0" w:type="auto"/>
            <w:shd w:val="clear" w:color="000000" w:fill="FFFFFF"/>
            <w:noWrap/>
            <w:vAlign w:val="center"/>
          </w:tcPr>
          <w:p w:rsidR="00E97636" w:rsidRPr="004C5551" w:rsidRDefault="00291FD2" w:rsidP="005140F1">
            <w:pPr>
              <w:ind w:right="120"/>
              <w:jc w:val="right"/>
              <w:rPr>
                <w:b/>
                <w:bCs/>
                <w:color w:val="000000" w:themeColor="text1"/>
                <w:sz w:val="20"/>
                <w:szCs w:val="20"/>
              </w:rPr>
            </w:pPr>
            <w:r w:rsidRPr="004C5551">
              <w:rPr>
                <w:b/>
                <w:bCs/>
                <w:color w:val="000000" w:themeColor="text1"/>
                <w:sz w:val="20"/>
                <w:szCs w:val="20"/>
              </w:rPr>
              <w:t>8,4b</w:t>
            </w:r>
          </w:p>
        </w:tc>
        <w:tc>
          <w:tcPr>
            <w:tcW w:w="0" w:type="auto"/>
            <w:shd w:val="clear" w:color="000000" w:fill="FFFFFF"/>
            <w:noWrap/>
            <w:vAlign w:val="center"/>
          </w:tcPr>
          <w:p w:rsidR="00E97636" w:rsidRPr="004C5551" w:rsidRDefault="00291FD2" w:rsidP="005140F1">
            <w:pPr>
              <w:ind w:right="120"/>
              <w:jc w:val="right"/>
              <w:rPr>
                <w:color w:val="000000" w:themeColor="text1"/>
                <w:sz w:val="20"/>
                <w:szCs w:val="20"/>
              </w:rPr>
            </w:pPr>
            <w:r w:rsidRPr="004C5551">
              <w:rPr>
                <w:color w:val="000000" w:themeColor="text1"/>
                <w:sz w:val="20"/>
                <w:szCs w:val="20"/>
              </w:rPr>
              <w:t>7,9b</w:t>
            </w:r>
          </w:p>
        </w:tc>
        <w:tc>
          <w:tcPr>
            <w:tcW w:w="0" w:type="auto"/>
            <w:shd w:val="clear" w:color="000000" w:fill="FFFFFF"/>
            <w:noWrap/>
            <w:vAlign w:val="center"/>
          </w:tcPr>
          <w:p w:rsidR="00E97636" w:rsidRPr="004C5551" w:rsidRDefault="00291FD2" w:rsidP="005140F1">
            <w:pPr>
              <w:ind w:right="120"/>
              <w:jc w:val="right"/>
              <w:rPr>
                <w:color w:val="000000" w:themeColor="text1"/>
                <w:sz w:val="20"/>
                <w:szCs w:val="20"/>
              </w:rPr>
            </w:pPr>
            <w:r w:rsidRPr="004C5551">
              <w:rPr>
                <w:color w:val="000000" w:themeColor="text1"/>
                <w:sz w:val="20"/>
                <w:szCs w:val="20"/>
              </w:rPr>
              <w:t>8,8b</w:t>
            </w:r>
          </w:p>
        </w:tc>
        <w:tc>
          <w:tcPr>
            <w:tcW w:w="0" w:type="auto"/>
            <w:shd w:val="clear" w:color="000000" w:fill="FFFFFF"/>
            <w:noWrap/>
            <w:vAlign w:val="center"/>
          </w:tcPr>
          <w:p w:rsidR="00E97636" w:rsidRPr="004C5551" w:rsidRDefault="00291FD2" w:rsidP="00B55E2C">
            <w:pPr>
              <w:ind w:right="120"/>
              <w:jc w:val="right"/>
              <w:rPr>
                <w:b/>
                <w:bCs/>
                <w:color w:val="000000" w:themeColor="text1"/>
                <w:sz w:val="20"/>
                <w:szCs w:val="20"/>
              </w:rPr>
            </w:pPr>
            <w:r w:rsidRPr="004C5551">
              <w:rPr>
                <w:b/>
                <w:bCs/>
                <w:color w:val="000000" w:themeColor="text1"/>
                <w:sz w:val="20"/>
                <w:szCs w:val="20"/>
              </w:rPr>
              <w:t>8,6</w:t>
            </w:r>
          </w:p>
        </w:tc>
        <w:tc>
          <w:tcPr>
            <w:tcW w:w="0" w:type="auto"/>
            <w:shd w:val="clear" w:color="000000" w:fill="FFFFFF"/>
            <w:noWrap/>
            <w:vAlign w:val="center"/>
          </w:tcPr>
          <w:p w:rsidR="00E97636" w:rsidRPr="004C5551" w:rsidRDefault="00291FD2" w:rsidP="00B55E2C">
            <w:pPr>
              <w:ind w:right="120"/>
              <w:jc w:val="right"/>
              <w:rPr>
                <w:color w:val="000000" w:themeColor="text1"/>
                <w:sz w:val="20"/>
                <w:szCs w:val="20"/>
              </w:rPr>
            </w:pPr>
            <w:r w:rsidRPr="004C5551">
              <w:rPr>
                <w:color w:val="000000" w:themeColor="text1"/>
                <w:sz w:val="20"/>
                <w:szCs w:val="20"/>
              </w:rPr>
              <w:t>8,5</w:t>
            </w:r>
          </w:p>
        </w:tc>
        <w:tc>
          <w:tcPr>
            <w:tcW w:w="0" w:type="auto"/>
            <w:shd w:val="clear" w:color="000000" w:fill="FFFFFF"/>
            <w:noWrap/>
            <w:vAlign w:val="center"/>
          </w:tcPr>
          <w:p w:rsidR="00E97636" w:rsidRPr="004C5551" w:rsidRDefault="00291FD2" w:rsidP="00B55E2C">
            <w:pPr>
              <w:ind w:right="120"/>
              <w:jc w:val="right"/>
              <w:rPr>
                <w:color w:val="000000" w:themeColor="text1"/>
                <w:sz w:val="20"/>
                <w:szCs w:val="20"/>
              </w:rPr>
            </w:pPr>
            <w:r w:rsidRPr="004C5551">
              <w:rPr>
                <w:color w:val="000000" w:themeColor="text1"/>
                <w:sz w:val="20"/>
                <w:szCs w:val="20"/>
              </w:rPr>
              <w:t>8,8</w:t>
            </w:r>
          </w:p>
        </w:tc>
        <w:tc>
          <w:tcPr>
            <w:tcW w:w="0" w:type="auto"/>
            <w:shd w:val="clear" w:color="000000" w:fill="FFFFFF"/>
            <w:vAlign w:val="center"/>
          </w:tcPr>
          <w:p w:rsidR="00E97636" w:rsidRPr="004C5551" w:rsidRDefault="00291FD2" w:rsidP="00B55E2C">
            <w:pPr>
              <w:ind w:right="120"/>
              <w:jc w:val="right"/>
              <w:rPr>
                <w:b/>
                <w:bCs/>
                <w:color w:val="000000" w:themeColor="text1"/>
                <w:sz w:val="20"/>
                <w:szCs w:val="20"/>
              </w:rPr>
            </w:pPr>
            <w:r w:rsidRPr="004C5551">
              <w:rPr>
                <w:b/>
                <w:bCs/>
                <w:color w:val="000000" w:themeColor="text1"/>
                <w:sz w:val="20"/>
                <w:szCs w:val="20"/>
              </w:rPr>
              <w:t>0,2</w:t>
            </w:r>
          </w:p>
        </w:tc>
        <w:tc>
          <w:tcPr>
            <w:tcW w:w="0" w:type="auto"/>
            <w:shd w:val="clear" w:color="000000" w:fill="FFFFFF"/>
            <w:vAlign w:val="center"/>
          </w:tcPr>
          <w:p w:rsidR="00E97636" w:rsidRPr="004C5551" w:rsidRDefault="00291FD2" w:rsidP="00B55E2C">
            <w:pPr>
              <w:ind w:right="120"/>
              <w:jc w:val="right"/>
              <w:rPr>
                <w:color w:val="000000" w:themeColor="text1"/>
                <w:sz w:val="20"/>
                <w:szCs w:val="20"/>
              </w:rPr>
            </w:pPr>
            <w:r w:rsidRPr="004C5551">
              <w:rPr>
                <w:color w:val="000000" w:themeColor="text1"/>
                <w:sz w:val="20"/>
                <w:szCs w:val="20"/>
              </w:rPr>
              <w:t>0,6</w:t>
            </w:r>
          </w:p>
        </w:tc>
        <w:tc>
          <w:tcPr>
            <w:tcW w:w="0" w:type="auto"/>
            <w:shd w:val="clear" w:color="000000" w:fill="FFFFFF"/>
            <w:vAlign w:val="center"/>
          </w:tcPr>
          <w:p w:rsidR="00E97636" w:rsidRPr="004C5551" w:rsidRDefault="00291FD2" w:rsidP="00B55E2C">
            <w:pPr>
              <w:ind w:right="120"/>
              <w:jc w:val="right"/>
              <w:rPr>
                <w:color w:val="000000" w:themeColor="text1"/>
                <w:sz w:val="20"/>
                <w:szCs w:val="20"/>
              </w:rPr>
            </w:pPr>
            <w:r w:rsidRPr="004C5551">
              <w:rPr>
                <w:color w:val="000000" w:themeColor="text1"/>
                <w:sz w:val="20"/>
                <w:szCs w:val="20"/>
              </w:rPr>
              <w:t>0,0</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Osoby, ktoré predčasne ukončili vzdelávanie a nepokračujú v ďalšom vzdelávaní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5,3</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6,0</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4,6</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6,4</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6,7</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6,1</w:t>
            </w:r>
          </w:p>
        </w:tc>
        <w:tc>
          <w:tcPr>
            <w:tcW w:w="0" w:type="auto"/>
            <w:shd w:val="clear" w:color="000000" w:fill="FFFFFF"/>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1,1</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1,5</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Miera materiálnej deprivácie (celá populácia)</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22,7</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21,5</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23,9</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23,4</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22,5</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24,3</w:t>
            </w:r>
          </w:p>
        </w:tc>
        <w:tc>
          <w:tcPr>
            <w:tcW w:w="0" w:type="auto"/>
            <w:shd w:val="clear" w:color="000000" w:fill="FFFFFF"/>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0,7</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1,0</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0,4</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Miera materiálnej deprivácie (0 </w:t>
            </w:r>
            <w:r w:rsidRPr="004C5551">
              <w:rPr>
                <w:color w:val="000000" w:themeColor="text1"/>
              </w:rPr>
              <w:t xml:space="preserve">– </w:t>
            </w:r>
            <w:r w:rsidRPr="004C5551">
              <w:rPr>
                <w:color w:val="000000" w:themeColor="text1"/>
                <w:sz w:val="20"/>
                <w:szCs w:val="20"/>
              </w:rPr>
              <w:t>5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22,7</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22,2</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23,3</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21,1</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20,0</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22,5</w:t>
            </w:r>
          </w:p>
        </w:tc>
        <w:tc>
          <w:tcPr>
            <w:tcW w:w="0" w:type="auto"/>
            <w:shd w:val="clear" w:color="000000" w:fill="FFFFFF"/>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-1,6</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-0,8</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Miera materiálnej deprivácie (6 </w:t>
            </w:r>
            <w:r w:rsidRPr="004C5551">
              <w:rPr>
                <w:color w:val="000000" w:themeColor="text1"/>
              </w:rPr>
              <w:t xml:space="preserve">– </w:t>
            </w:r>
            <w:r w:rsidRPr="004C5551">
              <w:rPr>
                <w:color w:val="000000" w:themeColor="text1"/>
                <w:sz w:val="20"/>
                <w:szCs w:val="20"/>
              </w:rPr>
              <w:t>11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21,9</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21,2</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22,6</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26,1</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27,2</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24,6</w:t>
            </w:r>
          </w:p>
        </w:tc>
        <w:tc>
          <w:tcPr>
            <w:tcW w:w="0" w:type="auto"/>
            <w:shd w:val="clear" w:color="000000" w:fill="FFFFFF"/>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4,2</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6,0</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2,0</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Miera materiálnej deprivácie (12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26,3</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26,1</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26,5</w:t>
            </w:r>
          </w:p>
        </w:tc>
        <w:tc>
          <w:tcPr>
            <w:tcW w:w="0" w:type="auto"/>
            <w:shd w:val="clear" w:color="000000" w:fill="FFFFFF"/>
            <w:noWrap/>
            <w:vAlign w:val="center"/>
          </w:tcPr>
          <w:p w:rsidR="00291FD2" w:rsidRPr="004C5551" w:rsidRDefault="00291FD2" w:rsidP="00291FD2">
            <w:pPr>
              <w:ind w:right="120"/>
              <w:jc w:val="right"/>
              <w:rPr>
                <w:b/>
                <w:bCs/>
                <w:color w:val="000000" w:themeColor="text1"/>
                <w:sz w:val="20"/>
                <w:szCs w:val="20"/>
              </w:rPr>
            </w:pPr>
            <w:r w:rsidRPr="004C5551">
              <w:rPr>
                <w:b/>
                <w:bCs/>
                <w:color w:val="000000" w:themeColor="text1"/>
                <w:sz w:val="20"/>
                <w:szCs w:val="20"/>
              </w:rPr>
              <w:t>28,7</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28,8</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28,5</w:t>
            </w:r>
          </w:p>
        </w:tc>
        <w:tc>
          <w:tcPr>
            <w:tcW w:w="0" w:type="auto"/>
            <w:shd w:val="clear" w:color="000000" w:fill="FFFFFF"/>
            <w:vAlign w:val="center"/>
          </w:tcPr>
          <w:p w:rsidR="00291FD2" w:rsidRPr="004C5551" w:rsidRDefault="00291FD2" w:rsidP="00291FD2">
            <w:pPr>
              <w:ind w:right="120"/>
              <w:jc w:val="right"/>
              <w:rPr>
                <w:b/>
                <w:bCs/>
                <w:color w:val="000000" w:themeColor="text1"/>
                <w:sz w:val="20"/>
                <w:szCs w:val="20"/>
              </w:rPr>
            </w:pPr>
            <w:r w:rsidRPr="004C5551">
              <w:rPr>
                <w:b/>
                <w:bCs/>
                <w:color w:val="000000" w:themeColor="text1"/>
                <w:sz w:val="20"/>
                <w:szCs w:val="20"/>
              </w:rPr>
              <w:t>2,4</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2,7</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2,0</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Miera materiálnej deprivácie (0 </w:t>
            </w:r>
            <w:r w:rsidRPr="004C5551">
              <w:rPr>
                <w:color w:val="000000" w:themeColor="text1"/>
              </w:rPr>
              <w:t xml:space="preserve">– </w:t>
            </w:r>
            <w:r w:rsidRPr="004C5551">
              <w:rPr>
                <w:color w:val="000000" w:themeColor="text1"/>
                <w:sz w:val="20"/>
                <w:szCs w:val="20"/>
              </w:rPr>
              <w:t>17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23,9</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23,4</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24,4</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25,5</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25,6</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25,4</w:t>
            </w:r>
          </w:p>
        </w:tc>
        <w:tc>
          <w:tcPr>
            <w:tcW w:w="0" w:type="auto"/>
            <w:shd w:val="clear" w:color="000000" w:fill="FFFFFF"/>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1,6</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1,0</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Miera materiálnej deprivácie (18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21,5</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20,8</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22,3</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22,2</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21,5</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22,9</w:t>
            </w:r>
          </w:p>
        </w:tc>
        <w:tc>
          <w:tcPr>
            <w:tcW w:w="0" w:type="auto"/>
            <w:shd w:val="clear" w:color="000000" w:fill="FFFFFF"/>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0,7</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0,6</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Miera materiálnej deprivácie (65+ roční)</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27,4</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23,0</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30,1</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26,5</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22,7</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28,8</w:t>
            </w:r>
          </w:p>
        </w:tc>
        <w:tc>
          <w:tcPr>
            <w:tcW w:w="0" w:type="auto"/>
            <w:shd w:val="clear" w:color="000000" w:fill="FFFFFF"/>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-0,9</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-1,3</w:t>
            </w:r>
          </w:p>
        </w:tc>
      </w:tr>
      <w:tr w:rsidR="00640486" w:rsidRPr="004C5551" w:rsidTr="001C4C0A">
        <w:trPr>
          <w:trHeight w:val="20"/>
          <w:jc w:val="center"/>
        </w:trPr>
        <w:tc>
          <w:tcPr>
            <w:tcW w:w="14438" w:type="dxa"/>
            <w:gridSpan w:val="10"/>
            <w:tcBorders>
              <w:bottom w:val="single" w:sz="6" w:space="0" w:color="auto"/>
            </w:tcBorders>
            <w:shd w:val="clear" w:color="000000" w:fill="FFFFFF"/>
            <w:vAlign w:val="center"/>
          </w:tcPr>
          <w:p w:rsidR="00640486" w:rsidRPr="004C5551" w:rsidRDefault="00640486" w:rsidP="00B55E2C">
            <w:pPr>
              <w:jc w:val="center"/>
              <w:rPr>
                <w:color w:val="000000"/>
                <w:sz w:val="20"/>
                <w:szCs w:val="20"/>
              </w:rPr>
            </w:pPr>
          </w:p>
        </w:tc>
      </w:tr>
      <w:tr w:rsidR="00640486" w:rsidRPr="004C5551" w:rsidTr="001C4C0A">
        <w:trPr>
          <w:trHeight w:val="20"/>
          <w:tblHeader/>
          <w:jc w:val="center"/>
        </w:trPr>
        <w:tc>
          <w:tcPr>
            <w:tcW w:w="14438" w:type="dxa"/>
            <w:gridSpan w:val="10"/>
            <w:shd w:val="clear" w:color="auto" w:fill="FF9999" w:themeFill="accent3" w:themeFillTint="66"/>
            <w:noWrap/>
            <w:vAlign w:val="center"/>
            <w:hideMark/>
          </w:tcPr>
          <w:p w:rsidR="00640486" w:rsidRPr="004C5551" w:rsidRDefault="00640486" w:rsidP="00B55E2C">
            <w:pPr>
              <w:rPr>
                <w:b/>
                <w:bCs/>
                <w:color w:val="000000" w:themeColor="text1"/>
                <w:sz w:val="20"/>
                <w:szCs w:val="20"/>
              </w:rPr>
            </w:pPr>
            <w:r w:rsidRPr="004C5551">
              <w:rPr>
                <w:b/>
                <w:color w:val="000000" w:themeColor="text1"/>
                <w:sz w:val="20"/>
                <w:szCs w:val="20"/>
              </w:rPr>
              <w:t>Sekundárne indikátory</w:t>
            </w:r>
            <w:r w:rsidRPr="004C5551">
              <w:rPr>
                <w:b/>
                <w:bCs/>
                <w:color w:val="000000" w:themeColor="text1"/>
                <w:sz w:val="20"/>
                <w:szCs w:val="20"/>
              </w:rPr>
              <w:t> </w:t>
            </w:r>
          </w:p>
        </w:tc>
      </w:tr>
      <w:tr w:rsidR="00640486" w:rsidRPr="004C5551" w:rsidTr="001C4C0A">
        <w:trPr>
          <w:trHeight w:val="20"/>
          <w:jc w:val="center"/>
        </w:trPr>
        <w:tc>
          <w:tcPr>
            <w:tcW w:w="14438" w:type="dxa"/>
            <w:gridSpan w:val="10"/>
            <w:shd w:val="clear" w:color="000000" w:fill="FFFFFF"/>
            <w:vAlign w:val="center"/>
            <w:hideMark/>
          </w:tcPr>
          <w:p w:rsidR="00640486" w:rsidRPr="004C5551" w:rsidRDefault="00640486" w:rsidP="00B55E2C">
            <w:pPr>
              <w:rPr>
                <w:b/>
                <w:color w:val="000000" w:themeColor="text1"/>
                <w:sz w:val="20"/>
                <w:szCs w:val="20"/>
              </w:rPr>
            </w:pPr>
            <w:r w:rsidRPr="004C5551">
              <w:rPr>
                <w:b/>
                <w:color w:val="000000" w:themeColor="text1"/>
                <w:sz w:val="20"/>
                <w:szCs w:val="20"/>
              </w:rPr>
              <w:t>Miera rizika chudoby podľa typu domácnosti:</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jednotlivec mladší ako 65 rokov</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24,1</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21,3</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-2,8</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jednotlivec starší ako 65 rokov</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14,7</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10,0</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-4,7</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 xml:space="preserve">jednotlivec </w:t>
            </w:r>
          </w:p>
        </w:tc>
        <w:tc>
          <w:tcPr>
            <w:tcW w:w="0" w:type="auto"/>
            <w:shd w:val="clear" w:color="000000" w:fill="FFFFFF"/>
            <w:noWrap/>
            <w:vAlign w:val="center"/>
          </w:tcPr>
          <w:p w:rsidR="00291FD2" w:rsidRPr="004C5551" w:rsidRDefault="00291FD2" w:rsidP="005140F1">
            <w:pPr>
              <w:ind w:right="120"/>
              <w:jc w:val="right"/>
              <w:rPr>
                <w:b/>
                <w:bCs/>
                <w:color w:val="000000" w:themeColor="text1"/>
                <w:sz w:val="20"/>
                <w:szCs w:val="20"/>
              </w:rPr>
            </w:pPr>
            <w:r w:rsidRPr="004C5551">
              <w:rPr>
                <w:b/>
                <w:bCs/>
                <w:color w:val="000000" w:themeColor="text1"/>
                <w:sz w:val="20"/>
                <w:szCs w:val="20"/>
              </w:rPr>
              <w:t>19,3</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23,5</w:t>
            </w:r>
          </w:p>
        </w:tc>
        <w:tc>
          <w:tcPr>
            <w:tcW w:w="0" w:type="auto"/>
            <w:shd w:val="clear" w:color="000000" w:fill="FFFFFF"/>
            <w:noWrap/>
            <w:vAlign w:val="center"/>
          </w:tcPr>
          <w:p w:rsidR="00291FD2" w:rsidRPr="004C5551" w:rsidRDefault="00291FD2" w:rsidP="005140F1">
            <w:pPr>
              <w:ind w:right="120"/>
              <w:jc w:val="right"/>
              <w:rPr>
                <w:color w:val="000000" w:themeColor="text1"/>
                <w:sz w:val="20"/>
                <w:szCs w:val="20"/>
              </w:rPr>
            </w:pPr>
            <w:r w:rsidRPr="004C5551">
              <w:rPr>
                <w:color w:val="000000" w:themeColor="text1"/>
                <w:sz w:val="20"/>
                <w:szCs w:val="20"/>
              </w:rPr>
              <w:t>17,5</w:t>
            </w:r>
          </w:p>
        </w:tc>
        <w:tc>
          <w:tcPr>
            <w:tcW w:w="0" w:type="auto"/>
            <w:shd w:val="clear" w:color="000000" w:fill="FFFFFF"/>
            <w:noWrap/>
            <w:vAlign w:val="center"/>
          </w:tcPr>
          <w:p w:rsidR="00291FD2" w:rsidRPr="004C5551" w:rsidRDefault="00291FD2" w:rsidP="00B55E2C">
            <w:pPr>
              <w:ind w:right="120"/>
              <w:jc w:val="right"/>
              <w:rPr>
                <w:b/>
                <w:bCs/>
                <w:color w:val="000000" w:themeColor="text1"/>
                <w:sz w:val="20"/>
                <w:szCs w:val="20"/>
              </w:rPr>
            </w:pPr>
            <w:r w:rsidRPr="004C5551">
              <w:rPr>
                <w:b/>
                <w:bCs/>
                <w:color w:val="000000" w:themeColor="text1"/>
                <w:sz w:val="20"/>
                <w:szCs w:val="20"/>
              </w:rPr>
              <w:t>15,5</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19,6</w:t>
            </w:r>
          </w:p>
        </w:tc>
        <w:tc>
          <w:tcPr>
            <w:tcW w:w="0" w:type="auto"/>
            <w:shd w:val="clear" w:color="000000" w:fill="FFFFFF"/>
            <w:noWrap/>
            <w:vAlign w:val="center"/>
          </w:tcPr>
          <w:p w:rsidR="00291FD2" w:rsidRPr="004C5551" w:rsidRDefault="00291FD2" w:rsidP="00B55E2C">
            <w:pPr>
              <w:ind w:right="120"/>
              <w:jc w:val="right"/>
              <w:rPr>
                <w:color w:val="000000" w:themeColor="text1"/>
                <w:sz w:val="20"/>
                <w:szCs w:val="20"/>
              </w:rPr>
            </w:pPr>
            <w:r w:rsidRPr="004C5551">
              <w:rPr>
                <w:color w:val="000000" w:themeColor="text1"/>
                <w:sz w:val="20"/>
                <w:szCs w:val="20"/>
              </w:rPr>
              <w:t>14,0</w:t>
            </w:r>
          </w:p>
        </w:tc>
        <w:tc>
          <w:tcPr>
            <w:tcW w:w="0" w:type="auto"/>
            <w:shd w:val="clear" w:color="000000" w:fill="FFFFFF"/>
            <w:vAlign w:val="center"/>
          </w:tcPr>
          <w:p w:rsidR="00291FD2" w:rsidRPr="004C5551" w:rsidRDefault="00291FD2" w:rsidP="00B55E2C">
            <w:pPr>
              <w:ind w:right="120"/>
              <w:jc w:val="right"/>
              <w:rPr>
                <w:b/>
                <w:bCs/>
                <w:color w:val="000000"/>
                <w:sz w:val="20"/>
                <w:szCs w:val="20"/>
              </w:rPr>
            </w:pPr>
            <w:r w:rsidRPr="004C5551">
              <w:rPr>
                <w:b/>
                <w:bCs/>
                <w:color w:val="000000"/>
                <w:sz w:val="20"/>
                <w:szCs w:val="20"/>
              </w:rPr>
              <w:t>-3,8</w:t>
            </w:r>
          </w:p>
        </w:tc>
        <w:tc>
          <w:tcPr>
            <w:tcW w:w="0" w:type="auto"/>
            <w:shd w:val="clear" w:color="000000" w:fill="FFFFFF"/>
            <w:vAlign w:val="center"/>
          </w:tcPr>
          <w:p w:rsidR="00291FD2" w:rsidRPr="004C5551" w:rsidRDefault="00291FD2" w:rsidP="00B55E2C">
            <w:pPr>
              <w:ind w:right="120"/>
              <w:jc w:val="right"/>
              <w:rPr>
                <w:color w:val="000000"/>
                <w:sz w:val="20"/>
                <w:szCs w:val="20"/>
              </w:rPr>
            </w:pPr>
            <w:r w:rsidRPr="004C5551">
              <w:rPr>
                <w:color w:val="000000"/>
                <w:sz w:val="20"/>
                <w:szCs w:val="20"/>
              </w:rPr>
              <w:t>-3,9</w:t>
            </w:r>
          </w:p>
        </w:tc>
        <w:tc>
          <w:tcPr>
            <w:tcW w:w="0" w:type="auto"/>
            <w:shd w:val="clear" w:color="000000" w:fill="FFFFFF"/>
            <w:vAlign w:val="center"/>
          </w:tcPr>
          <w:p w:rsidR="00291FD2" w:rsidRPr="004C5551" w:rsidRDefault="00291FD2" w:rsidP="00B55E2C">
            <w:pPr>
              <w:ind w:right="120"/>
              <w:jc w:val="right"/>
              <w:rPr>
                <w:color w:val="000000"/>
                <w:sz w:val="20"/>
                <w:szCs w:val="20"/>
              </w:rPr>
            </w:pPr>
            <w:r w:rsidRPr="004C5551">
              <w:rPr>
                <w:color w:val="000000"/>
                <w:sz w:val="20"/>
                <w:szCs w:val="20"/>
              </w:rPr>
              <w:t>-3,5</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dvaja dospelí, najmenej jeden starší ako 65 rokov</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4,6</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3,8</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-0,8</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dvaja dospelí, obaja mladší ako 65 rokov</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9,1</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8,8</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-0,3</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jednotlivec s najmenej jedným dieťaťom</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27,5</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30,1</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2,6</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B55E2C">
            <w:pPr>
              <w:rPr>
                <w:color w:val="000000" w:themeColor="text1"/>
                <w:sz w:val="20"/>
                <w:szCs w:val="20"/>
              </w:rPr>
            </w:pPr>
            <w:r w:rsidRPr="004C5551">
              <w:rPr>
                <w:color w:val="000000" w:themeColor="text1"/>
                <w:sz w:val="20"/>
                <w:szCs w:val="20"/>
              </w:rPr>
              <w:t xml:space="preserve">dvaja dospelí s jedným závislým dieťaťom </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12,4</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10,0</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-2,4</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dvaja dospelí s dvomi závislými deťmi</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14,3</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13,2</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-1,1</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dvaja dospelí s tromi a viac závislými deťmi</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35,1</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29,9</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-5,2</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traja a viac dospelí so závislými deťmi</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13,3</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14,9</w:t>
            </w:r>
          </w:p>
        </w:tc>
        <w:tc>
          <w:tcPr>
            <w:tcW w:w="0" w:type="auto"/>
            <w:gridSpan w:val="3"/>
            <w:shd w:val="clear" w:color="000000" w:fill="FFFFFF"/>
            <w:vAlign w:val="center"/>
          </w:tcPr>
          <w:p w:rsidR="00291FD2" w:rsidRPr="004C5551" w:rsidRDefault="00291FD2" w:rsidP="00291FD2">
            <w:pPr>
              <w:ind w:right="740"/>
              <w:jc w:val="right"/>
              <w:rPr>
                <w:b/>
                <w:bCs/>
                <w:color w:val="000000"/>
                <w:sz w:val="20"/>
                <w:szCs w:val="20"/>
              </w:rPr>
            </w:pPr>
            <w:r w:rsidRPr="004C5551">
              <w:rPr>
                <w:b/>
                <w:bCs/>
                <w:color w:val="000000"/>
                <w:sz w:val="20"/>
                <w:szCs w:val="20"/>
              </w:rPr>
              <w:t>1,6</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domácnosti so závislými deťmi</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16,5</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16,3</w:t>
            </w:r>
          </w:p>
        </w:tc>
        <w:tc>
          <w:tcPr>
            <w:tcW w:w="0" w:type="auto"/>
            <w:gridSpan w:val="3"/>
            <w:shd w:val="clear" w:color="000000" w:fill="FFFFFF"/>
            <w:noWrap/>
            <w:vAlign w:val="center"/>
          </w:tcPr>
          <w:p w:rsidR="00291FD2" w:rsidRPr="004C5551" w:rsidRDefault="00291FD2" w:rsidP="00291FD2">
            <w:pPr>
              <w:ind w:right="740"/>
              <w:jc w:val="right"/>
              <w:rPr>
                <w:b/>
                <w:bCs/>
                <w:color w:val="000000"/>
                <w:sz w:val="20"/>
                <w:szCs w:val="20"/>
              </w:rPr>
            </w:pPr>
            <w:r w:rsidRPr="004C5551">
              <w:rPr>
                <w:b/>
                <w:bCs/>
                <w:color w:val="000000"/>
                <w:sz w:val="20"/>
                <w:szCs w:val="20"/>
              </w:rPr>
              <w:t>-0,2</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domácnosti bez závislých detí</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9,0</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7,5</w:t>
            </w:r>
          </w:p>
        </w:tc>
        <w:tc>
          <w:tcPr>
            <w:tcW w:w="0" w:type="auto"/>
            <w:gridSpan w:val="3"/>
            <w:shd w:val="clear" w:color="000000" w:fill="FFFFFF"/>
            <w:noWrap/>
            <w:vAlign w:val="center"/>
          </w:tcPr>
          <w:p w:rsidR="00291FD2" w:rsidRPr="004C5551" w:rsidRDefault="00291FD2" w:rsidP="00291FD2">
            <w:pPr>
              <w:ind w:right="740"/>
              <w:jc w:val="right"/>
              <w:rPr>
                <w:b/>
                <w:bCs/>
                <w:color w:val="000000"/>
                <w:sz w:val="20"/>
                <w:szCs w:val="20"/>
              </w:rPr>
            </w:pPr>
            <w:r w:rsidRPr="004C5551">
              <w:rPr>
                <w:b/>
                <w:bCs/>
                <w:color w:val="000000"/>
                <w:sz w:val="20"/>
                <w:szCs w:val="20"/>
              </w:rPr>
              <w:t>-1,5</w:t>
            </w:r>
          </w:p>
        </w:tc>
      </w:tr>
      <w:tr w:rsidR="00640486" w:rsidRPr="004C5551" w:rsidTr="001C4C0A">
        <w:trPr>
          <w:trHeight w:val="20"/>
          <w:jc w:val="center"/>
        </w:trPr>
        <w:tc>
          <w:tcPr>
            <w:tcW w:w="14438" w:type="dxa"/>
            <w:gridSpan w:val="10"/>
            <w:shd w:val="clear" w:color="000000" w:fill="FFFFFF"/>
            <w:vAlign w:val="center"/>
            <w:hideMark/>
          </w:tcPr>
          <w:p w:rsidR="00640486" w:rsidRPr="004C5551" w:rsidRDefault="00640486" w:rsidP="00B55E2C">
            <w:pPr>
              <w:rPr>
                <w:b/>
                <w:color w:val="000000" w:themeColor="text1"/>
                <w:sz w:val="20"/>
                <w:szCs w:val="20"/>
              </w:rPr>
            </w:pPr>
            <w:r w:rsidRPr="004C5551">
              <w:rPr>
                <w:b/>
                <w:color w:val="000000" w:themeColor="text1"/>
                <w:sz w:val="20"/>
                <w:szCs w:val="20"/>
              </w:rPr>
              <w:t>Miera rizika chudoby podľa intenzity práce domácnosti</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C40E9C">
            <w:pPr>
              <w:rPr>
                <w:color w:val="000000" w:themeColor="text1"/>
                <w:sz w:val="20"/>
                <w:szCs w:val="20"/>
              </w:rPr>
            </w:pPr>
            <w:r w:rsidRPr="004C5551">
              <w:rPr>
                <w:color w:val="000000" w:themeColor="text1"/>
                <w:sz w:val="20"/>
                <w:szCs w:val="20"/>
              </w:rPr>
              <w:t xml:space="preserve">domácnosti bez detí </w:t>
            </w:r>
            <w:r w:rsidRPr="004C5551">
              <w:rPr>
                <w:color w:val="000000" w:themeColor="text1"/>
              </w:rPr>
              <w:t>– s</w:t>
            </w:r>
            <w:r w:rsidRPr="004C5551">
              <w:rPr>
                <w:color w:val="000000" w:themeColor="text1"/>
                <w:sz w:val="20"/>
                <w:szCs w:val="20"/>
              </w:rPr>
              <w:t xml:space="preserve"> nízkou intenzitou práce ( 0,2 </w:t>
            </w:r>
            <w:r w:rsidRPr="004C5551">
              <w:rPr>
                <w:color w:val="000000" w:themeColor="text1"/>
              </w:rPr>
              <w:t>–</w:t>
            </w:r>
            <w:r w:rsidRPr="004C5551">
              <w:rPr>
                <w:color w:val="000000" w:themeColor="text1"/>
                <w:sz w:val="20"/>
                <w:szCs w:val="20"/>
              </w:rPr>
              <w:t xml:space="preserve"> 0,45)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29,9</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28,9</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-1,0</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bez detí </w:t>
            </w:r>
            <w:r w:rsidRPr="004C5551">
              <w:rPr>
                <w:color w:val="000000" w:themeColor="text1"/>
              </w:rPr>
              <w:t>–</w:t>
            </w:r>
            <w:r w:rsidRPr="004C5551">
              <w:rPr>
                <w:color w:val="000000" w:themeColor="text1"/>
                <w:sz w:val="20"/>
                <w:szCs w:val="20"/>
              </w:rPr>
              <w:t xml:space="preserve"> so strednou intenzitou práce ( 0,45 </w:t>
            </w:r>
            <w:r w:rsidRPr="004C5551">
              <w:rPr>
                <w:color w:val="000000" w:themeColor="text1"/>
              </w:rPr>
              <w:t>–</w:t>
            </w:r>
            <w:r w:rsidRPr="004C5551">
              <w:rPr>
                <w:color w:val="000000" w:themeColor="text1"/>
                <w:sz w:val="20"/>
                <w:szCs w:val="20"/>
              </w:rPr>
              <w:t xml:space="preserve"> 0,55)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7,9</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4,1</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-3,8</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bez detí </w:t>
            </w:r>
            <w:r w:rsidRPr="004C5551">
              <w:rPr>
                <w:color w:val="000000" w:themeColor="text1"/>
              </w:rPr>
              <w:t>–</w:t>
            </w:r>
            <w:r w:rsidRPr="004C5551">
              <w:rPr>
                <w:color w:val="000000" w:themeColor="text1"/>
                <w:sz w:val="20"/>
                <w:szCs w:val="20"/>
              </w:rPr>
              <w:t xml:space="preserve"> s vysokou intenzitou práce (0,55 </w:t>
            </w:r>
            <w:r w:rsidRPr="004C5551">
              <w:rPr>
                <w:color w:val="000000" w:themeColor="text1"/>
              </w:rPr>
              <w:t>–</w:t>
            </w:r>
            <w:r w:rsidRPr="004C5551">
              <w:rPr>
                <w:color w:val="000000" w:themeColor="text1"/>
                <w:sz w:val="20"/>
                <w:szCs w:val="20"/>
              </w:rPr>
              <w:t xml:space="preserve"> 0,85)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2,6</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1,5</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-1,1</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bez detí </w:t>
            </w:r>
            <w:r w:rsidRPr="004C5551">
              <w:rPr>
                <w:color w:val="000000" w:themeColor="text1"/>
              </w:rPr>
              <w:t>–</w:t>
            </w:r>
            <w:r w:rsidRPr="004C5551">
              <w:rPr>
                <w:color w:val="000000" w:themeColor="text1"/>
                <w:sz w:val="20"/>
                <w:szCs w:val="20"/>
              </w:rPr>
              <w:t xml:space="preserve"> s veľmi vysokou intenzitou práce (0,85 </w:t>
            </w:r>
            <w:r w:rsidRPr="004C5551">
              <w:rPr>
                <w:color w:val="000000" w:themeColor="text1"/>
              </w:rPr>
              <w:t>–</w:t>
            </w:r>
            <w:r w:rsidRPr="004C5551">
              <w:rPr>
                <w:color w:val="000000" w:themeColor="text1"/>
                <w:sz w:val="20"/>
                <w:szCs w:val="20"/>
              </w:rPr>
              <w:t xml:space="preserve"> 1)</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1,6</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1,9</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0,3</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s deťmi </w:t>
            </w:r>
            <w:r w:rsidRPr="004C5551">
              <w:rPr>
                <w:color w:val="000000" w:themeColor="text1"/>
              </w:rPr>
              <w:t>– s</w:t>
            </w:r>
            <w:r w:rsidRPr="004C5551">
              <w:rPr>
                <w:color w:val="000000" w:themeColor="text1"/>
                <w:sz w:val="20"/>
                <w:szCs w:val="20"/>
              </w:rPr>
              <w:t xml:space="preserve"> nízkou intenzitou práce ( 0,2 </w:t>
            </w:r>
            <w:r w:rsidRPr="004C5551">
              <w:rPr>
                <w:color w:val="000000" w:themeColor="text1"/>
              </w:rPr>
              <w:t>–</w:t>
            </w:r>
            <w:r w:rsidRPr="004C5551">
              <w:rPr>
                <w:color w:val="000000" w:themeColor="text1"/>
                <w:sz w:val="20"/>
                <w:szCs w:val="20"/>
              </w:rPr>
              <w:t xml:space="preserve"> 0,45)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37,6</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38,3</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0,7</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s deťmi </w:t>
            </w:r>
            <w:r w:rsidRPr="004C5551">
              <w:rPr>
                <w:color w:val="000000" w:themeColor="text1"/>
              </w:rPr>
              <w:t>–</w:t>
            </w:r>
            <w:r w:rsidRPr="004C5551">
              <w:rPr>
                <w:color w:val="000000" w:themeColor="text1"/>
                <w:sz w:val="20"/>
                <w:szCs w:val="20"/>
              </w:rPr>
              <w:t xml:space="preserve"> so strednou intenzitou práce ( 0,45 </w:t>
            </w:r>
            <w:r w:rsidRPr="004C5551">
              <w:rPr>
                <w:color w:val="000000" w:themeColor="text1"/>
              </w:rPr>
              <w:t>–</w:t>
            </w:r>
            <w:r w:rsidRPr="004C5551">
              <w:rPr>
                <w:color w:val="000000" w:themeColor="text1"/>
                <w:sz w:val="20"/>
                <w:szCs w:val="20"/>
              </w:rPr>
              <w:t xml:space="preserve"> 0,55)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24,8</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19,4</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-5,4</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704644">
            <w:pPr>
              <w:rPr>
                <w:color w:val="000000" w:themeColor="text1"/>
                <w:sz w:val="20"/>
                <w:szCs w:val="20"/>
              </w:rPr>
            </w:pPr>
            <w:r w:rsidRPr="004C5551">
              <w:rPr>
                <w:color w:val="000000" w:themeColor="text1"/>
                <w:sz w:val="20"/>
                <w:szCs w:val="20"/>
              </w:rPr>
              <w:t xml:space="preserve">domácnosti s deťmi </w:t>
            </w:r>
            <w:r w:rsidRPr="004C5551">
              <w:rPr>
                <w:color w:val="000000" w:themeColor="text1"/>
              </w:rPr>
              <w:t>–</w:t>
            </w:r>
            <w:r w:rsidRPr="004C5551">
              <w:rPr>
                <w:color w:val="000000" w:themeColor="text1"/>
                <w:sz w:val="20"/>
                <w:szCs w:val="20"/>
              </w:rPr>
              <w:t xml:space="preserve"> s vysokou intenzitou práce (0,55 </w:t>
            </w:r>
            <w:r w:rsidRPr="004C5551">
              <w:rPr>
                <w:color w:val="000000" w:themeColor="text1"/>
              </w:rPr>
              <w:t>–</w:t>
            </w:r>
            <w:r w:rsidRPr="004C5551">
              <w:rPr>
                <w:color w:val="000000" w:themeColor="text1"/>
                <w:sz w:val="20"/>
                <w:szCs w:val="20"/>
              </w:rPr>
              <w:t xml:space="preserve"> 0,85)</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8,8</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10,2</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1,4</w:t>
            </w:r>
          </w:p>
        </w:tc>
      </w:tr>
      <w:tr w:rsidR="00291FD2" w:rsidRPr="004C5551" w:rsidTr="005140F1">
        <w:trPr>
          <w:trHeight w:val="20"/>
          <w:jc w:val="center"/>
        </w:trPr>
        <w:tc>
          <w:tcPr>
            <w:tcW w:w="8509" w:type="dxa"/>
            <w:shd w:val="clear" w:color="000000" w:fill="FFFFFF"/>
            <w:vAlign w:val="center"/>
            <w:hideMark/>
          </w:tcPr>
          <w:p w:rsidR="00291FD2" w:rsidRPr="004C5551" w:rsidRDefault="00291FD2" w:rsidP="005C10C1">
            <w:pPr>
              <w:rPr>
                <w:color w:val="000000" w:themeColor="text1"/>
                <w:sz w:val="20"/>
                <w:szCs w:val="20"/>
              </w:rPr>
            </w:pPr>
            <w:r w:rsidRPr="004C5551">
              <w:rPr>
                <w:color w:val="000000" w:themeColor="text1"/>
                <w:sz w:val="20"/>
                <w:szCs w:val="20"/>
              </w:rPr>
              <w:t xml:space="preserve">domácnosti s deťmi </w:t>
            </w:r>
            <w:r w:rsidRPr="004C5551">
              <w:rPr>
                <w:color w:val="000000" w:themeColor="text1"/>
              </w:rPr>
              <w:t>–</w:t>
            </w:r>
            <w:r w:rsidRPr="004C5551">
              <w:rPr>
                <w:color w:val="000000" w:themeColor="text1"/>
                <w:sz w:val="20"/>
                <w:szCs w:val="20"/>
              </w:rPr>
              <w:t xml:space="preserve"> s veľmi vysokou intenzitou práce (0,85 </w:t>
            </w:r>
            <w:r w:rsidRPr="004C5551">
              <w:rPr>
                <w:color w:val="000000" w:themeColor="text1"/>
              </w:rPr>
              <w:t>–</w:t>
            </w:r>
            <w:r w:rsidRPr="004C5551">
              <w:rPr>
                <w:color w:val="000000" w:themeColor="text1"/>
                <w:sz w:val="20"/>
                <w:szCs w:val="20"/>
              </w:rPr>
              <w:t xml:space="preserve"> 1)</w:t>
            </w:r>
          </w:p>
        </w:tc>
        <w:tc>
          <w:tcPr>
            <w:tcW w:w="0" w:type="auto"/>
            <w:gridSpan w:val="3"/>
            <w:shd w:val="clear" w:color="000000" w:fill="FFFFFF"/>
            <w:noWrap/>
            <w:vAlign w:val="center"/>
          </w:tcPr>
          <w:p w:rsidR="00291FD2" w:rsidRPr="004C5551" w:rsidRDefault="00291FD2" w:rsidP="005140F1">
            <w:pPr>
              <w:ind w:right="881"/>
              <w:jc w:val="right"/>
              <w:rPr>
                <w:b/>
                <w:bCs/>
                <w:color w:val="000000" w:themeColor="text1"/>
                <w:sz w:val="20"/>
                <w:szCs w:val="20"/>
              </w:rPr>
            </w:pPr>
            <w:r w:rsidRPr="004C5551">
              <w:rPr>
                <w:b/>
                <w:bCs/>
                <w:color w:val="000000" w:themeColor="text1"/>
                <w:sz w:val="20"/>
                <w:szCs w:val="20"/>
              </w:rPr>
              <w:t>4,5</w:t>
            </w:r>
          </w:p>
        </w:tc>
        <w:tc>
          <w:tcPr>
            <w:tcW w:w="0" w:type="auto"/>
            <w:gridSpan w:val="3"/>
            <w:shd w:val="clear" w:color="000000" w:fill="FFFFFF"/>
            <w:noWrap/>
            <w:vAlign w:val="center"/>
          </w:tcPr>
          <w:p w:rsidR="00291FD2" w:rsidRPr="004C5551" w:rsidRDefault="00291FD2" w:rsidP="00B55E2C">
            <w:pPr>
              <w:ind w:right="881"/>
              <w:jc w:val="right"/>
              <w:rPr>
                <w:b/>
                <w:bCs/>
                <w:color w:val="000000" w:themeColor="text1"/>
                <w:sz w:val="20"/>
                <w:szCs w:val="20"/>
              </w:rPr>
            </w:pPr>
            <w:r w:rsidRPr="004C5551">
              <w:rPr>
                <w:b/>
                <w:bCs/>
                <w:color w:val="000000" w:themeColor="text1"/>
                <w:sz w:val="20"/>
                <w:szCs w:val="20"/>
              </w:rPr>
              <w:t>3,4</w:t>
            </w:r>
          </w:p>
        </w:tc>
        <w:tc>
          <w:tcPr>
            <w:tcW w:w="0" w:type="auto"/>
            <w:gridSpan w:val="3"/>
            <w:shd w:val="clear" w:color="000000" w:fill="FFFFFF"/>
            <w:noWrap/>
            <w:vAlign w:val="center"/>
          </w:tcPr>
          <w:p w:rsidR="00291FD2" w:rsidRPr="004C5551" w:rsidRDefault="005140F1" w:rsidP="005140F1">
            <w:pPr>
              <w:ind w:right="739"/>
              <w:jc w:val="right"/>
              <w:rPr>
                <w:b/>
                <w:bCs/>
                <w:color w:val="000000"/>
                <w:sz w:val="20"/>
                <w:szCs w:val="20"/>
              </w:rPr>
            </w:pPr>
            <w:r w:rsidRPr="004C5551">
              <w:rPr>
                <w:b/>
                <w:bCs/>
                <w:color w:val="000000"/>
                <w:sz w:val="20"/>
                <w:szCs w:val="20"/>
              </w:rPr>
              <w:t>-1,1</w:t>
            </w:r>
          </w:p>
        </w:tc>
      </w:tr>
      <w:tr w:rsidR="00640486" w:rsidRPr="004C5551" w:rsidTr="001C4C0A">
        <w:trPr>
          <w:trHeight w:val="20"/>
          <w:jc w:val="center"/>
        </w:trPr>
        <w:tc>
          <w:tcPr>
            <w:tcW w:w="14438" w:type="dxa"/>
            <w:gridSpan w:val="10"/>
            <w:shd w:val="clear" w:color="000000" w:fill="FFFFFF"/>
            <w:vAlign w:val="center"/>
            <w:hideMark/>
          </w:tcPr>
          <w:p w:rsidR="00640486" w:rsidRPr="004C5551" w:rsidRDefault="00640486" w:rsidP="00B55E2C">
            <w:pPr>
              <w:rPr>
                <w:b/>
                <w:color w:val="000000" w:themeColor="text1"/>
                <w:sz w:val="20"/>
                <w:szCs w:val="20"/>
              </w:rPr>
            </w:pPr>
            <w:r w:rsidRPr="004C5551">
              <w:rPr>
                <w:b/>
                <w:color w:val="000000" w:themeColor="text1"/>
                <w:sz w:val="20"/>
                <w:szCs w:val="20"/>
              </w:rPr>
              <w:t>Miera rizika chudoby podľa najčastejšej ekonomickej aktivity (18+)</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nezamestnaní</w:t>
            </w:r>
          </w:p>
        </w:tc>
        <w:tc>
          <w:tcPr>
            <w:tcW w:w="0" w:type="auto"/>
            <w:shd w:val="clear" w:color="000000" w:fill="FFFFFF"/>
            <w:noWrap/>
            <w:vAlign w:val="center"/>
          </w:tcPr>
          <w:p w:rsidR="005140F1" w:rsidRPr="004C5551" w:rsidRDefault="005140F1" w:rsidP="005140F1">
            <w:pPr>
              <w:ind w:right="120"/>
              <w:jc w:val="right"/>
              <w:rPr>
                <w:b/>
                <w:color w:val="000000"/>
                <w:sz w:val="20"/>
                <w:szCs w:val="20"/>
              </w:rPr>
            </w:pPr>
            <w:r w:rsidRPr="004C5551">
              <w:rPr>
                <w:b/>
                <w:color w:val="000000"/>
                <w:sz w:val="20"/>
                <w:szCs w:val="20"/>
              </w:rPr>
              <w:t>44,6</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45,9</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43,2</w:t>
            </w:r>
          </w:p>
        </w:tc>
        <w:tc>
          <w:tcPr>
            <w:tcW w:w="0" w:type="auto"/>
            <w:shd w:val="clear" w:color="000000" w:fill="FFFFFF"/>
            <w:noWrap/>
            <w:vAlign w:val="center"/>
          </w:tcPr>
          <w:p w:rsidR="005140F1" w:rsidRPr="004C5551" w:rsidRDefault="005140F1" w:rsidP="00B55E2C">
            <w:pPr>
              <w:ind w:right="120"/>
              <w:jc w:val="right"/>
              <w:rPr>
                <w:b/>
                <w:color w:val="000000"/>
                <w:sz w:val="20"/>
                <w:szCs w:val="20"/>
              </w:rPr>
            </w:pPr>
            <w:r w:rsidRPr="004C5551">
              <w:rPr>
                <w:b/>
                <w:color w:val="000000"/>
                <w:sz w:val="20"/>
                <w:szCs w:val="20"/>
              </w:rPr>
              <w:t>43,8</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48,5</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39,0</w:t>
            </w:r>
          </w:p>
        </w:tc>
        <w:tc>
          <w:tcPr>
            <w:tcW w:w="0" w:type="auto"/>
            <w:shd w:val="clear" w:color="000000" w:fill="FFFFFF"/>
            <w:vAlign w:val="center"/>
          </w:tcPr>
          <w:p w:rsidR="005140F1" w:rsidRPr="004C5551" w:rsidRDefault="005140F1" w:rsidP="00B55E2C">
            <w:pPr>
              <w:ind w:right="120"/>
              <w:jc w:val="right"/>
              <w:rPr>
                <w:b/>
                <w:color w:val="000000"/>
                <w:sz w:val="20"/>
                <w:szCs w:val="20"/>
              </w:rPr>
            </w:pPr>
            <w:r w:rsidRPr="004C5551">
              <w:rPr>
                <w:b/>
                <w:color w:val="000000"/>
                <w:sz w:val="20"/>
                <w:szCs w:val="20"/>
              </w:rPr>
              <w:t>-0,8</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2,6</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-4,2</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zamestnaní</w:t>
            </w:r>
          </w:p>
        </w:tc>
        <w:tc>
          <w:tcPr>
            <w:tcW w:w="0" w:type="auto"/>
            <w:shd w:val="clear" w:color="000000" w:fill="FFFFFF"/>
            <w:noWrap/>
            <w:vAlign w:val="center"/>
          </w:tcPr>
          <w:p w:rsidR="005140F1" w:rsidRPr="004C5551" w:rsidRDefault="005140F1" w:rsidP="005140F1">
            <w:pPr>
              <w:ind w:right="120"/>
              <w:jc w:val="right"/>
              <w:rPr>
                <w:b/>
                <w:color w:val="000000"/>
                <w:sz w:val="20"/>
                <w:szCs w:val="20"/>
              </w:rPr>
            </w:pPr>
            <w:r w:rsidRPr="004C5551">
              <w:rPr>
                <w:b/>
                <w:color w:val="000000"/>
                <w:sz w:val="20"/>
                <w:szCs w:val="20"/>
              </w:rPr>
              <w:t>6,2</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6,6</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5,6</w:t>
            </w:r>
          </w:p>
        </w:tc>
        <w:tc>
          <w:tcPr>
            <w:tcW w:w="0" w:type="auto"/>
            <w:shd w:val="clear" w:color="000000" w:fill="FFFFFF"/>
            <w:noWrap/>
            <w:vAlign w:val="center"/>
          </w:tcPr>
          <w:p w:rsidR="005140F1" w:rsidRPr="004C5551" w:rsidRDefault="005140F1" w:rsidP="00B55E2C">
            <w:pPr>
              <w:ind w:right="120"/>
              <w:jc w:val="right"/>
              <w:rPr>
                <w:b/>
                <w:color w:val="000000"/>
                <w:sz w:val="20"/>
                <w:szCs w:val="20"/>
              </w:rPr>
            </w:pPr>
            <w:r w:rsidRPr="004C5551">
              <w:rPr>
                <w:b/>
                <w:color w:val="000000"/>
                <w:sz w:val="20"/>
                <w:szCs w:val="20"/>
              </w:rPr>
              <w:t>5,7</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5,9</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5,5</w:t>
            </w:r>
          </w:p>
        </w:tc>
        <w:tc>
          <w:tcPr>
            <w:tcW w:w="0" w:type="auto"/>
            <w:shd w:val="clear" w:color="000000" w:fill="FFFFFF"/>
            <w:vAlign w:val="center"/>
          </w:tcPr>
          <w:p w:rsidR="005140F1" w:rsidRPr="004C5551" w:rsidRDefault="005140F1" w:rsidP="00B55E2C">
            <w:pPr>
              <w:ind w:right="120"/>
              <w:jc w:val="right"/>
              <w:rPr>
                <w:b/>
                <w:color w:val="000000"/>
                <w:sz w:val="20"/>
                <w:szCs w:val="20"/>
              </w:rPr>
            </w:pPr>
            <w:r w:rsidRPr="004C5551">
              <w:rPr>
                <w:b/>
                <w:color w:val="000000"/>
                <w:sz w:val="20"/>
                <w:szCs w:val="20"/>
              </w:rPr>
              <w:t>-0,5</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-0,7</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-0,1</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dôchodcovia</w:t>
            </w:r>
          </w:p>
        </w:tc>
        <w:tc>
          <w:tcPr>
            <w:tcW w:w="0" w:type="auto"/>
            <w:shd w:val="clear" w:color="000000" w:fill="FFFFFF"/>
            <w:noWrap/>
            <w:vAlign w:val="center"/>
          </w:tcPr>
          <w:p w:rsidR="005140F1" w:rsidRPr="004C5551" w:rsidRDefault="005140F1" w:rsidP="005140F1">
            <w:pPr>
              <w:ind w:right="120"/>
              <w:jc w:val="right"/>
              <w:rPr>
                <w:b/>
                <w:color w:val="000000"/>
                <w:sz w:val="20"/>
                <w:szCs w:val="20"/>
              </w:rPr>
            </w:pPr>
            <w:r w:rsidRPr="004C5551">
              <w:rPr>
                <w:b/>
                <w:color w:val="000000"/>
                <w:sz w:val="20"/>
                <w:szCs w:val="20"/>
              </w:rPr>
              <w:t>7,7</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5,8</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8,8</w:t>
            </w:r>
          </w:p>
        </w:tc>
        <w:tc>
          <w:tcPr>
            <w:tcW w:w="0" w:type="auto"/>
            <w:shd w:val="clear" w:color="000000" w:fill="FFFFFF"/>
            <w:noWrap/>
            <w:vAlign w:val="center"/>
          </w:tcPr>
          <w:p w:rsidR="005140F1" w:rsidRPr="004C5551" w:rsidRDefault="005140F1" w:rsidP="00B55E2C">
            <w:pPr>
              <w:ind w:right="120"/>
              <w:jc w:val="right"/>
              <w:rPr>
                <w:b/>
                <w:color w:val="000000"/>
                <w:sz w:val="20"/>
                <w:szCs w:val="20"/>
              </w:rPr>
            </w:pPr>
            <w:r w:rsidRPr="004C5551">
              <w:rPr>
                <w:b/>
                <w:color w:val="000000"/>
                <w:sz w:val="20"/>
                <w:szCs w:val="20"/>
              </w:rPr>
              <w:t>6,6</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4,4</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7,8</w:t>
            </w:r>
          </w:p>
        </w:tc>
        <w:tc>
          <w:tcPr>
            <w:tcW w:w="0" w:type="auto"/>
            <w:shd w:val="clear" w:color="000000" w:fill="FFFFFF"/>
            <w:vAlign w:val="center"/>
          </w:tcPr>
          <w:p w:rsidR="005140F1" w:rsidRPr="004C5551" w:rsidRDefault="005140F1" w:rsidP="00B55E2C">
            <w:pPr>
              <w:ind w:right="120"/>
              <w:jc w:val="right"/>
              <w:rPr>
                <w:b/>
                <w:color w:val="000000"/>
                <w:sz w:val="20"/>
                <w:szCs w:val="20"/>
              </w:rPr>
            </w:pPr>
            <w:r w:rsidRPr="004C5551">
              <w:rPr>
                <w:b/>
                <w:color w:val="000000"/>
                <w:sz w:val="20"/>
                <w:szCs w:val="20"/>
              </w:rPr>
              <w:t>-1,1</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-1,4</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-1,0</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iná neaktívna osoba</w:t>
            </w:r>
          </w:p>
        </w:tc>
        <w:tc>
          <w:tcPr>
            <w:tcW w:w="0" w:type="auto"/>
            <w:shd w:val="clear" w:color="000000" w:fill="FFFFFF"/>
            <w:noWrap/>
            <w:vAlign w:val="center"/>
          </w:tcPr>
          <w:p w:rsidR="005140F1" w:rsidRPr="004C5551" w:rsidRDefault="005140F1" w:rsidP="005140F1">
            <w:pPr>
              <w:ind w:right="120"/>
              <w:jc w:val="right"/>
              <w:rPr>
                <w:b/>
                <w:color w:val="000000"/>
                <w:sz w:val="20"/>
                <w:szCs w:val="20"/>
              </w:rPr>
            </w:pPr>
            <w:r w:rsidRPr="004C5551">
              <w:rPr>
                <w:b/>
                <w:color w:val="000000"/>
                <w:sz w:val="20"/>
                <w:szCs w:val="20"/>
              </w:rPr>
              <w:t>17,9</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15,0</w:t>
            </w:r>
          </w:p>
        </w:tc>
        <w:tc>
          <w:tcPr>
            <w:tcW w:w="0" w:type="auto"/>
            <w:shd w:val="clear" w:color="000000" w:fill="FFFFFF"/>
            <w:noWrap/>
            <w:vAlign w:val="center"/>
          </w:tcPr>
          <w:p w:rsidR="005140F1" w:rsidRPr="004C5551" w:rsidRDefault="005140F1" w:rsidP="005140F1">
            <w:pPr>
              <w:ind w:right="120"/>
              <w:jc w:val="right"/>
              <w:rPr>
                <w:color w:val="000000"/>
                <w:sz w:val="20"/>
                <w:szCs w:val="20"/>
              </w:rPr>
            </w:pPr>
            <w:r w:rsidRPr="004C5551">
              <w:rPr>
                <w:color w:val="000000"/>
                <w:sz w:val="20"/>
                <w:szCs w:val="20"/>
              </w:rPr>
              <w:t>20,3</w:t>
            </w:r>
          </w:p>
        </w:tc>
        <w:tc>
          <w:tcPr>
            <w:tcW w:w="0" w:type="auto"/>
            <w:shd w:val="clear" w:color="000000" w:fill="FFFFFF"/>
            <w:noWrap/>
            <w:vAlign w:val="center"/>
          </w:tcPr>
          <w:p w:rsidR="005140F1" w:rsidRPr="004C5551" w:rsidRDefault="005140F1" w:rsidP="00B55E2C">
            <w:pPr>
              <w:ind w:right="120"/>
              <w:jc w:val="right"/>
              <w:rPr>
                <w:b/>
                <w:color w:val="000000"/>
                <w:sz w:val="20"/>
                <w:szCs w:val="20"/>
              </w:rPr>
            </w:pPr>
            <w:r w:rsidRPr="004C5551">
              <w:rPr>
                <w:b/>
                <w:color w:val="000000"/>
                <w:sz w:val="20"/>
                <w:szCs w:val="20"/>
              </w:rPr>
              <w:t>17,4</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16,0</w:t>
            </w:r>
          </w:p>
        </w:tc>
        <w:tc>
          <w:tcPr>
            <w:tcW w:w="0" w:type="auto"/>
            <w:shd w:val="clear" w:color="000000" w:fill="FFFFFF"/>
            <w:noWrap/>
            <w:vAlign w:val="center"/>
          </w:tcPr>
          <w:p w:rsidR="005140F1" w:rsidRPr="004C5551" w:rsidRDefault="005140F1" w:rsidP="00B55E2C">
            <w:pPr>
              <w:ind w:right="120"/>
              <w:jc w:val="right"/>
              <w:rPr>
                <w:color w:val="000000"/>
                <w:sz w:val="20"/>
                <w:szCs w:val="20"/>
              </w:rPr>
            </w:pPr>
            <w:r w:rsidRPr="004C5551">
              <w:rPr>
                <w:color w:val="000000"/>
                <w:sz w:val="20"/>
                <w:szCs w:val="20"/>
              </w:rPr>
              <w:t>18,4</w:t>
            </w:r>
          </w:p>
        </w:tc>
        <w:tc>
          <w:tcPr>
            <w:tcW w:w="0" w:type="auto"/>
            <w:shd w:val="clear" w:color="000000" w:fill="FFFFFF"/>
            <w:vAlign w:val="center"/>
          </w:tcPr>
          <w:p w:rsidR="005140F1" w:rsidRPr="004C5551" w:rsidRDefault="005140F1" w:rsidP="00B55E2C">
            <w:pPr>
              <w:ind w:right="120"/>
              <w:jc w:val="right"/>
              <w:rPr>
                <w:b/>
                <w:color w:val="000000"/>
                <w:sz w:val="20"/>
                <w:szCs w:val="20"/>
              </w:rPr>
            </w:pPr>
            <w:r w:rsidRPr="004C5551">
              <w:rPr>
                <w:b/>
                <w:color w:val="000000"/>
                <w:sz w:val="20"/>
                <w:szCs w:val="20"/>
              </w:rPr>
              <w:t>-0,5</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1,0</w:t>
            </w:r>
          </w:p>
        </w:tc>
        <w:tc>
          <w:tcPr>
            <w:tcW w:w="0" w:type="auto"/>
            <w:shd w:val="clear" w:color="000000" w:fill="FFFFFF"/>
            <w:vAlign w:val="center"/>
          </w:tcPr>
          <w:p w:rsidR="005140F1" w:rsidRPr="004C5551" w:rsidRDefault="005140F1" w:rsidP="00B55E2C">
            <w:pPr>
              <w:ind w:right="120"/>
              <w:jc w:val="right"/>
              <w:rPr>
                <w:color w:val="000000"/>
                <w:sz w:val="20"/>
                <w:szCs w:val="20"/>
              </w:rPr>
            </w:pPr>
            <w:r w:rsidRPr="004C5551">
              <w:rPr>
                <w:color w:val="000000"/>
                <w:sz w:val="20"/>
                <w:szCs w:val="20"/>
              </w:rPr>
              <w:t>-1,9</w:t>
            </w:r>
          </w:p>
        </w:tc>
      </w:tr>
      <w:tr w:rsidR="00640486" w:rsidRPr="004C5551" w:rsidTr="001C4C0A">
        <w:trPr>
          <w:trHeight w:val="20"/>
          <w:jc w:val="center"/>
        </w:trPr>
        <w:tc>
          <w:tcPr>
            <w:tcW w:w="14438" w:type="dxa"/>
            <w:gridSpan w:val="10"/>
            <w:shd w:val="clear" w:color="000000" w:fill="FFFFFF"/>
            <w:vAlign w:val="center"/>
          </w:tcPr>
          <w:p w:rsidR="00640486" w:rsidRPr="004C5551" w:rsidRDefault="00640486" w:rsidP="00B55E2C">
            <w:pPr>
              <w:rPr>
                <w:color w:val="000000"/>
                <w:sz w:val="20"/>
                <w:szCs w:val="20"/>
              </w:rPr>
            </w:pPr>
            <w:r w:rsidRPr="004C5551">
              <w:rPr>
                <w:b/>
                <w:color w:val="000000" w:themeColor="text1"/>
                <w:sz w:val="20"/>
                <w:szCs w:val="20"/>
              </w:rPr>
              <w:t>Miera rizika chudoby podľa typu vlastníctva</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vlastník alebo bezplatné ubytovanie</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12,4</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12,3</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12,4</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11,8</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11,7</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11,9</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-0,6</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-0,6</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-0,5</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ind w:left="397"/>
              <w:rPr>
                <w:color w:val="000000" w:themeColor="text1"/>
                <w:sz w:val="20"/>
                <w:szCs w:val="20"/>
              </w:rPr>
            </w:pPr>
            <w:r w:rsidRPr="004C5551">
              <w:rPr>
                <w:color w:val="000000" w:themeColor="text1"/>
                <w:sz w:val="20"/>
                <w:szCs w:val="20"/>
              </w:rPr>
              <w:t>nájomca</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22,9</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22,9</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22,9</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23,9</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23,9</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23,9</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1,0</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1,0</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1,0</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5C10C1">
            <w:pPr>
              <w:rPr>
                <w:color w:val="000000" w:themeColor="text1"/>
                <w:sz w:val="20"/>
                <w:szCs w:val="20"/>
              </w:rPr>
            </w:pPr>
            <w:r w:rsidRPr="004C5551">
              <w:rPr>
                <w:color w:val="000000" w:themeColor="text1"/>
                <w:sz w:val="20"/>
                <w:szCs w:val="20"/>
              </w:rPr>
              <w:t xml:space="preserve">Rozptyl okolo hranice miery rizika chudoby </w:t>
            </w:r>
            <w:r w:rsidRPr="004C5551">
              <w:rPr>
                <w:color w:val="000000" w:themeColor="text1"/>
              </w:rPr>
              <w:t>–</w:t>
            </w:r>
            <w:r w:rsidRPr="004C5551">
              <w:rPr>
                <w:color w:val="000000" w:themeColor="text1"/>
                <w:sz w:val="20"/>
                <w:szCs w:val="20"/>
              </w:rPr>
              <w:t xml:space="preserve"> 40</w:t>
            </w:r>
            <w:r w:rsidR="006D0272" w:rsidRPr="004C5551">
              <w:rPr>
                <w:color w:val="000000" w:themeColor="text1"/>
                <w:sz w:val="20"/>
                <w:szCs w:val="20"/>
              </w:rPr>
              <w:t> </w:t>
            </w:r>
            <w:r w:rsidRPr="004C5551">
              <w:rPr>
                <w:color w:val="000000" w:themeColor="text1"/>
                <w:sz w:val="20"/>
                <w:szCs w:val="20"/>
              </w:rPr>
              <w:t>% národného ekvivalentného mediánu príjmu</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4,3</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4,5</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4,2</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4,9</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5,0</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4,8</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0,6</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0,5</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0,6</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B55E2C">
            <w:pPr>
              <w:rPr>
                <w:color w:val="000000" w:themeColor="text1"/>
                <w:sz w:val="20"/>
                <w:szCs w:val="20"/>
              </w:rPr>
            </w:pPr>
            <w:r w:rsidRPr="004C5551">
              <w:rPr>
                <w:color w:val="000000" w:themeColor="text1"/>
                <w:sz w:val="20"/>
                <w:szCs w:val="20"/>
              </w:rPr>
              <w:t xml:space="preserve">Rozptyl okolo hranice miery rizika chudoby </w:t>
            </w:r>
            <w:r w:rsidRPr="004C5551">
              <w:rPr>
                <w:color w:val="000000" w:themeColor="text1"/>
              </w:rPr>
              <w:t>–</w:t>
            </w:r>
            <w:r w:rsidRPr="004C5551">
              <w:rPr>
                <w:color w:val="000000" w:themeColor="text1"/>
                <w:sz w:val="20"/>
                <w:szCs w:val="20"/>
              </w:rPr>
              <w:t xml:space="preserve"> 50</w:t>
            </w:r>
            <w:r w:rsidR="006D0272" w:rsidRPr="004C5551">
              <w:rPr>
                <w:color w:val="000000" w:themeColor="text1"/>
                <w:sz w:val="20"/>
                <w:szCs w:val="20"/>
              </w:rPr>
              <w:t> </w:t>
            </w:r>
            <w:r w:rsidRPr="004C5551">
              <w:rPr>
                <w:color w:val="000000" w:themeColor="text1"/>
                <w:sz w:val="20"/>
                <w:szCs w:val="20"/>
              </w:rPr>
              <w:t>% národného ekvivalentného mediánu príjmu</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7,8</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7,8</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7,8</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8,0</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7,6</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-0,3</w:t>
            </w:r>
          </w:p>
        </w:tc>
      </w:tr>
      <w:tr w:rsidR="005140F1" w:rsidRPr="004C5551" w:rsidTr="005140F1">
        <w:trPr>
          <w:trHeight w:val="20"/>
          <w:jc w:val="center"/>
        </w:trPr>
        <w:tc>
          <w:tcPr>
            <w:tcW w:w="8509" w:type="dxa"/>
            <w:shd w:val="clear" w:color="000000" w:fill="FFFFFF"/>
            <w:vAlign w:val="center"/>
            <w:hideMark/>
          </w:tcPr>
          <w:p w:rsidR="005140F1" w:rsidRPr="004C5551" w:rsidRDefault="005140F1" w:rsidP="005C10C1">
            <w:pPr>
              <w:rPr>
                <w:color w:val="000000" w:themeColor="text1"/>
                <w:sz w:val="20"/>
                <w:szCs w:val="20"/>
              </w:rPr>
            </w:pPr>
            <w:r w:rsidRPr="004C5551">
              <w:rPr>
                <w:color w:val="000000" w:themeColor="text1"/>
                <w:sz w:val="20"/>
                <w:szCs w:val="20"/>
              </w:rPr>
              <w:t xml:space="preserve">Rozptyl okolo hranice miery rizika chudoby </w:t>
            </w:r>
            <w:r w:rsidRPr="004C5551">
              <w:rPr>
                <w:color w:val="000000" w:themeColor="text1"/>
              </w:rPr>
              <w:t>–</w:t>
            </w:r>
            <w:r w:rsidRPr="004C5551">
              <w:rPr>
                <w:color w:val="000000" w:themeColor="text1"/>
                <w:sz w:val="20"/>
                <w:szCs w:val="20"/>
              </w:rPr>
              <w:t xml:space="preserve"> 70</w:t>
            </w:r>
            <w:r w:rsidR="006D0272" w:rsidRPr="004C5551">
              <w:rPr>
                <w:color w:val="000000" w:themeColor="text1"/>
                <w:sz w:val="20"/>
                <w:szCs w:val="20"/>
              </w:rPr>
              <w:t> </w:t>
            </w:r>
            <w:r w:rsidRPr="004C5551">
              <w:rPr>
                <w:color w:val="000000" w:themeColor="text1"/>
                <w:sz w:val="20"/>
                <w:szCs w:val="20"/>
              </w:rPr>
              <w:t>% národného ekvivalentného mediánu príjmu</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20,4</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19,6</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21,2</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19,2</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18,6</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19,8</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-1,0</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-1,4</w:t>
            </w:r>
          </w:p>
        </w:tc>
      </w:tr>
      <w:tr w:rsidR="005140F1" w:rsidRPr="004C5551" w:rsidTr="005140F1">
        <w:trPr>
          <w:trHeight w:val="20"/>
          <w:jc w:val="center"/>
        </w:trPr>
        <w:tc>
          <w:tcPr>
            <w:tcW w:w="8509" w:type="dxa"/>
            <w:shd w:val="clear" w:color="000000" w:fill="FFFFFF"/>
            <w:vAlign w:val="center"/>
          </w:tcPr>
          <w:p w:rsidR="005140F1" w:rsidRPr="004C5551" w:rsidRDefault="005140F1" w:rsidP="005140F1">
            <w:pPr>
              <w:rPr>
                <w:color w:val="000000" w:themeColor="text1"/>
                <w:sz w:val="20"/>
                <w:szCs w:val="20"/>
              </w:rPr>
            </w:pPr>
            <w:r w:rsidRPr="004C5551">
              <w:rPr>
                <w:color w:val="000000" w:themeColor="text1"/>
                <w:sz w:val="20"/>
                <w:szCs w:val="20"/>
              </w:rPr>
              <w:t xml:space="preserve">Populácia s nízkou vzdelanostnou úrovňou (25 </w:t>
            </w:r>
            <w:r w:rsidRPr="004C5551">
              <w:rPr>
                <w:color w:val="000000" w:themeColor="text1"/>
              </w:rPr>
              <w:t xml:space="preserve">– </w:t>
            </w:r>
            <w:r w:rsidRPr="004C5551">
              <w:rPr>
                <w:color w:val="000000" w:themeColor="text1"/>
                <w:sz w:val="20"/>
                <w:szCs w:val="20"/>
              </w:rPr>
              <w:t>39 roční)</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77,6</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39,2</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38,4</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77,4</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37,1</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40,4</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-2,1</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2,0</w:t>
            </w:r>
          </w:p>
        </w:tc>
      </w:tr>
      <w:tr w:rsidR="005140F1" w:rsidRPr="004C5551" w:rsidTr="005140F1">
        <w:trPr>
          <w:trHeight w:val="20"/>
          <w:jc w:val="center"/>
        </w:trPr>
        <w:tc>
          <w:tcPr>
            <w:tcW w:w="8509" w:type="dxa"/>
            <w:shd w:val="clear" w:color="000000" w:fill="FFFFFF"/>
            <w:vAlign w:val="center"/>
          </w:tcPr>
          <w:p w:rsidR="005140F1" w:rsidRPr="004C5551" w:rsidRDefault="005140F1" w:rsidP="005140F1">
            <w:pPr>
              <w:rPr>
                <w:color w:val="000000" w:themeColor="text1"/>
                <w:sz w:val="20"/>
                <w:szCs w:val="20"/>
              </w:rPr>
            </w:pPr>
            <w:r w:rsidRPr="004C5551">
              <w:rPr>
                <w:color w:val="000000" w:themeColor="text1"/>
                <w:sz w:val="20"/>
                <w:szCs w:val="20"/>
              </w:rPr>
              <w:t xml:space="preserve">Populácia s nízkou vzdelanostnou úrovňou (40 </w:t>
            </w:r>
            <w:r w:rsidRPr="004C5551">
              <w:rPr>
                <w:color w:val="000000" w:themeColor="text1"/>
              </w:rPr>
              <w:t xml:space="preserve">– </w:t>
            </w:r>
            <w:r w:rsidRPr="004C5551">
              <w:rPr>
                <w:color w:val="000000" w:themeColor="text1"/>
                <w:sz w:val="20"/>
                <w:szCs w:val="20"/>
              </w:rPr>
              <w:t>59 roční)</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132,1</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48,2</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83,6</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128,6</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49,3</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79,2</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-3,5</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1,1</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-4,4</w:t>
            </w:r>
          </w:p>
        </w:tc>
      </w:tr>
      <w:tr w:rsidR="005140F1" w:rsidRPr="004C5551" w:rsidTr="005140F1">
        <w:trPr>
          <w:trHeight w:val="20"/>
          <w:jc w:val="center"/>
        </w:trPr>
        <w:tc>
          <w:tcPr>
            <w:tcW w:w="8509" w:type="dxa"/>
            <w:shd w:val="clear" w:color="000000" w:fill="FFFFFF"/>
            <w:vAlign w:val="center"/>
          </w:tcPr>
          <w:p w:rsidR="005140F1" w:rsidRPr="004C5551" w:rsidRDefault="005140F1" w:rsidP="005140F1">
            <w:pPr>
              <w:rPr>
                <w:color w:val="000000" w:themeColor="text1"/>
                <w:sz w:val="20"/>
                <w:szCs w:val="20"/>
              </w:rPr>
            </w:pPr>
            <w:r w:rsidRPr="004C5551">
              <w:rPr>
                <w:color w:val="000000" w:themeColor="text1"/>
                <w:sz w:val="20"/>
                <w:szCs w:val="20"/>
              </w:rPr>
              <w:t xml:space="preserve">Populácia s nízkou vzdelanostnou úrovňou (55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101,6</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31,3</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70,4</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104,7</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33,8</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70,9</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3,1</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2,5</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0,5</w:t>
            </w:r>
          </w:p>
        </w:tc>
      </w:tr>
      <w:tr w:rsidR="005140F1" w:rsidRPr="004C5551" w:rsidTr="005140F1">
        <w:trPr>
          <w:trHeight w:val="20"/>
          <w:jc w:val="center"/>
        </w:trPr>
        <w:tc>
          <w:tcPr>
            <w:tcW w:w="8509" w:type="dxa"/>
            <w:shd w:val="clear" w:color="000000" w:fill="FFFFFF"/>
            <w:vAlign w:val="center"/>
          </w:tcPr>
          <w:p w:rsidR="005140F1" w:rsidRPr="004C5551" w:rsidRDefault="005140F1" w:rsidP="005140F1">
            <w:pPr>
              <w:rPr>
                <w:color w:val="000000" w:themeColor="text1"/>
                <w:sz w:val="20"/>
                <w:szCs w:val="20"/>
              </w:rPr>
            </w:pPr>
            <w:r w:rsidRPr="004C5551">
              <w:rPr>
                <w:color w:val="000000" w:themeColor="text1"/>
                <w:sz w:val="20"/>
                <w:szCs w:val="20"/>
              </w:rPr>
              <w:t xml:space="preserve">Populácia s nízkou vzdelanostnou úrovňou (25 </w:t>
            </w:r>
            <w:r w:rsidRPr="004C5551">
              <w:rPr>
                <w:color w:val="000000" w:themeColor="text1"/>
              </w:rPr>
              <w:t xml:space="preserve">– </w:t>
            </w:r>
            <w:r w:rsidRPr="004C5551">
              <w:rPr>
                <w:color w:val="000000" w:themeColor="text1"/>
                <w:sz w:val="20"/>
                <w:szCs w:val="20"/>
              </w:rPr>
              <w:t>64 roční)</w:t>
            </w:r>
          </w:p>
        </w:tc>
        <w:tc>
          <w:tcPr>
            <w:tcW w:w="0" w:type="auto"/>
            <w:shd w:val="clear" w:color="000000" w:fill="FFFFFF"/>
            <w:noWrap/>
            <w:vAlign w:val="center"/>
          </w:tcPr>
          <w:p w:rsidR="005140F1" w:rsidRPr="004C5551" w:rsidRDefault="005140F1" w:rsidP="005140F1">
            <w:pPr>
              <w:ind w:right="120"/>
              <w:jc w:val="right"/>
              <w:rPr>
                <w:b/>
                <w:color w:val="000000" w:themeColor="text1"/>
                <w:sz w:val="20"/>
                <w:szCs w:val="20"/>
              </w:rPr>
            </w:pPr>
            <w:r w:rsidRPr="004C5551">
              <w:rPr>
                <w:b/>
                <w:color w:val="000000" w:themeColor="text1"/>
                <w:sz w:val="20"/>
                <w:szCs w:val="20"/>
              </w:rPr>
              <w:t>261,2</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102,8</w:t>
            </w:r>
          </w:p>
        </w:tc>
        <w:tc>
          <w:tcPr>
            <w:tcW w:w="0" w:type="auto"/>
            <w:shd w:val="clear" w:color="000000" w:fill="FFFFFF"/>
            <w:noWrap/>
            <w:vAlign w:val="center"/>
          </w:tcPr>
          <w:p w:rsidR="005140F1" w:rsidRPr="004C5551" w:rsidRDefault="005140F1" w:rsidP="005140F1">
            <w:pPr>
              <w:ind w:right="120"/>
              <w:jc w:val="right"/>
              <w:rPr>
                <w:color w:val="000000" w:themeColor="text1"/>
                <w:sz w:val="20"/>
                <w:szCs w:val="20"/>
              </w:rPr>
            </w:pPr>
            <w:r w:rsidRPr="004C5551">
              <w:rPr>
                <w:color w:val="000000" w:themeColor="text1"/>
                <w:sz w:val="20"/>
                <w:szCs w:val="20"/>
              </w:rPr>
              <w:t>158,5</w:t>
            </w:r>
          </w:p>
        </w:tc>
        <w:tc>
          <w:tcPr>
            <w:tcW w:w="0" w:type="auto"/>
            <w:shd w:val="clear" w:color="000000" w:fill="FFFFFF"/>
            <w:noWrap/>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257,2</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101,0</w:t>
            </w:r>
          </w:p>
        </w:tc>
        <w:tc>
          <w:tcPr>
            <w:tcW w:w="0" w:type="auto"/>
            <w:shd w:val="clear" w:color="000000" w:fill="FFFFFF"/>
            <w:noWrap/>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156,5</w:t>
            </w:r>
          </w:p>
        </w:tc>
        <w:tc>
          <w:tcPr>
            <w:tcW w:w="0" w:type="auto"/>
            <w:shd w:val="clear" w:color="000000" w:fill="FFFFFF"/>
            <w:vAlign w:val="center"/>
          </w:tcPr>
          <w:p w:rsidR="005140F1" w:rsidRPr="004C5551" w:rsidRDefault="005140F1" w:rsidP="00B55E2C">
            <w:pPr>
              <w:ind w:right="120"/>
              <w:jc w:val="right"/>
              <w:rPr>
                <w:b/>
                <w:color w:val="000000" w:themeColor="text1"/>
                <w:sz w:val="20"/>
                <w:szCs w:val="20"/>
              </w:rPr>
            </w:pPr>
            <w:r w:rsidRPr="004C5551">
              <w:rPr>
                <w:b/>
                <w:color w:val="000000" w:themeColor="text1"/>
                <w:sz w:val="20"/>
                <w:szCs w:val="20"/>
              </w:rPr>
              <w:t>-4,0</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-1,8</w:t>
            </w:r>
          </w:p>
        </w:tc>
        <w:tc>
          <w:tcPr>
            <w:tcW w:w="0" w:type="auto"/>
            <w:shd w:val="clear" w:color="000000" w:fill="FFFFFF"/>
            <w:vAlign w:val="center"/>
          </w:tcPr>
          <w:p w:rsidR="005140F1" w:rsidRPr="004C5551" w:rsidRDefault="005140F1" w:rsidP="00B55E2C">
            <w:pPr>
              <w:ind w:right="120"/>
              <w:jc w:val="right"/>
              <w:rPr>
                <w:color w:val="000000" w:themeColor="text1"/>
                <w:sz w:val="20"/>
                <w:szCs w:val="20"/>
              </w:rPr>
            </w:pPr>
            <w:r w:rsidRPr="004C5551">
              <w:rPr>
                <w:color w:val="000000" w:themeColor="text1"/>
                <w:sz w:val="20"/>
                <w:szCs w:val="20"/>
              </w:rPr>
              <w:t>-2,0</w:t>
            </w:r>
          </w:p>
        </w:tc>
      </w:tr>
      <w:tr w:rsidR="005F5B11" w:rsidRPr="004C5551" w:rsidTr="005140F1">
        <w:trPr>
          <w:trHeight w:val="20"/>
          <w:jc w:val="center"/>
        </w:trPr>
        <w:tc>
          <w:tcPr>
            <w:tcW w:w="8509" w:type="dxa"/>
            <w:shd w:val="clear" w:color="000000" w:fill="FFFFFF"/>
            <w:vAlign w:val="center"/>
          </w:tcPr>
          <w:p w:rsidR="005F5B11" w:rsidRPr="004C5551" w:rsidRDefault="005F5B11" w:rsidP="005140F1">
            <w:pPr>
              <w:rPr>
                <w:color w:val="000000" w:themeColor="text1"/>
                <w:sz w:val="20"/>
                <w:szCs w:val="20"/>
              </w:rPr>
            </w:pPr>
            <w:r w:rsidRPr="004C5551">
              <w:rPr>
                <w:color w:val="000000" w:themeColor="text1"/>
                <w:sz w:val="20"/>
                <w:szCs w:val="20"/>
              </w:rPr>
              <w:t>Hĺbka materiálnej deprivácie</w:t>
            </w:r>
          </w:p>
        </w:tc>
        <w:tc>
          <w:tcPr>
            <w:tcW w:w="0" w:type="auto"/>
            <w:shd w:val="clear" w:color="000000" w:fill="FFFFFF"/>
            <w:noWrap/>
            <w:vAlign w:val="center"/>
          </w:tcPr>
          <w:p w:rsidR="005F5B11" w:rsidRPr="004C5551" w:rsidRDefault="005F5B11" w:rsidP="00533E06">
            <w:pPr>
              <w:ind w:right="120"/>
              <w:jc w:val="right"/>
              <w:rPr>
                <w:b/>
                <w:color w:val="000000" w:themeColor="text1"/>
                <w:sz w:val="20"/>
                <w:szCs w:val="20"/>
              </w:rPr>
            </w:pPr>
            <w:r w:rsidRPr="004C5551">
              <w:rPr>
                <w:b/>
                <w:color w:val="000000" w:themeColor="text1"/>
                <w:sz w:val="20"/>
                <w:szCs w:val="20"/>
              </w:rPr>
              <w:t>3,7</w:t>
            </w:r>
          </w:p>
        </w:tc>
        <w:tc>
          <w:tcPr>
            <w:tcW w:w="0" w:type="auto"/>
            <w:shd w:val="clear" w:color="000000" w:fill="FFFFFF"/>
            <w:noWrap/>
            <w:vAlign w:val="center"/>
          </w:tcPr>
          <w:p w:rsidR="005F5B11" w:rsidRPr="004C5551" w:rsidRDefault="005F5B11" w:rsidP="00533E06">
            <w:pPr>
              <w:ind w:right="120"/>
              <w:jc w:val="right"/>
              <w:rPr>
                <w:color w:val="000000" w:themeColor="text1"/>
                <w:sz w:val="20"/>
                <w:szCs w:val="20"/>
              </w:rPr>
            </w:pPr>
            <w:r w:rsidRPr="004C5551">
              <w:rPr>
                <w:color w:val="000000" w:themeColor="text1"/>
                <w:sz w:val="20"/>
                <w:szCs w:val="20"/>
              </w:rPr>
              <w:t>3,8</w:t>
            </w:r>
          </w:p>
        </w:tc>
        <w:tc>
          <w:tcPr>
            <w:tcW w:w="0" w:type="auto"/>
            <w:shd w:val="clear" w:color="000000" w:fill="FFFFFF"/>
            <w:noWrap/>
            <w:vAlign w:val="center"/>
          </w:tcPr>
          <w:p w:rsidR="005F5B11" w:rsidRPr="004C5551" w:rsidRDefault="005F5B11" w:rsidP="00533E06">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5F5B11" w:rsidRPr="004C5551" w:rsidRDefault="005F5B11" w:rsidP="00B55E2C">
            <w:pPr>
              <w:ind w:right="120"/>
              <w:jc w:val="right"/>
              <w:rPr>
                <w:b/>
                <w:color w:val="000000" w:themeColor="text1"/>
                <w:sz w:val="20"/>
                <w:szCs w:val="20"/>
              </w:rPr>
            </w:pPr>
            <w:r w:rsidRPr="004C5551">
              <w:rPr>
                <w:b/>
                <w:color w:val="000000" w:themeColor="text1"/>
                <w:sz w:val="20"/>
                <w:szCs w:val="20"/>
              </w:rPr>
              <w:t>3,7</w:t>
            </w:r>
          </w:p>
        </w:tc>
        <w:tc>
          <w:tcPr>
            <w:tcW w:w="0" w:type="auto"/>
            <w:shd w:val="clear" w:color="000000" w:fill="FFFFFF"/>
            <w:noWrap/>
            <w:vAlign w:val="center"/>
          </w:tcPr>
          <w:p w:rsidR="005F5B11" w:rsidRPr="004C5551" w:rsidRDefault="005F5B11" w:rsidP="00B55E2C">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5F5B11" w:rsidRPr="004C5551" w:rsidRDefault="005F5B11" w:rsidP="00B55E2C">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vAlign w:val="center"/>
          </w:tcPr>
          <w:p w:rsidR="005F5B11" w:rsidRPr="004C5551" w:rsidRDefault="005F5B11" w:rsidP="00B55E2C">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5F5B11" w:rsidRPr="004C5551" w:rsidRDefault="005F5B11"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5F5B11" w:rsidRPr="004C5551" w:rsidRDefault="005F5B11" w:rsidP="00B55E2C">
            <w:pPr>
              <w:ind w:right="120"/>
              <w:jc w:val="right"/>
              <w:rPr>
                <w:color w:val="000000" w:themeColor="text1"/>
                <w:sz w:val="20"/>
                <w:szCs w:val="20"/>
              </w:rPr>
            </w:pPr>
            <w:r w:rsidRPr="004C5551">
              <w:rPr>
                <w:color w:val="000000" w:themeColor="text1"/>
                <w:sz w:val="20"/>
                <w:szCs w:val="20"/>
              </w:rPr>
              <w:t>0,1</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obyvateľstva nákladmi na bývanie (celá populácia)</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8,4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7,5</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9,1</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8,3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8,8</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-0,3</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w:t>
            </w:r>
            <w:r w:rsidR="00F80174" w:rsidRPr="004C5551">
              <w:rPr>
                <w:sz w:val="20"/>
              </w:rPr>
              <w:t xml:space="preserve">ateľstva nákladmi na bývanie (0 </w:t>
            </w:r>
            <w:r w:rsidR="00F80174" w:rsidRPr="004C5551">
              <w:rPr>
                <w:bCs/>
                <w:sz w:val="20"/>
                <w:szCs w:val="16"/>
              </w:rPr>
              <w:t xml:space="preserve">– </w:t>
            </w:r>
            <w:r w:rsidRPr="004C5551">
              <w:rPr>
                <w:sz w:val="20"/>
              </w:rPr>
              <w:t>5)</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13,1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12,9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13,5</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12,9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11,5</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1,0</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-2,0</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w:t>
            </w:r>
            <w:r w:rsidR="00F80174" w:rsidRPr="004C5551">
              <w:rPr>
                <w:sz w:val="20"/>
              </w:rPr>
              <w:t xml:space="preserve">ateľstva nákladmi na bývanie (6 </w:t>
            </w:r>
            <w:r w:rsidR="00F80174" w:rsidRPr="004C5551">
              <w:rPr>
                <w:bCs/>
                <w:sz w:val="20"/>
                <w:szCs w:val="16"/>
              </w:rPr>
              <w:t xml:space="preserve">– </w:t>
            </w:r>
            <w:r w:rsidRPr="004C5551">
              <w:rPr>
                <w:sz w:val="20"/>
              </w:rPr>
              <w:t>11)</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11,3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9,6</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13,1</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13,0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12,3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13,8</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1,7</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2,7</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0,7</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obyvateľstva nákladmi na býva</w:t>
            </w:r>
            <w:r w:rsidR="00F80174" w:rsidRPr="004C5551">
              <w:rPr>
                <w:sz w:val="20"/>
              </w:rPr>
              <w:t xml:space="preserve">nie (12 </w:t>
            </w:r>
            <w:r w:rsidR="00F80174" w:rsidRPr="004C5551">
              <w:rPr>
                <w:bCs/>
                <w:sz w:val="20"/>
                <w:szCs w:val="16"/>
              </w:rPr>
              <w:t>–</w:t>
            </w:r>
            <w:r w:rsidR="00F80174" w:rsidRPr="004C5551">
              <w:rPr>
                <w:sz w:val="20"/>
              </w:rPr>
              <w:t xml:space="preserve"> </w:t>
            </w:r>
            <w:r w:rsidRPr="004C5551">
              <w:rPr>
                <w:sz w:val="20"/>
              </w:rPr>
              <w:t>17)</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8,9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8,2</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9,7</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7,7</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8,2</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7,2</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0,0</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-2,5</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w:t>
            </w:r>
            <w:r w:rsidR="00F80174" w:rsidRPr="004C5551">
              <w:rPr>
                <w:sz w:val="20"/>
              </w:rPr>
              <w:t xml:space="preserve">ateľstva nákladmi na bývanie (0 </w:t>
            </w:r>
            <w:r w:rsidR="00F80174" w:rsidRPr="004C5551">
              <w:rPr>
                <w:bCs/>
                <w:sz w:val="20"/>
                <w:szCs w:val="16"/>
              </w:rPr>
              <w:t>–</w:t>
            </w:r>
            <w:r w:rsidR="00F80174" w:rsidRPr="004C5551">
              <w:rPr>
                <w:sz w:val="20"/>
              </w:rPr>
              <w:t xml:space="preserve"> </w:t>
            </w:r>
            <w:r w:rsidRPr="004C5551">
              <w:rPr>
                <w:sz w:val="20"/>
              </w:rPr>
              <w:t>17)</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10,9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10,0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11,8</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11,0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11,3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10,6</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-1,2</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w:t>
            </w:r>
            <w:r w:rsidR="00F80174" w:rsidRPr="004C5551">
              <w:rPr>
                <w:sz w:val="20"/>
              </w:rPr>
              <w:t xml:space="preserve">teľstva nákladmi na bývanie (18 </w:t>
            </w:r>
            <w:r w:rsidR="00F80174" w:rsidRPr="004C5551">
              <w:rPr>
                <w:bCs/>
                <w:sz w:val="20"/>
                <w:szCs w:val="16"/>
              </w:rPr>
              <w:t>–</w:t>
            </w:r>
            <w:r w:rsidR="00F80174" w:rsidRPr="004C5551">
              <w:rPr>
                <w:sz w:val="20"/>
              </w:rPr>
              <w:t xml:space="preserve"> </w:t>
            </w:r>
            <w:r w:rsidRPr="004C5551">
              <w:rPr>
                <w:sz w:val="20"/>
              </w:rPr>
              <w:t>24)</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6,9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7,6</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7,5</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6,7</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6,3</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0,6</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w:t>
            </w:r>
            <w:r w:rsidR="00F80174" w:rsidRPr="004C5551">
              <w:rPr>
                <w:sz w:val="20"/>
              </w:rPr>
              <w:t xml:space="preserve">teľstva nákladmi na bývanie (25 </w:t>
            </w:r>
            <w:r w:rsidR="00F80174" w:rsidRPr="004C5551">
              <w:rPr>
                <w:bCs/>
                <w:sz w:val="20"/>
                <w:szCs w:val="16"/>
              </w:rPr>
              <w:t>–</w:t>
            </w:r>
            <w:r w:rsidR="00F80174" w:rsidRPr="004C5551">
              <w:rPr>
                <w:sz w:val="20"/>
              </w:rPr>
              <w:t xml:space="preserve"> </w:t>
            </w:r>
            <w:r w:rsidRPr="004C5551">
              <w:rPr>
                <w:sz w:val="20"/>
              </w:rPr>
              <w:t>29)</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4,5</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5,6</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4,9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6,9</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-0,6</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1,3</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w:t>
            </w:r>
            <w:r w:rsidR="00F80174" w:rsidRPr="004C5551">
              <w:rPr>
                <w:sz w:val="20"/>
              </w:rPr>
              <w:t xml:space="preserve">teľstva nákladmi na bývanie (18 </w:t>
            </w:r>
            <w:r w:rsidR="00F80174" w:rsidRPr="004C5551">
              <w:rPr>
                <w:bCs/>
                <w:sz w:val="20"/>
                <w:szCs w:val="16"/>
              </w:rPr>
              <w:t>–</w:t>
            </w:r>
            <w:r w:rsidR="00F80174" w:rsidRPr="004C5551">
              <w:rPr>
                <w:sz w:val="20"/>
              </w:rPr>
              <w:t xml:space="preserve"> </w:t>
            </w:r>
            <w:r w:rsidRPr="004C5551">
              <w:rPr>
                <w:sz w:val="20"/>
              </w:rPr>
              <w:t>64)</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7,4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7,7</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8,2</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0,3</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Miera preťaženia obyvateľstva nákladmi na bývanie (65+)</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10,3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7,5</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12,0</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8,1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6,1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9,3</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-2,2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-1,4</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-2,7</w:t>
            </w:r>
          </w:p>
        </w:tc>
      </w:tr>
      <w:tr w:rsidR="005F5B11" w:rsidRPr="004C5551" w:rsidTr="00533E06">
        <w:trPr>
          <w:trHeight w:val="20"/>
          <w:jc w:val="center"/>
        </w:trPr>
        <w:tc>
          <w:tcPr>
            <w:tcW w:w="8509" w:type="dxa"/>
            <w:shd w:val="clear" w:color="000000" w:fill="FFFFFF"/>
          </w:tcPr>
          <w:p w:rsidR="005F5B11" w:rsidRPr="004C5551" w:rsidRDefault="005F5B11" w:rsidP="00F80174">
            <w:pPr>
              <w:rPr>
                <w:sz w:val="20"/>
              </w:rPr>
            </w:pPr>
            <w:r w:rsidRPr="004C5551">
              <w:rPr>
                <w:sz w:val="20"/>
              </w:rPr>
              <w:t xml:space="preserve">Miera preťaženia obyvateľstva nákladmi na bývanie </w:t>
            </w:r>
            <w:r w:rsidR="00F80174" w:rsidRPr="004C5551">
              <w:rPr>
                <w:bCs/>
                <w:sz w:val="20"/>
                <w:szCs w:val="16"/>
              </w:rPr>
              <w:t>–</w:t>
            </w:r>
            <w:r w:rsidRPr="004C5551">
              <w:rPr>
                <w:sz w:val="20"/>
              </w:rPr>
              <w:t xml:space="preserve"> chudobní </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36,4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33,7</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38,8</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36,2</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34,9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37,4</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-1,4</w:t>
            </w:r>
          </w:p>
        </w:tc>
      </w:tr>
      <w:tr w:rsidR="005F5B11" w:rsidRPr="004C5551" w:rsidTr="00533E06">
        <w:trPr>
          <w:trHeight w:val="20"/>
          <w:jc w:val="center"/>
        </w:trPr>
        <w:tc>
          <w:tcPr>
            <w:tcW w:w="8509" w:type="dxa"/>
            <w:shd w:val="clear" w:color="000000" w:fill="FFFFFF"/>
          </w:tcPr>
          <w:p w:rsidR="005F5B11" w:rsidRPr="004C5551" w:rsidRDefault="005F5B11" w:rsidP="0003544F">
            <w:pPr>
              <w:rPr>
                <w:sz w:val="20"/>
              </w:rPr>
            </w:pPr>
            <w:r w:rsidRPr="004C5551">
              <w:rPr>
                <w:sz w:val="20"/>
              </w:rPr>
              <w:t xml:space="preserve">Miera preťaženia obyvateľstva nákladmi na </w:t>
            </w:r>
            <w:r w:rsidR="0003544F" w:rsidRPr="004C5551">
              <w:rPr>
                <w:sz w:val="20"/>
              </w:rPr>
              <w:t xml:space="preserve">bývanie </w:t>
            </w:r>
            <w:r w:rsidR="00F80174" w:rsidRPr="004C5551">
              <w:rPr>
                <w:bCs/>
                <w:sz w:val="20"/>
                <w:szCs w:val="16"/>
              </w:rPr>
              <w:t>–</w:t>
            </w:r>
            <w:r w:rsidRPr="004C5551">
              <w:rPr>
                <w:sz w:val="20"/>
              </w:rPr>
              <w:t xml:space="preserve"> nechudobní </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4,1</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3,6</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4,6</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4,2</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3,9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4,6</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0,0</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 xml:space="preserve">Miera preťaženia obyvateľstva nákladmi na bývanie (I. </w:t>
            </w:r>
            <w:proofErr w:type="spellStart"/>
            <w:r w:rsidRPr="004C5551">
              <w:rPr>
                <w:sz w:val="20"/>
              </w:rPr>
              <w:t>kvintil</w:t>
            </w:r>
            <w:proofErr w:type="spellEnd"/>
            <w:r w:rsidRPr="004C5551">
              <w:rPr>
                <w:sz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27,0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27,4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 xml:space="preserve">Miera preťaženia obyvateľstva nákladmi na bývanie (II. </w:t>
            </w:r>
            <w:proofErr w:type="spellStart"/>
            <w:r w:rsidRPr="004C5551">
              <w:rPr>
                <w:sz w:val="20"/>
              </w:rPr>
              <w:t>kvintil</w:t>
            </w:r>
            <w:proofErr w:type="spellEnd"/>
            <w:r w:rsidRPr="004C5551">
              <w:rPr>
                <w:sz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8,0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6,2</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-1,8</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 xml:space="preserve">Miera preťaženia obyvateľstva nákladmi na bývanie (III. </w:t>
            </w:r>
            <w:proofErr w:type="spellStart"/>
            <w:r w:rsidRPr="004C5551">
              <w:rPr>
                <w:sz w:val="20"/>
              </w:rPr>
              <w:t>kvintil</w:t>
            </w:r>
            <w:proofErr w:type="spellEnd"/>
            <w:r w:rsidRPr="004C5551">
              <w:rPr>
                <w:sz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3,6</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4,8</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 xml:space="preserve">Miera preťaženia obyvateľstva nákladmi na bývanie (IV. </w:t>
            </w:r>
            <w:proofErr w:type="spellStart"/>
            <w:r w:rsidRPr="004C5551">
              <w:rPr>
                <w:sz w:val="20"/>
              </w:rPr>
              <w:t>kvintil</w:t>
            </w:r>
            <w:proofErr w:type="spellEnd"/>
            <w:r w:rsidRPr="004C5551">
              <w:rPr>
                <w:sz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2,3</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2,4</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r>
      <w:tr w:rsidR="005F5B11" w:rsidRPr="004C5551" w:rsidTr="00533E06">
        <w:trPr>
          <w:trHeight w:val="20"/>
          <w:jc w:val="center"/>
        </w:trPr>
        <w:tc>
          <w:tcPr>
            <w:tcW w:w="8509" w:type="dxa"/>
            <w:shd w:val="clear" w:color="000000" w:fill="FFFFFF"/>
          </w:tcPr>
          <w:p w:rsidR="005F5B11" w:rsidRPr="004C5551" w:rsidRDefault="005F5B11" w:rsidP="00533E06">
            <w:pPr>
              <w:rPr>
                <w:sz w:val="20"/>
              </w:rPr>
            </w:pPr>
            <w:r w:rsidRPr="004C5551">
              <w:rPr>
                <w:sz w:val="20"/>
              </w:rPr>
              <w:t xml:space="preserve">Miera preťaženia obyvateľstva nákladmi na bývanie (V. </w:t>
            </w:r>
            <w:proofErr w:type="spellStart"/>
            <w:r w:rsidRPr="004C5551">
              <w:rPr>
                <w:sz w:val="20"/>
              </w:rPr>
              <w:t>kvintil</w:t>
            </w:r>
            <w:proofErr w:type="spellEnd"/>
            <w:r w:rsidRPr="004C5551">
              <w:rPr>
                <w:sz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0,9</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1,0</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5F5B11" w:rsidRPr="004C5551" w:rsidRDefault="005F5B11" w:rsidP="005F5B11">
            <w:pPr>
              <w:ind w:right="120"/>
              <w:jc w:val="right"/>
              <w:rPr>
                <w:color w:val="000000" w:themeColor="text1"/>
                <w:sz w:val="20"/>
                <w:szCs w:val="20"/>
              </w:rPr>
            </w:pPr>
            <w:r w:rsidRPr="004C5551">
              <w:rPr>
                <w:color w:val="000000" w:themeColor="text1"/>
                <w:sz w:val="20"/>
                <w:szCs w:val="20"/>
              </w:rPr>
              <w:t>:</w:t>
            </w:r>
          </w:p>
        </w:tc>
      </w:tr>
      <w:tr w:rsidR="002F59CC" w:rsidRPr="004C5551" w:rsidTr="001C4C0A">
        <w:trPr>
          <w:trHeight w:val="20"/>
          <w:jc w:val="center"/>
        </w:trPr>
        <w:tc>
          <w:tcPr>
            <w:tcW w:w="14438" w:type="dxa"/>
            <w:gridSpan w:val="10"/>
            <w:shd w:val="clear" w:color="000000" w:fill="FFFFFF"/>
            <w:vAlign w:val="center"/>
          </w:tcPr>
          <w:p w:rsidR="002F59CC" w:rsidRPr="004C5551" w:rsidRDefault="002F59CC" w:rsidP="0003544F">
            <w:pPr>
              <w:ind w:right="120"/>
              <w:jc w:val="left"/>
              <w:rPr>
                <w:color w:val="000000" w:themeColor="text1"/>
                <w:sz w:val="20"/>
                <w:szCs w:val="20"/>
              </w:rPr>
            </w:pPr>
            <w:r w:rsidRPr="004C5551">
              <w:rPr>
                <w:b/>
                <w:color w:val="000000" w:themeColor="text1"/>
                <w:sz w:val="20"/>
                <w:szCs w:val="20"/>
              </w:rPr>
              <w:t xml:space="preserve">Miera preťaženia obyvateľstva nákladmi na </w:t>
            </w:r>
            <w:r w:rsidR="0003544F" w:rsidRPr="004C5551">
              <w:rPr>
                <w:b/>
                <w:color w:val="000000" w:themeColor="text1"/>
                <w:sz w:val="20"/>
                <w:szCs w:val="20"/>
              </w:rPr>
              <w:t xml:space="preserve">bývanie </w:t>
            </w:r>
            <w:r w:rsidRPr="004C5551">
              <w:rPr>
                <w:b/>
                <w:color w:val="000000" w:themeColor="text1"/>
                <w:sz w:val="20"/>
                <w:szCs w:val="20"/>
              </w:rPr>
              <w:t>podľa typu vlastníctva</w:t>
            </w:r>
          </w:p>
        </w:tc>
      </w:tr>
      <w:tr w:rsidR="002F59CC" w:rsidRPr="004C5551" w:rsidTr="00533E06">
        <w:trPr>
          <w:trHeight w:val="20"/>
          <w:jc w:val="center"/>
        </w:trPr>
        <w:tc>
          <w:tcPr>
            <w:tcW w:w="8509" w:type="dxa"/>
            <w:shd w:val="clear" w:color="000000" w:fill="FFFFFF"/>
            <w:vAlign w:val="bottom"/>
          </w:tcPr>
          <w:p w:rsidR="002F59CC" w:rsidRPr="004C5551" w:rsidRDefault="002F59CC" w:rsidP="0003544F">
            <w:pPr>
              <w:ind w:left="397"/>
              <w:rPr>
                <w:color w:val="000000" w:themeColor="text1"/>
                <w:sz w:val="20"/>
                <w:szCs w:val="20"/>
              </w:rPr>
            </w:pPr>
            <w:r w:rsidRPr="004C5551">
              <w:rPr>
                <w:color w:val="000000" w:themeColor="text1"/>
                <w:sz w:val="20"/>
                <w:szCs w:val="20"/>
              </w:rPr>
              <w:t>vlastník, s</w:t>
            </w:r>
            <w:r w:rsidR="0003544F" w:rsidRPr="004C5551">
              <w:rPr>
                <w:color w:val="000000" w:themeColor="text1"/>
                <w:sz w:val="20"/>
                <w:szCs w:val="20"/>
              </w:rPr>
              <w:t xml:space="preserve"> hypotékou </w:t>
            </w:r>
            <w:r w:rsidRPr="004C5551">
              <w:rPr>
                <w:color w:val="000000" w:themeColor="text1"/>
                <w:sz w:val="20"/>
                <w:szCs w:val="20"/>
              </w:rPr>
              <w:t>alebo úverom na bývanie</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24,8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26,5</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1,7</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33E06">
        <w:trPr>
          <w:trHeight w:val="20"/>
          <w:jc w:val="center"/>
        </w:trPr>
        <w:tc>
          <w:tcPr>
            <w:tcW w:w="8509" w:type="dxa"/>
            <w:shd w:val="clear" w:color="000000" w:fill="FFFFFF"/>
            <w:vAlign w:val="bottom"/>
          </w:tcPr>
          <w:p w:rsidR="002F59CC" w:rsidRPr="004C5551" w:rsidRDefault="002F59CC" w:rsidP="002F59CC">
            <w:pPr>
              <w:ind w:left="397"/>
              <w:rPr>
                <w:color w:val="000000" w:themeColor="text1"/>
                <w:sz w:val="20"/>
                <w:szCs w:val="20"/>
              </w:rPr>
            </w:pPr>
            <w:r w:rsidRPr="004C5551">
              <w:rPr>
                <w:color w:val="000000" w:themeColor="text1"/>
                <w:sz w:val="20"/>
                <w:szCs w:val="20"/>
              </w:rPr>
              <w:t>vlastník, bez hypotéky alebo úveru na bývanie</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5,7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5,7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33E06">
        <w:trPr>
          <w:trHeight w:val="20"/>
          <w:jc w:val="center"/>
        </w:trPr>
        <w:tc>
          <w:tcPr>
            <w:tcW w:w="8509" w:type="dxa"/>
            <w:shd w:val="clear" w:color="000000" w:fill="FFFFFF"/>
            <w:vAlign w:val="bottom"/>
          </w:tcPr>
          <w:p w:rsidR="002F59CC" w:rsidRPr="004C5551" w:rsidRDefault="002F59CC" w:rsidP="002F59CC">
            <w:pPr>
              <w:ind w:left="397"/>
              <w:rPr>
                <w:color w:val="000000" w:themeColor="text1"/>
                <w:sz w:val="20"/>
                <w:szCs w:val="20"/>
              </w:rPr>
            </w:pPr>
            <w:r w:rsidRPr="004C5551">
              <w:rPr>
                <w:color w:val="000000" w:themeColor="text1"/>
                <w:sz w:val="20"/>
                <w:szCs w:val="20"/>
              </w:rPr>
              <w:t>nájomca, prenájom za trhovú cenu</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15,1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12,9</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-2,2</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33E06">
        <w:trPr>
          <w:trHeight w:val="20"/>
          <w:jc w:val="center"/>
        </w:trPr>
        <w:tc>
          <w:tcPr>
            <w:tcW w:w="8509" w:type="dxa"/>
            <w:shd w:val="clear" w:color="000000" w:fill="FFFFFF"/>
            <w:vAlign w:val="bottom"/>
          </w:tcPr>
          <w:p w:rsidR="002F59CC" w:rsidRPr="004C5551" w:rsidRDefault="002F59CC" w:rsidP="002F59CC">
            <w:pPr>
              <w:ind w:left="397"/>
              <w:rPr>
                <w:color w:val="000000" w:themeColor="text1"/>
                <w:sz w:val="20"/>
                <w:szCs w:val="20"/>
              </w:rPr>
            </w:pPr>
            <w:r w:rsidRPr="004C5551">
              <w:rPr>
                <w:color w:val="000000" w:themeColor="text1"/>
                <w:sz w:val="20"/>
                <w:szCs w:val="20"/>
              </w:rPr>
              <w:t>nájomca, prenájom za zníženú cenu alebo zadarmo</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11,9</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3,2</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1C4C0A">
        <w:trPr>
          <w:trHeight w:val="20"/>
          <w:jc w:val="center"/>
        </w:trPr>
        <w:tc>
          <w:tcPr>
            <w:tcW w:w="14438" w:type="dxa"/>
            <w:gridSpan w:val="10"/>
            <w:shd w:val="clear" w:color="000000" w:fill="FFFFFF"/>
            <w:vAlign w:val="center"/>
          </w:tcPr>
          <w:p w:rsidR="002F59CC" w:rsidRPr="004C5551" w:rsidRDefault="002F59CC" w:rsidP="0003544F">
            <w:pPr>
              <w:ind w:right="120"/>
              <w:jc w:val="left"/>
              <w:rPr>
                <w:color w:val="000000" w:themeColor="text1"/>
                <w:sz w:val="20"/>
                <w:szCs w:val="20"/>
              </w:rPr>
            </w:pPr>
            <w:r w:rsidRPr="004C5551">
              <w:rPr>
                <w:b/>
                <w:color w:val="000000" w:themeColor="text1"/>
                <w:sz w:val="20"/>
                <w:szCs w:val="20"/>
              </w:rPr>
              <w:t xml:space="preserve">Miera preťaženia obyvateľstva nákladmi na </w:t>
            </w:r>
            <w:r w:rsidR="0003544F" w:rsidRPr="004C5551">
              <w:rPr>
                <w:b/>
                <w:color w:val="000000" w:themeColor="text1"/>
                <w:sz w:val="20"/>
                <w:szCs w:val="20"/>
              </w:rPr>
              <w:t xml:space="preserve">bývanie </w:t>
            </w:r>
            <w:r w:rsidRPr="004C5551">
              <w:rPr>
                <w:b/>
                <w:color w:val="000000" w:themeColor="text1"/>
                <w:sz w:val="20"/>
                <w:szCs w:val="20"/>
              </w:rPr>
              <w:t>podľa stupňa osídlenia</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husto obývania oblasť</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7,7(b)</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8,2</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stredne obývania oblasť</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7,8(b)</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7,3</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riedko obývaná oblasť</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9,1(b)</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9,1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1C4C0A">
        <w:trPr>
          <w:trHeight w:val="20"/>
          <w:jc w:val="center"/>
        </w:trPr>
        <w:tc>
          <w:tcPr>
            <w:tcW w:w="14438" w:type="dxa"/>
            <w:gridSpan w:val="10"/>
            <w:shd w:val="clear" w:color="000000" w:fill="FFFFFF"/>
            <w:vAlign w:val="center"/>
          </w:tcPr>
          <w:p w:rsidR="002F59CC" w:rsidRPr="004C5551" w:rsidRDefault="002F59CC" w:rsidP="0003544F">
            <w:pPr>
              <w:ind w:right="120"/>
              <w:jc w:val="left"/>
              <w:rPr>
                <w:color w:val="000000" w:themeColor="text1"/>
                <w:sz w:val="20"/>
                <w:szCs w:val="20"/>
              </w:rPr>
            </w:pPr>
            <w:r w:rsidRPr="004C5551">
              <w:rPr>
                <w:b/>
                <w:color w:val="000000" w:themeColor="text1"/>
                <w:sz w:val="20"/>
                <w:szCs w:val="20"/>
              </w:rPr>
              <w:t xml:space="preserve">Miera preťaženia obyvateľstva nákladmi na </w:t>
            </w:r>
            <w:r w:rsidR="0003544F" w:rsidRPr="004C5551">
              <w:rPr>
                <w:b/>
                <w:color w:val="000000" w:themeColor="text1"/>
                <w:sz w:val="20"/>
                <w:szCs w:val="20"/>
              </w:rPr>
              <w:t xml:space="preserve">bývanie </w:t>
            </w:r>
            <w:r w:rsidRPr="004C5551">
              <w:rPr>
                <w:b/>
                <w:color w:val="000000" w:themeColor="text1"/>
                <w:sz w:val="20"/>
                <w:szCs w:val="20"/>
              </w:rPr>
              <w:t>podľa typu domácnosti</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jednotlivec mladší ako 65 rokov</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24,5</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26,0</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1,5</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jednotlivec starší ako 65 rokov</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21,1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18,4</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-2,7</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 xml:space="preserve">jednotlivec </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22,8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23,5</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22,5</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22,1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26,8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20,4</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-0,7</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3,3</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-2,1</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dvaja dospelí, najmenej jeden starší ako 65 rokov</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6,4</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4,8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-1,6</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F5B1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dvaja dospelí, obaja mladší ako 65 rokov</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8,5</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10,4</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1,9</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F5B1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jednotlivec s najmenej jedným dieťaťom</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15,7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19,7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4,0</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 xml:space="preserve">dvaja dospelí s jedným závislým dieťaťom </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10,8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12,2</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1,4</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03544F">
            <w:pPr>
              <w:ind w:left="397"/>
              <w:rPr>
                <w:color w:val="000000" w:themeColor="text1"/>
                <w:sz w:val="20"/>
                <w:szCs w:val="20"/>
              </w:rPr>
            </w:pPr>
            <w:r w:rsidRPr="004C5551">
              <w:rPr>
                <w:color w:val="000000" w:themeColor="text1"/>
                <w:sz w:val="20"/>
                <w:szCs w:val="20"/>
              </w:rPr>
              <w:t xml:space="preserve">dvaja dospelí s dvomi závislými </w:t>
            </w:r>
            <w:r w:rsidR="004E35AB" w:rsidRPr="004C5551">
              <w:rPr>
                <w:color w:val="000000" w:themeColor="text1"/>
                <w:sz w:val="20"/>
                <w:szCs w:val="20"/>
              </w:rPr>
              <w:t>deťmi</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10,9</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11,3</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03544F">
            <w:pPr>
              <w:ind w:left="397"/>
              <w:rPr>
                <w:color w:val="000000" w:themeColor="text1"/>
                <w:sz w:val="20"/>
                <w:szCs w:val="20"/>
              </w:rPr>
            </w:pPr>
            <w:r w:rsidRPr="004C5551">
              <w:rPr>
                <w:color w:val="000000" w:themeColor="text1"/>
                <w:sz w:val="20"/>
                <w:szCs w:val="20"/>
              </w:rPr>
              <w:t>dvaja dospelí s tromi a viac závislými deťmi</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14,8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10,3</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-4,5</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140F1">
        <w:trPr>
          <w:trHeight w:val="20"/>
          <w:jc w:val="center"/>
        </w:trPr>
        <w:tc>
          <w:tcPr>
            <w:tcW w:w="8509" w:type="dxa"/>
            <w:shd w:val="clear" w:color="000000" w:fill="FFFFFF"/>
            <w:vAlign w:val="center"/>
          </w:tcPr>
          <w:p w:rsidR="002F59CC" w:rsidRPr="004C5551" w:rsidRDefault="002F59CC" w:rsidP="0003544F">
            <w:pPr>
              <w:ind w:left="397"/>
              <w:rPr>
                <w:color w:val="000000" w:themeColor="text1"/>
                <w:sz w:val="20"/>
                <w:szCs w:val="20"/>
              </w:rPr>
            </w:pPr>
            <w:r w:rsidRPr="004C5551">
              <w:rPr>
                <w:color w:val="000000" w:themeColor="text1"/>
                <w:sz w:val="20"/>
                <w:szCs w:val="20"/>
              </w:rPr>
              <w:t>traja a viac dospelí so závislými deťmi</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3,1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4,1</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1,0</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F5B11">
        <w:trPr>
          <w:trHeight w:val="20"/>
          <w:jc w:val="center"/>
        </w:trPr>
        <w:tc>
          <w:tcPr>
            <w:tcW w:w="8509" w:type="dxa"/>
            <w:shd w:val="clear" w:color="000000" w:fill="FFFFFF"/>
            <w:vAlign w:val="center"/>
          </w:tcPr>
          <w:p w:rsidR="002F59CC" w:rsidRPr="004C5551" w:rsidRDefault="002F59CC" w:rsidP="002F59CC">
            <w:pPr>
              <w:ind w:left="397"/>
              <w:rPr>
                <w:color w:val="000000" w:themeColor="text1"/>
                <w:sz w:val="20"/>
                <w:szCs w:val="20"/>
              </w:rPr>
            </w:pPr>
            <w:r w:rsidRPr="004C5551">
              <w:rPr>
                <w:color w:val="000000" w:themeColor="text1"/>
                <w:sz w:val="20"/>
                <w:szCs w:val="20"/>
              </w:rPr>
              <w:t>domácnosti so závislými deťmi</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8,5</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8,8</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2F59CC" w:rsidRPr="004C5551" w:rsidTr="005F5B11">
        <w:trPr>
          <w:trHeight w:val="20"/>
          <w:jc w:val="center"/>
        </w:trPr>
        <w:tc>
          <w:tcPr>
            <w:tcW w:w="8509" w:type="dxa"/>
            <w:shd w:val="clear" w:color="000000" w:fill="FFFFFF"/>
            <w:vAlign w:val="center"/>
          </w:tcPr>
          <w:p w:rsidR="002F59CC" w:rsidRPr="004C5551" w:rsidRDefault="0003544F" w:rsidP="0003544F">
            <w:pPr>
              <w:ind w:left="397"/>
              <w:rPr>
                <w:color w:val="000000" w:themeColor="text1"/>
                <w:sz w:val="20"/>
                <w:szCs w:val="20"/>
              </w:rPr>
            </w:pPr>
            <w:r w:rsidRPr="004C5551">
              <w:rPr>
                <w:color w:val="000000" w:themeColor="text1"/>
                <w:sz w:val="20"/>
                <w:szCs w:val="20"/>
              </w:rPr>
              <w:t xml:space="preserve">domácnosti </w:t>
            </w:r>
            <w:r w:rsidR="002F59CC" w:rsidRPr="004C5551">
              <w:rPr>
                <w:color w:val="000000" w:themeColor="text1"/>
                <w:sz w:val="20"/>
                <w:szCs w:val="20"/>
              </w:rPr>
              <w:t xml:space="preserve">bez závislých detí </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8,2</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7,7</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2F59CC" w:rsidRPr="004C5551" w:rsidRDefault="002F59CC" w:rsidP="002F59CC">
            <w:pPr>
              <w:ind w:right="120"/>
              <w:jc w:val="right"/>
              <w:rPr>
                <w:color w:val="000000" w:themeColor="text1"/>
                <w:sz w:val="20"/>
                <w:szCs w:val="20"/>
              </w:rPr>
            </w:pPr>
            <w:r w:rsidRPr="004C5551">
              <w:rPr>
                <w:color w:val="000000" w:themeColor="text1"/>
                <w:sz w:val="20"/>
                <w:szCs w:val="20"/>
              </w:rPr>
              <w:t>:</w:t>
            </w:r>
          </w:p>
        </w:tc>
      </w:tr>
      <w:tr w:rsidR="00533E06" w:rsidRPr="004C5551" w:rsidTr="005F5B11">
        <w:trPr>
          <w:trHeight w:val="20"/>
          <w:jc w:val="center"/>
        </w:trPr>
        <w:tc>
          <w:tcPr>
            <w:tcW w:w="8509" w:type="dxa"/>
            <w:shd w:val="clear" w:color="000000" w:fill="FFFFFF"/>
            <w:vAlign w:val="center"/>
          </w:tcPr>
          <w:p w:rsidR="00533E06" w:rsidRPr="004C5551" w:rsidRDefault="00533E06">
            <w:pPr>
              <w:rPr>
                <w:sz w:val="20"/>
              </w:rPr>
            </w:pPr>
            <w:r w:rsidRPr="004C5551">
              <w:rPr>
                <w:sz w:val="20"/>
              </w:rPr>
              <w:t>Miera preľudnenia (celá populácia)</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38,4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38,5</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38,2</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39,8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40,3</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39,2</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1,4</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1,8</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1,0</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(0 </w:t>
            </w:r>
            <w:r w:rsidRPr="004C5551">
              <w:rPr>
                <w:bCs/>
                <w:sz w:val="20"/>
                <w:szCs w:val="16"/>
              </w:rPr>
              <w:t>–</w:t>
            </w:r>
            <w:r w:rsidRPr="004C5551">
              <w:rPr>
                <w:sz w:val="20"/>
              </w:rPr>
              <w:t xml:space="preserve"> </w:t>
            </w:r>
            <w:r w:rsidR="00533E06" w:rsidRPr="004C5551">
              <w:rPr>
                <w:sz w:val="20"/>
              </w:rPr>
              <w:t>5)</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42,9</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42,1</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44,1</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44,0</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43,2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45,0</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1,1</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0,9</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(6 </w:t>
            </w:r>
            <w:r w:rsidRPr="004C5551">
              <w:rPr>
                <w:bCs/>
                <w:sz w:val="20"/>
                <w:szCs w:val="16"/>
              </w:rPr>
              <w:t>–</w:t>
            </w:r>
            <w:r w:rsidRPr="004C5551">
              <w:rPr>
                <w:sz w:val="20"/>
              </w:rPr>
              <w:t xml:space="preserve"> </w:t>
            </w:r>
            <w:r w:rsidR="00533E06" w:rsidRPr="004C5551">
              <w:rPr>
                <w:sz w:val="20"/>
              </w:rPr>
              <w:t>11)</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43,0</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42,0</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44,1</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46,4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48,9</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43,4</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3,4</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6,9</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-0,7</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(12 </w:t>
            </w:r>
            <w:r w:rsidRPr="004C5551">
              <w:rPr>
                <w:bCs/>
                <w:sz w:val="20"/>
                <w:szCs w:val="16"/>
              </w:rPr>
              <w:t>–</w:t>
            </w:r>
            <w:r w:rsidRPr="004C5551">
              <w:rPr>
                <w:sz w:val="20"/>
              </w:rPr>
              <w:t xml:space="preserve"> </w:t>
            </w:r>
            <w:r w:rsidR="00533E06" w:rsidRPr="004C5551">
              <w:rPr>
                <w:sz w:val="20"/>
              </w:rPr>
              <w:t>17)</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59,7</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58,2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61,4</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60,1</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58,4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62,2</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0,8</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(0 </w:t>
            </w:r>
            <w:r w:rsidRPr="004C5551">
              <w:rPr>
                <w:bCs/>
                <w:sz w:val="20"/>
                <w:szCs w:val="16"/>
              </w:rPr>
              <w:t>–</w:t>
            </w:r>
            <w:r w:rsidRPr="004C5551">
              <w:rPr>
                <w:sz w:val="20"/>
              </w:rPr>
              <w:t xml:space="preserve"> </w:t>
            </w:r>
            <w:r w:rsidR="00533E06" w:rsidRPr="004C5551">
              <w:rPr>
                <w:sz w:val="20"/>
              </w:rPr>
              <w:t>17)</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49,6</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48,4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51,1</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50,8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50,7</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50,9</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2,3</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-0,2</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(18 </w:t>
            </w:r>
            <w:r w:rsidRPr="004C5551">
              <w:rPr>
                <w:bCs/>
                <w:sz w:val="20"/>
                <w:szCs w:val="16"/>
              </w:rPr>
              <w:t>–</w:t>
            </w:r>
            <w:r w:rsidRPr="004C5551">
              <w:rPr>
                <w:sz w:val="20"/>
              </w:rPr>
              <w:t xml:space="preserve"> </w:t>
            </w:r>
            <w:r w:rsidR="00533E06" w:rsidRPr="004C5551">
              <w:rPr>
                <w:sz w:val="20"/>
              </w:rPr>
              <w:t>64)</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40,3</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40,2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40,4</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41,5</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41,8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41,2</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1,6</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0,8</w:t>
            </w:r>
          </w:p>
        </w:tc>
      </w:tr>
      <w:tr w:rsidR="00533E06" w:rsidRPr="004C5551" w:rsidTr="005F5B11">
        <w:trPr>
          <w:trHeight w:val="20"/>
          <w:jc w:val="center"/>
        </w:trPr>
        <w:tc>
          <w:tcPr>
            <w:tcW w:w="8509" w:type="dxa"/>
            <w:shd w:val="clear" w:color="000000" w:fill="FFFFFF"/>
            <w:vAlign w:val="center"/>
          </w:tcPr>
          <w:p w:rsidR="00533E06" w:rsidRPr="004C5551" w:rsidRDefault="00533E06">
            <w:pPr>
              <w:rPr>
                <w:sz w:val="20"/>
              </w:rPr>
            </w:pPr>
            <w:r w:rsidRPr="004C5551">
              <w:rPr>
                <w:sz w:val="20"/>
              </w:rPr>
              <w:t>Miera preľudnenia (65+)</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15,1</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10,8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17,7</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15,5</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9,5</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19,2</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-1,3</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1,5</w:t>
            </w:r>
          </w:p>
        </w:tc>
      </w:tr>
      <w:tr w:rsidR="00533E06" w:rsidRPr="004C5551" w:rsidTr="005F5B11">
        <w:trPr>
          <w:trHeight w:val="20"/>
          <w:jc w:val="center"/>
        </w:trPr>
        <w:tc>
          <w:tcPr>
            <w:tcW w:w="8509" w:type="dxa"/>
            <w:shd w:val="clear" w:color="000000" w:fill="FFFFFF"/>
            <w:vAlign w:val="center"/>
          </w:tcPr>
          <w:p w:rsidR="00533E06" w:rsidRPr="004C5551" w:rsidRDefault="00533E06" w:rsidP="0003544F">
            <w:pPr>
              <w:rPr>
                <w:sz w:val="20"/>
              </w:rPr>
            </w:pPr>
            <w:r w:rsidRPr="004C5551">
              <w:rPr>
                <w:sz w:val="20"/>
              </w:rPr>
              <w:t xml:space="preserve">Miera </w:t>
            </w:r>
            <w:r w:rsidR="0003544F" w:rsidRPr="004C5551">
              <w:rPr>
                <w:sz w:val="20"/>
              </w:rPr>
              <w:t xml:space="preserve">preľudnenia </w:t>
            </w:r>
            <w:r w:rsidR="00F80174" w:rsidRPr="004C5551">
              <w:rPr>
                <w:bCs/>
                <w:sz w:val="20"/>
                <w:szCs w:val="16"/>
              </w:rPr>
              <w:t>–</w:t>
            </w:r>
            <w:r w:rsidRPr="004C5551">
              <w:rPr>
                <w:sz w:val="20"/>
              </w:rPr>
              <w:t xml:space="preserve"> pod hranicou chudoby</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51,4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53,8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51,0</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55,7</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57,2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54,4</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4,3</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3,4</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3,4</w:t>
            </w:r>
          </w:p>
        </w:tc>
      </w:tr>
      <w:tr w:rsidR="00533E06" w:rsidRPr="004C5551" w:rsidTr="005F5B11">
        <w:trPr>
          <w:trHeight w:val="20"/>
          <w:jc w:val="center"/>
        </w:trPr>
        <w:tc>
          <w:tcPr>
            <w:tcW w:w="8509" w:type="dxa"/>
            <w:shd w:val="clear" w:color="000000" w:fill="FFFFFF"/>
            <w:vAlign w:val="center"/>
          </w:tcPr>
          <w:p w:rsidR="00533E06" w:rsidRPr="004C5551" w:rsidRDefault="00F80174">
            <w:pPr>
              <w:rPr>
                <w:sz w:val="20"/>
              </w:rPr>
            </w:pPr>
            <w:r w:rsidRPr="004C5551">
              <w:rPr>
                <w:sz w:val="20"/>
              </w:rPr>
              <w:t xml:space="preserve">Miera preľudnenia </w:t>
            </w:r>
            <w:r w:rsidRPr="004C5551">
              <w:rPr>
                <w:bCs/>
                <w:sz w:val="20"/>
                <w:szCs w:val="16"/>
              </w:rPr>
              <w:t>–</w:t>
            </w:r>
            <w:r w:rsidR="00533E06" w:rsidRPr="004C5551">
              <w:rPr>
                <w:sz w:val="20"/>
              </w:rPr>
              <w:t xml:space="preserve"> nad hranicou chudoby</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36,2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36,2</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36,3</w:t>
            </w:r>
          </w:p>
        </w:tc>
        <w:tc>
          <w:tcPr>
            <w:tcW w:w="0" w:type="auto"/>
            <w:shd w:val="clear" w:color="000000" w:fill="FFFFFF"/>
            <w:noWrap/>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37,4</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37,8</w:t>
            </w:r>
          </w:p>
        </w:tc>
        <w:tc>
          <w:tcPr>
            <w:tcW w:w="0" w:type="auto"/>
            <w:shd w:val="clear" w:color="000000" w:fill="FFFFFF"/>
            <w:noWrap/>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37,0</w:t>
            </w:r>
          </w:p>
        </w:tc>
        <w:tc>
          <w:tcPr>
            <w:tcW w:w="0" w:type="auto"/>
            <w:shd w:val="clear" w:color="000000" w:fill="FFFFFF"/>
            <w:vAlign w:val="center"/>
          </w:tcPr>
          <w:p w:rsidR="00533E06" w:rsidRPr="004C5551" w:rsidRDefault="00533E06" w:rsidP="00533E06">
            <w:pPr>
              <w:ind w:right="120"/>
              <w:jc w:val="right"/>
              <w:rPr>
                <w:b/>
                <w:color w:val="000000" w:themeColor="text1"/>
                <w:sz w:val="20"/>
                <w:szCs w:val="20"/>
              </w:rPr>
            </w:pPr>
            <w:r w:rsidRPr="004C5551">
              <w:rPr>
                <w:b/>
                <w:color w:val="000000" w:themeColor="text1"/>
                <w:sz w:val="20"/>
                <w:szCs w:val="20"/>
              </w:rPr>
              <w:t>1,2</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1,6</w:t>
            </w:r>
          </w:p>
        </w:tc>
        <w:tc>
          <w:tcPr>
            <w:tcW w:w="0" w:type="auto"/>
            <w:shd w:val="clear" w:color="000000" w:fill="FFFFFF"/>
            <w:vAlign w:val="center"/>
          </w:tcPr>
          <w:p w:rsidR="00533E06" w:rsidRPr="004C5551" w:rsidRDefault="00533E06" w:rsidP="00533E06">
            <w:pPr>
              <w:ind w:right="120"/>
              <w:jc w:val="right"/>
              <w:rPr>
                <w:color w:val="000000" w:themeColor="text1"/>
                <w:sz w:val="20"/>
                <w:szCs w:val="20"/>
              </w:rPr>
            </w:pPr>
            <w:r w:rsidRPr="004C5551">
              <w:rPr>
                <w:color w:val="000000" w:themeColor="text1"/>
                <w:sz w:val="20"/>
                <w:szCs w:val="20"/>
              </w:rPr>
              <w:t>0,7</w:t>
            </w:r>
          </w:p>
        </w:tc>
      </w:tr>
      <w:tr w:rsidR="001C4C0A" w:rsidRPr="004C5551" w:rsidTr="001C4C0A">
        <w:trPr>
          <w:trHeight w:val="20"/>
          <w:jc w:val="center"/>
        </w:trPr>
        <w:tc>
          <w:tcPr>
            <w:tcW w:w="14438" w:type="dxa"/>
            <w:gridSpan w:val="10"/>
            <w:shd w:val="clear" w:color="000000" w:fill="FFFFFF"/>
            <w:vAlign w:val="center"/>
          </w:tcPr>
          <w:p w:rsidR="001C4C0A" w:rsidRPr="004C5551" w:rsidRDefault="001C4C0A" w:rsidP="001C4C0A">
            <w:pPr>
              <w:ind w:right="120"/>
              <w:jc w:val="left"/>
              <w:rPr>
                <w:color w:val="000000" w:themeColor="text1"/>
                <w:sz w:val="20"/>
                <w:szCs w:val="20"/>
              </w:rPr>
            </w:pPr>
            <w:r w:rsidRPr="004C5551">
              <w:rPr>
                <w:b/>
                <w:color w:val="000000" w:themeColor="text1"/>
                <w:sz w:val="20"/>
                <w:szCs w:val="20"/>
              </w:rPr>
              <w:t>Miera preľudnenia podľa typu vlastníctva</w:t>
            </w:r>
          </w:p>
        </w:tc>
      </w:tr>
      <w:tr w:rsidR="001C4C0A" w:rsidRPr="004C5551" w:rsidTr="001C4C0A">
        <w:trPr>
          <w:trHeight w:val="20"/>
          <w:jc w:val="center"/>
        </w:trPr>
        <w:tc>
          <w:tcPr>
            <w:tcW w:w="8509" w:type="dxa"/>
            <w:shd w:val="clear" w:color="000000" w:fill="FFFFFF"/>
            <w:vAlign w:val="bottom"/>
          </w:tcPr>
          <w:p w:rsidR="001C4C0A" w:rsidRPr="004C5551" w:rsidRDefault="001C4C0A" w:rsidP="0003544F">
            <w:pPr>
              <w:ind w:left="397"/>
              <w:rPr>
                <w:color w:val="000000" w:themeColor="text1"/>
                <w:sz w:val="20"/>
                <w:szCs w:val="20"/>
              </w:rPr>
            </w:pPr>
            <w:r w:rsidRPr="004C5551">
              <w:rPr>
                <w:color w:val="000000" w:themeColor="text1"/>
                <w:sz w:val="20"/>
                <w:szCs w:val="20"/>
              </w:rPr>
              <w:t>vlastník, s</w:t>
            </w:r>
            <w:r w:rsidR="0003544F" w:rsidRPr="004C5551">
              <w:rPr>
                <w:color w:val="000000" w:themeColor="text1"/>
                <w:sz w:val="20"/>
                <w:szCs w:val="20"/>
              </w:rPr>
              <w:t xml:space="preserve"> hypotékou </w:t>
            </w:r>
            <w:r w:rsidRPr="004C5551">
              <w:rPr>
                <w:color w:val="000000" w:themeColor="text1"/>
                <w:sz w:val="20"/>
                <w:szCs w:val="20"/>
              </w:rPr>
              <w:t>alebo úverom na bývanie</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30,5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32,3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1,8</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1C4C0A">
        <w:trPr>
          <w:trHeight w:val="20"/>
          <w:jc w:val="center"/>
        </w:trPr>
        <w:tc>
          <w:tcPr>
            <w:tcW w:w="8509" w:type="dxa"/>
            <w:shd w:val="clear" w:color="000000" w:fill="FFFFFF"/>
            <w:vAlign w:val="bottom"/>
          </w:tcPr>
          <w:p w:rsidR="001C4C0A" w:rsidRPr="004C5551" w:rsidRDefault="001C4C0A" w:rsidP="00533E06">
            <w:pPr>
              <w:ind w:left="397"/>
              <w:rPr>
                <w:color w:val="000000" w:themeColor="text1"/>
                <w:sz w:val="20"/>
                <w:szCs w:val="20"/>
              </w:rPr>
            </w:pPr>
            <w:r w:rsidRPr="004C5551">
              <w:rPr>
                <w:color w:val="000000" w:themeColor="text1"/>
                <w:sz w:val="20"/>
                <w:szCs w:val="20"/>
              </w:rPr>
              <w:t>vlastník, bez hypotéky alebo úveru na bývanie</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36,5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37,6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1C4C0A">
        <w:trPr>
          <w:trHeight w:val="20"/>
          <w:jc w:val="center"/>
        </w:trPr>
        <w:tc>
          <w:tcPr>
            <w:tcW w:w="8509" w:type="dxa"/>
            <w:shd w:val="clear" w:color="000000" w:fill="FFFFFF"/>
            <w:vAlign w:val="bottom"/>
          </w:tcPr>
          <w:p w:rsidR="001C4C0A" w:rsidRPr="004C5551" w:rsidRDefault="001C4C0A" w:rsidP="00533E06">
            <w:pPr>
              <w:ind w:left="397"/>
              <w:rPr>
                <w:color w:val="000000" w:themeColor="text1"/>
                <w:sz w:val="20"/>
                <w:szCs w:val="20"/>
              </w:rPr>
            </w:pPr>
            <w:r w:rsidRPr="004C5551">
              <w:rPr>
                <w:color w:val="000000" w:themeColor="text1"/>
                <w:sz w:val="20"/>
                <w:szCs w:val="20"/>
              </w:rPr>
              <w:t>nájomca, prenájom za trhovú cenu</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63,0</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65,5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2,5</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1C4C0A">
        <w:trPr>
          <w:trHeight w:val="20"/>
          <w:jc w:val="center"/>
        </w:trPr>
        <w:tc>
          <w:tcPr>
            <w:tcW w:w="8509" w:type="dxa"/>
            <w:shd w:val="clear" w:color="000000" w:fill="FFFFFF"/>
            <w:vAlign w:val="bottom"/>
          </w:tcPr>
          <w:p w:rsidR="001C4C0A" w:rsidRPr="004C5551" w:rsidRDefault="001C4C0A" w:rsidP="00533E06">
            <w:pPr>
              <w:ind w:left="397"/>
              <w:rPr>
                <w:color w:val="000000" w:themeColor="text1"/>
                <w:sz w:val="20"/>
                <w:szCs w:val="20"/>
              </w:rPr>
            </w:pPr>
            <w:r w:rsidRPr="004C5551">
              <w:rPr>
                <w:color w:val="000000" w:themeColor="text1"/>
                <w:sz w:val="20"/>
                <w:szCs w:val="20"/>
              </w:rPr>
              <w:t>nájomca, prenájom za zníženú cenu alebo zadarmo</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57,1</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65,7</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8,6</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1C4C0A">
        <w:trPr>
          <w:trHeight w:val="20"/>
          <w:jc w:val="center"/>
        </w:trPr>
        <w:tc>
          <w:tcPr>
            <w:tcW w:w="14438" w:type="dxa"/>
            <w:gridSpan w:val="10"/>
            <w:shd w:val="clear" w:color="000000" w:fill="FFFFFF"/>
            <w:vAlign w:val="center"/>
          </w:tcPr>
          <w:p w:rsidR="001C4C0A" w:rsidRPr="004C5551" w:rsidRDefault="001C4C0A" w:rsidP="001C4C0A">
            <w:pPr>
              <w:ind w:right="120"/>
              <w:jc w:val="left"/>
              <w:rPr>
                <w:color w:val="000000" w:themeColor="text1"/>
                <w:sz w:val="20"/>
                <w:szCs w:val="20"/>
              </w:rPr>
            </w:pPr>
            <w:r w:rsidRPr="004C5551">
              <w:rPr>
                <w:b/>
                <w:color w:val="000000" w:themeColor="text1"/>
                <w:sz w:val="20"/>
                <w:szCs w:val="20"/>
              </w:rPr>
              <w:t>Miera preľudnenia podľa stupňa osídlenia</w:t>
            </w:r>
            <w:r w:rsidRPr="004C5551">
              <w:rPr>
                <w:rFonts w:ascii="Calibri" w:hAnsi="Calibri"/>
                <w:color w:val="000000"/>
                <w:szCs w:val="22"/>
              </w:rPr>
              <w:t xml:space="preserve"> </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husto obývania oblasť</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44,6(b)</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47,5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2,9</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stredne obývania oblasť</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37,2(b)</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39,6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2,4</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riedko obývaná oblasť</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35,8(b)</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35,9</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1C4C0A">
        <w:trPr>
          <w:trHeight w:val="20"/>
          <w:jc w:val="center"/>
        </w:trPr>
        <w:tc>
          <w:tcPr>
            <w:tcW w:w="14438" w:type="dxa"/>
            <w:gridSpan w:val="10"/>
            <w:shd w:val="clear" w:color="000000" w:fill="FFFFFF"/>
            <w:vAlign w:val="center"/>
          </w:tcPr>
          <w:p w:rsidR="001C4C0A" w:rsidRPr="004C5551" w:rsidRDefault="001C4C0A" w:rsidP="001C4C0A">
            <w:pPr>
              <w:ind w:right="120"/>
              <w:jc w:val="left"/>
              <w:rPr>
                <w:color w:val="000000" w:themeColor="text1"/>
                <w:sz w:val="20"/>
                <w:szCs w:val="20"/>
              </w:rPr>
            </w:pPr>
            <w:r w:rsidRPr="004C5551">
              <w:rPr>
                <w:b/>
                <w:color w:val="000000" w:themeColor="text1"/>
                <w:sz w:val="20"/>
                <w:szCs w:val="20"/>
              </w:rPr>
              <w:t>Miera preľudnenia podľa typu domácnosti</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jednotlivec mladší ako 65 rokov</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24,7</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24,1</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-0,6</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jednotlivec starší ako 65 rokov</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12,0</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13,5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1,5</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 xml:space="preserve">jednotlivec </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18,3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19,8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17,6</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18,6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19,9</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18,1</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0,5</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dvaja dospelí, najmenej jeden starší ako 65 rokov</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6,9</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8,5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1,6</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dvaja dospelí, obaja mladší ako 65 rokov</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11,8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12,3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jednotlivec s najmenej jedným dieťaťom</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55,4</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55,4</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533E06">
            <w:pPr>
              <w:ind w:left="397"/>
              <w:rPr>
                <w:color w:val="000000" w:themeColor="text1"/>
                <w:sz w:val="20"/>
                <w:szCs w:val="20"/>
              </w:rPr>
            </w:pPr>
            <w:r w:rsidRPr="004C5551">
              <w:rPr>
                <w:color w:val="000000" w:themeColor="text1"/>
                <w:sz w:val="20"/>
                <w:szCs w:val="20"/>
              </w:rPr>
              <w:t xml:space="preserve">dvaja dospelí s jedným závislým dieťaťom </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28,3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29,2</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0,9</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03544F">
            <w:pPr>
              <w:ind w:left="397"/>
              <w:rPr>
                <w:color w:val="000000" w:themeColor="text1"/>
                <w:sz w:val="20"/>
                <w:szCs w:val="20"/>
              </w:rPr>
            </w:pPr>
            <w:r w:rsidRPr="004C5551">
              <w:rPr>
                <w:color w:val="000000" w:themeColor="text1"/>
                <w:sz w:val="20"/>
                <w:szCs w:val="20"/>
              </w:rPr>
              <w:t xml:space="preserve">dvaja dospelí s dvomi závislými </w:t>
            </w:r>
            <w:r w:rsidR="004E35AB" w:rsidRPr="004C5551">
              <w:rPr>
                <w:color w:val="000000" w:themeColor="text1"/>
                <w:sz w:val="20"/>
                <w:szCs w:val="20"/>
              </w:rPr>
              <w:t>deťmi</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42,6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42,3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03544F">
            <w:pPr>
              <w:ind w:left="397"/>
              <w:rPr>
                <w:color w:val="000000" w:themeColor="text1"/>
                <w:sz w:val="20"/>
                <w:szCs w:val="20"/>
              </w:rPr>
            </w:pPr>
            <w:r w:rsidRPr="004C5551">
              <w:rPr>
                <w:color w:val="000000" w:themeColor="text1"/>
                <w:sz w:val="20"/>
                <w:szCs w:val="20"/>
              </w:rPr>
              <w:t>dvaja dospelí s tromi a viac závislými deťmi</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67,6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68,7</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03544F">
            <w:pPr>
              <w:ind w:left="397"/>
              <w:rPr>
                <w:color w:val="000000" w:themeColor="text1"/>
                <w:sz w:val="20"/>
                <w:szCs w:val="20"/>
              </w:rPr>
            </w:pPr>
            <w:r w:rsidRPr="004C5551">
              <w:rPr>
                <w:color w:val="000000" w:themeColor="text1"/>
                <w:sz w:val="20"/>
                <w:szCs w:val="20"/>
              </w:rPr>
              <w:t>traja a viac dospelí so závislými deťmi</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59,8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60,9</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1C4C0A" w:rsidP="0003544F">
            <w:pPr>
              <w:ind w:left="397"/>
              <w:rPr>
                <w:color w:val="000000" w:themeColor="text1"/>
                <w:sz w:val="20"/>
                <w:szCs w:val="20"/>
              </w:rPr>
            </w:pPr>
            <w:r w:rsidRPr="004C5551">
              <w:rPr>
                <w:color w:val="000000" w:themeColor="text1"/>
                <w:sz w:val="20"/>
                <w:szCs w:val="20"/>
              </w:rPr>
              <w:t>domácnosti so závislými deťmi</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50,3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51,8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1,5</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1C4C0A" w:rsidRPr="004C5551" w:rsidTr="005F5B11">
        <w:trPr>
          <w:trHeight w:val="20"/>
          <w:jc w:val="center"/>
        </w:trPr>
        <w:tc>
          <w:tcPr>
            <w:tcW w:w="8509" w:type="dxa"/>
            <w:shd w:val="clear" w:color="000000" w:fill="FFFFFF"/>
            <w:vAlign w:val="center"/>
          </w:tcPr>
          <w:p w:rsidR="001C4C0A" w:rsidRPr="004C5551" w:rsidRDefault="0003544F" w:rsidP="0003544F">
            <w:pPr>
              <w:ind w:left="397"/>
              <w:rPr>
                <w:color w:val="000000" w:themeColor="text1"/>
                <w:sz w:val="20"/>
                <w:szCs w:val="20"/>
              </w:rPr>
            </w:pPr>
            <w:r w:rsidRPr="004C5551">
              <w:rPr>
                <w:color w:val="000000" w:themeColor="text1"/>
                <w:sz w:val="20"/>
                <w:szCs w:val="20"/>
              </w:rPr>
              <w:t xml:space="preserve">domácnosti </w:t>
            </w:r>
            <w:r w:rsidR="001C4C0A" w:rsidRPr="004C5551">
              <w:rPr>
                <w:color w:val="000000" w:themeColor="text1"/>
                <w:sz w:val="20"/>
                <w:szCs w:val="20"/>
              </w:rPr>
              <w:t>bez závislých detí</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22,6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21,5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r>
      <w:tr w:rsidR="00640486" w:rsidRPr="004C5551" w:rsidTr="001C4C0A">
        <w:trPr>
          <w:trHeight w:val="20"/>
          <w:jc w:val="center"/>
        </w:trPr>
        <w:tc>
          <w:tcPr>
            <w:tcW w:w="14438" w:type="dxa"/>
            <w:gridSpan w:val="10"/>
            <w:tcBorders>
              <w:bottom w:val="single" w:sz="6" w:space="0" w:color="auto"/>
            </w:tcBorders>
            <w:shd w:val="clear" w:color="000000" w:fill="FFFFFF"/>
            <w:vAlign w:val="center"/>
          </w:tcPr>
          <w:p w:rsidR="00640486" w:rsidRPr="004C5551" w:rsidRDefault="00640486" w:rsidP="00B55E2C">
            <w:pPr>
              <w:jc w:val="center"/>
              <w:rPr>
                <w:color w:val="000000"/>
                <w:sz w:val="20"/>
                <w:szCs w:val="20"/>
              </w:rPr>
            </w:pPr>
          </w:p>
        </w:tc>
      </w:tr>
      <w:tr w:rsidR="00640486" w:rsidRPr="004C5551" w:rsidTr="001C4C0A">
        <w:trPr>
          <w:trHeight w:val="20"/>
          <w:jc w:val="center"/>
        </w:trPr>
        <w:tc>
          <w:tcPr>
            <w:tcW w:w="14438" w:type="dxa"/>
            <w:gridSpan w:val="10"/>
            <w:shd w:val="clear" w:color="auto" w:fill="FF9999" w:themeFill="accent3" w:themeFillTint="66"/>
            <w:vAlign w:val="center"/>
          </w:tcPr>
          <w:p w:rsidR="00640486" w:rsidRPr="004C5551" w:rsidRDefault="00640486" w:rsidP="00B55E2C">
            <w:pPr>
              <w:rPr>
                <w:b/>
                <w:color w:val="000000"/>
                <w:sz w:val="20"/>
                <w:szCs w:val="20"/>
              </w:rPr>
            </w:pPr>
            <w:r w:rsidRPr="004C5551">
              <w:rPr>
                <w:b/>
                <w:color w:val="000000" w:themeColor="text1"/>
                <w:sz w:val="20"/>
                <w:szCs w:val="20"/>
              </w:rPr>
              <w:t>Kontextové indikátory </w:t>
            </w:r>
          </w:p>
        </w:tc>
      </w:tr>
      <w:tr w:rsidR="001C4C0A" w:rsidRPr="004C5551" w:rsidTr="001C4C0A">
        <w:trPr>
          <w:trHeight w:val="20"/>
          <w:jc w:val="center"/>
        </w:trPr>
        <w:tc>
          <w:tcPr>
            <w:tcW w:w="8509" w:type="dxa"/>
            <w:shd w:val="clear" w:color="000000" w:fill="FFFFFF"/>
            <w:vAlign w:val="center"/>
            <w:hideMark/>
          </w:tcPr>
          <w:p w:rsidR="001C4C0A" w:rsidRPr="004C5551" w:rsidRDefault="001C4C0A" w:rsidP="00704644">
            <w:pPr>
              <w:rPr>
                <w:color w:val="000000" w:themeColor="text1"/>
                <w:sz w:val="20"/>
                <w:szCs w:val="20"/>
              </w:rPr>
            </w:pPr>
            <w:r w:rsidRPr="004C5551">
              <w:rPr>
                <w:color w:val="000000" w:themeColor="text1"/>
                <w:sz w:val="20"/>
                <w:szCs w:val="20"/>
              </w:rPr>
              <w:t xml:space="preserve">Nerovnosť distribúcie príjmov </w:t>
            </w:r>
            <w:r w:rsidRPr="004C5551">
              <w:rPr>
                <w:color w:val="000000" w:themeColor="text1"/>
              </w:rPr>
              <w:t>–</w:t>
            </w:r>
            <w:r w:rsidRPr="004C5551">
              <w:rPr>
                <w:color w:val="000000" w:themeColor="text1"/>
                <w:sz w:val="20"/>
                <w:szCs w:val="20"/>
              </w:rPr>
              <w:t xml:space="preserve"> S80/S20 – podiel príjmov horného a dolného kvintilu</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3,7</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3,8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3,6</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3,5</w:t>
            </w:r>
          </w:p>
        </w:tc>
        <w:tc>
          <w:tcPr>
            <w:tcW w:w="0" w:type="auto"/>
            <w:shd w:val="clear" w:color="000000" w:fill="FFFFFF"/>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-0,2</w:t>
            </w:r>
          </w:p>
        </w:tc>
      </w:tr>
      <w:tr w:rsidR="001C4C0A" w:rsidRPr="004C5551" w:rsidTr="001C4C0A">
        <w:trPr>
          <w:trHeight w:val="20"/>
          <w:jc w:val="center"/>
        </w:trPr>
        <w:tc>
          <w:tcPr>
            <w:tcW w:w="8509" w:type="dxa"/>
            <w:shd w:val="clear" w:color="000000" w:fill="FFFFFF"/>
            <w:vAlign w:val="center"/>
            <w:hideMark/>
          </w:tcPr>
          <w:p w:rsidR="001C4C0A" w:rsidRPr="004C5551" w:rsidRDefault="001C4C0A" w:rsidP="00B55E2C">
            <w:pPr>
              <w:rPr>
                <w:color w:val="000000" w:themeColor="text1"/>
                <w:sz w:val="20"/>
                <w:szCs w:val="20"/>
              </w:rPr>
            </w:pPr>
            <w:r w:rsidRPr="004C5551">
              <w:rPr>
                <w:color w:val="000000" w:themeColor="text1"/>
                <w:sz w:val="20"/>
                <w:szCs w:val="20"/>
              </w:rPr>
              <w:t xml:space="preserve">Nerovnosť distribúcie príjmov </w:t>
            </w:r>
            <w:r w:rsidRPr="004C5551">
              <w:rPr>
                <w:color w:val="000000" w:themeColor="text1"/>
              </w:rPr>
              <w:t>–</w:t>
            </w:r>
            <w:r w:rsidRPr="004C5551">
              <w:rPr>
                <w:color w:val="000000" w:themeColor="text1"/>
                <w:sz w:val="20"/>
                <w:szCs w:val="20"/>
              </w:rPr>
              <w:t xml:space="preserve"> </w:t>
            </w:r>
            <w:proofErr w:type="spellStart"/>
            <w:r w:rsidRPr="004C5551">
              <w:rPr>
                <w:color w:val="000000" w:themeColor="text1"/>
                <w:sz w:val="20"/>
                <w:szCs w:val="20"/>
              </w:rPr>
              <w:t>Gini</w:t>
            </w:r>
            <w:proofErr w:type="spellEnd"/>
            <w:r w:rsidRPr="004C5551">
              <w:rPr>
                <w:color w:val="000000" w:themeColor="text1"/>
                <w:sz w:val="20"/>
                <w:szCs w:val="20"/>
              </w:rPr>
              <w:t xml:space="preserve"> koeficient</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25,3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24,2</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w:t>
            </w:r>
          </w:p>
        </w:tc>
      </w:tr>
      <w:tr w:rsidR="00640486" w:rsidRPr="004C5551" w:rsidTr="001C4C0A">
        <w:trPr>
          <w:trHeight w:val="20"/>
          <w:jc w:val="center"/>
        </w:trPr>
        <w:tc>
          <w:tcPr>
            <w:tcW w:w="14438" w:type="dxa"/>
            <w:gridSpan w:val="10"/>
            <w:shd w:val="clear" w:color="000000" w:fill="FFFFFF"/>
            <w:vAlign w:val="center"/>
          </w:tcPr>
          <w:p w:rsidR="00640486" w:rsidRPr="004C5551" w:rsidRDefault="00640486" w:rsidP="00B55E2C">
            <w:pPr>
              <w:rPr>
                <w:color w:val="000000"/>
                <w:sz w:val="20"/>
                <w:szCs w:val="20"/>
              </w:rPr>
            </w:pPr>
            <w:r w:rsidRPr="004C5551">
              <w:rPr>
                <w:b/>
                <w:color w:val="000000" w:themeColor="text1"/>
                <w:sz w:val="20"/>
                <w:szCs w:val="20"/>
              </w:rPr>
              <w:t>Očakávaná stredná dĺžka života </w:t>
            </w:r>
          </w:p>
        </w:tc>
      </w:tr>
      <w:tr w:rsidR="001C4C0A" w:rsidRPr="004C5551" w:rsidTr="005140F1">
        <w:trPr>
          <w:trHeight w:val="20"/>
          <w:jc w:val="center"/>
        </w:trPr>
        <w:tc>
          <w:tcPr>
            <w:tcW w:w="8509" w:type="dxa"/>
            <w:shd w:val="clear" w:color="000000" w:fill="FFFFFF"/>
            <w:vAlign w:val="center"/>
            <w:hideMark/>
          </w:tcPr>
          <w:p w:rsidR="001C4C0A" w:rsidRPr="004C5551" w:rsidRDefault="001C4C0A" w:rsidP="00B55E2C">
            <w:pPr>
              <w:rPr>
                <w:color w:val="000000" w:themeColor="text1"/>
                <w:sz w:val="20"/>
                <w:szCs w:val="20"/>
              </w:rPr>
            </w:pPr>
            <w:r w:rsidRPr="004C5551">
              <w:rPr>
                <w:color w:val="000000" w:themeColor="text1"/>
                <w:sz w:val="20"/>
                <w:szCs w:val="20"/>
              </w:rPr>
              <w:t>Stredná dĺžka života pri narodení</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76,3</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72,5</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79,9</w:t>
            </w:r>
          </w:p>
        </w:tc>
        <w:tc>
          <w:tcPr>
            <w:tcW w:w="0" w:type="auto"/>
            <w:shd w:val="clear" w:color="000000" w:fill="FFFFFF"/>
            <w:noWrap/>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76,6</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72,9</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80,1</w:t>
            </w:r>
          </w:p>
        </w:tc>
        <w:tc>
          <w:tcPr>
            <w:tcW w:w="0" w:type="auto"/>
            <w:shd w:val="clear" w:color="000000" w:fill="FFFFFF"/>
            <w:vAlign w:val="center"/>
          </w:tcPr>
          <w:p w:rsidR="001C4C0A" w:rsidRPr="004C5551" w:rsidRDefault="001C4C0A" w:rsidP="00B55E2C">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0,2</w:t>
            </w:r>
          </w:p>
        </w:tc>
      </w:tr>
      <w:tr w:rsidR="001C4C0A" w:rsidRPr="004C5551" w:rsidTr="005140F1">
        <w:trPr>
          <w:trHeight w:val="20"/>
          <w:jc w:val="center"/>
        </w:trPr>
        <w:tc>
          <w:tcPr>
            <w:tcW w:w="8509" w:type="dxa"/>
            <w:shd w:val="clear" w:color="000000" w:fill="FFFFFF"/>
            <w:vAlign w:val="center"/>
            <w:hideMark/>
          </w:tcPr>
          <w:p w:rsidR="001C4C0A" w:rsidRPr="004C5551" w:rsidRDefault="001C4C0A" w:rsidP="00B55E2C">
            <w:pPr>
              <w:rPr>
                <w:color w:val="000000" w:themeColor="text1"/>
                <w:sz w:val="20"/>
                <w:szCs w:val="20"/>
              </w:rPr>
            </w:pPr>
            <w:r w:rsidRPr="004C5551">
              <w:rPr>
                <w:color w:val="000000" w:themeColor="text1"/>
                <w:sz w:val="20"/>
                <w:szCs w:val="20"/>
              </w:rPr>
              <w:t>Stredná dĺžka života vo veku 65 rokov</w:t>
            </w:r>
          </w:p>
        </w:tc>
        <w:tc>
          <w:tcPr>
            <w:tcW w:w="0" w:type="auto"/>
            <w:shd w:val="clear" w:color="000000" w:fill="FFFFFF"/>
            <w:noWrap/>
            <w:vAlign w:val="center"/>
          </w:tcPr>
          <w:p w:rsidR="001C4C0A" w:rsidRPr="004C5551" w:rsidRDefault="001C4C0A" w:rsidP="001C4C0A">
            <w:pPr>
              <w:ind w:right="120"/>
              <w:jc w:val="right"/>
              <w:rPr>
                <w:b/>
                <w:color w:val="000000" w:themeColor="text1"/>
                <w:sz w:val="20"/>
                <w:szCs w:val="20"/>
              </w:rPr>
            </w:pPr>
            <w:r w:rsidRPr="004C5551">
              <w:rPr>
                <w:b/>
                <w:color w:val="000000" w:themeColor="text1"/>
                <w:sz w:val="20"/>
                <w:szCs w:val="20"/>
              </w:rPr>
              <w:t>16,8</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14,6</w:t>
            </w:r>
          </w:p>
        </w:tc>
        <w:tc>
          <w:tcPr>
            <w:tcW w:w="0" w:type="auto"/>
            <w:shd w:val="clear" w:color="000000" w:fill="FFFFFF"/>
            <w:noWrap/>
            <w:vAlign w:val="center"/>
          </w:tcPr>
          <w:p w:rsidR="001C4C0A" w:rsidRPr="004C5551" w:rsidRDefault="001C4C0A" w:rsidP="001C4C0A">
            <w:pPr>
              <w:ind w:right="120"/>
              <w:jc w:val="right"/>
              <w:rPr>
                <w:color w:val="000000" w:themeColor="text1"/>
                <w:sz w:val="20"/>
                <w:szCs w:val="20"/>
              </w:rPr>
            </w:pPr>
            <w:r w:rsidRPr="004C5551">
              <w:rPr>
                <w:color w:val="000000" w:themeColor="text1"/>
                <w:sz w:val="20"/>
                <w:szCs w:val="20"/>
              </w:rPr>
              <w:t>18,5</w:t>
            </w:r>
          </w:p>
        </w:tc>
        <w:tc>
          <w:tcPr>
            <w:tcW w:w="0" w:type="auto"/>
            <w:shd w:val="clear" w:color="000000" w:fill="FFFFFF"/>
            <w:noWrap/>
            <w:vAlign w:val="center"/>
          </w:tcPr>
          <w:p w:rsidR="001C4C0A" w:rsidRPr="004C5551" w:rsidRDefault="004E0B64" w:rsidP="00B55E2C">
            <w:pPr>
              <w:ind w:right="120"/>
              <w:jc w:val="right"/>
              <w:rPr>
                <w:b/>
                <w:color w:val="000000" w:themeColor="text1"/>
                <w:sz w:val="20"/>
                <w:szCs w:val="20"/>
              </w:rPr>
            </w:pPr>
            <w:r w:rsidRPr="004C5551">
              <w:rPr>
                <w:b/>
                <w:color w:val="000000" w:themeColor="text1"/>
                <w:sz w:val="20"/>
                <w:szCs w:val="20"/>
              </w:rPr>
              <w:t>1</w:t>
            </w:r>
            <w:r w:rsidR="001C4C0A" w:rsidRPr="004C5551">
              <w:rPr>
                <w:b/>
                <w:color w:val="000000" w:themeColor="text1"/>
                <w:sz w:val="20"/>
                <w:szCs w:val="20"/>
              </w:rPr>
              <w:t>7,0</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14,7</w:t>
            </w:r>
          </w:p>
        </w:tc>
        <w:tc>
          <w:tcPr>
            <w:tcW w:w="0" w:type="auto"/>
            <w:shd w:val="clear" w:color="000000" w:fill="FFFFFF"/>
            <w:noWrap/>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18,8</w:t>
            </w:r>
          </w:p>
        </w:tc>
        <w:tc>
          <w:tcPr>
            <w:tcW w:w="0" w:type="auto"/>
            <w:shd w:val="clear" w:color="000000" w:fill="FFFFFF"/>
            <w:vAlign w:val="center"/>
          </w:tcPr>
          <w:p w:rsidR="001C4C0A" w:rsidRPr="004C5551" w:rsidRDefault="004E0B64" w:rsidP="004E0B64">
            <w:pPr>
              <w:ind w:right="120"/>
              <w:jc w:val="right"/>
              <w:rPr>
                <w:b/>
                <w:color w:val="000000" w:themeColor="text1"/>
                <w:sz w:val="20"/>
                <w:szCs w:val="20"/>
              </w:rPr>
            </w:pPr>
            <w:r w:rsidRPr="004C5551">
              <w:rPr>
                <w:b/>
                <w:color w:val="000000" w:themeColor="text1"/>
                <w:sz w:val="20"/>
                <w:szCs w:val="20"/>
              </w:rPr>
              <w:t>0</w:t>
            </w:r>
            <w:r w:rsidR="001C4C0A" w:rsidRPr="004C5551">
              <w:rPr>
                <w:b/>
                <w:color w:val="000000" w:themeColor="text1"/>
                <w:sz w:val="20"/>
                <w:szCs w:val="20"/>
              </w:rPr>
              <w:t>,2</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1C4C0A" w:rsidRPr="004C5551" w:rsidRDefault="001C4C0A" w:rsidP="00B55E2C">
            <w:pPr>
              <w:ind w:right="120"/>
              <w:jc w:val="right"/>
              <w:rPr>
                <w:color w:val="000000" w:themeColor="text1"/>
                <w:sz w:val="20"/>
                <w:szCs w:val="20"/>
              </w:rPr>
            </w:pPr>
            <w:r w:rsidRPr="004C5551">
              <w:rPr>
                <w:color w:val="000000" w:themeColor="text1"/>
                <w:sz w:val="20"/>
                <w:szCs w:val="20"/>
              </w:rPr>
              <w:t>0,3</w:t>
            </w:r>
          </w:p>
        </w:tc>
      </w:tr>
      <w:tr w:rsidR="001C4C0A" w:rsidRPr="004C5551" w:rsidTr="001C4C0A">
        <w:trPr>
          <w:trHeight w:val="20"/>
          <w:jc w:val="center"/>
        </w:trPr>
        <w:tc>
          <w:tcPr>
            <w:tcW w:w="14438" w:type="dxa"/>
            <w:gridSpan w:val="10"/>
            <w:shd w:val="clear" w:color="000000" w:fill="FFFFFF"/>
            <w:vAlign w:val="center"/>
          </w:tcPr>
          <w:p w:rsidR="001C4C0A" w:rsidRPr="004C5551" w:rsidRDefault="001C4C0A" w:rsidP="001C4C0A">
            <w:pPr>
              <w:ind w:right="120"/>
              <w:jc w:val="left"/>
              <w:rPr>
                <w:b/>
                <w:color w:val="000000" w:themeColor="text1"/>
                <w:sz w:val="20"/>
                <w:szCs w:val="20"/>
              </w:rPr>
            </w:pPr>
            <w:r w:rsidRPr="004C5551">
              <w:rPr>
                <w:b/>
                <w:color w:val="000000" w:themeColor="text1"/>
                <w:sz w:val="20"/>
                <w:szCs w:val="20"/>
              </w:rPr>
              <w:t>Miera rizika chudoby zakotvená v čase</w:t>
            </w:r>
          </w:p>
        </w:tc>
      </w:tr>
      <w:tr w:rsidR="001C4C0A" w:rsidRPr="004C5551" w:rsidTr="001C4C0A">
        <w:trPr>
          <w:trHeight w:val="20"/>
          <w:jc w:val="center"/>
        </w:trPr>
        <w:tc>
          <w:tcPr>
            <w:tcW w:w="8509" w:type="dxa"/>
            <w:shd w:val="clear" w:color="000000" w:fill="FFFFFF"/>
            <w:vAlign w:val="center"/>
          </w:tcPr>
          <w:p w:rsidR="001C4C0A" w:rsidRPr="004C5551" w:rsidRDefault="001C4C0A">
            <w:pPr>
              <w:rPr>
                <w:sz w:val="20"/>
              </w:rPr>
            </w:pPr>
            <w:r w:rsidRPr="004C5551">
              <w:rPr>
                <w:sz w:val="20"/>
              </w:rPr>
              <w:t>Miera rizika c</w:t>
            </w:r>
            <w:r w:rsidR="00F80174" w:rsidRPr="004C5551">
              <w:rPr>
                <w:sz w:val="20"/>
              </w:rPr>
              <w:t xml:space="preserve">hudoby zakotvená v čase (2005) </w:t>
            </w:r>
            <w:r w:rsidR="00F80174" w:rsidRPr="004C5551">
              <w:rPr>
                <w:bCs/>
                <w:sz w:val="20"/>
                <w:szCs w:val="16"/>
              </w:rPr>
              <w:t>–</w:t>
            </w:r>
            <w:r w:rsidRPr="004C5551">
              <w:rPr>
                <w:sz w:val="20"/>
              </w:rPr>
              <w:t xml:space="preserve"> celá populácia</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2,1</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2,2</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2,8</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3,0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2,7</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0,7</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0,8</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0,7</w:t>
            </w:r>
          </w:p>
        </w:tc>
      </w:tr>
      <w:tr w:rsidR="001C4C0A" w:rsidRPr="004C5551" w:rsidTr="005140F1">
        <w:trPr>
          <w:trHeight w:val="20"/>
          <w:jc w:val="center"/>
        </w:trPr>
        <w:tc>
          <w:tcPr>
            <w:tcW w:w="8509" w:type="dxa"/>
            <w:shd w:val="clear" w:color="000000" w:fill="FFFFFF"/>
            <w:vAlign w:val="center"/>
          </w:tcPr>
          <w:p w:rsidR="001C4C0A" w:rsidRPr="004C5551" w:rsidRDefault="001C4C0A" w:rsidP="00A96FDE">
            <w:pPr>
              <w:rPr>
                <w:sz w:val="20"/>
              </w:rPr>
            </w:pPr>
            <w:r w:rsidRPr="004C5551">
              <w:rPr>
                <w:sz w:val="20"/>
              </w:rPr>
              <w:t>Miera rizika chudoby zakotvená v čase (2005) vo veku 0</w:t>
            </w:r>
            <w:r w:rsidR="00A96FDE" w:rsidRPr="004C5551">
              <w:rPr>
                <w:sz w:val="20"/>
              </w:rPr>
              <w:t xml:space="preserve"> </w:t>
            </w:r>
            <w:r w:rsidR="00A96FDE" w:rsidRPr="004C5551">
              <w:rPr>
                <w:bCs/>
                <w:sz w:val="20"/>
                <w:szCs w:val="16"/>
              </w:rPr>
              <w:t xml:space="preserve">– </w:t>
            </w:r>
            <w:r w:rsidRPr="004C5551">
              <w:rPr>
                <w:sz w:val="20"/>
              </w:rPr>
              <w:t>17</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4,2</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4,6</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5,3</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5,6</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5,0</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1,0</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1,3</w:t>
            </w:r>
          </w:p>
        </w:tc>
      </w:tr>
      <w:tr w:rsidR="001C4C0A" w:rsidRPr="004C5551" w:rsidTr="005140F1">
        <w:trPr>
          <w:trHeight w:val="20"/>
          <w:jc w:val="center"/>
        </w:trPr>
        <w:tc>
          <w:tcPr>
            <w:tcW w:w="8509" w:type="dxa"/>
            <w:shd w:val="clear" w:color="000000" w:fill="FFFFFF"/>
            <w:vAlign w:val="center"/>
          </w:tcPr>
          <w:p w:rsidR="001C4C0A" w:rsidRPr="004C5551" w:rsidRDefault="001C4C0A">
            <w:pPr>
              <w:rPr>
                <w:sz w:val="20"/>
              </w:rPr>
            </w:pPr>
            <w:r w:rsidRPr="004C5551">
              <w:rPr>
                <w:sz w:val="20"/>
              </w:rPr>
              <w:t>Miera rizika chudoby zak</w:t>
            </w:r>
            <w:r w:rsidR="00A96FDE" w:rsidRPr="004C5551">
              <w:rPr>
                <w:sz w:val="20"/>
              </w:rPr>
              <w:t xml:space="preserve">otvená v čase (2005) vo veku 18 </w:t>
            </w:r>
            <w:r w:rsidR="00A96FDE" w:rsidRPr="004C5551">
              <w:rPr>
                <w:bCs/>
                <w:sz w:val="20"/>
                <w:szCs w:val="16"/>
              </w:rPr>
              <w:t xml:space="preserve">– </w:t>
            </w:r>
            <w:r w:rsidRPr="004C5551">
              <w:rPr>
                <w:sz w:val="20"/>
              </w:rPr>
              <w:t>64</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2,7</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2,6</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2,7</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0,7</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0,6</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0,7</w:t>
            </w:r>
          </w:p>
        </w:tc>
      </w:tr>
      <w:tr w:rsidR="001C4C0A" w:rsidRPr="004C5551" w:rsidTr="005140F1">
        <w:trPr>
          <w:trHeight w:val="20"/>
          <w:jc w:val="center"/>
        </w:trPr>
        <w:tc>
          <w:tcPr>
            <w:tcW w:w="8509" w:type="dxa"/>
            <w:shd w:val="clear" w:color="000000" w:fill="FFFFFF"/>
            <w:vAlign w:val="center"/>
          </w:tcPr>
          <w:p w:rsidR="001C4C0A" w:rsidRPr="004C5551" w:rsidRDefault="001C4C0A">
            <w:pPr>
              <w:rPr>
                <w:sz w:val="20"/>
              </w:rPr>
            </w:pPr>
            <w:r w:rsidRPr="004C5551">
              <w:rPr>
                <w:sz w:val="20"/>
              </w:rPr>
              <w:t>Miera rizika chudoby zakotvená v čase (2005) vo veku 65+</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0,0</w:t>
            </w:r>
          </w:p>
        </w:tc>
      </w:tr>
      <w:tr w:rsidR="001C4C0A" w:rsidRPr="004C5551" w:rsidTr="001C4C0A">
        <w:trPr>
          <w:trHeight w:val="20"/>
          <w:jc w:val="center"/>
        </w:trPr>
        <w:tc>
          <w:tcPr>
            <w:tcW w:w="8509" w:type="dxa"/>
            <w:shd w:val="clear" w:color="000000" w:fill="FFFFFF"/>
            <w:vAlign w:val="center"/>
          </w:tcPr>
          <w:p w:rsidR="001C4C0A" w:rsidRPr="004C5551" w:rsidRDefault="001C4C0A" w:rsidP="0003544F">
            <w:pPr>
              <w:rPr>
                <w:sz w:val="20"/>
              </w:rPr>
            </w:pPr>
            <w:r w:rsidRPr="004C5551">
              <w:rPr>
                <w:sz w:val="20"/>
              </w:rPr>
              <w:t xml:space="preserve">Miera rizika chudoby </w:t>
            </w:r>
            <w:r w:rsidR="0003544F" w:rsidRPr="004C5551">
              <w:rPr>
                <w:sz w:val="20"/>
              </w:rPr>
              <w:t xml:space="preserve">pred </w:t>
            </w:r>
            <w:r w:rsidRPr="004C5551">
              <w:rPr>
                <w:sz w:val="20"/>
              </w:rPr>
              <w:t xml:space="preserve">sociálnymi </w:t>
            </w:r>
            <w:r w:rsidR="004E35AB" w:rsidRPr="004C5551">
              <w:rPr>
                <w:sz w:val="20"/>
              </w:rPr>
              <w:t>transfermi</w:t>
            </w:r>
            <w:r w:rsidRPr="004C5551">
              <w:rPr>
                <w:sz w:val="20"/>
              </w:rPr>
              <w:t xml:space="preserve"> okrem dôchodkov</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20,0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20,2</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19,8</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20,1</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20,1</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0,3</w:t>
            </w:r>
          </w:p>
        </w:tc>
      </w:tr>
      <w:tr w:rsidR="001C4C0A" w:rsidRPr="004C5551" w:rsidTr="001C4C0A">
        <w:trPr>
          <w:trHeight w:val="20"/>
          <w:jc w:val="center"/>
        </w:trPr>
        <w:tc>
          <w:tcPr>
            <w:tcW w:w="8509" w:type="dxa"/>
            <w:shd w:val="clear" w:color="000000" w:fill="FFFFFF"/>
            <w:vAlign w:val="center"/>
          </w:tcPr>
          <w:p w:rsidR="001C4C0A" w:rsidRPr="004C5551" w:rsidRDefault="001C4C0A">
            <w:pPr>
              <w:rPr>
                <w:sz w:val="20"/>
              </w:rPr>
            </w:pPr>
            <w:r w:rsidRPr="004C5551">
              <w:rPr>
                <w:sz w:val="20"/>
              </w:rPr>
              <w:t xml:space="preserve">Miera rizika chudoby pre sociálnymi </w:t>
            </w:r>
            <w:r w:rsidR="004E35AB" w:rsidRPr="004C5551">
              <w:rPr>
                <w:sz w:val="20"/>
              </w:rPr>
              <w:t>transfermi</w:t>
            </w:r>
            <w:r w:rsidRPr="004C5551">
              <w:rPr>
                <w:sz w:val="20"/>
              </w:rPr>
              <w:t xml:space="preserve"> vrátane dôchodkov</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37,9</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35,0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40,5</w:t>
            </w:r>
          </w:p>
        </w:tc>
        <w:tc>
          <w:tcPr>
            <w:tcW w:w="0" w:type="auto"/>
            <w:shd w:val="clear" w:color="000000" w:fill="FFFFFF"/>
            <w:noWrap/>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38,0</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35,1</w:t>
            </w:r>
          </w:p>
        </w:tc>
        <w:tc>
          <w:tcPr>
            <w:tcW w:w="0" w:type="auto"/>
            <w:shd w:val="clear" w:color="000000" w:fill="FFFFFF"/>
            <w:noWrap/>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40,8</w:t>
            </w:r>
          </w:p>
        </w:tc>
        <w:tc>
          <w:tcPr>
            <w:tcW w:w="0" w:type="auto"/>
            <w:shd w:val="clear" w:color="000000" w:fill="FFFFFF"/>
            <w:vAlign w:val="center"/>
          </w:tcPr>
          <w:p w:rsidR="001C4C0A" w:rsidRPr="004C5551" w:rsidRDefault="001C4C0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1C4C0A" w:rsidRPr="004C5551" w:rsidRDefault="001C4C0A" w:rsidP="00632D2A">
            <w:pPr>
              <w:ind w:right="120"/>
              <w:jc w:val="right"/>
              <w:rPr>
                <w:color w:val="000000" w:themeColor="text1"/>
                <w:sz w:val="20"/>
                <w:szCs w:val="20"/>
              </w:rPr>
            </w:pPr>
            <w:r w:rsidRPr="004C5551">
              <w:rPr>
                <w:color w:val="000000" w:themeColor="text1"/>
                <w:sz w:val="20"/>
                <w:szCs w:val="20"/>
              </w:rPr>
              <w:t>0,3</w:t>
            </w:r>
          </w:p>
        </w:tc>
      </w:tr>
      <w:tr w:rsidR="00632D2A" w:rsidRPr="004C5551" w:rsidTr="005140F1">
        <w:trPr>
          <w:trHeight w:val="20"/>
          <w:jc w:val="center"/>
        </w:trPr>
        <w:tc>
          <w:tcPr>
            <w:tcW w:w="8509" w:type="dxa"/>
            <w:shd w:val="clear" w:color="000000" w:fill="FFFFFF"/>
            <w:vAlign w:val="center"/>
            <w:hideMark/>
          </w:tcPr>
          <w:p w:rsidR="00632D2A" w:rsidRPr="004C5551" w:rsidRDefault="00632D2A">
            <w:pPr>
              <w:rPr>
                <w:sz w:val="20"/>
              </w:rPr>
            </w:pPr>
            <w:r w:rsidRPr="004C5551">
              <w:rPr>
                <w:sz w:val="20"/>
              </w:rPr>
              <w:t>Chudoba pracujúcich (18+)</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6,2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6,6</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5,6</w:t>
            </w:r>
          </w:p>
        </w:tc>
        <w:tc>
          <w:tcPr>
            <w:tcW w:w="0" w:type="auto"/>
            <w:shd w:val="clear" w:color="000000" w:fill="FFFFFF"/>
            <w:noWrap/>
            <w:vAlign w:val="center"/>
            <w:hideMark/>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5,7</w:t>
            </w:r>
          </w:p>
        </w:tc>
        <w:tc>
          <w:tcPr>
            <w:tcW w:w="0" w:type="auto"/>
            <w:shd w:val="clear" w:color="000000" w:fill="FFFFFF"/>
            <w:noWrap/>
            <w:vAlign w:val="center"/>
            <w:hideMark/>
          </w:tcPr>
          <w:p w:rsidR="00632D2A" w:rsidRPr="004C5551" w:rsidRDefault="00632D2A" w:rsidP="00632D2A">
            <w:pPr>
              <w:ind w:right="120"/>
              <w:jc w:val="right"/>
              <w:rPr>
                <w:color w:val="000000" w:themeColor="text1"/>
                <w:sz w:val="20"/>
                <w:szCs w:val="20"/>
              </w:rPr>
            </w:pPr>
            <w:r w:rsidRPr="004C5551">
              <w:rPr>
                <w:color w:val="000000" w:themeColor="text1"/>
                <w:sz w:val="20"/>
                <w:szCs w:val="20"/>
              </w:rPr>
              <w:t>5,9</w:t>
            </w:r>
          </w:p>
        </w:tc>
        <w:tc>
          <w:tcPr>
            <w:tcW w:w="0" w:type="auto"/>
            <w:shd w:val="clear" w:color="000000" w:fill="FFFFFF"/>
            <w:noWrap/>
            <w:vAlign w:val="center"/>
            <w:hideMark/>
          </w:tcPr>
          <w:p w:rsidR="00632D2A" w:rsidRPr="004C5551" w:rsidRDefault="00632D2A" w:rsidP="00632D2A">
            <w:pPr>
              <w:ind w:right="120"/>
              <w:jc w:val="right"/>
              <w:rPr>
                <w:color w:val="000000" w:themeColor="text1"/>
                <w:sz w:val="20"/>
                <w:szCs w:val="20"/>
              </w:rPr>
            </w:pPr>
            <w:r w:rsidRPr="004C5551">
              <w:rPr>
                <w:color w:val="000000" w:themeColor="text1"/>
                <w:sz w:val="20"/>
                <w:szCs w:val="20"/>
              </w:rPr>
              <w:t>5,5</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r>
      <w:tr w:rsidR="00632D2A" w:rsidRPr="004C5551" w:rsidTr="005140F1">
        <w:trPr>
          <w:trHeight w:val="20"/>
          <w:jc w:val="center"/>
        </w:trPr>
        <w:tc>
          <w:tcPr>
            <w:tcW w:w="8509" w:type="dxa"/>
            <w:shd w:val="clear" w:color="000000" w:fill="FFFFFF"/>
            <w:vAlign w:val="center"/>
          </w:tcPr>
          <w:p w:rsidR="00632D2A" w:rsidRPr="004C5551" w:rsidRDefault="00632D2A">
            <w:pPr>
              <w:rPr>
                <w:sz w:val="20"/>
              </w:rPr>
            </w:pPr>
            <w:r w:rsidRPr="004C5551">
              <w:rPr>
                <w:sz w:val="20"/>
              </w:rPr>
              <w:t>Pasca nezamestnanosti</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44,32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44,26</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right="120"/>
              <w:jc w:val="left"/>
              <w:rPr>
                <w:rFonts w:ascii="Calibri" w:hAnsi="Calibri"/>
                <w:color w:val="000000"/>
                <w:szCs w:val="22"/>
              </w:rPr>
            </w:pPr>
            <w:r w:rsidRPr="004C5551">
              <w:rPr>
                <w:b/>
                <w:color w:val="000000" w:themeColor="text1"/>
                <w:sz w:val="20"/>
                <w:szCs w:val="20"/>
              </w:rPr>
              <w:t>Deprivácia bývaním podľa položiek</w:t>
            </w:r>
          </w:p>
        </w:tc>
        <w:tc>
          <w:tcPr>
            <w:tcW w:w="0" w:type="auto"/>
            <w:shd w:val="clear" w:color="000000" w:fill="FFFFFF"/>
            <w:noWrap/>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color w:val="000000" w:themeColor="text1"/>
                <w:sz w:val="20"/>
                <w:szCs w:val="20"/>
              </w:rPr>
            </w:pP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 xml:space="preserve">zatekajúca strecha, </w:t>
            </w:r>
            <w:r w:rsidR="004E35AB" w:rsidRPr="004C5551">
              <w:rPr>
                <w:color w:val="000000" w:themeColor="text1"/>
                <w:sz w:val="20"/>
                <w:szCs w:val="20"/>
              </w:rPr>
              <w:t>vlhké</w:t>
            </w:r>
            <w:r w:rsidRPr="004C5551">
              <w:rPr>
                <w:color w:val="000000" w:themeColor="text1"/>
                <w:sz w:val="20"/>
                <w:szCs w:val="20"/>
              </w:rPr>
              <w:t xml:space="preserve"> steny (podlaha) základy alebo zahnívajúce okenné rámy</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8,8</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8,8</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8,9</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7,5</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7,2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7,9</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-1,3</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-1,6</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-1,0</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nedostatok vane alebo sprchy v obydlí</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0,3</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0,0</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 xml:space="preserve">nedostatok </w:t>
            </w:r>
            <w:r w:rsidR="004E35AB" w:rsidRPr="004C5551">
              <w:rPr>
                <w:color w:val="000000" w:themeColor="text1"/>
                <w:sz w:val="20"/>
                <w:szCs w:val="20"/>
              </w:rPr>
              <w:t>vnútornej</w:t>
            </w:r>
            <w:r w:rsidRPr="004C5551">
              <w:rPr>
                <w:color w:val="000000" w:themeColor="text1"/>
                <w:sz w:val="20"/>
                <w:szCs w:val="20"/>
              </w:rPr>
              <w:t xml:space="preserve"> sprchovacej toalety </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1,1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1,1</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0,6</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0,5</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-0,5</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-0,4</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príliš tmavé obydlie</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3,8</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3,9</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3,7</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3,1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3,2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3,1</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-0,7</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-0,7</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-0,6</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right="120"/>
              <w:jc w:val="left"/>
              <w:rPr>
                <w:b/>
                <w:color w:val="000000" w:themeColor="text1"/>
                <w:sz w:val="20"/>
                <w:szCs w:val="20"/>
              </w:rPr>
            </w:pPr>
            <w:r w:rsidRPr="004C5551">
              <w:rPr>
                <w:b/>
                <w:color w:val="000000" w:themeColor="text1"/>
                <w:sz w:val="20"/>
                <w:szCs w:val="20"/>
              </w:rPr>
              <w:t xml:space="preserve">Deprivácia bývaním podľa </w:t>
            </w:r>
            <w:r w:rsidR="004E35AB" w:rsidRPr="004C5551">
              <w:rPr>
                <w:b/>
                <w:color w:val="000000" w:themeColor="text1"/>
                <w:sz w:val="20"/>
                <w:szCs w:val="20"/>
              </w:rPr>
              <w:t>počtu</w:t>
            </w:r>
            <w:r w:rsidRPr="004C5551">
              <w:rPr>
                <w:b/>
                <w:color w:val="000000" w:themeColor="text1"/>
                <w:sz w:val="20"/>
                <w:szCs w:val="20"/>
              </w:rPr>
              <w:t xml:space="preserve"> položiek</w:t>
            </w:r>
          </w:p>
        </w:tc>
        <w:tc>
          <w:tcPr>
            <w:tcW w:w="0" w:type="auto"/>
            <w:shd w:val="clear" w:color="000000" w:fill="FFFFFF"/>
            <w:noWrap/>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noWrap/>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b/>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color w:val="000000" w:themeColor="text1"/>
                <w:sz w:val="20"/>
                <w:szCs w:val="20"/>
              </w:rPr>
            </w:pPr>
          </w:p>
        </w:tc>
        <w:tc>
          <w:tcPr>
            <w:tcW w:w="0" w:type="auto"/>
            <w:shd w:val="clear" w:color="000000" w:fill="FFFFFF"/>
            <w:vAlign w:val="center"/>
          </w:tcPr>
          <w:p w:rsidR="00632D2A" w:rsidRPr="004C5551" w:rsidRDefault="00632D2A" w:rsidP="00B55E2C">
            <w:pPr>
              <w:ind w:right="120"/>
              <w:jc w:val="right"/>
              <w:rPr>
                <w:color w:val="000000" w:themeColor="text1"/>
                <w:sz w:val="20"/>
                <w:szCs w:val="20"/>
              </w:rPr>
            </w:pP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1 položka</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8,6</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8,3</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8,9</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6,8</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6,3</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7,3</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-1,8</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-1,6</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2 položky</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2,0</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2,0</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1,8</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2,1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2,2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1,9</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3 položky</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0,4</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0,4</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0,2</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-0,2</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-0,3</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-0,2</w:t>
            </w:r>
          </w:p>
        </w:tc>
      </w:tr>
      <w:tr w:rsidR="00632D2A" w:rsidRPr="004C5551" w:rsidTr="005140F1">
        <w:trPr>
          <w:trHeight w:val="20"/>
          <w:jc w:val="center"/>
        </w:trPr>
        <w:tc>
          <w:tcPr>
            <w:tcW w:w="8509" w:type="dxa"/>
            <w:shd w:val="clear" w:color="000000" w:fill="FFFFFF"/>
            <w:vAlign w:val="center"/>
          </w:tcPr>
          <w:p w:rsidR="00632D2A" w:rsidRPr="004C5551" w:rsidRDefault="00632D2A" w:rsidP="00632D2A">
            <w:pPr>
              <w:ind w:left="397"/>
              <w:rPr>
                <w:color w:val="000000" w:themeColor="text1"/>
                <w:sz w:val="20"/>
                <w:szCs w:val="20"/>
              </w:rPr>
            </w:pPr>
            <w:r w:rsidRPr="004C5551">
              <w:rPr>
                <w:color w:val="000000" w:themeColor="text1"/>
                <w:sz w:val="20"/>
                <w:szCs w:val="20"/>
              </w:rPr>
              <w:t>4 položky</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noWrap/>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0,0(n)</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0,0(n)</w:t>
            </w:r>
          </w:p>
        </w:tc>
        <w:tc>
          <w:tcPr>
            <w:tcW w:w="0" w:type="auto"/>
            <w:shd w:val="clear" w:color="000000" w:fill="FFFFFF"/>
            <w:noWrap/>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0,0(n)</w:t>
            </w:r>
          </w:p>
        </w:tc>
        <w:tc>
          <w:tcPr>
            <w:tcW w:w="0" w:type="auto"/>
            <w:shd w:val="clear" w:color="000000" w:fill="FFFFFF"/>
            <w:vAlign w:val="center"/>
          </w:tcPr>
          <w:p w:rsidR="00632D2A" w:rsidRPr="004C5551" w:rsidRDefault="00632D2A" w:rsidP="00632D2A">
            <w:pPr>
              <w:ind w:right="120"/>
              <w:jc w:val="right"/>
              <w:rPr>
                <w:b/>
                <w:color w:val="000000" w:themeColor="text1"/>
                <w:sz w:val="20"/>
                <w:szCs w:val="20"/>
              </w:rPr>
            </w:pPr>
            <w:r w:rsidRPr="004C5551">
              <w:rPr>
                <w:b/>
                <w:color w:val="000000" w:themeColor="text1"/>
                <w:sz w:val="20"/>
                <w:szCs w:val="20"/>
              </w:rPr>
              <w:t>-0,1</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c>
          <w:tcPr>
            <w:tcW w:w="0" w:type="auto"/>
            <w:shd w:val="clear" w:color="000000" w:fill="FFFFFF"/>
            <w:vAlign w:val="center"/>
          </w:tcPr>
          <w:p w:rsidR="00632D2A" w:rsidRPr="004C5551" w:rsidRDefault="00632D2A" w:rsidP="00632D2A">
            <w:pPr>
              <w:ind w:right="120"/>
              <w:jc w:val="right"/>
              <w:rPr>
                <w:color w:val="000000" w:themeColor="text1"/>
                <w:sz w:val="20"/>
                <w:szCs w:val="20"/>
              </w:rPr>
            </w:pPr>
            <w:r w:rsidRPr="004C5551">
              <w:rPr>
                <w:color w:val="000000" w:themeColor="text1"/>
                <w:sz w:val="20"/>
                <w:szCs w:val="20"/>
              </w:rPr>
              <w:t>-0,1</w:t>
            </w:r>
          </w:p>
        </w:tc>
      </w:tr>
    </w:tbl>
    <w:p w:rsidR="00640486" w:rsidRPr="004C5551" w:rsidRDefault="00640486" w:rsidP="00C40E9C">
      <w:pPr>
        <w:ind w:left="567" w:firstLine="567"/>
        <w:rPr>
          <w:i/>
          <w:sz w:val="20"/>
          <w:szCs w:val="20"/>
        </w:rPr>
      </w:pPr>
      <w:r w:rsidRPr="004C5551">
        <w:rPr>
          <w:i/>
          <w:sz w:val="20"/>
          <w:szCs w:val="20"/>
        </w:rPr>
        <w:t xml:space="preserve">Zdroj: </w:t>
      </w:r>
      <w:proofErr w:type="spellStart"/>
      <w:r w:rsidRPr="004C5551">
        <w:rPr>
          <w:i/>
          <w:sz w:val="20"/>
          <w:szCs w:val="20"/>
        </w:rPr>
        <w:t>Eurostat</w:t>
      </w:r>
      <w:proofErr w:type="spellEnd"/>
    </w:p>
    <w:p w:rsidR="00632D2A" w:rsidRPr="004C5551" w:rsidRDefault="00632D2A" w:rsidP="00C40E9C">
      <w:pPr>
        <w:ind w:left="567" w:firstLine="567"/>
        <w:rPr>
          <w:rFonts w:ascii="Times New Roman Bold" w:hAnsi="Times New Roman Bold"/>
          <w:b/>
          <w:bCs/>
          <w:iCs/>
          <w:lang w:eastAsia="cs-CZ"/>
        </w:rPr>
      </w:pPr>
      <w:r w:rsidRPr="004C5551">
        <w:rPr>
          <w:i/>
          <w:sz w:val="20"/>
          <w:szCs w:val="20"/>
        </w:rPr>
        <w:t>Vysvetlivky: u –malá spoľahlivosť, b – prerušenie v časovom rade, n – nie sú významné</w:t>
      </w:r>
    </w:p>
    <w:p w:rsidR="00640486" w:rsidRPr="004C5551" w:rsidRDefault="00640486" w:rsidP="00536EB7">
      <w:pPr>
        <w:spacing w:before="45"/>
        <w:ind w:left="720" w:firstLine="720"/>
        <w:rPr>
          <w:color w:val="000000" w:themeColor="text1"/>
          <w:sz w:val="20"/>
          <w:szCs w:val="20"/>
        </w:rPr>
      </w:pPr>
    </w:p>
    <w:p w:rsidR="006A153B" w:rsidRPr="004C5551" w:rsidRDefault="006A153B" w:rsidP="006A153B">
      <w:pPr>
        <w:pStyle w:val="Nadpis7"/>
        <w:rPr>
          <w:color w:val="000000" w:themeColor="text1"/>
        </w:rPr>
        <w:sectPr w:rsidR="006A153B" w:rsidRPr="004C5551" w:rsidSect="004F3C97">
          <w:headerReference w:type="default" r:id="rId116"/>
          <w:headerReference w:type="first" r:id="rId117"/>
          <w:pgSz w:w="16838" w:h="11906" w:orient="landscape"/>
          <w:pgMar w:top="1417" w:right="1417" w:bottom="1417" w:left="1417" w:header="708" w:footer="708" w:gutter="0"/>
          <w:cols w:space="708"/>
          <w:titlePg/>
          <w:docGrid w:linePitch="360"/>
        </w:sectPr>
      </w:pPr>
    </w:p>
    <w:p w:rsidR="00640486" w:rsidRPr="004C5551" w:rsidRDefault="00640486" w:rsidP="00640486"/>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84617B" w:rsidP="006A153B">
      <w:pPr>
        <w:jc w:val="center"/>
      </w:pPr>
    </w:p>
    <w:p w:rsidR="0084617B" w:rsidRPr="004C5551" w:rsidRDefault="00A470A7" w:rsidP="00A8320D">
      <w:pPr>
        <w:pStyle w:val="Nadpis1"/>
        <w:numPr>
          <w:ilvl w:val="0"/>
          <w:numId w:val="0"/>
        </w:numPr>
        <w:ind w:left="432"/>
        <w:jc w:val="center"/>
        <w:rPr>
          <w:sz w:val="21"/>
        </w:rPr>
      </w:pPr>
      <w:bookmarkStart w:id="875" w:name="_Toc387413127"/>
      <w:bookmarkStart w:id="876" w:name="_Toc387659193"/>
      <w:bookmarkStart w:id="877" w:name="_Toc388534248"/>
      <w:bookmarkStart w:id="878" w:name="_Toc389646870"/>
      <w:bookmarkStart w:id="879" w:name="_Toc394062248"/>
      <w:bookmarkStart w:id="880" w:name="_Toc418672290"/>
      <w:bookmarkStart w:id="881" w:name="_Toc419355275"/>
      <w:bookmarkStart w:id="882" w:name="_Toc419795398"/>
      <w:bookmarkStart w:id="883" w:name="_Toc422151018"/>
      <w:bookmarkStart w:id="884" w:name="_Toc422233458"/>
      <w:r w:rsidRPr="004C5551">
        <w:t>Príloh</w:t>
      </w:r>
      <w:r w:rsidR="006F6AA3" w:rsidRPr="004C5551">
        <w:t>a</w:t>
      </w:r>
      <w:r w:rsidRPr="004C5551">
        <w:t xml:space="preserve"> ku kapitole 5</w:t>
      </w:r>
      <w:bookmarkEnd w:id="875"/>
      <w:bookmarkEnd w:id="876"/>
      <w:bookmarkEnd w:id="877"/>
      <w:bookmarkEnd w:id="878"/>
      <w:bookmarkEnd w:id="879"/>
      <w:bookmarkEnd w:id="880"/>
      <w:bookmarkEnd w:id="881"/>
      <w:bookmarkEnd w:id="882"/>
      <w:bookmarkEnd w:id="883"/>
      <w:bookmarkEnd w:id="884"/>
    </w:p>
    <w:p w:rsidR="006A153B" w:rsidRPr="004C5551" w:rsidRDefault="006A153B" w:rsidP="0084617B">
      <w:pPr>
        <w:spacing w:after="120"/>
        <w:rPr>
          <w:b/>
          <w:sz w:val="21"/>
        </w:rPr>
        <w:sectPr w:rsidR="006A153B" w:rsidRPr="004C5551" w:rsidSect="004F3C97">
          <w:headerReference w:type="even" r:id="rId118"/>
          <w:headerReference w:type="default" r:id="rId119"/>
          <w:headerReference w:type="first" r:id="rId120"/>
          <w:type w:val="oddPage"/>
          <w:pgSz w:w="11906" w:h="16838"/>
          <w:pgMar w:top="1417" w:right="1417" w:bottom="1417" w:left="1417" w:header="708" w:footer="708" w:gutter="0"/>
          <w:cols w:space="708"/>
          <w:titlePg/>
          <w:docGrid w:linePitch="360"/>
        </w:sectPr>
      </w:pPr>
    </w:p>
    <w:p w:rsidR="008D4939" w:rsidRPr="004C5551" w:rsidRDefault="008D4939" w:rsidP="008D4939">
      <w:pPr>
        <w:pStyle w:val="Nadpis7"/>
        <w:spacing w:before="210" w:after="90"/>
      </w:pPr>
      <w:r w:rsidRPr="004C5551">
        <w:t>Tabuľka 1 Porovnanie vybraných indikátorov v kontexte stratégie Európa 2020 medzi krajinami EU28 v poslednom dostupnom roku - makroekonomické prostredie</w:t>
      </w:r>
    </w:p>
    <w:tbl>
      <w:tblPr>
        <w:tblW w:w="14174" w:type="dxa"/>
        <w:jc w:val="center"/>
        <w:tblInd w:w="-114" w:type="dxa"/>
        <w:tblCellMar>
          <w:left w:w="28" w:type="dxa"/>
          <w:right w:w="28" w:type="dxa"/>
        </w:tblCellMar>
        <w:tblLook w:val="04A0" w:firstRow="1" w:lastRow="0" w:firstColumn="1" w:lastColumn="0" w:noHBand="0" w:noVBand="1"/>
      </w:tblPr>
      <w:tblGrid>
        <w:gridCol w:w="2974"/>
        <w:gridCol w:w="429"/>
        <w:gridCol w:w="425"/>
        <w:gridCol w:w="425"/>
        <w:gridCol w:w="425"/>
        <w:gridCol w:w="563"/>
        <w:gridCol w:w="423"/>
        <w:gridCol w:w="423"/>
        <w:gridCol w:w="425"/>
        <w:gridCol w:w="416"/>
        <w:gridCol w:w="336"/>
        <w:gridCol w:w="381"/>
        <w:gridCol w:w="335"/>
        <w:gridCol w:w="416"/>
        <w:gridCol w:w="416"/>
        <w:gridCol w:w="424"/>
        <w:gridCol w:w="336"/>
        <w:gridCol w:w="372"/>
        <w:gridCol w:w="336"/>
        <w:gridCol w:w="371"/>
        <w:gridCol w:w="336"/>
        <w:gridCol w:w="336"/>
        <w:gridCol w:w="336"/>
        <w:gridCol w:w="424"/>
        <w:gridCol w:w="339"/>
        <w:gridCol w:w="396"/>
        <w:gridCol w:w="339"/>
        <w:gridCol w:w="339"/>
        <w:gridCol w:w="339"/>
        <w:gridCol w:w="339"/>
      </w:tblGrid>
      <w:tr w:rsidR="008D4939" w:rsidRPr="004C5551" w:rsidTr="00A96FDE">
        <w:trPr>
          <w:trHeight w:val="285"/>
          <w:jc w:val="center"/>
        </w:trPr>
        <w:tc>
          <w:tcPr>
            <w:tcW w:w="2974" w:type="dxa"/>
            <w:tcBorders>
              <w:top w:val="single" w:sz="4" w:space="0" w:color="auto"/>
              <w:left w:val="single" w:sz="4" w:space="0" w:color="auto"/>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 </w:t>
            </w:r>
          </w:p>
        </w:tc>
        <w:tc>
          <w:tcPr>
            <w:tcW w:w="42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eu28</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be</w:t>
            </w:r>
            <w:proofErr w:type="spellEnd"/>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bg</w:t>
            </w:r>
            <w:proofErr w:type="spellEnd"/>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cz</w:t>
            </w:r>
            <w:proofErr w:type="spellEnd"/>
          </w:p>
        </w:tc>
        <w:tc>
          <w:tcPr>
            <w:tcW w:w="56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dk</w:t>
            </w:r>
            <w:proofErr w:type="spellEnd"/>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de</w:t>
            </w:r>
            <w:proofErr w:type="spellEnd"/>
            <w:r w:rsidRPr="004C5551">
              <w:rPr>
                <w:b/>
                <w:bCs/>
                <w:sz w:val="16"/>
                <w:szCs w:val="20"/>
              </w:rPr>
              <w:t xml:space="preserve"> </w:t>
            </w:r>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ee</w:t>
            </w:r>
            <w:proofErr w:type="spellEnd"/>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ie</w:t>
            </w:r>
            <w:proofErr w:type="spellEnd"/>
            <w:r w:rsidRPr="004C5551">
              <w:rPr>
                <w:b/>
                <w:bCs/>
                <w:sz w:val="16"/>
                <w:szCs w:val="20"/>
              </w:rPr>
              <w:t xml:space="preserve"> </w:t>
            </w:r>
          </w:p>
        </w:tc>
        <w:tc>
          <w:tcPr>
            <w:tcW w:w="41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el</w:t>
            </w:r>
            <w:proofErr w:type="spellEnd"/>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es</w:t>
            </w:r>
          </w:p>
        </w:tc>
        <w:tc>
          <w:tcPr>
            <w:tcW w:w="38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fr</w:t>
            </w:r>
            <w:proofErr w:type="spellEnd"/>
          </w:p>
        </w:tc>
        <w:tc>
          <w:tcPr>
            <w:tcW w:w="33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hr</w:t>
            </w:r>
          </w:p>
        </w:tc>
        <w:tc>
          <w:tcPr>
            <w:tcW w:w="41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it</w:t>
            </w:r>
            <w:proofErr w:type="spellEnd"/>
          </w:p>
        </w:tc>
        <w:tc>
          <w:tcPr>
            <w:tcW w:w="41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cy</w:t>
            </w:r>
            <w:proofErr w:type="spellEnd"/>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lv</w:t>
            </w:r>
            <w:proofErr w:type="spellEnd"/>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lt</w:t>
            </w:r>
            <w:proofErr w:type="spellEnd"/>
            <w:r w:rsidRPr="004C5551">
              <w:rPr>
                <w:b/>
                <w:bCs/>
                <w:sz w:val="16"/>
                <w:szCs w:val="20"/>
              </w:rPr>
              <w:t xml:space="preserve"> </w:t>
            </w:r>
          </w:p>
        </w:tc>
        <w:tc>
          <w:tcPr>
            <w:tcW w:w="37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lu</w:t>
            </w:r>
            <w:proofErr w:type="spellEnd"/>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hu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mt</w:t>
            </w:r>
            <w:proofErr w:type="spellEnd"/>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nl</w:t>
            </w:r>
            <w:proofErr w:type="spellEnd"/>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at</w:t>
            </w:r>
            <w:proofErr w:type="spellEnd"/>
            <w:r w:rsidRPr="004C5551">
              <w:rPr>
                <w:b/>
                <w:bCs/>
                <w:sz w:val="16"/>
                <w:szCs w:val="20"/>
              </w:rPr>
              <w:t xml:space="preserve"> </w:t>
            </w:r>
          </w:p>
        </w:tc>
        <w:tc>
          <w:tcPr>
            <w:tcW w:w="3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pl</w:t>
            </w:r>
            <w:proofErr w:type="spellEnd"/>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pt</w:t>
            </w:r>
            <w:proofErr w:type="spellEnd"/>
          </w:p>
        </w:tc>
        <w:tc>
          <w:tcPr>
            <w:tcW w:w="33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ro</w:t>
            </w:r>
            <w:proofErr w:type="spellEnd"/>
          </w:p>
        </w:tc>
        <w:tc>
          <w:tcPr>
            <w:tcW w:w="39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si</w:t>
            </w:r>
          </w:p>
        </w:tc>
        <w:tc>
          <w:tcPr>
            <w:tcW w:w="33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2"/>
              </w:rPr>
            </w:pPr>
            <w:proofErr w:type="spellStart"/>
            <w:r w:rsidRPr="004C5551">
              <w:rPr>
                <w:b/>
                <w:bCs/>
                <w:sz w:val="16"/>
                <w:szCs w:val="22"/>
              </w:rPr>
              <w:t>sk</w:t>
            </w:r>
            <w:proofErr w:type="spellEnd"/>
          </w:p>
        </w:tc>
        <w:tc>
          <w:tcPr>
            <w:tcW w:w="33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fi</w:t>
            </w:r>
            <w:proofErr w:type="spellEnd"/>
          </w:p>
        </w:tc>
        <w:tc>
          <w:tcPr>
            <w:tcW w:w="33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se</w:t>
            </w:r>
            <w:proofErr w:type="spellEnd"/>
          </w:p>
        </w:tc>
        <w:tc>
          <w:tcPr>
            <w:tcW w:w="33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uk</w:t>
            </w:r>
            <w:proofErr w:type="spellEnd"/>
            <w:r w:rsidRPr="004C5551">
              <w:rPr>
                <w:b/>
                <w:bCs/>
                <w:sz w:val="16"/>
                <w:szCs w:val="20"/>
              </w:rPr>
              <w:t xml:space="preserve"> </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HDP na hlavu v PPS</w:t>
            </w:r>
          </w:p>
        </w:tc>
        <w:tc>
          <w:tcPr>
            <w:tcW w:w="42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100</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w:t>
            </w:r>
          </w:p>
        </w:tc>
        <w:tc>
          <w:tcPr>
            <w:tcW w:w="56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124</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122</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130</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94</w:t>
            </w:r>
          </w:p>
        </w:tc>
        <w:tc>
          <w:tcPr>
            <w:tcW w:w="38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c>
          <w:tcPr>
            <w:tcW w:w="33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99</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72"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257</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w:t>
            </w:r>
          </w:p>
        </w:tc>
        <w:tc>
          <w:tcPr>
            <w:tcW w:w="37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86</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131</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128</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w:t>
            </w:r>
          </w:p>
        </w:tc>
        <w:tc>
          <w:tcPr>
            <w:tcW w:w="39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75</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113</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127</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109</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Rast reálneho HDP (%)</w:t>
            </w:r>
          </w:p>
        </w:tc>
        <w:tc>
          <w:tcPr>
            <w:tcW w:w="42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w:t>
            </w:r>
          </w:p>
        </w:tc>
        <w:tc>
          <w:tcPr>
            <w:tcW w:w="56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0,8</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8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33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72"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37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0,9</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0,3</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0,9</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9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2,4</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-0,1</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A96FDE">
            <w:pPr>
              <w:jc w:val="left"/>
              <w:rPr>
                <w:b/>
                <w:bCs/>
                <w:sz w:val="16"/>
                <w:szCs w:val="18"/>
              </w:rPr>
            </w:pPr>
            <w:r w:rsidRPr="004C5551">
              <w:rPr>
                <w:b/>
                <w:bCs/>
                <w:sz w:val="16"/>
                <w:szCs w:val="18"/>
              </w:rPr>
              <w:t xml:space="preserve">Rast reálneho HDP </w:t>
            </w:r>
            <w:r w:rsidR="00A96FDE" w:rsidRPr="004C5551">
              <w:rPr>
                <w:bCs/>
                <w:sz w:val="20"/>
                <w:szCs w:val="16"/>
              </w:rPr>
              <w:t>–</w:t>
            </w:r>
            <w:r w:rsidRPr="004C5551">
              <w:rPr>
                <w:b/>
                <w:bCs/>
                <w:sz w:val="16"/>
                <w:szCs w:val="18"/>
              </w:rPr>
              <w:t xml:space="preserve"> predpoveď na 2015</w:t>
            </w:r>
          </w:p>
        </w:tc>
        <w:tc>
          <w:tcPr>
            <w:tcW w:w="42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56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0,5</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8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w:t>
            </w:r>
          </w:p>
        </w:tc>
        <w:tc>
          <w:tcPr>
            <w:tcW w:w="33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0,3</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0,6</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-0,5</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72"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7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0,8</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9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3,0</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0,3</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Rast zamestnanosti (%)</w:t>
            </w:r>
          </w:p>
        </w:tc>
        <w:tc>
          <w:tcPr>
            <w:tcW w:w="42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0,8</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0,4</w:t>
            </w:r>
          </w:p>
        </w:tc>
        <w:tc>
          <w:tcPr>
            <w:tcW w:w="56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0,7</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0,9</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0,8</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0,7</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w:t>
            </w:r>
          </w:p>
        </w:tc>
        <w:tc>
          <w:tcPr>
            <w:tcW w:w="38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0,2</w:t>
            </w:r>
          </w:p>
        </w:tc>
        <w:tc>
          <w:tcPr>
            <w:tcW w:w="33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0,1</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w:t>
            </w:r>
          </w:p>
        </w:tc>
        <w:tc>
          <w:tcPr>
            <w:tcW w:w="372"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w:t>
            </w:r>
          </w:p>
        </w:tc>
        <w:tc>
          <w:tcPr>
            <w:tcW w:w="37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-0,3</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0,9</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w:t>
            </w:r>
          </w:p>
        </w:tc>
        <w:tc>
          <w:tcPr>
            <w:tcW w:w="39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0,7</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1,4</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-0,3</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Harmonizovaná miera inflácie</w:t>
            </w:r>
          </w:p>
        </w:tc>
        <w:tc>
          <w:tcPr>
            <w:tcW w:w="42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0,6</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0,5</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-1,6</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0,4</w:t>
            </w:r>
          </w:p>
        </w:tc>
        <w:tc>
          <w:tcPr>
            <w:tcW w:w="56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0,3</w:t>
            </w:r>
          </w:p>
        </w:tc>
        <w:tc>
          <w:tcPr>
            <w:tcW w:w="42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0,8</w:t>
            </w:r>
          </w:p>
        </w:tc>
        <w:tc>
          <w:tcPr>
            <w:tcW w:w="42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0,5</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0,3</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-1,4</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381"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0,6</w:t>
            </w:r>
          </w:p>
        </w:tc>
        <w:tc>
          <w:tcPr>
            <w:tcW w:w="33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-0,3</w:t>
            </w:r>
          </w:p>
        </w:tc>
        <w:tc>
          <w:tcPr>
            <w:tcW w:w="424"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0,7</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372"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0,7</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0,0</w:t>
            </w:r>
          </w:p>
        </w:tc>
        <w:tc>
          <w:tcPr>
            <w:tcW w:w="371"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0,8</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0,3</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1,5</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0,1</w:t>
            </w:r>
          </w:p>
        </w:tc>
        <w:tc>
          <w:tcPr>
            <w:tcW w:w="424"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1,4</w:t>
            </w:r>
          </w:p>
        </w:tc>
        <w:tc>
          <w:tcPr>
            <w:tcW w:w="39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0,4</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-0,1</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1,2</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0,2</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1,5</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Saldo verejných financií (%HDP)</w:t>
            </w:r>
          </w:p>
        </w:tc>
        <w:tc>
          <w:tcPr>
            <w:tcW w:w="42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-2,9</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-3,2</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-2,8</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-2,0</w:t>
            </w:r>
          </w:p>
        </w:tc>
        <w:tc>
          <w:tcPr>
            <w:tcW w:w="56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1,2</w:t>
            </w:r>
          </w:p>
        </w:tc>
        <w:tc>
          <w:tcPr>
            <w:tcW w:w="42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0,7</w:t>
            </w:r>
          </w:p>
        </w:tc>
        <w:tc>
          <w:tcPr>
            <w:tcW w:w="423"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0,6</w:t>
            </w:r>
          </w:p>
        </w:tc>
        <w:tc>
          <w:tcPr>
            <w:tcW w:w="42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-4,1</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-3,5</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-5,8</w:t>
            </w:r>
          </w:p>
        </w:tc>
        <w:tc>
          <w:tcPr>
            <w:tcW w:w="381"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-4,0</w:t>
            </w:r>
          </w:p>
        </w:tc>
        <w:tc>
          <w:tcPr>
            <w:tcW w:w="335"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-5,7</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-3,0</w:t>
            </w:r>
          </w:p>
        </w:tc>
        <w:tc>
          <w:tcPr>
            <w:tcW w:w="41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-8,8</w:t>
            </w:r>
          </w:p>
        </w:tc>
        <w:tc>
          <w:tcPr>
            <w:tcW w:w="424"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-1,4</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-0,7</w:t>
            </w:r>
          </w:p>
        </w:tc>
        <w:tc>
          <w:tcPr>
            <w:tcW w:w="372"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0,6</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-2,6</w:t>
            </w:r>
          </w:p>
        </w:tc>
        <w:tc>
          <w:tcPr>
            <w:tcW w:w="371"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-2,1</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-2,3</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-2,4</w:t>
            </w:r>
          </w:p>
        </w:tc>
        <w:tc>
          <w:tcPr>
            <w:tcW w:w="33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-3,2</w:t>
            </w:r>
          </w:p>
        </w:tc>
        <w:tc>
          <w:tcPr>
            <w:tcW w:w="424"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-4,5</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-1,5</w:t>
            </w:r>
          </w:p>
        </w:tc>
        <w:tc>
          <w:tcPr>
            <w:tcW w:w="396"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-4,9</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-2,9</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-3,2</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-1,9</w:t>
            </w:r>
          </w:p>
        </w:tc>
        <w:tc>
          <w:tcPr>
            <w:tcW w:w="339" w:type="dxa"/>
            <w:tcBorders>
              <w:top w:val="nil"/>
              <w:left w:val="nil"/>
              <w:bottom w:val="single" w:sz="4" w:space="0" w:color="auto"/>
              <w:right w:val="single" w:sz="4" w:space="0" w:color="auto"/>
            </w:tcBorders>
            <w:shd w:val="clear" w:color="auto" w:fill="auto"/>
            <w:vAlign w:val="center"/>
            <w:hideMark/>
          </w:tcPr>
          <w:p w:rsidR="008D4939" w:rsidRPr="004C5551" w:rsidRDefault="008D4939" w:rsidP="00D4331A">
            <w:pPr>
              <w:jc w:val="center"/>
              <w:rPr>
                <w:sz w:val="16"/>
                <w:szCs w:val="18"/>
              </w:rPr>
            </w:pPr>
            <w:r w:rsidRPr="004C5551">
              <w:rPr>
                <w:sz w:val="16"/>
                <w:szCs w:val="18"/>
              </w:rPr>
              <w:t>-5,7</w:t>
            </w:r>
          </w:p>
        </w:tc>
      </w:tr>
      <w:tr w:rsidR="008D4939" w:rsidRPr="004C5551" w:rsidTr="00A96FDE">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939" w:rsidRPr="004C5551" w:rsidRDefault="008D4939" w:rsidP="00D4331A">
            <w:pPr>
              <w:jc w:val="left"/>
              <w:rPr>
                <w:b/>
                <w:bCs/>
                <w:sz w:val="16"/>
                <w:szCs w:val="18"/>
              </w:rPr>
            </w:pPr>
            <w:r w:rsidRPr="004C5551">
              <w:rPr>
                <w:b/>
                <w:bCs/>
                <w:sz w:val="16"/>
                <w:szCs w:val="18"/>
              </w:rPr>
              <w:t>Verejný dlh (%HDP)</w:t>
            </w:r>
          </w:p>
        </w:tc>
        <w:tc>
          <w:tcPr>
            <w:tcW w:w="42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86,8</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106,5</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27,6</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42,6</w:t>
            </w:r>
          </w:p>
        </w:tc>
        <w:tc>
          <w:tcPr>
            <w:tcW w:w="56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45,2</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74,7</w:t>
            </w:r>
          </w:p>
        </w:tc>
        <w:tc>
          <w:tcPr>
            <w:tcW w:w="423"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10,6</w:t>
            </w:r>
          </w:p>
        </w:tc>
        <w:tc>
          <w:tcPr>
            <w:tcW w:w="42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109,7</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177,1</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97,7</w:t>
            </w:r>
          </w:p>
        </w:tc>
        <w:tc>
          <w:tcPr>
            <w:tcW w:w="38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335"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132,1</w:t>
            </w:r>
          </w:p>
        </w:tc>
        <w:tc>
          <w:tcPr>
            <w:tcW w:w="41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107,5</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40,9</w:t>
            </w:r>
          </w:p>
        </w:tc>
        <w:tc>
          <w:tcPr>
            <w:tcW w:w="372"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76,9</w:t>
            </w:r>
          </w:p>
        </w:tc>
        <w:tc>
          <w:tcPr>
            <w:tcW w:w="371"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68,8</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84,5</w:t>
            </w:r>
          </w:p>
        </w:tc>
        <w:tc>
          <w:tcPr>
            <w:tcW w:w="3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50,1</w:t>
            </w:r>
          </w:p>
        </w:tc>
        <w:tc>
          <w:tcPr>
            <w:tcW w:w="42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130,2</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39,8</w:t>
            </w:r>
          </w:p>
        </w:tc>
        <w:tc>
          <w:tcPr>
            <w:tcW w:w="39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80,9</w:t>
            </w:r>
          </w:p>
        </w:tc>
        <w:tc>
          <w:tcPr>
            <w:tcW w:w="339"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53,6</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59,3</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43,9</w:t>
            </w:r>
          </w:p>
        </w:tc>
        <w:tc>
          <w:tcPr>
            <w:tcW w:w="339"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89,4</w:t>
            </w:r>
          </w:p>
        </w:tc>
      </w:tr>
    </w:tbl>
    <w:p w:rsidR="008D4939" w:rsidRPr="004C5551" w:rsidRDefault="008D4939" w:rsidP="00DE59EC">
      <w:pPr>
        <w:pStyle w:val="zdroj"/>
        <w:spacing w:before="0" w:after="360"/>
      </w:pPr>
      <w:r w:rsidRPr="004C5551">
        <w:t xml:space="preserve">Zdroj: </w:t>
      </w:r>
      <w:proofErr w:type="spellStart"/>
      <w:r w:rsidRPr="004C5551">
        <w:t>Eurostat</w:t>
      </w:r>
      <w:proofErr w:type="spellEnd"/>
    </w:p>
    <w:p w:rsidR="008D4939" w:rsidRPr="004C5551" w:rsidRDefault="008D4939" w:rsidP="008D4939">
      <w:pPr>
        <w:pStyle w:val="Nadpis7"/>
        <w:spacing w:before="210" w:after="90"/>
      </w:pPr>
      <w:r w:rsidRPr="004C5551">
        <w:t xml:space="preserve">Tabuľka 2 Porovnanie vybraných indikátorov v kontexte stratégie Európa 2020 medzi krajinami EU28 v poslednom dostupnom roku - </w:t>
      </w:r>
      <w:r w:rsidRPr="004C5551">
        <w:br/>
        <w:t>inteligentný a inkluzívny rast</w:t>
      </w:r>
    </w:p>
    <w:tbl>
      <w:tblPr>
        <w:tblW w:w="14073" w:type="dxa"/>
        <w:jc w:val="center"/>
        <w:tblCellMar>
          <w:left w:w="40" w:type="dxa"/>
          <w:right w:w="40" w:type="dxa"/>
        </w:tblCellMar>
        <w:tblLook w:val="04A0" w:firstRow="1" w:lastRow="0" w:firstColumn="1" w:lastColumn="0" w:noHBand="0" w:noVBand="1"/>
      </w:tblPr>
      <w:tblGrid>
        <w:gridCol w:w="2539"/>
        <w:gridCol w:w="454"/>
        <w:gridCol w:w="444"/>
        <w:gridCol w:w="436"/>
        <w:gridCol w:w="440"/>
        <w:gridCol w:w="360"/>
        <w:gridCol w:w="360"/>
        <w:gridCol w:w="360"/>
        <w:gridCol w:w="360"/>
        <w:gridCol w:w="360"/>
        <w:gridCol w:w="440"/>
        <w:gridCol w:w="440"/>
        <w:gridCol w:w="440"/>
        <w:gridCol w:w="360"/>
        <w:gridCol w:w="360"/>
        <w:gridCol w:w="360"/>
        <w:gridCol w:w="360"/>
        <w:gridCol w:w="360"/>
        <w:gridCol w:w="360"/>
        <w:gridCol w:w="360"/>
        <w:gridCol w:w="360"/>
        <w:gridCol w:w="360"/>
        <w:gridCol w:w="360"/>
        <w:gridCol w:w="360"/>
        <w:gridCol w:w="360"/>
        <w:gridCol w:w="360"/>
        <w:gridCol w:w="360"/>
        <w:gridCol w:w="360"/>
        <w:gridCol w:w="440"/>
        <w:gridCol w:w="360"/>
        <w:gridCol w:w="440"/>
      </w:tblGrid>
      <w:tr w:rsidR="008D4939" w:rsidRPr="004C5551" w:rsidTr="00D8131F">
        <w:trPr>
          <w:trHeight w:val="255"/>
          <w:tblHeader/>
          <w:jc w:val="center"/>
        </w:trPr>
        <w:tc>
          <w:tcPr>
            <w:tcW w:w="2539" w:type="dxa"/>
            <w:tcBorders>
              <w:top w:val="single" w:sz="4" w:space="0" w:color="auto"/>
              <w:left w:val="single" w:sz="4" w:space="0" w:color="auto"/>
              <w:bottom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 </w:t>
            </w:r>
          </w:p>
        </w:tc>
        <w:tc>
          <w:tcPr>
            <w:tcW w:w="45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 </w:t>
            </w:r>
          </w:p>
        </w:tc>
        <w:tc>
          <w:tcPr>
            <w:tcW w:w="44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eu28</w:t>
            </w:r>
          </w:p>
        </w:tc>
        <w:tc>
          <w:tcPr>
            <w:tcW w:w="43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be</w:t>
            </w:r>
            <w:proofErr w:type="spellEnd"/>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bg</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cz</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dk</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de</w:t>
            </w:r>
            <w:proofErr w:type="spellEnd"/>
            <w:r w:rsidRPr="004C5551">
              <w:rPr>
                <w:b/>
                <w:bCs/>
                <w:sz w:val="16"/>
                <w:szCs w:val="20"/>
              </w:rPr>
              <w:t xml:space="preserve"> </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ee</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ie</w:t>
            </w:r>
            <w:proofErr w:type="spellEnd"/>
            <w:r w:rsidRPr="004C5551">
              <w:rPr>
                <w:b/>
                <w:bCs/>
                <w:sz w:val="16"/>
                <w:szCs w:val="20"/>
              </w:rPr>
              <w:t xml:space="preserve"> </w:t>
            </w:r>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el</w:t>
            </w:r>
            <w:proofErr w:type="spellEnd"/>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es</w:t>
            </w:r>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fr</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hr</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it</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cy</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lv</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lt</w:t>
            </w:r>
            <w:proofErr w:type="spellEnd"/>
            <w:r w:rsidRPr="004C5551">
              <w:rPr>
                <w:b/>
                <w:bCs/>
                <w:sz w:val="16"/>
                <w:szCs w:val="20"/>
              </w:rPr>
              <w:t xml:space="preserve"> </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lu</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hu</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mt</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nl</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at</w:t>
            </w:r>
            <w:proofErr w:type="spellEnd"/>
            <w:r w:rsidRPr="004C5551">
              <w:rPr>
                <w:b/>
                <w:bCs/>
                <w:sz w:val="16"/>
                <w:szCs w:val="20"/>
              </w:rPr>
              <w:t xml:space="preserve"> </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pl</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pt</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ro</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r w:rsidRPr="004C5551">
              <w:rPr>
                <w:b/>
                <w:bCs/>
                <w:sz w:val="16"/>
                <w:szCs w:val="20"/>
              </w:rPr>
              <w:t>si</w:t>
            </w:r>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sk</w:t>
            </w:r>
            <w:proofErr w:type="spellEnd"/>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fi</w:t>
            </w:r>
            <w:proofErr w:type="spellEnd"/>
          </w:p>
        </w:tc>
        <w:tc>
          <w:tcPr>
            <w:tcW w:w="36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se</w:t>
            </w:r>
            <w:proofErr w:type="spellEnd"/>
          </w:p>
        </w:tc>
        <w:tc>
          <w:tcPr>
            <w:tcW w:w="440"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8D4939" w:rsidRPr="004C5551" w:rsidRDefault="008D4939" w:rsidP="00D4331A">
            <w:pPr>
              <w:jc w:val="center"/>
              <w:rPr>
                <w:b/>
                <w:bCs/>
                <w:sz w:val="16"/>
                <w:szCs w:val="20"/>
              </w:rPr>
            </w:pPr>
            <w:proofErr w:type="spellStart"/>
            <w:r w:rsidRPr="004C5551">
              <w:rPr>
                <w:b/>
                <w:bCs/>
                <w:sz w:val="16"/>
                <w:szCs w:val="20"/>
              </w:rPr>
              <w:t>uk</w:t>
            </w:r>
            <w:proofErr w:type="spellEnd"/>
            <w:r w:rsidRPr="004C5551">
              <w:rPr>
                <w:b/>
                <w:bCs/>
                <w:sz w:val="16"/>
                <w:szCs w:val="20"/>
              </w:rPr>
              <w:t xml:space="preserve"> </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A96FDE" w:rsidP="00D4331A">
            <w:pPr>
              <w:jc w:val="left"/>
              <w:rPr>
                <w:b/>
                <w:bCs/>
                <w:sz w:val="16"/>
                <w:szCs w:val="18"/>
              </w:rPr>
            </w:pPr>
            <w:r w:rsidRPr="004C5551">
              <w:rPr>
                <w:b/>
                <w:bCs/>
                <w:sz w:val="16"/>
                <w:szCs w:val="18"/>
              </w:rPr>
              <w:t xml:space="preserve">Miera zamestnanosti 20 </w:t>
            </w:r>
            <w:r w:rsidRPr="004C5551">
              <w:rPr>
                <w:bCs/>
                <w:sz w:val="20"/>
                <w:szCs w:val="16"/>
              </w:rPr>
              <w:t>–</w:t>
            </w:r>
            <w:r w:rsidR="008D4939" w:rsidRPr="004C5551">
              <w:rPr>
                <w:b/>
                <w:bCs/>
                <w:sz w:val="16"/>
                <w:szCs w:val="18"/>
              </w:rPr>
              <w:t xml:space="preserve"> 64 roč. (1)</w:t>
            </w:r>
          </w:p>
        </w:tc>
        <w:tc>
          <w:tcPr>
            <w:tcW w:w="454" w:type="dxa"/>
            <w:tcBorders>
              <w:top w:val="nil"/>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69,2</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75,9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67,8</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65,9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80</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76,2</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63,5</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63,6</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58,6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70,6</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75</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80,3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81,4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71,6</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73,2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81,9</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A96FDE">
            <w:pPr>
              <w:jc w:val="left"/>
              <w:rPr>
                <w:b/>
                <w:bCs/>
                <w:sz w:val="16"/>
                <w:szCs w:val="18"/>
              </w:rPr>
            </w:pPr>
            <w:r w:rsidRPr="004C5551">
              <w:rPr>
                <w:b/>
                <w:bCs/>
                <w:sz w:val="16"/>
                <w:szCs w:val="18"/>
              </w:rPr>
              <w:t>Miera zamestnanosti 55</w:t>
            </w:r>
            <w:r w:rsidR="00A96FDE" w:rsidRPr="004C5551">
              <w:rPr>
                <w:b/>
                <w:bCs/>
                <w:sz w:val="16"/>
                <w:szCs w:val="18"/>
              </w:rPr>
              <w:t xml:space="preserve"> </w:t>
            </w:r>
            <w:r w:rsidR="00A96FDE" w:rsidRPr="004C5551">
              <w:rPr>
                <w:bCs/>
                <w:sz w:val="20"/>
                <w:szCs w:val="16"/>
              </w:rPr>
              <w:t>–</w:t>
            </w:r>
            <w:r w:rsidR="00A96FDE" w:rsidRPr="004C5551">
              <w:rPr>
                <w:b/>
                <w:bCs/>
                <w:sz w:val="16"/>
                <w:szCs w:val="18"/>
              </w:rPr>
              <w:t xml:space="preserve"> </w:t>
            </w:r>
            <w:r w:rsidRPr="004C5551">
              <w:rPr>
                <w:b/>
                <w:bCs/>
                <w:sz w:val="16"/>
                <w:szCs w:val="18"/>
              </w:rPr>
              <w:t>64 roč. (2)</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51,8</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35,4</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44,8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45,2</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37,2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58,9</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41,8</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53,1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67,8</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A96FDE">
            <w:pPr>
              <w:jc w:val="left"/>
              <w:rPr>
                <w:b/>
                <w:bCs/>
                <w:sz w:val="16"/>
                <w:szCs w:val="18"/>
              </w:rPr>
            </w:pPr>
            <w:r w:rsidRPr="004C5551">
              <w:rPr>
                <w:b/>
                <w:bCs/>
                <w:sz w:val="16"/>
                <w:szCs w:val="18"/>
              </w:rPr>
              <w:t>Miera celoživotného vzdelávania (25</w:t>
            </w:r>
            <w:r w:rsidR="00A96FDE" w:rsidRPr="004C5551">
              <w:rPr>
                <w:b/>
                <w:bCs/>
                <w:sz w:val="16"/>
                <w:szCs w:val="18"/>
              </w:rPr>
              <w:t xml:space="preserve"> </w:t>
            </w:r>
            <w:r w:rsidR="00A96FDE" w:rsidRPr="004C5551">
              <w:rPr>
                <w:bCs/>
                <w:sz w:val="20"/>
                <w:szCs w:val="16"/>
              </w:rPr>
              <w:t>–</w:t>
            </w:r>
            <w:r w:rsidR="00A96FDE" w:rsidRPr="004C5551">
              <w:rPr>
                <w:b/>
                <w:bCs/>
                <w:sz w:val="16"/>
                <w:szCs w:val="18"/>
              </w:rPr>
              <w:t xml:space="preserve"> </w:t>
            </w:r>
            <w:r w:rsidRPr="004C5551">
              <w:rPr>
                <w:b/>
                <w:bCs/>
                <w:sz w:val="16"/>
                <w:szCs w:val="18"/>
              </w:rPr>
              <w:t>64) (3)</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11,6</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13,6</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9,8</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10,4</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14,2</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Miera nezamestnanosti (4)</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10,2</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9,7</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13,2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10,6</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13,6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10,1</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12,8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Miera nezamestnanosti mladých ľudí (15 </w:t>
            </w:r>
            <w:r w:rsidR="00A96FDE" w:rsidRPr="004C5551">
              <w:rPr>
                <w:bCs/>
                <w:sz w:val="20"/>
                <w:szCs w:val="16"/>
              </w:rPr>
              <w:t>–</w:t>
            </w:r>
            <w:r w:rsidRPr="004C5551">
              <w:rPr>
                <w:b/>
                <w:bCs/>
                <w:sz w:val="16"/>
                <w:szCs w:val="18"/>
              </w:rPr>
              <w:t xml:space="preserve"> 24) (5)</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22,2</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20,2</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29,7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16,9</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21,4</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21,3</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30,1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22,8</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19,4</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29,5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18,9</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Miera ekonomickej aktivity mladých (15 </w:t>
            </w:r>
            <w:r w:rsidR="00A96FDE" w:rsidRPr="004C5551">
              <w:rPr>
                <w:bCs/>
                <w:sz w:val="20"/>
                <w:szCs w:val="16"/>
              </w:rPr>
              <w:t>–</w:t>
            </w:r>
            <w:r w:rsidRPr="004C5551">
              <w:rPr>
                <w:b/>
                <w:bCs/>
                <w:sz w:val="16"/>
                <w:szCs w:val="18"/>
              </w:rPr>
              <w:t xml:space="preserve"> 24) (6)</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41,7</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33,6</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57,9</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38,9</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30,5</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23,6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44,4</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36,6</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59,6</w:t>
            </w:r>
          </w:p>
        </w:tc>
      </w:tr>
      <w:tr w:rsidR="008D4939" w:rsidRPr="004C5551" w:rsidTr="00D8131F">
        <w:trPr>
          <w:trHeight w:val="397"/>
          <w:jc w:val="center"/>
        </w:trPr>
        <w:tc>
          <w:tcPr>
            <w:tcW w:w="2539" w:type="dxa"/>
            <w:tcBorders>
              <w:top w:val="nil"/>
              <w:left w:val="single" w:sz="4" w:space="0" w:color="auto"/>
              <w:bottom w:val="single" w:sz="4" w:space="0" w:color="auto"/>
              <w:right w:val="nil"/>
            </w:tcBorders>
            <w:shd w:val="clear" w:color="000000" w:fill="FFFFFF"/>
            <w:hideMark/>
          </w:tcPr>
          <w:p w:rsidR="008D4939" w:rsidRPr="004C5551" w:rsidRDefault="008D4939" w:rsidP="00D4331A">
            <w:pPr>
              <w:jc w:val="left"/>
              <w:rPr>
                <w:b/>
                <w:bCs/>
                <w:sz w:val="16"/>
                <w:szCs w:val="18"/>
              </w:rPr>
            </w:pPr>
            <w:r w:rsidRPr="004C5551">
              <w:rPr>
                <w:b/>
                <w:bCs/>
                <w:sz w:val="16"/>
                <w:szCs w:val="18"/>
              </w:rPr>
              <w:t>Ekonomicky neaktívni mladí vo vzdelávaní alebo školení (7)</w:t>
            </w:r>
          </w:p>
        </w:tc>
        <w:tc>
          <w:tcPr>
            <w:tcW w:w="454" w:type="dxa"/>
            <w:tcBorders>
              <w:top w:val="single" w:sz="4" w:space="0" w:color="auto"/>
              <w:left w:val="nil"/>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 </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89,1</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90,5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86,9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91,9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88,9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91,1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91,5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88,6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79,9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90,6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90,6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90,9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92,7</w:t>
            </w:r>
          </w:p>
        </w:tc>
        <w:tc>
          <w:tcPr>
            <w:tcW w:w="360"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460DEB" w:rsidP="00D4331A">
            <w:pPr>
              <w:jc w:val="center"/>
              <w:rPr>
                <w:b/>
                <w:sz w:val="16"/>
                <w:szCs w:val="18"/>
              </w:rPr>
            </w:pPr>
            <w:r w:rsidRPr="004C5551">
              <w:rPr>
                <w:b/>
                <w:sz w:val="16"/>
                <w:szCs w:val="18"/>
              </w:rPr>
              <w:t>93,9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85,4</w:t>
            </w:r>
          </w:p>
        </w:tc>
      </w:tr>
      <w:tr w:rsidR="008D4939" w:rsidRPr="004C5551" w:rsidTr="00D8131F">
        <w:trPr>
          <w:trHeight w:val="227"/>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Mladí (15 </w:t>
            </w:r>
            <w:r w:rsidR="00A96FDE" w:rsidRPr="004C5551">
              <w:rPr>
                <w:bCs/>
                <w:sz w:val="20"/>
                <w:szCs w:val="16"/>
              </w:rPr>
              <w:t>–</w:t>
            </w:r>
            <w:r w:rsidRPr="004C5551">
              <w:rPr>
                <w:b/>
                <w:bCs/>
                <w:sz w:val="16"/>
                <w:szCs w:val="18"/>
              </w:rPr>
              <w:t xml:space="preserve"> 24), ktorí nie sú zamestnaní ani zapojení do procesu vzdelávania alebo odbornej prípravy (NEET) (8)</w:t>
            </w:r>
          </w:p>
        </w:tc>
        <w:tc>
          <w:tcPr>
            <w:tcW w:w="454" w:type="dxa"/>
            <w:tcBorders>
              <w:top w:val="nil"/>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12,4</w:t>
            </w:r>
          </w:p>
        </w:tc>
        <w:tc>
          <w:tcPr>
            <w:tcW w:w="436"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12</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20,2</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8,1</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5,8</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6,4</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11,7</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15,2</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19,1</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17,1</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10,7</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19,3</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22,1</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17,0</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12</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9,9</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6,3</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13,6</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11,5</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5,0</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12,0</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12,3</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17</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9,4</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460DEB" w:rsidP="00D4331A">
            <w:pPr>
              <w:jc w:val="center"/>
              <w:rPr>
                <w:b/>
                <w:sz w:val="16"/>
                <w:szCs w:val="18"/>
              </w:rPr>
            </w:pPr>
            <w:r w:rsidRPr="004C5551">
              <w:rPr>
                <w:b/>
                <w:sz w:val="16"/>
                <w:szCs w:val="18"/>
              </w:rPr>
              <w:t>12,8</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10,2</w:t>
            </w:r>
          </w:p>
        </w:tc>
        <w:tc>
          <w:tcPr>
            <w:tcW w:w="36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7,2</w:t>
            </w:r>
          </w:p>
        </w:tc>
        <w:tc>
          <w:tcPr>
            <w:tcW w:w="440" w:type="dxa"/>
            <w:tcBorders>
              <w:top w:val="nil"/>
              <w:left w:val="nil"/>
              <w:bottom w:val="nil"/>
              <w:right w:val="single" w:sz="4" w:space="0" w:color="auto"/>
            </w:tcBorders>
            <w:shd w:val="clear" w:color="000000" w:fill="FFFFFF"/>
            <w:noWrap/>
            <w:vAlign w:val="center"/>
            <w:hideMark/>
          </w:tcPr>
          <w:p w:rsidR="008D4939" w:rsidRPr="004C5551" w:rsidRDefault="008D4939" w:rsidP="00D4331A">
            <w:pPr>
              <w:jc w:val="center"/>
              <w:rPr>
                <w:sz w:val="16"/>
                <w:szCs w:val="18"/>
              </w:rPr>
            </w:pPr>
            <w:r w:rsidRPr="004C5551">
              <w:rPr>
                <w:sz w:val="16"/>
                <w:szCs w:val="18"/>
              </w:rPr>
              <w:t>11,9</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12,6</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460DEB" w:rsidP="00D4331A">
            <w:pPr>
              <w:jc w:val="center"/>
              <w:rPr>
                <w:b/>
                <w:sz w:val="16"/>
                <w:szCs w:val="18"/>
              </w:rPr>
            </w:pPr>
            <w:r w:rsidRPr="004C5551">
              <w:rPr>
                <w:b/>
                <w:sz w:val="16"/>
                <w:szCs w:val="18"/>
              </w:rPr>
              <w:t>12,8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12,2</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9,7</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460DEB" w:rsidP="00D4331A">
            <w:pPr>
              <w:jc w:val="center"/>
              <w:rPr>
                <w:b/>
                <w:sz w:val="16"/>
                <w:szCs w:val="18"/>
              </w:rPr>
            </w:pPr>
            <w:r w:rsidRPr="004C5551">
              <w:rPr>
                <w:b/>
                <w:sz w:val="16"/>
                <w:szCs w:val="18"/>
              </w:rPr>
              <w:t>12,8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r>
      <w:tr w:rsidR="008D4939" w:rsidRPr="004C5551" w:rsidTr="00D8131F">
        <w:trPr>
          <w:cantSplit/>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Miera vysokoškolsky vzdelanej populácie vo veku 30 </w:t>
            </w:r>
            <w:r w:rsidR="00A96FDE" w:rsidRPr="004C5551">
              <w:rPr>
                <w:bCs/>
                <w:sz w:val="20"/>
                <w:szCs w:val="16"/>
              </w:rPr>
              <w:t>–</w:t>
            </w:r>
            <w:r w:rsidRPr="004C5551">
              <w:rPr>
                <w:b/>
                <w:bCs/>
                <w:sz w:val="16"/>
                <w:szCs w:val="18"/>
              </w:rPr>
              <w:t xml:space="preserve"> 34 rokov (9)</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37,9</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26,9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47,7</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42,3</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53,7</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31,5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33,6</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22,5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44,2</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Miera zamestnanosti </w:t>
            </w:r>
            <w:proofErr w:type="spellStart"/>
            <w:r w:rsidRPr="004C5551">
              <w:rPr>
                <w:b/>
                <w:bCs/>
                <w:sz w:val="16"/>
                <w:szCs w:val="18"/>
              </w:rPr>
              <w:t>nízkokvalifikovaných</w:t>
            </w:r>
            <w:proofErr w:type="spellEnd"/>
            <w:r w:rsidRPr="004C5551">
              <w:rPr>
                <w:b/>
                <w:bCs/>
                <w:sz w:val="16"/>
                <w:szCs w:val="18"/>
              </w:rPr>
              <w:t xml:space="preserve"> (ISCED 0-2) (10)</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52,7</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46,6</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60,9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48,5</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32,7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63,6</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59,6</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43,1</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42,3</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29,6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50,4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62,6</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56,1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45,4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55,7</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70,3</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Miera nezamestnanosti </w:t>
            </w:r>
            <w:proofErr w:type="spellStart"/>
            <w:r w:rsidRPr="004C5551">
              <w:rPr>
                <w:b/>
                <w:bCs/>
                <w:sz w:val="16"/>
                <w:szCs w:val="18"/>
              </w:rPr>
              <w:t>nízkokvalifikovaných</w:t>
            </w:r>
            <w:proofErr w:type="spellEnd"/>
            <w:r w:rsidRPr="004C5551">
              <w:rPr>
                <w:b/>
                <w:bCs/>
                <w:sz w:val="16"/>
                <w:szCs w:val="18"/>
              </w:rPr>
              <w:t xml:space="preserve"> (ISCED 0-2) (11)</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17,3</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27,6</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15,4</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39,3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17,2</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15,1</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34,7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17,3</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15,7</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43,7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Miera dlhodobej nezamestnanosti (12)</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9,3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9,1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9,4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Podiel osôb predčasne opúšťajúcich vzdelávací systém (13)</w:t>
            </w:r>
          </w:p>
        </w:tc>
        <w:tc>
          <w:tcPr>
            <w:tcW w:w="454" w:type="dxa"/>
            <w:tcBorders>
              <w:top w:val="single" w:sz="4" w:space="0" w:color="auto"/>
              <w:left w:val="nil"/>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11,1</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4,4</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6,7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6,6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10,7</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12,7</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5,8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10,3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6</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6,9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11,9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7,3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12,8</w:t>
            </w:r>
          </w:p>
        </w:tc>
      </w:tr>
      <w:tr w:rsidR="008D4939" w:rsidRPr="004C5551" w:rsidTr="00D8131F">
        <w:trPr>
          <w:trHeight w:val="2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Daňový klin (14)</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38,5*</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49,9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39,7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36,4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45,1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35,7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37,3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45,2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42,4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44,8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34,8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38,6</w:t>
            </w:r>
          </w:p>
        </w:tc>
        <w:tc>
          <w:tcPr>
            <w:tcW w:w="360"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38,6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40,5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26,4</w:t>
            </w:r>
          </w:p>
        </w:tc>
      </w:tr>
      <w:tr w:rsidR="008D4939" w:rsidRPr="004C5551" w:rsidTr="00D8131F">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 xml:space="preserve">Pasca nezamestnanosti </w:t>
            </w:r>
            <w:r w:rsidR="00A96FDE" w:rsidRPr="004C5551">
              <w:rPr>
                <w:bCs/>
                <w:sz w:val="20"/>
                <w:szCs w:val="16"/>
              </w:rPr>
              <w:t>–</w:t>
            </w:r>
            <w:r w:rsidRPr="004C5551">
              <w:rPr>
                <w:b/>
                <w:bCs/>
                <w:sz w:val="16"/>
                <w:szCs w:val="18"/>
              </w:rPr>
              <w:t xml:space="preserve"> jednotlivec (15) </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right"/>
              <w:rPr>
                <w:sz w:val="16"/>
                <w:szCs w:val="18"/>
              </w:rPr>
            </w:pPr>
            <w:r w:rsidRPr="004C5551">
              <w:rPr>
                <w:sz w:val="16"/>
                <w:szCs w:val="18"/>
              </w:rPr>
              <w:t>75,01</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93,4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80,1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89,8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73,0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63,7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74,5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50,8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81,7</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95,0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79,7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64,4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56,0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83,8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67,8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79,9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79,9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52,0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89,8</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44,3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75,6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71,3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62,7</w:t>
            </w:r>
          </w:p>
        </w:tc>
      </w:tr>
      <w:tr w:rsidR="008D4939" w:rsidRPr="004C5551" w:rsidTr="00D8131F">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 xml:space="preserve">Pasca nízkej mzdy </w:t>
            </w:r>
            <w:r w:rsidR="00A96FDE" w:rsidRPr="004C5551">
              <w:rPr>
                <w:bCs/>
                <w:sz w:val="20"/>
                <w:szCs w:val="16"/>
              </w:rPr>
              <w:t>–</w:t>
            </w:r>
            <w:r w:rsidRPr="004C5551">
              <w:rPr>
                <w:b/>
                <w:bCs/>
                <w:sz w:val="16"/>
                <w:szCs w:val="18"/>
              </w:rPr>
              <w:t xml:space="preserve"> jednotlivec (15) </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right"/>
              <w:rPr>
                <w:sz w:val="16"/>
                <w:szCs w:val="18"/>
              </w:rPr>
            </w:pPr>
            <w:r w:rsidRPr="004C5551">
              <w:rPr>
                <w:sz w:val="16"/>
                <w:szCs w:val="18"/>
              </w:rPr>
              <w:t>49,52</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48</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26,2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48</w:t>
            </w:r>
          </w:p>
        </w:tc>
      </w:tr>
      <w:tr w:rsidR="008D4939" w:rsidRPr="004C5551" w:rsidTr="00D8131F">
        <w:trPr>
          <w:trHeight w:val="283"/>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 xml:space="preserve">Pasca nízkej mzdy </w:t>
            </w:r>
            <w:r w:rsidR="00A96FDE" w:rsidRPr="004C5551">
              <w:rPr>
                <w:bCs/>
                <w:sz w:val="20"/>
                <w:szCs w:val="16"/>
              </w:rPr>
              <w:t>–</w:t>
            </w:r>
            <w:r w:rsidRPr="004C5551">
              <w:rPr>
                <w:b/>
                <w:bCs/>
                <w:sz w:val="16"/>
                <w:szCs w:val="18"/>
              </w:rPr>
              <w:t xml:space="preserve"> dvojica s 2 deťmi (jeden zárobok) (15) </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right"/>
              <w:rPr>
                <w:sz w:val="16"/>
                <w:szCs w:val="18"/>
              </w:rPr>
            </w:pPr>
            <w:r w:rsidRPr="004C5551">
              <w:rPr>
                <w:sz w:val="16"/>
                <w:szCs w:val="18"/>
              </w:rPr>
              <w:t>60,23</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58</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47,6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80</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Populácia ohrozená chudobou a sociálnym vylúčením v % (16)</w:t>
            </w:r>
          </w:p>
        </w:tc>
        <w:tc>
          <w:tcPr>
            <w:tcW w:w="45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24,5</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40,4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20,4</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19,8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25,4</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49,4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36,8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30,2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35,9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24,9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41,3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21,4</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20,2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25,8</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20,4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46,5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29,6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26,8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18,6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25,5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27,5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39,4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19,4</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8"/>
              </w:rPr>
            </w:pPr>
            <w:r w:rsidRPr="004C5551">
              <w:rPr>
                <w:b/>
                <w:sz w:val="16"/>
                <w:szCs w:val="18"/>
              </w:rPr>
              <w:t>19,3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15,7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14,9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8"/>
              </w:rPr>
            </w:pPr>
            <w:r w:rsidRPr="004C5551">
              <w:rPr>
                <w:sz w:val="16"/>
                <w:szCs w:val="18"/>
              </w:rPr>
              <w:t>23,6</w:t>
            </w:r>
          </w:p>
        </w:tc>
      </w:tr>
      <w:tr w:rsidR="008D4939" w:rsidRPr="004C5551" w:rsidTr="00D8131F">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8D4939" w:rsidRPr="004C5551" w:rsidRDefault="008D4939" w:rsidP="00D4331A">
            <w:pPr>
              <w:jc w:val="left"/>
              <w:rPr>
                <w:b/>
                <w:bCs/>
                <w:sz w:val="16"/>
                <w:szCs w:val="18"/>
              </w:rPr>
            </w:pPr>
            <w:r w:rsidRPr="004C5551">
              <w:rPr>
                <w:b/>
                <w:bCs/>
                <w:sz w:val="16"/>
                <w:szCs w:val="18"/>
              </w:rPr>
              <w:t>Populácia ohrozená chudobou a soci</w:t>
            </w:r>
            <w:r w:rsidRPr="004C5551">
              <w:rPr>
                <w:b/>
                <w:bCs/>
                <w:sz w:val="16"/>
                <w:szCs w:val="18"/>
              </w:rPr>
              <w:softHyphen/>
              <w:t>álnym vylúčením do 18 rokov v % (17) </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27,7</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51,5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33,9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31,9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35,4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31,7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48,5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17,5</w:t>
            </w:r>
          </w:p>
        </w:tc>
        <w:tc>
          <w:tcPr>
            <w:tcW w:w="360"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25,5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32,6</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Populácia ohrozená chudobou a sociálnym vylúčením od 18 rokov v % (18)</w:t>
            </w:r>
          </w:p>
        </w:tc>
        <w:tc>
          <w:tcPr>
            <w:tcW w:w="45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23,8</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35,2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34,5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31,5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21,1</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18,5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22,7</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24,9</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48,7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28,5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36,4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35,7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31,8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39,7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22,3</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19,1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24,1</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22,6</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29,8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27,4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30,6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19,8</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17,8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21,3</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Miera rizika chudoby (19)</w:t>
            </w:r>
          </w:p>
        </w:tc>
        <w:tc>
          <w:tcPr>
            <w:tcW w:w="45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16,6</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14,5</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12,8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14,8</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15,9</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17,2</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14,2</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23,8</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21,6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15,4</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12,9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13,5</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12,8</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15,4</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Osoby v domácnostiach s veľmi nízkou intenzitou práce v % (20)</w:t>
            </w:r>
          </w:p>
        </w:tc>
        <w:tc>
          <w:tcPr>
            <w:tcW w:w="45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10,8</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15,7</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7,6</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13,2</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11,3</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7,3</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15,4</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8,5</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7,9</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10,3</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13,3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23,6</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15,9</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7,4</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7,2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7,1</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12,5</w:t>
            </w:r>
          </w:p>
        </w:tc>
      </w:tr>
      <w:tr w:rsidR="008D4939" w:rsidRPr="004C5551" w:rsidTr="00D8131F">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8D4939" w:rsidRPr="004C5551" w:rsidRDefault="008D4939" w:rsidP="00D4331A">
            <w:pPr>
              <w:jc w:val="left"/>
              <w:rPr>
                <w:b/>
                <w:bCs/>
                <w:sz w:val="16"/>
                <w:szCs w:val="18"/>
              </w:rPr>
            </w:pPr>
            <w:r w:rsidRPr="004C5551">
              <w:rPr>
                <w:b/>
                <w:bCs/>
                <w:sz w:val="16"/>
                <w:szCs w:val="18"/>
              </w:rPr>
              <w:t xml:space="preserve">Ťažko materiálne </w:t>
            </w:r>
            <w:proofErr w:type="spellStart"/>
            <w:r w:rsidRPr="004C5551">
              <w:rPr>
                <w:b/>
                <w:bCs/>
                <w:sz w:val="16"/>
                <w:szCs w:val="18"/>
              </w:rPr>
              <w:t>deprivovaní</w:t>
            </w:r>
            <w:proofErr w:type="spellEnd"/>
            <w:r w:rsidRPr="004C5551">
              <w:rPr>
                <w:b/>
                <w:bCs/>
                <w:sz w:val="16"/>
                <w:szCs w:val="18"/>
              </w:rPr>
              <w:t xml:space="preserve"> v % (21)</w:t>
            </w:r>
          </w:p>
        </w:tc>
        <w:tc>
          <w:tcPr>
            <w:tcW w:w="45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spolu</w:t>
            </w:r>
          </w:p>
        </w:tc>
        <w:tc>
          <w:tcPr>
            <w:tcW w:w="444"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9,6</w:t>
            </w:r>
          </w:p>
        </w:tc>
        <w:tc>
          <w:tcPr>
            <w:tcW w:w="436"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5,1</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43</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9,9</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20,3</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14,7</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16,1</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26,8</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4,2</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10,9</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28,5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6,7</w:t>
            </w:r>
          </w:p>
        </w:tc>
        <w:tc>
          <w:tcPr>
            <w:tcW w:w="360" w:type="dxa"/>
            <w:tcBorders>
              <w:top w:val="single" w:sz="4" w:space="0" w:color="auto"/>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10,2</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w:t>
            </w:r>
          </w:p>
        </w:tc>
        <w:tc>
          <w:tcPr>
            <w:tcW w:w="36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single" w:sz="4" w:space="0" w:color="auto"/>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8,3</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ženy</w:t>
            </w:r>
          </w:p>
        </w:tc>
        <w:tc>
          <w:tcPr>
            <w:tcW w:w="444"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9,8</w:t>
            </w:r>
          </w:p>
        </w:tc>
        <w:tc>
          <w:tcPr>
            <w:tcW w:w="436"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4,7</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44,4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7,1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10,6</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20,3</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6,1</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12,4</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24,7</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17,6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26,9</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28,5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6,7</w:t>
            </w:r>
          </w:p>
        </w:tc>
        <w:tc>
          <w:tcPr>
            <w:tcW w:w="360" w:type="dxa"/>
            <w:tcBorders>
              <w:top w:val="nil"/>
              <w:left w:val="nil"/>
              <w:bottom w:val="nil"/>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10,5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w:t>
            </w:r>
          </w:p>
        </w:tc>
        <w:tc>
          <w:tcPr>
            <w:tcW w:w="36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w:t>
            </w:r>
          </w:p>
        </w:tc>
        <w:tc>
          <w:tcPr>
            <w:tcW w:w="440" w:type="dxa"/>
            <w:tcBorders>
              <w:top w:val="nil"/>
              <w:left w:val="nil"/>
              <w:bottom w:val="nil"/>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8,6</w:t>
            </w:r>
          </w:p>
        </w:tc>
      </w:tr>
      <w:tr w:rsidR="008D4939" w:rsidRPr="004C5551" w:rsidTr="00D8131F">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8D4939" w:rsidRPr="004C5551" w:rsidRDefault="008D4939" w:rsidP="00D433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8D4939" w:rsidRPr="004C5551" w:rsidRDefault="008D4939" w:rsidP="00D4331A">
            <w:pPr>
              <w:jc w:val="left"/>
              <w:rPr>
                <w:b/>
                <w:bCs/>
                <w:sz w:val="16"/>
                <w:szCs w:val="18"/>
              </w:rPr>
            </w:pPr>
            <w:r w:rsidRPr="004C5551">
              <w:rPr>
                <w:b/>
                <w:bCs/>
                <w:sz w:val="16"/>
                <w:szCs w:val="18"/>
              </w:rPr>
              <w:t>muži</w:t>
            </w:r>
          </w:p>
        </w:tc>
        <w:tc>
          <w:tcPr>
            <w:tcW w:w="444"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9,4</w:t>
            </w:r>
          </w:p>
        </w:tc>
        <w:tc>
          <w:tcPr>
            <w:tcW w:w="436"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5,5</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41,6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3,6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5,2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9,2</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20,3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6,3</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16,6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23,1</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14,2</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26,6</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9,4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2,4</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4,3</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11,8</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10,9</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28,5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6,6</w:t>
            </w:r>
          </w:p>
        </w:tc>
        <w:tc>
          <w:tcPr>
            <w:tcW w:w="360" w:type="dxa"/>
            <w:tcBorders>
              <w:top w:val="nil"/>
              <w:left w:val="nil"/>
              <w:bottom w:val="single" w:sz="4" w:space="0" w:color="auto"/>
              <w:right w:val="single" w:sz="4" w:space="0" w:color="auto"/>
            </w:tcBorders>
            <w:shd w:val="clear" w:color="000000" w:fill="FFCCCC" w:themeFill="accent3" w:themeFillTint="33"/>
            <w:noWrap/>
            <w:vAlign w:val="center"/>
            <w:hideMark/>
          </w:tcPr>
          <w:p w:rsidR="008D4939" w:rsidRPr="004C5551" w:rsidRDefault="008D4939" w:rsidP="00D4331A">
            <w:pPr>
              <w:jc w:val="center"/>
              <w:rPr>
                <w:b/>
                <w:sz w:val="16"/>
                <w:szCs w:val="16"/>
              </w:rPr>
            </w:pPr>
            <w:r w:rsidRPr="004C5551">
              <w:rPr>
                <w:b/>
                <w:sz w:val="16"/>
                <w:szCs w:val="16"/>
              </w:rPr>
              <w:t>10</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2,5</w:t>
            </w:r>
          </w:p>
        </w:tc>
        <w:tc>
          <w:tcPr>
            <w:tcW w:w="36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1,4</w:t>
            </w:r>
          </w:p>
        </w:tc>
        <w:tc>
          <w:tcPr>
            <w:tcW w:w="440" w:type="dxa"/>
            <w:tcBorders>
              <w:top w:val="nil"/>
              <w:left w:val="nil"/>
              <w:bottom w:val="single" w:sz="4" w:space="0" w:color="auto"/>
              <w:right w:val="single" w:sz="4" w:space="0" w:color="auto"/>
            </w:tcBorders>
            <w:shd w:val="clear" w:color="auto" w:fill="auto"/>
            <w:noWrap/>
            <w:vAlign w:val="center"/>
            <w:hideMark/>
          </w:tcPr>
          <w:p w:rsidR="008D4939" w:rsidRPr="004C5551" w:rsidRDefault="008D4939" w:rsidP="00D4331A">
            <w:pPr>
              <w:jc w:val="center"/>
              <w:rPr>
                <w:sz w:val="16"/>
                <w:szCs w:val="16"/>
              </w:rPr>
            </w:pPr>
            <w:r w:rsidRPr="004C5551">
              <w:rPr>
                <w:sz w:val="16"/>
                <w:szCs w:val="16"/>
              </w:rPr>
              <w:t>8</w:t>
            </w:r>
          </w:p>
        </w:tc>
      </w:tr>
    </w:tbl>
    <w:p w:rsidR="008D4939" w:rsidRPr="004C5551" w:rsidRDefault="008D4939" w:rsidP="008D4939">
      <w:pPr>
        <w:rPr>
          <w:i/>
          <w:sz w:val="20"/>
          <w:szCs w:val="20"/>
        </w:rPr>
      </w:pPr>
      <w:r w:rsidRPr="004C5551">
        <w:rPr>
          <w:i/>
          <w:sz w:val="20"/>
          <w:szCs w:val="20"/>
        </w:rPr>
        <w:t xml:space="preserve">Zdroj: </w:t>
      </w:r>
      <w:proofErr w:type="spellStart"/>
      <w:r w:rsidRPr="004C5551">
        <w:rPr>
          <w:i/>
          <w:sz w:val="20"/>
          <w:szCs w:val="20"/>
        </w:rPr>
        <w:t>Eurostat</w:t>
      </w:r>
      <w:proofErr w:type="spellEnd"/>
      <w:r w:rsidRPr="004C5551">
        <w:rPr>
          <w:i/>
          <w:sz w:val="20"/>
          <w:szCs w:val="20"/>
        </w:rPr>
        <w:t xml:space="preserve">; * </w:t>
      </w:r>
      <w:r w:rsidR="00A96FDE" w:rsidRPr="004C5551">
        <w:rPr>
          <w:bCs/>
          <w:sz w:val="20"/>
          <w:szCs w:val="16"/>
        </w:rPr>
        <w:t>–</w:t>
      </w:r>
      <w:r w:rsidRPr="004C5551">
        <w:rPr>
          <w:i/>
          <w:sz w:val="20"/>
          <w:szCs w:val="20"/>
        </w:rPr>
        <w:t xml:space="preserve"> údaj je za 25 krajín Európskej únie (bez Chorvátska. Bulharska a Rumunska; (1) </w:t>
      </w:r>
      <w:r w:rsidR="00A96FDE" w:rsidRPr="004C5551">
        <w:rPr>
          <w:bCs/>
          <w:sz w:val="20"/>
          <w:szCs w:val="16"/>
        </w:rPr>
        <w:t>–</w:t>
      </w:r>
      <w:r w:rsidRPr="004C5551">
        <w:rPr>
          <w:i/>
          <w:sz w:val="20"/>
          <w:szCs w:val="20"/>
        </w:rPr>
        <w:t xml:space="preserve"> (14) </w:t>
      </w:r>
      <w:r w:rsidR="00A96FDE" w:rsidRPr="004C5551">
        <w:rPr>
          <w:bCs/>
          <w:sz w:val="20"/>
          <w:szCs w:val="16"/>
        </w:rPr>
        <w:t>–</w:t>
      </w:r>
      <w:r w:rsidRPr="004C5551">
        <w:rPr>
          <w:i/>
          <w:sz w:val="20"/>
          <w:szCs w:val="20"/>
        </w:rPr>
        <w:t xml:space="preserve"> údaje sú za rok 2014, (15) </w:t>
      </w:r>
      <w:r w:rsidR="00A96FDE" w:rsidRPr="004C5551">
        <w:rPr>
          <w:bCs/>
          <w:sz w:val="20"/>
          <w:szCs w:val="16"/>
        </w:rPr>
        <w:t>–</w:t>
      </w:r>
      <w:r w:rsidRPr="004C5551">
        <w:rPr>
          <w:i/>
          <w:sz w:val="20"/>
          <w:szCs w:val="20"/>
        </w:rPr>
        <w:t xml:space="preserve"> (21) </w:t>
      </w:r>
      <w:r w:rsidR="00A96FDE" w:rsidRPr="004C5551">
        <w:rPr>
          <w:bCs/>
          <w:sz w:val="20"/>
          <w:szCs w:val="16"/>
        </w:rPr>
        <w:t>–</w:t>
      </w:r>
      <w:r w:rsidRPr="004C5551">
        <w:rPr>
          <w:i/>
          <w:sz w:val="20"/>
          <w:szCs w:val="20"/>
        </w:rPr>
        <w:t xml:space="preserve"> údaje sú za rok 2013; (10) – (11) – v roku 2014 prišlo k zmene v časovom rade</w:t>
      </w:r>
    </w:p>
    <w:p w:rsidR="009129C6" w:rsidRPr="004C5551" w:rsidRDefault="008D4939" w:rsidP="00100765">
      <w:pPr>
        <w:rPr>
          <w:i/>
          <w:sz w:val="20"/>
          <w:szCs w:val="20"/>
        </w:rPr>
      </w:pPr>
      <w:r w:rsidRPr="004C5551">
        <w:rPr>
          <w:i/>
          <w:sz w:val="20"/>
          <w:szCs w:val="20"/>
        </w:rPr>
        <w:t>: - nedostupné údaje</w:t>
      </w:r>
    </w:p>
    <w:p w:rsidR="00543CF2" w:rsidRPr="004C5551" w:rsidRDefault="008D4939" w:rsidP="00100765">
      <w:pPr>
        <w:rPr>
          <w:i/>
          <w:sz w:val="20"/>
          <w:szCs w:val="20"/>
        </w:rPr>
      </w:pPr>
      <w:r w:rsidRPr="004C5551">
        <w:rPr>
          <w:i/>
          <w:sz w:val="20"/>
          <w:szCs w:val="20"/>
        </w:rPr>
        <w:t xml:space="preserve">eu28 –Európska únia (28 krajín), </w:t>
      </w:r>
      <w:proofErr w:type="spellStart"/>
      <w:r w:rsidRPr="004C5551">
        <w:rPr>
          <w:i/>
          <w:sz w:val="20"/>
          <w:szCs w:val="20"/>
        </w:rPr>
        <w:t>be</w:t>
      </w:r>
      <w:proofErr w:type="spellEnd"/>
      <w:r w:rsidRPr="004C5551">
        <w:rPr>
          <w:i/>
          <w:sz w:val="20"/>
          <w:szCs w:val="20"/>
        </w:rPr>
        <w:t xml:space="preserve"> – Belgicko, </w:t>
      </w:r>
      <w:proofErr w:type="spellStart"/>
      <w:r w:rsidRPr="004C5551">
        <w:rPr>
          <w:i/>
          <w:sz w:val="20"/>
          <w:szCs w:val="20"/>
        </w:rPr>
        <w:t>bg</w:t>
      </w:r>
      <w:proofErr w:type="spellEnd"/>
      <w:r w:rsidRPr="004C5551">
        <w:rPr>
          <w:i/>
          <w:sz w:val="20"/>
          <w:szCs w:val="20"/>
        </w:rPr>
        <w:t xml:space="preserve"> – Bulharsko, </w:t>
      </w:r>
      <w:proofErr w:type="spellStart"/>
      <w:r w:rsidRPr="004C5551">
        <w:rPr>
          <w:i/>
          <w:sz w:val="20"/>
          <w:szCs w:val="20"/>
        </w:rPr>
        <w:t>cz</w:t>
      </w:r>
      <w:proofErr w:type="spellEnd"/>
      <w:r w:rsidRPr="004C5551">
        <w:rPr>
          <w:i/>
          <w:sz w:val="20"/>
          <w:szCs w:val="20"/>
        </w:rPr>
        <w:t xml:space="preserve"> – Česká republika, </w:t>
      </w:r>
      <w:proofErr w:type="spellStart"/>
      <w:r w:rsidRPr="004C5551">
        <w:rPr>
          <w:i/>
          <w:sz w:val="20"/>
          <w:szCs w:val="20"/>
        </w:rPr>
        <w:t>dk</w:t>
      </w:r>
      <w:proofErr w:type="spellEnd"/>
      <w:r w:rsidRPr="004C5551">
        <w:rPr>
          <w:i/>
          <w:sz w:val="20"/>
          <w:szCs w:val="20"/>
        </w:rPr>
        <w:t xml:space="preserve"> – Dánsko, </w:t>
      </w:r>
      <w:proofErr w:type="spellStart"/>
      <w:r w:rsidRPr="004C5551">
        <w:rPr>
          <w:i/>
          <w:sz w:val="20"/>
          <w:szCs w:val="20"/>
        </w:rPr>
        <w:t>de</w:t>
      </w:r>
      <w:proofErr w:type="spellEnd"/>
      <w:r w:rsidRPr="004C5551">
        <w:rPr>
          <w:i/>
          <w:sz w:val="20"/>
          <w:szCs w:val="20"/>
        </w:rPr>
        <w:t xml:space="preserve"> – Nemecko, </w:t>
      </w:r>
      <w:proofErr w:type="spellStart"/>
      <w:r w:rsidRPr="004C5551">
        <w:rPr>
          <w:i/>
          <w:sz w:val="20"/>
          <w:szCs w:val="20"/>
        </w:rPr>
        <w:t>ee</w:t>
      </w:r>
      <w:proofErr w:type="spellEnd"/>
      <w:r w:rsidRPr="004C5551">
        <w:rPr>
          <w:i/>
          <w:sz w:val="20"/>
          <w:szCs w:val="20"/>
        </w:rPr>
        <w:t xml:space="preserve"> – Estónsko, </w:t>
      </w:r>
      <w:proofErr w:type="spellStart"/>
      <w:r w:rsidRPr="004C5551">
        <w:rPr>
          <w:i/>
          <w:sz w:val="20"/>
          <w:szCs w:val="20"/>
        </w:rPr>
        <w:t>ie</w:t>
      </w:r>
      <w:proofErr w:type="spellEnd"/>
      <w:r w:rsidRPr="004C5551">
        <w:rPr>
          <w:i/>
          <w:sz w:val="20"/>
          <w:szCs w:val="20"/>
        </w:rPr>
        <w:t xml:space="preserve"> – Írsko, </w:t>
      </w:r>
      <w:proofErr w:type="spellStart"/>
      <w:r w:rsidRPr="004C5551">
        <w:rPr>
          <w:i/>
          <w:sz w:val="20"/>
          <w:szCs w:val="20"/>
        </w:rPr>
        <w:t>el</w:t>
      </w:r>
      <w:proofErr w:type="spellEnd"/>
      <w:r w:rsidRPr="004C5551">
        <w:rPr>
          <w:i/>
          <w:sz w:val="20"/>
          <w:szCs w:val="20"/>
        </w:rPr>
        <w:t xml:space="preserve"> – Grécko, es– Španielsko, </w:t>
      </w:r>
      <w:r w:rsidRPr="004C5551">
        <w:rPr>
          <w:i/>
          <w:sz w:val="20"/>
          <w:szCs w:val="20"/>
        </w:rPr>
        <w:br/>
      </w:r>
      <w:proofErr w:type="spellStart"/>
      <w:r w:rsidRPr="004C5551">
        <w:rPr>
          <w:i/>
          <w:sz w:val="20"/>
          <w:szCs w:val="20"/>
        </w:rPr>
        <w:t>fr</w:t>
      </w:r>
      <w:proofErr w:type="spellEnd"/>
      <w:r w:rsidRPr="004C5551">
        <w:rPr>
          <w:i/>
          <w:sz w:val="20"/>
          <w:szCs w:val="20"/>
        </w:rPr>
        <w:t xml:space="preserve"> – Francúzsko, hr </w:t>
      </w:r>
      <w:r w:rsidR="00A96FDE" w:rsidRPr="004C5551">
        <w:rPr>
          <w:bCs/>
          <w:sz w:val="20"/>
          <w:szCs w:val="16"/>
        </w:rPr>
        <w:t>–</w:t>
      </w:r>
      <w:r w:rsidRPr="004C5551">
        <w:rPr>
          <w:i/>
          <w:sz w:val="20"/>
          <w:szCs w:val="20"/>
        </w:rPr>
        <w:t xml:space="preserve"> Chorvátsko, </w:t>
      </w:r>
      <w:proofErr w:type="spellStart"/>
      <w:r w:rsidRPr="004C5551">
        <w:rPr>
          <w:i/>
          <w:sz w:val="20"/>
          <w:szCs w:val="20"/>
        </w:rPr>
        <w:t>it</w:t>
      </w:r>
      <w:proofErr w:type="spellEnd"/>
      <w:r w:rsidRPr="004C5551">
        <w:rPr>
          <w:i/>
          <w:sz w:val="20"/>
          <w:szCs w:val="20"/>
        </w:rPr>
        <w:t xml:space="preserve"> – Taliansko, </w:t>
      </w:r>
      <w:proofErr w:type="spellStart"/>
      <w:r w:rsidRPr="004C5551">
        <w:rPr>
          <w:i/>
          <w:sz w:val="20"/>
          <w:szCs w:val="20"/>
        </w:rPr>
        <w:t>cy</w:t>
      </w:r>
      <w:proofErr w:type="spellEnd"/>
      <w:r w:rsidRPr="004C5551">
        <w:rPr>
          <w:i/>
          <w:sz w:val="20"/>
          <w:szCs w:val="20"/>
        </w:rPr>
        <w:t xml:space="preserve"> – Cyprus, </w:t>
      </w:r>
      <w:proofErr w:type="spellStart"/>
      <w:r w:rsidRPr="004C5551">
        <w:rPr>
          <w:i/>
          <w:sz w:val="20"/>
          <w:szCs w:val="20"/>
        </w:rPr>
        <w:t>lv</w:t>
      </w:r>
      <w:proofErr w:type="spellEnd"/>
      <w:r w:rsidRPr="004C5551">
        <w:rPr>
          <w:i/>
          <w:sz w:val="20"/>
          <w:szCs w:val="20"/>
        </w:rPr>
        <w:t xml:space="preserve"> – Lotyšsko, </w:t>
      </w:r>
      <w:proofErr w:type="spellStart"/>
      <w:r w:rsidRPr="004C5551">
        <w:rPr>
          <w:i/>
          <w:sz w:val="20"/>
          <w:szCs w:val="20"/>
        </w:rPr>
        <w:t>lt</w:t>
      </w:r>
      <w:proofErr w:type="spellEnd"/>
      <w:r w:rsidRPr="004C5551">
        <w:rPr>
          <w:i/>
          <w:sz w:val="20"/>
          <w:szCs w:val="20"/>
        </w:rPr>
        <w:t xml:space="preserve"> – Litva, </w:t>
      </w:r>
      <w:proofErr w:type="spellStart"/>
      <w:r w:rsidRPr="004C5551">
        <w:rPr>
          <w:i/>
          <w:sz w:val="20"/>
          <w:szCs w:val="20"/>
        </w:rPr>
        <w:t>lu</w:t>
      </w:r>
      <w:proofErr w:type="spellEnd"/>
      <w:r w:rsidRPr="004C5551">
        <w:rPr>
          <w:i/>
          <w:sz w:val="20"/>
          <w:szCs w:val="20"/>
        </w:rPr>
        <w:t xml:space="preserve"> </w:t>
      </w:r>
      <w:r w:rsidR="00A96FDE" w:rsidRPr="004C5551">
        <w:rPr>
          <w:bCs/>
          <w:sz w:val="20"/>
          <w:szCs w:val="16"/>
        </w:rPr>
        <w:t>–</w:t>
      </w:r>
      <w:r w:rsidRPr="004C5551">
        <w:rPr>
          <w:i/>
          <w:sz w:val="20"/>
          <w:szCs w:val="20"/>
        </w:rPr>
        <w:t xml:space="preserve"> Luxembursko, hu – Maďarsko, </w:t>
      </w:r>
      <w:proofErr w:type="spellStart"/>
      <w:r w:rsidRPr="004C5551">
        <w:rPr>
          <w:i/>
          <w:sz w:val="20"/>
          <w:szCs w:val="20"/>
        </w:rPr>
        <w:t>mt</w:t>
      </w:r>
      <w:proofErr w:type="spellEnd"/>
      <w:r w:rsidRPr="004C5551">
        <w:rPr>
          <w:i/>
          <w:sz w:val="20"/>
          <w:szCs w:val="20"/>
        </w:rPr>
        <w:t xml:space="preserve"> – Malta, </w:t>
      </w:r>
      <w:proofErr w:type="spellStart"/>
      <w:r w:rsidRPr="004C5551">
        <w:rPr>
          <w:i/>
          <w:sz w:val="20"/>
          <w:szCs w:val="20"/>
        </w:rPr>
        <w:t>nl</w:t>
      </w:r>
      <w:proofErr w:type="spellEnd"/>
      <w:r w:rsidRPr="004C5551">
        <w:rPr>
          <w:i/>
          <w:sz w:val="20"/>
          <w:szCs w:val="20"/>
        </w:rPr>
        <w:t xml:space="preserve"> – Holandsko, </w:t>
      </w:r>
      <w:proofErr w:type="spellStart"/>
      <w:r w:rsidRPr="004C5551">
        <w:rPr>
          <w:i/>
          <w:sz w:val="20"/>
          <w:szCs w:val="20"/>
        </w:rPr>
        <w:t>at</w:t>
      </w:r>
      <w:proofErr w:type="spellEnd"/>
      <w:r w:rsidRPr="004C5551">
        <w:rPr>
          <w:i/>
          <w:sz w:val="20"/>
          <w:szCs w:val="20"/>
        </w:rPr>
        <w:t xml:space="preserve"> – Rakúsko, </w:t>
      </w:r>
      <w:proofErr w:type="spellStart"/>
      <w:r w:rsidRPr="004C5551">
        <w:rPr>
          <w:i/>
          <w:sz w:val="20"/>
          <w:szCs w:val="20"/>
        </w:rPr>
        <w:t>pl</w:t>
      </w:r>
      <w:proofErr w:type="spellEnd"/>
      <w:r w:rsidRPr="004C5551">
        <w:rPr>
          <w:i/>
          <w:sz w:val="20"/>
          <w:szCs w:val="20"/>
        </w:rPr>
        <w:t xml:space="preserve"> – Poľsko, </w:t>
      </w:r>
      <w:proofErr w:type="spellStart"/>
      <w:r w:rsidRPr="004C5551">
        <w:rPr>
          <w:i/>
          <w:sz w:val="20"/>
          <w:szCs w:val="20"/>
        </w:rPr>
        <w:t>pt</w:t>
      </w:r>
      <w:proofErr w:type="spellEnd"/>
      <w:r w:rsidRPr="004C5551">
        <w:rPr>
          <w:i/>
          <w:sz w:val="20"/>
          <w:szCs w:val="20"/>
        </w:rPr>
        <w:t xml:space="preserve"> – Portugalsko, </w:t>
      </w:r>
      <w:proofErr w:type="spellStart"/>
      <w:r w:rsidRPr="004C5551">
        <w:rPr>
          <w:i/>
          <w:sz w:val="20"/>
          <w:szCs w:val="20"/>
        </w:rPr>
        <w:t>ro</w:t>
      </w:r>
      <w:proofErr w:type="spellEnd"/>
      <w:r w:rsidRPr="004C5551">
        <w:rPr>
          <w:i/>
          <w:sz w:val="20"/>
          <w:szCs w:val="20"/>
        </w:rPr>
        <w:t xml:space="preserve"> – Rumunsko, si – Slovinsko, </w:t>
      </w:r>
      <w:proofErr w:type="spellStart"/>
      <w:r w:rsidRPr="004C5551">
        <w:rPr>
          <w:i/>
          <w:sz w:val="20"/>
          <w:szCs w:val="20"/>
        </w:rPr>
        <w:t>sk</w:t>
      </w:r>
      <w:proofErr w:type="spellEnd"/>
      <w:r w:rsidRPr="004C5551">
        <w:rPr>
          <w:i/>
          <w:sz w:val="20"/>
          <w:szCs w:val="20"/>
        </w:rPr>
        <w:t xml:space="preserve"> – Slovensko, </w:t>
      </w:r>
      <w:proofErr w:type="spellStart"/>
      <w:r w:rsidRPr="004C5551">
        <w:rPr>
          <w:i/>
          <w:sz w:val="20"/>
          <w:szCs w:val="20"/>
        </w:rPr>
        <w:t>fi</w:t>
      </w:r>
      <w:proofErr w:type="spellEnd"/>
      <w:r w:rsidRPr="004C5551">
        <w:rPr>
          <w:i/>
          <w:sz w:val="20"/>
          <w:szCs w:val="20"/>
        </w:rPr>
        <w:t xml:space="preserve"> – Fínsko, </w:t>
      </w:r>
      <w:proofErr w:type="spellStart"/>
      <w:r w:rsidRPr="004C5551">
        <w:rPr>
          <w:i/>
          <w:sz w:val="20"/>
          <w:szCs w:val="20"/>
        </w:rPr>
        <w:t>se</w:t>
      </w:r>
      <w:proofErr w:type="spellEnd"/>
      <w:r w:rsidRPr="004C5551">
        <w:rPr>
          <w:i/>
          <w:sz w:val="20"/>
          <w:szCs w:val="20"/>
        </w:rPr>
        <w:t xml:space="preserve"> – Švédsko, </w:t>
      </w:r>
      <w:proofErr w:type="spellStart"/>
      <w:r w:rsidRPr="004C5551">
        <w:rPr>
          <w:i/>
          <w:sz w:val="20"/>
          <w:szCs w:val="20"/>
        </w:rPr>
        <w:t>uk</w:t>
      </w:r>
      <w:proofErr w:type="spellEnd"/>
      <w:r w:rsidRPr="004C5551">
        <w:rPr>
          <w:i/>
          <w:sz w:val="20"/>
          <w:szCs w:val="20"/>
        </w:rPr>
        <w:t xml:space="preserve"> – Veľká Británia</w:t>
      </w:r>
    </w:p>
    <w:sectPr w:rsidR="00543CF2" w:rsidRPr="004C5551" w:rsidSect="004F3C97">
      <w:headerReference w:type="default" r:id="rId12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FD0" w:rsidRDefault="00476FD0" w:rsidP="00146580">
      <w:r>
        <w:separator/>
      </w:r>
    </w:p>
  </w:endnote>
  <w:endnote w:type="continuationSeparator" w:id="0">
    <w:p w:rsidR="00476FD0" w:rsidRDefault="00476FD0"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witzerland">
    <w:altName w:val="Times New Roman"/>
    <w:panose1 w:val="00000000000000000000"/>
    <w:charset w:val="00"/>
    <w:family w:val="roman"/>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38803"/>
      <w:docPartObj>
        <w:docPartGallery w:val="Page Numbers (Bottom of Page)"/>
        <w:docPartUnique/>
      </w:docPartObj>
    </w:sdtPr>
    <w:sdtContent>
      <w:p w:rsidR="00476F0C" w:rsidRDefault="00476F0C" w:rsidP="00476F0C">
        <w:pPr>
          <w:pStyle w:val="Pta"/>
          <w:jc w:val="center"/>
        </w:pPr>
        <w:r>
          <w:fldChar w:fldCharType="begin"/>
        </w:r>
        <w:r>
          <w:instrText>PAGE   \* MERGEFORMAT</w:instrText>
        </w:r>
        <w:r>
          <w:fldChar w:fldCharType="separate"/>
        </w:r>
        <w:r w:rsidR="00E53062">
          <w:rPr>
            <w:noProof/>
          </w:rPr>
          <w:t>48</w:t>
        </w:r>
        <w:r>
          <w:rPr>
            <w:noProof/>
          </w:rPr>
          <w:fldChar w:fldCharType="end"/>
        </w:r>
      </w:p>
    </w:sdtContent>
  </w:sdt>
  <w:p w:rsidR="008B18CB" w:rsidRPr="00476F0C" w:rsidRDefault="008B18CB" w:rsidP="00476F0C">
    <w:pPr>
      <w:pStyle w:val="Pt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4617B">
    <w:pPr>
      <w:pStyle w:val="Pta"/>
      <w:jc w:val="center"/>
      <w:rPr>
        <w:rStyle w:val="slostrany"/>
      </w:rPr>
    </w:pPr>
  </w:p>
  <w:p w:rsidR="008B18CB" w:rsidRDefault="008B18CB" w:rsidP="0084617B">
    <w:pPr>
      <w:pStyle w:val="Pt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pPr>
      <w:pStyle w:val="Pta"/>
      <w:jc w:val="right"/>
    </w:pPr>
  </w:p>
  <w:p w:rsidR="008B18CB" w:rsidRDefault="008B18CB">
    <w:pPr>
      <w:pStyle w:val="Pt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4617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476F0C" w:rsidRDefault="008B18CB" w:rsidP="00476F0C">
    <w:pPr>
      <w:pStyle w:val="Pta"/>
      <w:rPr>
        <w:rStyle w:val="slostran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lostrany"/>
        <w:noProof/>
      </w:rPr>
      <w:id w:val="-2143331617"/>
      <w:docPartObj>
        <w:docPartGallery w:val="Page Numbers (Bottom of Page)"/>
        <w:docPartUnique/>
      </w:docPartObj>
    </w:sdtPr>
    <w:sdtContent>
      <w:p w:rsidR="00476F0C" w:rsidRPr="00476F0C" w:rsidRDefault="00476F0C" w:rsidP="00476F0C">
        <w:pPr>
          <w:pStyle w:val="Pta"/>
          <w:jc w:val="center"/>
          <w:rPr>
            <w:rStyle w:val="slostrany"/>
            <w:noProof/>
          </w:rPr>
        </w:pPr>
        <w:r w:rsidRPr="00476F0C">
          <w:rPr>
            <w:rStyle w:val="slostrany"/>
            <w:noProof/>
          </w:rPr>
          <w:fldChar w:fldCharType="begin"/>
        </w:r>
        <w:r w:rsidRPr="00476F0C">
          <w:rPr>
            <w:rStyle w:val="slostrany"/>
            <w:noProof/>
          </w:rPr>
          <w:instrText>PAGE   \* MERGEFORMAT</w:instrText>
        </w:r>
        <w:r w:rsidRPr="00476F0C">
          <w:rPr>
            <w:rStyle w:val="slostrany"/>
            <w:noProof/>
          </w:rPr>
          <w:fldChar w:fldCharType="separate"/>
        </w:r>
        <w:r w:rsidR="00E53062">
          <w:rPr>
            <w:rStyle w:val="slostrany"/>
            <w:noProof/>
          </w:rPr>
          <w:t>133</w:t>
        </w:r>
        <w:r w:rsidRPr="00476F0C">
          <w:rPr>
            <w:rStyle w:val="slostrany"/>
          </w:rPr>
          <w:fldChar w:fldCharType="end"/>
        </w:r>
      </w:p>
    </w:sdtContent>
  </w:sdt>
  <w:p w:rsidR="00476F0C" w:rsidRPr="00476F0C" w:rsidRDefault="00476F0C" w:rsidP="00476F0C">
    <w:pPr>
      <w:pStyle w:val="Pta"/>
      <w:jc w:val="center"/>
      <w:rPr>
        <w:rStyle w:val="slostrany"/>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B18CB">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E53062">
      <w:rPr>
        <w:rStyle w:val="slostrany"/>
        <w:noProof/>
      </w:rPr>
      <w:t>112</w:t>
    </w:r>
    <w:r>
      <w:rPr>
        <w:rStyle w:val="slostrany"/>
      </w:rPr>
      <w:fldChar w:fldCharType="end"/>
    </w:r>
  </w:p>
  <w:p w:rsidR="00476F0C" w:rsidRDefault="00476F0C" w:rsidP="008B18CB">
    <w:pPr>
      <w:pStyle w:val="Pta"/>
      <w:jc w:val="center"/>
      <w:rPr>
        <w:rStyle w:val="slostrany"/>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295029"/>
      <w:docPartObj>
        <w:docPartGallery w:val="Page Numbers (Bottom of Page)"/>
        <w:docPartUnique/>
      </w:docPartObj>
    </w:sdtPr>
    <w:sdtContent>
      <w:p w:rsidR="00476F0C" w:rsidRDefault="008B18CB">
        <w:pPr>
          <w:pStyle w:val="Pta"/>
          <w:jc w:val="center"/>
          <w:rPr>
            <w:noProof/>
          </w:rPr>
        </w:pPr>
        <w:r>
          <w:fldChar w:fldCharType="begin"/>
        </w:r>
        <w:r>
          <w:instrText>PAGE   \* MERGEFORMAT</w:instrText>
        </w:r>
        <w:r>
          <w:fldChar w:fldCharType="separate"/>
        </w:r>
        <w:r w:rsidR="00E53062">
          <w:rPr>
            <w:noProof/>
          </w:rPr>
          <w:t>132</w:t>
        </w:r>
        <w:r>
          <w:rPr>
            <w:noProof/>
          </w:rPr>
          <w:fldChar w:fldCharType="end"/>
        </w:r>
      </w:p>
      <w:p w:rsidR="008B18CB" w:rsidRDefault="008B18CB">
        <w:pPr>
          <w:pStyle w:val="Pta"/>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3962"/>
      <w:docPartObj>
        <w:docPartGallery w:val="Page Numbers (Bottom of Page)"/>
        <w:docPartUnique/>
      </w:docPartObj>
    </w:sdtPr>
    <w:sdtContent>
      <w:p w:rsidR="008B18CB" w:rsidRPr="008B18CB" w:rsidRDefault="008B18CB" w:rsidP="008B18CB">
        <w:pPr>
          <w:pStyle w:val="Pta"/>
          <w:jc w:val="center"/>
        </w:pPr>
        <w:r w:rsidRPr="008B18CB">
          <w:fldChar w:fldCharType="begin"/>
        </w:r>
        <w:r w:rsidRPr="008B18CB">
          <w:instrText>PAGE   \* MERGEFORMAT</w:instrText>
        </w:r>
        <w:r w:rsidRPr="008B18CB">
          <w:fldChar w:fldCharType="separate"/>
        </w:r>
        <w:r w:rsidR="00E53062">
          <w:rPr>
            <w:noProof/>
          </w:rPr>
          <w:t>135</w:t>
        </w:r>
        <w:r w:rsidRPr="008B18CB">
          <w:fldChar w:fldCharType="end"/>
        </w:r>
      </w:p>
    </w:sdtContent>
  </w:sdt>
  <w:p w:rsidR="008B18CB" w:rsidRDefault="008B18CB" w:rsidP="000E7856">
    <w:pPr>
      <w:pStyle w:val="Pt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B18CB">
    <w:pPr>
      <w:pStyle w:val="Pta"/>
      <w:jc w:val="center"/>
    </w:pPr>
  </w:p>
  <w:p w:rsidR="008B18CB" w:rsidRDefault="008B18CB">
    <w:pPr>
      <w:pStyle w:val="Pt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FD0" w:rsidRDefault="00476FD0" w:rsidP="00146580">
      <w:r>
        <w:separator/>
      </w:r>
    </w:p>
  </w:footnote>
  <w:footnote w:type="continuationSeparator" w:id="0">
    <w:p w:rsidR="00476FD0" w:rsidRDefault="00476FD0" w:rsidP="00146580">
      <w:r>
        <w:continuationSeparator/>
      </w:r>
    </w:p>
  </w:footnote>
  <w:footnote w:id="1">
    <w:p w:rsidR="008B18CB" w:rsidRPr="009A664A" w:rsidRDefault="008B18CB" w:rsidP="00955A5D">
      <w:pPr>
        <w:pStyle w:val="Textpoznmkypodiarou"/>
      </w:pPr>
      <w:r w:rsidRPr="00233C65">
        <w:rPr>
          <w:rStyle w:val="Odkaznapoznmkupodiarou"/>
          <w:szCs w:val="18"/>
        </w:rPr>
        <w:footnoteRef/>
      </w:r>
      <w:r w:rsidRPr="00233C65">
        <w:t xml:space="preserve"> </w:t>
      </w:r>
      <w:r>
        <w:t xml:space="preserve">zdroj údajov: Štatistická správa o základných vývojových tendenciách v hospodárstve SR v 4. štvrťroku 2013, Štatistický úrad SR 2014 a databáza ŠÚ SR </w:t>
      </w:r>
      <w:proofErr w:type="spellStart"/>
      <w:r>
        <w:t>Slovstat</w:t>
      </w:r>
      <w:proofErr w:type="spellEnd"/>
      <w:r>
        <w:t xml:space="preserve"> a Ústredie práce, sociálnych vecí a rodiny</w:t>
      </w:r>
    </w:p>
  </w:footnote>
  <w:footnote w:id="2">
    <w:p w:rsidR="008B18CB" w:rsidRDefault="008B18CB" w:rsidP="00291D9F">
      <w:pPr>
        <w:pStyle w:val="Textpoznmkypodiarou"/>
      </w:pPr>
      <w:r>
        <w:rPr>
          <w:rStyle w:val="Odkaznapoznmkupodiarou"/>
          <w:szCs w:val="18"/>
        </w:rPr>
        <w:footnoteRef/>
      </w:r>
      <w:r>
        <w:t xml:space="preserve"> podľa výberového zisťovania pracovných síl</w:t>
      </w:r>
    </w:p>
  </w:footnote>
  <w:footnote w:id="3">
    <w:p w:rsidR="008B18CB" w:rsidRDefault="008B18CB" w:rsidP="00291D9F">
      <w:pPr>
        <w:pStyle w:val="Textpoznmkypodiarou"/>
      </w:pPr>
      <w:r>
        <w:rPr>
          <w:rStyle w:val="Odkaznapoznmkupodiarou"/>
          <w:szCs w:val="18"/>
        </w:rPr>
        <w:footnoteRef/>
      </w:r>
      <w:r>
        <w:t xml:space="preserve"> podľa výberového zisťovania pracovných síl, vo vekovej skupine 20 – 64 ročných</w:t>
      </w:r>
    </w:p>
  </w:footnote>
  <w:footnote w:id="4">
    <w:p w:rsidR="008B18CB" w:rsidRDefault="008B18CB" w:rsidP="00291D9F">
      <w:pPr>
        <w:pStyle w:val="Textpoznmkypodiarou"/>
      </w:pPr>
      <w:r>
        <w:rPr>
          <w:rStyle w:val="Odkaznapoznmkupodiarou"/>
          <w:szCs w:val="18"/>
        </w:rPr>
        <w:footnoteRef/>
      </w:r>
      <w:r>
        <w:t xml:space="preserve"> podľa výberového zisťovania pracovných síl</w:t>
      </w:r>
    </w:p>
  </w:footnote>
  <w:footnote w:id="5">
    <w:p w:rsidR="008B18CB" w:rsidRDefault="008B18CB" w:rsidP="00291D9F">
      <w:pPr>
        <w:pStyle w:val="Textpoznmkypodiarou"/>
      </w:pPr>
      <w:r>
        <w:rPr>
          <w:rStyle w:val="Odkaznapoznmkupodiarou"/>
        </w:rPr>
        <w:footnoteRef/>
      </w:r>
      <w:r>
        <w:t xml:space="preserve"> podľa Ústredia práce, sociálnych vecí a rodiny </w:t>
      </w:r>
    </w:p>
  </w:footnote>
  <w:footnote w:id="6">
    <w:p w:rsidR="008B18CB" w:rsidRDefault="008B18CB">
      <w:pPr>
        <w:pStyle w:val="Textpoznmkypodiarou"/>
      </w:pPr>
      <w:r>
        <w:rPr>
          <w:rStyle w:val="Odkaznapoznmkupodiarou"/>
        </w:rPr>
        <w:footnoteRef/>
      </w:r>
      <w:r>
        <w:t xml:space="preserve"> podľa Ústredia práce, sociálnych vecí a rodiny</w:t>
      </w:r>
    </w:p>
  </w:footnote>
  <w:footnote w:id="7">
    <w:p w:rsidR="008B18CB" w:rsidRDefault="008B18CB" w:rsidP="00291D9F">
      <w:pPr>
        <w:pStyle w:val="Textpoznmkypodiarou"/>
      </w:pPr>
      <w:r>
        <w:rPr>
          <w:rStyle w:val="Odkaznapoznmkupodiarou"/>
        </w:rPr>
        <w:footnoteRef/>
      </w:r>
      <w:r>
        <w:t xml:space="preserve"> podľa Ústredia práce, sociálnych vecí a rodiny </w:t>
      </w:r>
    </w:p>
  </w:footnote>
  <w:footnote w:id="8">
    <w:p w:rsidR="008B18CB" w:rsidRDefault="008B18CB" w:rsidP="00291D9F">
      <w:pPr>
        <w:pStyle w:val="Textpoznmkypodiarou"/>
      </w:pPr>
      <w:r>
        <w:rPr>
          <w:rStyle w:val="Odkaznapoznmkupodiarou"/>
          <w:szCs w:val="18"/>
        </w:rPr>
        <w:footnoteRef/>
      </w:r>
      <w:r>
        <w:t xml:space="preserve"> podľa štvrťročného štatistického výkazníctva</w:t>
      </w:r>
    </w:p>
  </w:footnote>
  <w:footnote w:id="9">
    <w:p w:rsidR="008B18CB" w:rsidRDefault="008B18CB" w:rsidP="00291D9F">
      <w:pPr>
        <w:pStyle w:val="Textpoznmkypodiarou"/>
      </w:pPr>
      <w:r>
        <w:rPr>
          <w:rStyle w:val="Odkaznapoznmkupodiarou"/>
          <w:szCs w:val="18"/>
        </w:rPr>
        <w:footnoteRef/>
      </w:r>
      <w:r>
        <w:t xml:space="preserve"> podľa metodiky ESA 2010, podľa štvrťročných účtov</w:t>
      </w:r>
    </w:p>
  </w:footnote>
  <w:footnote w:id="10">
    <w:p w:rsidR="008B18CB" w:rsidRDefault="008B18CB" w:rsidP="00291D9F">
      <w:pPr>
        <w:pStyle w:val="Textpoznmkypodiarou"/>
      </w:pPr>
      <w:r>
        <w:rPr>
          <w:rStyle w:val="Odkaznapoznmkupodiarou"/>
          <w:szCs w:val="18"/>
        </w:rPr>
        <w:footnoteRef/>
      </w:r>
      <w:r>
        <w:t xml:space="preserve"> okrem naturálnych sociálnych transferov</w:t>
      </w:r>
    </w:p>
  </w:footnote>
  <w:footnote w:id="11">
    <w:p w:rsidR="008B18CB" w:rsidRDefault="008B18CB" w:rsidP="00291D9F">
      <w:pPr>
        <w:pStyle w:val="Textpoznmkypodiarou"/>
      </w:pPr>
      <w:r>
        <w:rPr>
          <w:rStyle w:val="Odkaznapoznmkupodiarou"/>
          <w:szCs w:val="18"/>
        </w:rPr>
        <w:footnoteRef/>
      </w:r>
      <w:r>
        <w:t xml:space="preserve"> podľa metodiky ESA 2010, podľa štvrťročných účtov</w:t>
      </w:r>
    </w:p>
  </w:footnote>
  <w:footnote w:id="12">
    <w:p w:rsidR="008B18CB" w:rsidRDefault="008B18CB" w:rsidP="00A966B5">
      <w:pPr>
        <w:pStyle w:val="Textpoznmkypodiarou"/>
      </w:pPr>
      <w:r>
        <w:rPr>
          <w:rStyle w:val="Odkaznapoznmkupodiarou"/>
        </w:rPr>
        <w:footnoteRef/>
      </w:r>
      <w:r>
        <w:t xml:space="preserve"> </w:t>
      </w:r>
      <w:r w:rsidRPr="00274F35">
        <w:rPr>
          <w:szCs w:val="16"/>
        </w:rPr>
        <w:t xml:space="preserve">Metodika VZPS je v súlade s medzinárodnými definíciami a odporúčaniami ILO a </w:t>
      </w:r>
      <w:proofErr w:type="spellStart"/>
      <w:r w:rsidRPr="00274F35">
        <w:rPr>
          <w:szCs w:val="16"/>
        </w:rPr>
        <w:t>Eurostatu</w:t>
      </w:r>
      <w:proofErr w:type="spellEnd"/>
      <w:r w:rsidRPr="00274F35">
        <w:rPr>
          <w:szCs w:val="16"/>
        </w:rPr>
        <w:t xml:space="preserve"> vrátane osôb na riadnej materskej dovolenke a pracujúcich v zahraničí do 1 roka</w:t>
      </w:r>
    </w:p>
  </w:footnote>
  <w:footnote w:id="13">
    <w:p w:rsidR="008B18CB" w:rsidRDefault="008B18CB" w:rsidP="00C46F26">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4">
    <w:p w:rsidR="008B18CB" w:rsidRPr="008D09C3" w:rsidRDefault="008B18CB" w:rsidP="00736C56">
      <w:pPr>
        <w:pStyle w:val="Textpoznmkypodiarou"/>
        <w:rPr>
          <w:color w:val="252525"/>
        </w:rPr>
      </w:pPr>
      <w:r>
        <w:rPr>
          <w:rStyle w:val="Odkaznapoznmkupodiarou"/>
        </w:rPr>
        <w:footnoteRef/>
      </w:r>
      <w:r>
        <w:t xml:space="preserve"> Disponibilný </w:t>
      </w:r>
      <w:proofErr w:type="spellStart"/>
      <w:r>
        <w:t>UoZ</w:t>
      </w:r>
      <w:proofErr w:type="spellEnd"/>
      <w:r>
        <w:t xml:space="preserve"> </w:t>
      </w:r>
      <w:r>
        <w:rPr>
          <w:color w:val="252525"/>
        </w:rPr>
        <w:t xml:space="preserve">je </w:t>
      </w:r>
      <w:proofErr w:type="spellStart"/>
      <w:r>
        <w:rPr>
          <w:color w:val="252525"/>
        </w:rPr>
        <w:t>UoZ</w:t>
      </w:r>
      <w:proofErr w:type="spellEnd"/>
      <w:r>
        <w:rPr>
          <w:color w:val="252525"/>
        </w:rPr>
        <w:t>, ktorý bezprostredne po ponuke voľného pracovného miesta môže nastúpiť do pracovného pomeru. Ide o evidovaného nezamestnaného</w:t>
      </w:r>
      <w:r w:rsidRPr="009A0E17">
        <w:rPr>
          <w:color w:val="252525"/>
        </w:rPr>
        <w:t>, na strane ktorého nie je žiadna objektívna prekážka pre prijatie do zamestnania.</w:t>
      </w:r>
    </w:p>
    <w:p w:rsidR="008B18CB" w:rsidRDefault="008B18CB">
      <w:pPr>
        <w:pStyle w:val="Textpoznmkypodiarou"/>
      </w:pPr>
    </w:p>
  </w:footnote>
  <w:footnote w:id="15">
    <w:p w:rsidR="008B18CB" w:rsidRPr="00657A1B" w:rsidRDefault="008B18CB" w:rsidP="006775D8">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8B18CB" w:rsidRPr="00657A1B" w:rsidTr="00D36062">
        <w:trPr>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Neukončené základné vzdelanie</w:t>
            </w:r>
          </w:p>
        </w:tc>
        <w:tc>
          <w:tcPr>
            <w:tcW w:w="425" w:type="dxa"/>
            <w:vAlign w:val="center"/>
          </w:tcPr>
          <w:p w:rsidR="008B18CB" w:rsidRPr="00657A1B" w:rsidRDefault="008B18CB" w:rsidP="00D36062">
            <w:pPr>
              <w:jc w:val="left"/>
              <w:rPr>
                <w:b/>
                <w:bCs/>
                <w:sz w:val="18"/>
                <w:szCs w:val="18"/>
              </w:rPr>
            </w:pPr>
            <w:r w:rsidRPr="00657A1B">
              <w:rPr>
                <w:b/>
                <w:bCs/>
                <w:sz w:val="18"/>
                <w:szCs w:val="18"/>
              </w:rPr>
              <w:t>15</w:t>
            </w:r>
          </w:p>
        </w:tc>
        <w:tc>
          <w:tcPr>
            <w:tcW w:w="3260" w:type="dxa"/>
            <w:vAlign w:val="center"/>
          </w:tcPr>
          <w:p w:rsidR="008B18CB" w:rsidRPr="00657A1B" w:rsidRDefault="008B18CB" w:rsidP="00D36062">
            <w:pPr>
              <w:jc w:val="left"/>
              <w:rPr>
                <w:sz w:val="18"/>
                <w:szCs w:val="18"/>
              </w:rPr>
            </w:pPr>
            <w:r w:rsidRPr="00657A1B">
              <w:rPr>
                <w:sz w:val="18"/>
                <w:szCs w:val="18"/>
              </w:rPr>
              <w:t>Úplné stredné všeobecné vzdelanie</w:t>
            </w:r>
          </w:p>
        </w:tc>
      </w:tr>
      <w:tr w:rsidR="008B18CB" w:rsidRPr="00657A1B" w:rsidTr="00D36062">
        <w:trPr>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Základné vzdelanie</w:t>
            </w:r>
          </w:p>
        </w:tc>
        <w:tc>
          <w:tcPr>
            <w:tcW w:w="425" w:type="dxa"/>
            <w:vAlign w:val="center"/>
          </w:tcPr>
          <w:p w:rsidR="008B18CB" w:rsidRPr="00657A1B" w:rsidRDefault="008B18CB" w:rsidP="00D36062">
            <w:pPr>
              <w:jc w:val="left"/>
              <w:rPr>
                <w:b/>
                <w:bCs/>
                <w:sz w:val="18"/>
                <w:szCs w:val="18"/>
              </w:rPr>
            </w:pPr>
            <w:r w:rsidRPr="00657A1B">
              <w:rPr>
                <w:b/>
                <w:bCs/>
                <w:sz w:val="18"/>
                <w:szCs w:val="18"/>
              </w:rPr>
              <w:t>16</w:t>
            </w:r>
          </w:p>
        </w:tc>
        <w:tc>
          <w:tcPr>
            <w:tcW w:w="3260" w:type="dxa"/>
            <w:vAlign w:val="center"/>
          </w:tcPr>
          <w:p w:rsidR="008B18CB" w:rsidRPr="00657A1B" w:rsidRDefault="008B18CB" w:rsidP="00D36062">
            <w:pPr>
              <w:jc w:val="left"/>
              <w:rPr>
                <w:sz w:val="18"/>
                <w:szCs w:val="18"/>
              </w:rPr>
            </w:pPr>
            <w:r w:rsidRPr="00657A1B">
              <w:rPr>
                <w:sz w:val="18"/>
                <w:szCs w:val="18"/>
              </w:rPr>
              <w:t>Vyššie odborné vzdelanie</w:t>
            </w:r>
          </w:p>
        </w:tc>
      </w:tr>
      <w:tr w:rsidR="008B18CB" w:rsidRPr="00657A1B" w:rsidTr="00D36062">
        <w:trPr>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Nižšie stredné odborné vzdelanie</w:t>
            </w:r>
          </w:p>
        </w:tc>
        <w:tc>
          <w:tcPr>
            <w:tcW w:w="425" w:type="dxa"/>
            <w:vAlign w:val="center"/>
          </w:tcPr>
          <w:p w:rsidR="008B18CB" w:rsidRPr="00657A1B" w:rsidRDefault="008B18CB" w:rsidP="00D36062">
            <w:pPr>
              <w:jc w:val="left"/>
              <w:rPr>
                <w:b/>
                <w:bCs/>
                <w:sz w:val="18"/>
                <w:szCs w:val="18"/>
              </w:rPr>
            </w:pPr>
            <w:r w:rsidRPr="00657A1B">
              <w:rPr>
                <w:b/>
                <w:bCs/>
                <w:sz w:val="18"/>
                <w:szCs w:val="18"/>
              </w:rPr>
              <w:t>17</w:t>
            </w:r>
          </w:p>
        </w:tc>
        <w:tc>
          <w:tcPr>
            <w:tcW w:w="3260" w:type="dxa"/>
            <w:vAlign w:val="center"/>
          </w:tcPr>
          <w:p w:rsidR="008B18CB" w:rsidRPr="00657A1B" w:rsidRDefault="008B18CB" w:rsidP="00D36062">
            <w:pPr>
              <w:jc w:val="left"/>
              <w:rPr>
                <w:sz w:val="18"/>
                <w:szCs w:val="18"/>
              </w:rPr>
            </w:pPr>
            <w:r w:rsidRPr="00657A1B">
              <w:rPr>
                <w:sz w:val="18"/>
                <w:szCs w:val="18"/>
              </w:rPr>
              <w:t>Vysokoškolské vzdelanie prvého stupňa</w:t>
            </w:r>
          </w:p>
        </w:tc>
      </w:tr>
      <w:tr w:rsidR="008B18CB" w:rsidRPr="00657A1B" w:rsidTr="00D36062">
        <w:trPr>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Stredné odborné vzdelanie</w:t>
            </w:r>
          </w:p>
        </w:tc>
        <w:tc>
          <w:tcPr>
            <w:tcW w:w="425" w:type="dxa"/>
            <w:vAlign w:val="center"/>
          </w:tcPr>
          <w:p w:rsidR="008B18CB" w:rsidRPr="00657A1B" w:rsidRDefault="008B18CB" w:rsidP="00D36062">
            <w:pPr>
              <w:jc w:val="left"/>
              <w:rPr>
                <w:b/>
                <w:bCs/>
                <w:sz w:val="18"/>
                <w:szCs w:val="18"/>
              </w:rPr>
            </w:pPr>
            <w:r w:rsidRPr="00657A1B">
              <w:rPr>
                <w:b/>
                <w:bCs/>
                <w:sz w:val="18"/>
                <w:szCs w:val="18"/>
              </w:rPr>
              <w:t>18</w:t>
            </w:r>
          </w:p>
        </w:tc>
        <w:tc>
          <w:tcPr>
            <w:tcW w:w="3260" w:type="dxa"/>
            <w:vAlign w:val="center"/>
          </w:tcPr>
          <w:p w:rsidR="008B18CB" w:rsidRPr="00657A1B" w:rsidRDefault="008B18CB" w:rsidP="00D36062">
            <w:pPr>
              <w:jc w:val="left"/>
              <w:rPr>
                <w:sz w:val="18"/>
                <w:szCs w:val="18"/>
              </w:rPr>
            </w:pPr>
            <w:r w:rsidRPr="00657A1B">
              <w:rPr>
                <w:sz w:val="18"/>
                <w:szCs w:val="18"/>
              </w:rPr>
              <w:t>Vysokoškolské vzdelanie druhého stupňa</w:t>
            </w:r>
          </w:p>
        </w:tc>
      </w:tr>
      <w:tr w:rsidR="008B18CB" w:rsidRPr="00657A1B" w:rsidTr="00D36062">
        <w:trPr>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Úplné stredné odborné vzdelanie</w:t>
            </w:r>
          </w:p>
        </w:tc>
        <w:tc>
          <w:tcPr>
            <w:tcW w:w="425" w:type="dxa"/>
            <w:vAlign w:val="center"/>
          </w:tcPr>
          <w:p w:rsidR="008B18CB" w:rsidRPr="00657A1B" w:rsidRDefault="008B18CB" w:rsidP="00D36062">
            <w:pPr>
              <w:jc w:val="left"/>
              <w:rPr>
                <w:b/>
                <w:bCs/>
                <w:sz w:val="18"/>
                <w:szCs w:val="18"/>
              </w:rPr>
            </w:pPr>
            <w:r w:rsidRPr="00657A1B">
              <w:rPr>
                <w:b/>
                <w:bCs/>
                <w:sz w:val="18"/>
                <w:szCs w:val="18"/>
              </w:rPr>
              <w:t>19</w:t>
            </w:r>
          </w:p>
        </w:tc>
        <w:tc>
          <w:tcPr>
            <w:tcW w:w="3260" w:type="dxa"/>
            <w:vAlign w:val="center"/>
          </w:tcPr>
          <w:p w:rsidR="008B18CB" w:rsidRPr="00657A1B" w:rsidRDefault="008B18CB" w:rsidP="00D36062">
            <w:pPr>
              <w:jc w:val="left"/>
              <w:rPr>
                <w:sz w:val="18"/>
                <w:szCs w:val="18"/>
              </w:rPr>
            </w:pPr>
            <w:r w:rsidRPr="00657A1B">
              <w:rPr>
                <w:sz w:val="18"/>
                <w:szCs w:val="18"/>
              </w:rPr>
              <w:t>Vysokoškolské vzdelanie tretieho stupňa</w:t>
            </w:r>
          </w:p>
        </w:tc>
      </w:tr>
      <w:tr w:rsidR="008B18CB" w:rsidRPr="00657A1B" w:rsidTr="00D36062">
        <w:trPr>
          <w:gridAfter w:val="2"/>
          <w:wAfter w:w="3685" w:type="dxa"/>
          <w:trHeight w:hRule="exact" w:val="227"/>
        </w:trPr>
        <w:tc>
          <w:tcPr>
            <w:tcW w:w="450" w:type="dxa"/>
            <w:tcBorders>
              <w:top w:val="nil"/>
              <w:left w:val="nil"/>
              <w:bottom w:val="nil"/>
              <w:right w:val="nil"/>
            </w:tcBorders>
            <w:shd w:val="clear" w:color="auto" w:fill="auto"/>
            <w:noWrap/>
            <w:vAlign w:val="center"/>
            <w:hideMark/>
          </w:tcPr>
          <w:p w:rsidR="008B18CB" w:rsidRPr="00657A1B" w:rsidRDefault="008B18CB" w:rsidP="00D36062">
            <w:pPr>
              <w:jc w:val="left"/>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rsidR="008B18CB" w:rsidRPr="00657A1B" w:rsidRDefault="008B18CB" w:rsidP="00D36062">
            <w:pPr>
              <w:jc w:val="left"/>
              <w:rPr>
                <w:sz w:val="18"/>
                <w:szCs w:val="18"/>
              </w:rPr>
            </w:pPr>
            <w:r w:rsidRPr="00657A1B">
              <w:rPr>
                <w:sz w:val="18"/>
                <w:szCs w:val="18"/>
              </w:rPr>
              <w:t>neurčené</w:t>
            </w:r>
          </w:p>
        </w:tc>
      </w:tr>
    </w:tbl>
    <w:p w:rsidR="008B18CB" w:rsidRDefault="008B18CB" w:rsidP="006775D8">
      <w:pPr>
        <w:pStyle w:val="Textpoznmkypodiarou"/>
        <w:ind w:firstLine="142"/>
      </w:pPr>
    </w:p>
  </w:footnote>
  <w:footnote w:id="16">
    <w:p w:rsidR="008B18CB" w:rsidRDefault="008B18CB" w:rsidP="006775D8">
      <w:pPr>
        <w:pStyle w:val="Textpoznmkypodiarou"/>
        <w:tabs>
          <w:tab w:val="left" w:pos="1418"/>
        </w:tabs>
        <w:rPr>
          <w:szCs w:val="18"/>
        </w:rPr>
      </w:pPr>
      <w:r>
        <w:rPr>
          <w:rStyle w:val="Odkaznapoznmkupodiarou"/>
        </w:rPr>
        <w:footnoteRef/>
      </w:r>
      <w:r>
        <w:t xml:space="preserve"> </w:t>
      </w:r>
      <w:r w:rsidRPr="002C739A">
        <w:rPr>
          <w:b/>
        </w:rPr>
        <w:t>SK ISCO-08</w:t>
      </w:r>
    </w:p>
    <w:tbl>
      <w:tblPr>
        <w:tblW w:w="5920" w:type="dxa"/>
        <w:tblInd w:w="55" w:type="dxa"/>
        <w:tblCellMar>
          <w:left w:w="70" w:type="dxa"/>
          <w:right w:w="70" w:type="dxa"/>
        </w:tblCellMar>
        <w:tblLook w:val="04A0" w:firstRow="1" w:lastRow="0" w:firstColumn="1" w:lastColumn="0" w:noHBand="0" w:noVBand="1"/>
      </w:tblPr>
      <w:tblGrid>
        <w:gridCol w:w="230"/>
        <w:gridCol w:w="4760"/>
        <w:gridCol w:w="1000"/>
      </w:tblGrid>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1</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Zákonodarcovia, riadiaci pracovníci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2</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Špecialisti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3</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Technici a odborní pracovníci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4</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Administratívni pracovníci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5</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Pracovníci v službách a obchode</w:t>
            </w:r>
          </w:p>
        </w:tc>
      </w:tr>
      <w:tr w:rsidR="008B18CB" w:rsidRPr="00CF3D53" w:rsidTr="00D36062">
        <w:trPr>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6</w:t>
            </w:r>
          </w:p>
        </w:tc>
        <w:tc>
          <w:tcPr>
            <w:tcW w:w="5760" w:type="dxa"/>
            <w:gridSpan w:val="2"/>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Kvalifikovaní pracovníci v poľnohospodárstve, lesníctve a rybárstve</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7</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Kvalifikovaní pracovníci a remeselníci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8</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Operátori a montéri strojov a zariadení</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9</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ind w:left="-433" w:firstLine="433"/>
              <w:jc w:val="left"/>
              <w:rPr>
                <w:sz w:val="18"/>
                <w:szCs w:val="18"/>
              </w:rPr>
            </w:pPr>
            <w:r w:rsidRPr="00CF3D53">
              <w:rPr>
                <w:sz w:val="18"/>
                <w:szCs w:val="18"/>
              </w:rPr>
              <w:t>Pomocní a nekvalifikovaní pracovníci</w:t>
            </w:r>
          </w:p>
        </w:tc>
      </w:tr>
      <w:tr w:rsidR="008B18CB" w:rsidRPr="00CF3D53" w:rsidTr="00D36062">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8B18CB" w:rsidRPr="00CF3D53" w:rsidRDefault="008B18CB" w:rsidP="00D36062">
            <w:pPr>
              <w:jc w:val="left"/>
              <w:rPr>
                <w:b/>
                <w:bCs/>
                <w:sz w:val="18"/>
                <w:szCs w:val="18"/>
              </w:rPr>
            </w:pPr>
            <w:r w:rsidRPr="00CF3D53">
              <w:rPr>
                <w:b/>
                <w:bCs/>
                <w:sz w:val="18"/>
                <w:szCs w:val="18"/>
              </w:rPr>
              <w:t>0</w:t>
            </w:r>
          </w:p>
        </w:tc>
        <w:tc>
          <w:tcPr>
            <w:tcW w:w="4760" w:type="dxa"/>
            <w:tcBorders>
              <w:top w:val="nil"/>
              <w:left w:val="nil"/>
              <w:bottom w:val="nil"/>
              <w:right w:val="nil"/>
            </w:tcBorders>
            <w:shd w:val="clear" w:color="auto" w:fill="auto"/>
            <w:noWrap/>
            <w:vAlign w:val="center"/>
            <w:hideMark/>
          </w:tcPr>
          <w:p w:rsidR="008B18CB" w:rsidRPr="00CF3D53" w:rsidRDefault="008B18CB" w:rsidP="00D36062">
            <w:pPr>
              <w:jc w:val="left"/>
              <w:rPr>
                <w:sz w:val="18"/>
                <w:szCs w:val="18"/>
              </w:rPr>
            </w:pPr>
            <w:r w:rsidRPr="00CF3D53">
              <w:rPr>
                <w:sz w:val="18"/>
                <w:szCs w:val="18"/>
              </w:rPr>
              <w:t>Príslušníci ozbrojených síl</w:t>
            </w:r>
          </w:p>
        </w:tc>
      </w:tr>
    </w:tbl>
    <w:p w:rsidR="008B18CB" w:rsidRDefault="008B18CB" w:rsidP="006775D8">
      <w:pPr>
        <w:pStyle w:val="Textpoznmkypodiarou"/>
        <w:tabs>
          <w:tab w:val="left" w:pos="1418"/>
        </w:tabs>
      </w:pPr>
    </w:p>
  </w:footnote>
  <w:footnote w:id="17">
    <w:p w:rsidR="008B18CB" w:rsidRDefault="008B18CB" w:rsidP="006775D8">
      <w:pPr>
        <w:pStyle w:val="Textpoznmkypodiarou"/>
        <w:tabs>
          <w:tab w:val="left" w:pos="284"/>
        </w:tabs>
        <w:ind w:left="284" w:hanging="284"/>
      </w:pPr>
      <w:r>
        <w:rPr>
          <w:rStyle w:val="Odkaznapoznmkupodiarou"/>
        </w:rPr>
        <w:footnoteRef/>
      </w:r>
      <w:r>
        <w:t xml:space="preserve"> </w:t>
      </w:r>
      <w:r>
        <w:tab/>
        <w:t>Dňa 15. októbra 2014 vláda Slovenskej republiky schválila nariadenie vlády SR č. 297/2014 Z. z., ktorým ustanovila sumu minimálnej mzdy na rok 2015 na 380,00 eur za mesiac pre zamestnanca odmeňovaného mesačnou mzdou a 2,184 eura za každú hodinu odpracovanú zamestnancom, čím sa medziročne v roku 2015 suma minimálnej mzdy zvýšila o viac ako 7,95 %.</w:t>
      </w:r>
    </w:p>
  </w:footnote>
  <w:footnote w:id="18">
    <w:p w:rsidR="008B18CB" w:rsidRPr="003763A5" w:rsidRDefault="008B18CB" w:rsidP="006775D8">
      <w:pPr>
        <w:pStyle w:val="Textpoznmkypodiarou"/>
        <w:ind w:left="142" w:hanging="142"/>
      </w:pPr>
      <w:r>
        <w:rPr>
          <w:rStyle w:val="Odkaznapoznmkupodiarou"/>
        </w:rPr>
        <w:footnoteRef/>
      </w:r>
      <w:r>
        <w:t xml:space="preserve"> P</w:t>
      </w:r>
      <w:r w:rsidRPr="003763A5">
        <w:t>odľa štvrťročného štatistického výkazníctva; bez podnikateľských príjmov; údaje upravené o štatistický odhad neevidovaných miezd; indexy sú počítané z porovnateľných údajov</w:t>
      </w:r>
      <w:r>
        <w:t>.</w:t>
      </w:r>
    </w:p>
  </w:footnote>
  <w:footnote w:id="19">
    <w:p w:rsidR="008B18CB" w:rsidRPr="004408A9" w:rsidRDefault="008B18CB" w:rsidP="001B4854">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20">
    <w:p w:rsidR="008B18CB" w:rsidRDefault="008B18CB" w:rsidP="00283A6C">
      <w:pPr>
        <w:pStyle w:val="Textpoznmkypodiarou"/>
      </w:pPr>
      <w:r>
        <w:rPr>
          <w:rStyle w:val="Odkaznapoznmkupodiarou"/>
        </w:rPr>
        <w:footnoteRef/>
      </w:r>
      <w:r>
        <w:t xml:space="preserve"> </w:t>
      </w:r>
      <w:r w:rsidRPr="00AF04AD">
        <w:rPr>
          <w:szCs w:val="18"/>
        </w:rPr>
        <w:t>suma životného minima</w:t>
      </w:r>
      <w:r>
        <w:rPr>
          <w:szCs w:val="18"/>
        </w:rPr>
        <w:t xml:space="preserve"> pre jednu plnoletú fyzickú osobu</w:t>
      </w:r>
    </w:p>
  </w:footnote>
  <w:footnote w:id="21">
    <w:p w:rsidR="008B18CB" w:rsidRDefault="008B18CB" w:rsidP="00283A6C">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2014</w:t>
      </w:r>
      <w:r w:rsidRPr="00AE57DC">
        <w:t xml:space="preserve"> je uvedený </w:t>
      </w:r>
      <w:r w:rsidRPr="00BE4E77">
        <w:t>v Prílohách ku kapitole 3 tab.1).</w:t>
      </w:r>
    </w:p>
  </w:footnote>
  <w:footnote w:id="22">
    <w:p w:rsidR="008B18CB" w:rsidRDefault="008B18CB" w:rsidP="0024571B">
      <w:pPr>
        <w:pStyle w:val="Textpoznmkypodiarou"/>
      </w:pPr>
      <w:r w:rsidRPr="00BE4E77">
        <w:rPr>
          <w:rStyle w:val="Odkaznapoznmkupodiarou"/>
          <w:szCs w:val="18"/>
        </w:rPr>
        <w:footnoteRef/>
      </w:r>
      <w:r w:rsidRPr="00BE4E77">
        <w:t xml:space="preserve"> Podrobnejšie štatistické údaje o počte poberateľov a výške jednotlivých dôchodkových dávok sú uvedené v Prílohe ku kapitole 3 </w:t>
      </w:r>
      <w:r w:rsidRPr="00BE4E77">
        <w:rPr>
          <w:szCs w:val="18"/>
        </w:rPr>
        <w:t>(tab.2 až 5).</w:t>
      </w:r>
      <w:r>
        <w:t xml:space="preserve"> </w:t>
      </w:r>
    </w:p>
  </w:footnote>
  <w:footnote w:id="23">
    <w:p w:rsidR="008B18CB" w:rsidRPr="00E842E9" w:rsidRDefault="008B18CB" w:rsidP="000F0A76">
      <w:pPr>
        <w:pStyle w:val="Textpoznmkypodiarou"/>
        <w:rPr>
          <w:szCs w:val="18"/>
          <w:highlight w:val="magenta"/>
        </w:rPr>
      </w:pPr>
      <w:r w:rsidRPr="005F30C9">
        <w:rPr>
          <w:rStyle w:val="Odkaznapoznmkupodiarou"/>
          <w:szCs w:val="18"/>
        </w:rPr>
        <w:footnoteRef/>
      </w:r>
      <w:r w:rsidRPr="005F30C9">
        <w:rPr>
          <w:szCs w:val="18"/>
        </w:rPr>
        <w:t xml:space="preserve"> Prehľad výdavkov na dôchodkové dávky k 31. 12. 201</w:t>
      </w:r>
      <w:r>
        <w:rPr>
          <w:szCs w:val="18"/>
        </w:rPr>
        <w:t>4</w:t>
      </w:r>
      <w:r w:rsidRPr="005F30C9">
        <w:rPr>
          <w:szCs w:val="18"/>
        </w:rPr>
        <w:t xml:space="preserve"> je </w:t>
      </w:r>
      <w:r w:rsidRPr="003D733C">
        <w:rPr>
          <w:szCs w:val="18"/>
        </w:rPr>
        <w:t xml:space="preserve">uvedený v </w:t>
      </w:r>
      <w:r w:rsidRPr="00BE4E77">
        <w:rPr>
          <w:szCs w:val="18"/>
        </w:rPr>
        <w:t>Prílohe ku kapitole 3 (tab. 5).</w:t>
      </w:r>
    </w:p>
  </w:footnote>
  <w:footnote w:id="24">
    <w:p w:rsidR="008B18CB" w:rsidRPr="00BE4E77" w:rsidRDefault="008B18CB" w:rsidP="000F0A76">
      <w:pPr>
        <w:pStyle w:val="Textpoznmkypodiarou"/>
        <w:rPr>
          <w:rStyle w:val="Odkaznapoznmkupodiarou"/>
          <w:szCs w:val="18"/>
        </w:rPr>
      </w:pPr>
      <w:r w:rsidRPr="00BE4E77">
        <w:rPr>
          <w:rStyle w:val="Odkaznapoznmkupodiarou"/>
          <w:szCs w:val="18"/>
        </w:rPr>
        <w:footnoteRef/>
      </w:r>
      <w:r w:rsidRPr="00BE4E77">
        <w:rPr>
          <w:rStyle w:val="Odkaznapoznmkupodiarou"/>
          <w:szCs w:val="18"/>
        </w:rPr>
        <w:t xml:space="preserve"> </w:t>
      </w:r>
      <w:r w:rsidRPr="00BE4E77">
        <w:rPr>
          <w:szCs w:val="18"/>
        </w:rPr>
        <w:t>Prehľad výdavkov základného fondu úrazového poistenia je uvedený v Prílohe ku kapitole 3 (tab. 6)</w:t>
      </w:r>
    </w:p>
  </w:footnote>
  <w:footnote w:id="25">
    <w:p w:rsidR="008B18CB" w:rsidRPr="00BE4E77" w:rsidRDefault="008B18CB" w:rsidP="000F0A76">
      <w:pPr>
        <w:pStyle w:val="Textpoznmkypodiarou"/>
      </w:pPr>
      <w:r w:rsidRPr="00BE4E77">
        <w:rPr>
          <w:rStyle w:val="Odkaznapoznmkupodiarou"/>
          <w:szCs w:val="18"/>
        </w:rPr>
        <w:footnoteRef/>
      </w:r>
      <w:r w:rsidRPr="00BE4E77">
        <w:rPr>
          <w:rStyle w:val="Odkaznapoznmkupodiarou"/>
          <w:szCs w:val="18"/>
        </w:rPr>
        <w:t xml:space="preserve"> </w:t>
      </w:r>
      <w:r w:rsidRPr="00BE4E77">
        <w:rPr>
          <w:szCs w:val="18"/>
        </w:rPr>
        <w:t>Priemerná výška a počet vyplatených dávok úrazového poistenia a štátne dávky úrazového poistenia sú uvedené v Prílohe ku kapitole 3 (tab. 7 a 8)</w:t>
      </w:r>
    </w:p>
  </w:footnote>
  <w:footnote w:id="26">
    <w:p w:rsidR="008B18CB" w:rsidRDefault="008B18CB" w:rsidP="000F0A76">
      <w:pPr>
        <w:pStyle w:val="Textpoznmkypodiarou"/>
      </w:pPr>
      <w:r w:rsidRPr="00BE4E77">
        <w:rPr>
          <w:rStyle w:val="Odkaznapoznmkupodiarou"/>
        </w:rPr>
        <w:footnoteRef/>
      </w:r>
      <w:r w:rsidRPr="00BE4E77">
        <w:t xml:space="preserve"> Výdavky základného fondu garančného poistenia sú </w:t>
      </w:r>
      <w:r w:rsidRPr="00BE4E77">
        <w:rPr>
          <w:szCs w:val="18"/>
        </w:rPr>
        <w:t>uvedené v Prílohe ku kapitole 3 (tab. 9)</w:t>
      </w:r>
      <w:r w:rsidRPr="00BE4E77">
        <w:rPr>
          <w:rStyle w:val="Odkaznapoznmkupodiarou"/>
          <w:szCs w:val="18"/>
        </w:rPr>
        <w:t>.</w:t>
      </w:r>
    </w:p>
  </w:footnote>
  <w:footnote w:id="27">
    <w:p w:rsidR="008B18CB" w:rsidRPr="001237BA" w:rsidRDefault="008B18CB" w:rsidP="00D36062">
      <w:pPr>
        <w:pStyle w:val="Textpoznmkypodiarou"/>
      </w:pPr>
      <w:r w:rsidRPr="008C6DEF">
        <w:rPr>
          <w:rStyle w:val="Odkaznapoznmkupodiarou"/>
          <w:szCs w:val="18"/>
        </w:rPr>
        <w:footnoteRef/>
      </w:r>
      <w:r w:rsidRPr="008C6DEF">
        <w:t xml:space="preserve"> </w:t>
      </w:r>
      <w:r w:rsidRPr="001237BA">
        <w:t>Podrobnejšie štatistiky o vyplatených dávkach v nezamestna</w:t>
      </w:r>
      <w:r>
        <w:t xml:space="preserve">nosti a poberateľoch </w:t>
      </w:r>
      <w:r w:rsidRPr="001237BA">
        <w:t xml:space="preserve">sú uvedené v </w:t>
      </w:r>
      <w:r w:rsidRPr="00BE4E77">
        <w:t>Prílohách ku kapitole 3 (tab.10 a 11).</w:t>
      </w:r>
    </w:p>
  </w:footnote>
  <w:footnote w:id="28">
    <w:p w:rsidR="008B18CB" w:rsidRDefault="008B18CB">
      <w:pPr>
        <w:pStyle w:val="Textpoznmkypodiarou"/>
      </w:pPr>
      <w:r>
        <w:rPr>
          <w:rStyle w:val="Odkaznapoznmkupodiarou"/>
        </w:rPr>
        <w:footnoteRef/>
      </w:r>
      <w:r>
        <w:t xml:space="preserve"> Celkové zhodnotenie dôchodkových fondov je </w:t>
      </w:r>
      <w:r w:rsidRPr="0016473E">
        <w:t xml:space="preserve">priemer všetkých percent </w:t>
      </w:r>
      <w:r>
        <w:t>zmeny</w:t>
      </w:r>
      <w:r w:rsidRPr="0016473E">
        <w:t xml:space="preserve"> AHDJ </w:t>
      </w:r>
      <w:r>
        <w:t xml:space="preserve">v jednotlivých </w:t>
      </w:r>
      <w:r w:rsidRPr="0016473E">
        <w:t>dôchodkových fondo</w:t>
      </w:r>
      <w:r>
        <w:t>ch</w:t>
      </w:r>
      <w:r w:rsidRPr="0016473E">
        <w:t xml:space="preserve"> jednotlivých DSS </w:t>
      </w:r>
      <w:r>
        <w:t xml:space="preserve">od ich vzniku, </w:t>
      </w:r>
      <w:r w:rsidRPr="0016473E">
        <w:t xml:space="preserve">vážený </w:t>
      </w:r>
      <w:r>
        <w:t>podielom</w:t>
      </w:r>
      <w:r w:rsidRPr="0016473E">
        <w:t xml:space="preserve"> </w:t>
      </w:r>
      <w:r>
        <w:t xml:space="preserve">čistej hodnoty </w:t>
      </w:r>
      <w:r w:rsidRPr="0016473E">
        <w:t xml:space="preserve">majetku </w:t>
      </w:r>
      <w:r>
        <w:t>príslušného fondu na čistej hodnote majetku fondov rovnakého druhu.</w:t>
      </w:r>
    </w:p>
  </w:footnote>
  <w:footnote w:id="29">
    <w:p w:rsidR="008B18CB" w:rsidRPr="00C645F6" w:rsidRDefault="008B18CB" w:rsidP="00C371A4">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30">
    <w:p w:rsidR="008B18CB" w:rsidRDefault="008B18CB" w:rsidP="00014525">
      <w:pPr>
        <w:pStyle w:val="Textpoznmkypodiarou"/>
      </w:pPr>
      <w:r>
        <w:rPr>
          <w:rStyle w:val="Odkaznapoznmkupodiarou"/>
        </w:rPr>
        <w:footnoteRef/>
      </w:r>
      <w:r>
        <w:t xml:space="preserve"> Okrem systému štátnych sociálnych dávok podporuje štát rodiny aj inou formou, napr.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31">
    <w:p w:rsidR="008B18CB" w:rsidRPr="00BE4E77" w:rsidRDefault="008B18CB" w:rsidP="006812B6">
      <w:pPr>
        <w:pStyle w:val="Textpoznmkypodiarou"/>
        <w:rPr>
          <w:color w:val="000000" w:themeColor="text1"/>
        </w:rPr>
      </w:pPr>
      <w:r w:rsidRPr="00BE4E77">
        <w:rPr>
          <w:rStyle w:val="Odkaznapoznmkupodiarou"/>
          <w:color w:val="000000" w:themeColor="text1"/>
        </w:rPr>
        <w:footnoteRef/>
      </w:r>
      <w:r w:rsidRPr="00BE4E77">
        <w:rPr>
          <w:color w:val="000000" w:themeColor="text1"/>
        </w:rPr>
        <w:t xml:space="preserve"> Zdroj: Implementačná agentúra Ministerstva práce, sociálnych vecí a rodiny SR </w:t>
      </w:r>
    </w:p>
  </w:footnote>
  <w:footnote w:id="32">
    <w:p w:rsidR="008B18CB" w:rsidRDefault="008B18CB" w:rsidP="006812B6">
      <w:pPr>
        <w:pStyle w:val="Textpoznmkypodiarou"/>
      </w:pPr>
      <w:r w:rsidRPr="00BE4E77">
        <w:rPr>
          <w:rStyle w:val="Odkaznapoznmkupodiarou"/>
          <w:color w:val="000000" w:themeColor="text1"/>
        </w:rPr>
        <w:footnoteRef/>
      </w:r>
      <w:r w:rsidRPr="00BE4E77">
        <w:rPr>
          <w:color w:val="000000" w:themeColor="text1"/>
        </w:rPr>
        <w:t xml:space="preserve"> Zdroj: Implementačná agentúra Ministerstva práce, sociálnych vecí a rodiny SR</w:t>
      </w:r>
    </w:p>
  </w:footnote>
  <w:footnote w:id="33">
    <w:p w:rsidR="008B18CB" w:rsidRDefault="008B18CB">
      <w:pPr>
        <w:pStyle w:val="Textpoznmkypodiarou"/>
      </w:pPr>
      <w:r>
        <w:rPr>
          <w:rStyle w:val="Odkaznapoznmkupodiarou"/>
        </w:rPr>
        <w:footnoteRef/>
      </w:r>
      <w:r>
        <w:t xml:space="preserve"> V čase vydania Správy nie sú údaje za všetky zariadenia sociálnych služieb, sledované ŠÚ SR, k dispozícii</w:t>
      </w:r>
    </w:p>
  </w:footnote>
  <w:footnote w:id="34">
    <w:p w:rsidR="008B18CB" w:rsidRDefault="008B18CB">
      <w:pPr>
        <w:pStyle w:val="Textpoznmkypodiarou"/>
      </w:pPr>
      <w:r>
        <w:rPr>
          <w:rStyle w:val="Odkaznapoznmkupodiarou"/>
        </w:rPr>
        <w:footnoteRef/>
      </w:r>
      <w:r>
        <w:t xml:space="preserve"> </w:t>
      </w:r>
      <w:r w:rsidRPr="00AC6626">
        <w:rPr>
          <w:szCs w:val="18"/>
        </w:rPr>
        <w:t>V zátvork</w:t>
      </w:r>
      <w:r>
        <w:rPr>
          <w:szCs w:val="18"/>
        </w:rPr>
        <w:t>ách je uvedený počet za rok 2012</w:t>
      </w:r>
    </w:p>
  </w:footnote>
  <w:footnote w:id="35">
    <w:p w:rsidR="008B18CB" w:rsidRDefault="008B18CB" w:rsidP="006812B6">
      <w:r>
        <w:rPr>
          <w:rStyle w:val="Odkaznapoznmkupodiarou"/>
        </w:rPr>
        <w:footnoteRef/>
      </w:r>
      <w:r>
        <w:t xml:space="preserve"> </w:t>
      </w:r>
      <w:r w:rsidRPr="001C72FC">
        <w:rPr>
          <w:iCs/>
          <w:sz w:val="18"/>
          <w:szCs w:val="18"/>
        </w:rPr>
        <w:t>Zdroj: Vybra</w:t>
      </w:r>
      <w:r>
        <w:rPr>
          <w:iCs/>
          <w:sz w:val="18"/>
          <w:szCs w:val="18"/>
        </w:rPr>
        <w:t>né údaje Štatistického úradu SR; p</w:t>
      </w:r>
      <w:r w:rsidRPr="001C72FC">
        <w:rPr>
          <w:iCs/>
          <w:sz w:val="18"/>
          <w:szCs w:val="18"/>
        </w:rPr>
        <w:t xml:space="preserve">ozn.: Vo vybraných údajoch ŠÚ SR nie sú započítané údaje o detských domovoch, krízových strediskách, resocializačných strediskách a ostatných zariadeniach, ktoré sa nepovažujú za zariadenia sociálnych služieb. </w:t>
      </w:r>
    </w:p>
  </w:footnote>
  <w:footnote w:id="36">
    <w:p w:rsidR="008B18CB" w:rsidRDefault="008B18CB">
      <w:pPr>
        <w:pStyle w:val="Textpoznmkypodiarou"/>
      </w:pPr>
      <w:r>
        <w:rPr>
          <w:rStyle w:val="Odkaznapoznmkupodiarou"/>
        </w:rPr>
        <w:footnoteRef/>
      </w:r>
      <w:r>
        <w:t xml:space="preserve"> </w:t>
      </w:r>
      <w:r w:rsidRPr="00AC6626">
        <w:rPr>
          <w:szCs w:val="18"/>
        </w:rPr>
        <w:t>V zátvork</w:t>
      </w:r>
      <w:r>
        <w:rPr>
          <w:szCs w:val="18"/>
        </w:rPr>
        <w:t>ách je uvedený počet za rok 2013</w:t>
      </w:r>
    </w:p>
  </w:footnote>
  <w:footnote w:id="37">
    <w:p w:rsidR="008B18CB" w:rsidRPr="003632D0" w:rsidRDefault="008B18CB" w:rsidP="00C656BD">
      <w:pPr>
        <w:widowControl w:val="0"/>
        <w:suppressAutoHyphens/>
        <w:rPr>
          <w:i/>
          <w:sz w:val="18"/>
          <w:szCs w:val="18"/>
        </w:rPr>
      </w:pPr>
      <w:r>
        <w:rPr>
          <w:rStyle w:val="Odkaznapoznmkupodiarou"/>
        </w:rPr>
        <w:footnoteRef/>
      </w:r>
      <w:r>
        <w:t xml:space="preserve"> </w:t>
      </w:r>
      <w:r w:rsidRPr="003632D0">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sidRPr="003632D0">
        <w:rPr>
          <w:i/>
          <w:sz w:val="18"/>
          <w:szCs w:val="18"/>
        </w:rPr>
        <w:t xml:space="preserve"> </w:t>
      </w:r>
    </w:p>
    <w:p w:rsidR="008B18CB" w:rsidRPr="003632D0" w:rsidRDefault="008B18CB" w:rsidP="00C656BD">
      <w:pPr>
        <w:pStyle w:val="Textpoznmkypodiarou"/>
        <w:rPr>
          <w:szCs w:val="18"/>
        </w:rPr>
      </w:pPr>
    </w:p>
  </w:footnote>
  <w:footnote w:id="38">
    <w:p w:rsidR="008B18CB" w:rsidRPr="00BE4E77" w:rsidRDefault="008B18CB" w:rsidP="009A509B">
      <w:pPr>
        <w:ind w:left="142" w:hanging="142"/>
        <w:rPr>
          <w:color w:val="000000" w:themeColor="text1"/>
          <w:sz w:val="18"/>
          <w:szCs w:val="18"/>
        </w:rPr>
      </w:pPr>
      <w:r w:rsidRPr="00B83D04">
        <w:rPr>
          <w:rStyle w:val="Odkaznapoznmkupodiarou"/>
          <w:sz w:val="18"/>
          <w:szCs w:val="18"/>
        </w:rPr>
        <w:footnoteRef/>
      </w:r>
      <w:hyperlink r:id="rId1" w:history="1">
        <w:r w:rsidRPr="00BE4E77">
          <w:rPr>
            <w:rStyle w:val="Hypertextovprepojenie"/>
            <w:color w:val="000000" w:themeColor="text1"/>
            <w:sz w:val="18"/>
            <w:szCs w:val="18"/>
          </w:rPr>
          <w:t>http://ec.europa.eu/eurostat/documents/3859598/5917481/KS-RA-11-014-EN.PDF/ee86d517-3348-4c20-94ee-a37c330755b1</w:t>
        </w:r>
      </w:hyperlink>
    </w:p>
    <w:p w:rsidR="008B18CB" w:rsidRPr="00BE4E77" w:rsidRDefault="008B18CB" w:rsidP="009A509B">
      <w:pPr>
        <w:rPr>
          <w:color w:val="000000" w:themeColor="text1"/>
          <w:sz w:val="4"/>
          <w:szCs w:val="4"/>
        </w:rPr>
      </w:pPr>
    </w:p>
  </w:footnote>
  <w:footnote w:id="39">
    <w:p w:rsidR="008B18CB" w:rsidRPr="00BE4E77" w:rsidRDefault="008B18CB" w:rsidP="009A509B">
      <w:pPr>
        <w:pStyle w:val="Textpoznmkypodiarou"/>
        <w:rPr>
          <w:color w:val="000000" w:themeColor="text1"/>
          <w:szCs w:val="18"/>
        </w:rPr>
      </w:pPr>
      <w:r w:rsidRPr="00BE4E77">
        <w:rPr>
          <w:rStyle w:val="Odkaznapoznmkupodiarou"/>
          <w:color w:val="000000" w:themeColor="text1"/>
          <w:szCs w:val="18"/>
        </w:rPr>
        <w:footnoteRef/>
      </w:r>
      <w:r w:rsidRPr="00BE4E77">
        <w:rPr>
          <w:color w:val="000000" w:themeColor="text1"/>
          <w:szCs w:val="18"/>
        </w:rPr>
        <w:t xml:space="preserve"> </w:t>
      </w:r>
      <w:hyperlink r:id="rId2" w:history="1">
        <w:r w:rsidRPr="00BE4E77">
          <w:rPr>
            <w:rStyle w:val="Hypertextovprepojenie"/>
            <w:color w:val="000000" w:themeColor="text1"/>
            <w:szCs w:val="18"/>
          </w:rPr>
          <w:t>http://eur-lex.europa.eu/LexUriServ/LexUriServ.do?uri=OJ:L:2007:113:0003:0008:SK:PDF</w:t>
        </w:r>
      </w:hyperlink>
    </w:p>
  </w:footnote>
  <w:footnote w:id="40">
    <w:p w:rsidR="008B18CB" w:rsidRPr="00BE4E77" w:rsidRDefault="008B18CB" w:rsidP="009A509B">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3" w:history="1">
        <w:r w:rsidRPr="00BE4E77">
          <w:rPr>
            <w:rStyle w:val="Hypertextovprepojenie"/>
            <w:color w:val="000000" w:themeColor="text1"/>
            <w:sz w:val="18"/>
            <w:szCs w:val="18"/>
          </w:rPr>
          <w:t>http://eur-lex.europa.eu/legal-content/SK/TXT/PDF/?uri=CELEX:32007R1322&amp;from=EN</w:t>
        </w:r>
      </w:hyperlink>
    </w:p>
  </w:footnote>
  <w:footnote w:id="41">
    <w:p w:rsidR="008B18CB" w:rsidRPr="00BE4E77" w:rsidRDefault="008B18CB" w:rsidP="009A509B">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4" w:history="1">
        <w:r w:rsidRPr="00BE4E77">
          <w:rPr>
            <w:rStyle w:val="Hypertextovprepojenie"/>
            <w:color w:val="000000" w:themeColor="text1"/>
            <w:sz w:val="18"/>
            <w:szCs w:val="18"/>
          </w:rPr>
          <w:t>http://eur-lex.europa.eu/legal-content/SK/TXT/PDF/?uri=CELEX:32008R0010&amp;from=EN</w:t>
        </w:r>
      </w:hyperlink>
    </w:p>
  </w:footnote>
  <w:footnote w:id="42">
    <w:p w:rsidR="008B18CB" w:rsidRPr="00B83D04" w:rsidRDefault="008B18CB" w:rsidP="009A509B">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5" w:history="1">
        <w:r w:rsidRPr="00BE4E77">
          <w:rPr>
            <w:rStyle w:val="Hypertextovprepojenie"/>
            <w:color w:val="000000" w:themeColor="text1"/>
            <w:szCs w:val="18"/>
          </w:rPr>
          <w:t>http://eur-lex.europa.eu/LexUriServ/LexUriServ.do?uri=OJ:L:2011:034:0029:0032:SK:PDF</w:t>
        </w:r>
      </w:hyperlink>
    </w:p>
  </w:footnote>
  <w:footnote w:id="43">
    <w:p w:rsidR="008B18CB" w:rsidRPr="00BE4E77" w:rsidRDefault="008B18CB" w:rsidP="009A509B">
      <w:pPr>
        <w:pStyle w:val="Textpoznmkypodiarou"/>
        <w:rPr>
          <w:color w:val="000000" w:themeColor="text1"/>
          <w:szCs w:val="18"/>
        </w:rPr>
      </w:pPr>
      <w:r w:rsidRPr="00B83D04">
        <w:rPr>
          <w:rStyle w:val="Odkaznapoznmkupodiarou"/>
          <w:szCs w:val="18"/>
        </w:rPr>
        <w:footnoteRef/>
      </w:r>
      <w:r w:rsidRPr="00B83D04">
        <w:rPr>
          <w:szCs w:val="18"/>
        </w:rPr>
        <w:t xml:space="preserve"> </w:t>
      </w:r>
      <w:hyperlink r:id="rId6" w:history="1">
        <w:r w:rsidRPr="00BE4E77">
          <w:rPr>
            <w:rStyle w:val="Hypertextovprepojenie"/>
            <w:color w:val="000000" w:themeColor="text1"/>
            <w:szCs w:val="18"/>
          </w:rPr>
          <w:t>http://eur-lex.europa.eu/LexUriServ/LexUriServ.do?uri=OJ:L:2011:071:0004:0008:SK:PDF</w:t>
        </w:r>
      </w:hyperlink>
    </w:p>
  </w:footnote>
  <w:footnote w:id="44">
    <w:p w:rsidR="008B18CB" w:rsidRPr="00BE4E77" w:rsidRDefault="008B18CB" w:rsidP="00C55A5E">
      <w:pPr>
        <w:rPr>
          <w:color w:val="000000" w:themeColor="text1"/>
          <w:sz w:val="18"/>
          <w:szCs w:val="18"/>
        </w:rPr>
      </w:pPr>
      <w:r w:rsidRPr="003F212C">
        <w:rPr>
          <w:rStyle w:val="Odkaznapoznmkupodiarou"/>
          <w:color w:val="000000" w:themeColor="text1"/>
          <w:sz w:val="18"/>
          <w:szCs w:val="18"/>
        </w:rPr>
        <w:footnoteRef/>
      </w:r>
      <w:r w:rsidRPr="00BE4E77">
        <w:rPr>
          <w:color w:val="000000" w:themeColor="text1"/>
          <w:sz w:val="18"/>
          <w:szCs w:val="18"/>
        </w:rPr>
        <w:t xml:space="preserve"> </w:t>
      </w:r>
      <w:hyperlink r:id="rId7" w:history="1">
        <w:r w:rsidRPr="00BE4E77">
          <w:rPr>
            <w:rStyle w:val="Hypertextovprepojenie"/>
            <w:color w:val="000000" w:themeColor="text1"/>
            <w:sz w:val="18"/>
            <w:szCs w:val="18"/>
          </w:rPr>
          <w:t>http://epp.eurostat.ec.europa.eu/portal/page/portal/social_protection/statistics-illustrated</w:t>
        </w:r>
      </w:hyperlink>
    </w:p>
  </w:footnote>
  <w:footnote w:id="45">
    <w:p w:rsidR="008B18CB" w:rsidRPr="002C58DB" w:rsidRDefault="008B18CB" w:rsidP="009A509B">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8" w:history="1">
        <w:r w:rsidRPr="00BE4E77">
          <w:rPr>
            <w:rStyle w:val="Hypertextovprepojenie"/>
            <w:color w:val="000000" w:themeColor="text1"/>
            <w:szCs w:val="18"/>
          </w:rPr>
          <w:t>http://epp.eurostat.ec.europa.eu/cache/ITY_OFFPUB/KS-SF-09-102/EN/KS-SF-09-102-EN.PDF</w:t>
        </w:r>
      </w:hyperlink>
    </w:p>
  </w:footnote>
  <w:footnote w:id="46">
    <w:p w:rsidR="008B18CB" w:rsidRDefault="008B18CB" w:rsidP="00C55A5E">
      <w:pPr>
        <w:pStyle w:val="Textpoznmkypodiarou"/>
        <w:ind w:right="-142"/>
      </w:pPr>
      <w:r w:rsidRPr="00A016B3">
        <w:rPr>
          <w:rStyle w:val="Odkaznapoznmkupodiarou"/>
          <w:szCs w:val="18"/>
        </w:rPr>
        <w:footnoteRef/>
      </w:r>
      <w:r w:rsidRPr="00A016B3">
        <w:rPr>
          <w:szCs w:val="18"/>
        </w:rPr>
        <w:t xml:space="preserve"> PPS </w:t>
      </w:r>
      <w:r>
        <w:rPr>
          <w:szCs w:val="18"/>
        </w:rPr>
        <w:t>(</w:t>
      </w:r>
      <w:proofErr w:type="spellStart"/>
      <w:r w:rsidRPr="00A016B3">
        <w:rPr>
          <w:szCs w:val="18"/>
        </w:rPr>
        <w:t>Purchasing</w:t>
      </w:r>
      <w:proofErr w:type="spellEnd"/>
      <w:r w:rsidRPr="00A016B3">
        <w:rPr>
          <w:szCs w:val="18"/>
        </w:rPr>
        <w:t xml:space="preserve"> </w:t>
      </w:r>
      <w:proofErr w:type="spellStart"/>
      <w:r w:rsidRPr="00A016B3">
        <w:rPr>
          <w:szCs w:val="18"/>
        </w:rPr>
        <w:t>Power</w:t>
      </w:r>
      <w:proofErr w:type="spellEnd"/>
      <w:r w:rsidRPr="00A016B3">
        <w:rPr>
          <w:szCs w:val="18"/>
        </w:rPr>
        <w:t xml:space="preserve"> </w:t>
      </w:r>
      <w:proofErr w:type="spellStart"/>
      <w:r w:rsidRPr="00A016B3">
        <w:rPr>
          <w:szCs w:val="18"/>
        </w:rPr>
        <w:t>Standards</w:t>
      </w:r>
      <w:proofErr w:type="spellEnd"/>
      <w:r w:rsidRPr="00A016B3">
        <w:rPr>
          <w:szCs w:val="18"/>
        </w:rPr>
        <w:t>, Štandard kúpnej sily</w:t>
      </w:r>
      <w:r>
        <w:rPr>
          <w:szCs w:val="18"/>
        </w:rPr>
        <w:t>) j</w:t>
      </w:r>
      <w:r w:rsidRPr="00A016B3">
        <w:rPr>
          <w:szCs w:val="18"/>
        </w:rPr>
        <w:t>e umelý výmenný kurz peňažných mien jednotlivých krajín, zohľadňujúci cenové hladiny nakupovaných tovarov a služieb v</w:t>
      </w:r>
      <w:r>
        <w:rPr>
          <w:szCs w:val="18"/>
        </w:rPr>
        <w:t> </w:t>
      </w:r>
      <w:r w:rsidRPr="00A016B3">
        <w:rPr>
          <w:szCs w:val="18"/>
        </w:rPr>
        <w:t>týchto krajinách. Je možné ho chápať aj ako cenový index porovnávajúci ceny tovarov a služieb v daných krajinách. Slúži na</w:t>
      </w:r>
      <w:r>
        <w:rPr>
          <w:szCs w:val="18"/>
        </w:rPr>
        <w:t> </w:t>
      </w:r>
      <w:r w:rsidRPr="00A016B3">
        <w:rPr>
          <w:szCs w:val="18"/>
        </w:rPr>
        <w:t>reálnejšie vyjadrenie rôznych ekonomických súvislosti, než aké poskytujú oficiálne výmenné kurzy peňažných mien daných krajín.</w:t>
      </w:r>
    </w:p>
  </w:footnote>
  <w:footnote w:id="47">
    <w:p w:rsidR="008B18CB" w:rsidRPr="007E3B15" w:rsidRDefault="008B18CB" w:rsidP="00184BCC">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Vymaniť najmenej 20 miliónov ľudí z rizika chudoby a</w:t>
      </w:r>
      <w:r>
        <w:t>lebo</w:t>
      </w:r>
      <w:r w:rsidRPr="007E3B15">
        <w:rPr>
          <w:rStyle w:val="Odkaznapoznmkupodiarou"/>
          <w:vertAlign w:val="baseline"/>
        </w:rPr>
        <w:t> vylúčenia do roku 2020</w:t>
      </w:r>
    </w:p>
  </w:footnote>
  <w:footnote w:id="48">
    <w:p w:rsidR="008B18CB" w:rsidRPr="007E3B15" w:rsidRDefault="008B18CB" w:rsidP="00184BCC">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Prvé štatistické zisťovanie sa na Slovensku zrealizovalo v roku 2005 a v súčasnosti sú prístupné výsledky už z</w:t>
      </w:r>
      <w:r>
        <w:t xml:space="preserve"> deviateho </w:t>
      </w:r>
      <w:r w:rsidRPr="007E3B15">
        <w:rPr>
          <w:rStyle w:val="Odkaznapoznmkupodiarou"/>
          <w:vertAlign w:val="baseline"/>
        </w:rPr>
        <w:t>zisťovania z roku 20</w:t>
      </w:r>
      <w:r>
        <w:t>13</w:t>
      </w:r>
    </w:p>
  </w:footnote>
  <w:footnote w:id="49">
    <w:p w:rsidR="008B18CB" w:rsidRPr="007E3B15" w:rsidRDefault="008B18CB" w:rsidP="00184BCC">
      <w:pPr>
        <w:pStyle w:val="Textpoznmkypodiarou"/>
      </w:pPr>
      <w:r w:rsidRPr="003C749F">
        <w:rPr>
          <w:rStyle w:val="Odkaznapoznmkupodiarou"/>
        </w:rPr>
        <w:footnoteRef/>
      </w:r>
      <w:r w:rsidRPr="007E3B15">
        <w:rPr>
          <w:rStyle w:val="Odkaznapoznmkupodiarou"/>
          <w:vertAlign w:val="baseline"/>
        </w:rPr>
        <w:t xml:space="preserve"> Vyjadruje podiel ľudí žijúcich pod hranicou chudoby, t.</w:t>
      </w:r>
      <w:r>
        <w:t> </w:t>
      </w:r>
      <w:r w:rsidRPr="007E3B15">
        <w:rPr>
          <w:rStyle w:val="Odkaznapoznmkupodiarou"/>
          <w:vertAlign w:val="baseline"/>
        </w:rPr>
        <w:t>j. pod 60</w:t>
      </w:r>
      <w:r>
        <w:t> </w:t>
      </w:r>
      <w:r w:rsidRPr="007E3B15">
        <w:rPr>
          <w:rStyle w:val="Odkaznapoznmkupodiarou"/>
          <w:vertAlign w:val="baseline"/>
        </w:rPr>
        <w:t xml:space="preserve">% mediánu ekvivalentného disponibilného (po sociálnych </w:t>
      </w:r>
      <w:proofErr w:type="spellStart"/>
      <w:r w:rsidRPr="007E3B15">
        <w:rPr>
          <w:rStyle w:val="Odkaznapoznmkupodiarou"/>
          <w:vertAlign w:val="baseline"/>
        </w:rPr>
        <w:t>transféroch</w:t>
      </w:r>
      <w:proofErr w:type="spellEnd"/>
      <w:r w:rsidRPr="007E3B15">
        <w:rPr>
          <w:rStyle w:val="Odkaznapoznmkupodiarou"/>
          <w:vertAlign w:val="baseline"/>
        </w:rPr>
        <w:t xml:space="preserve">) príjmu všetkých obyvateľov </w:t>
      </w:r>
    </w:p>
  </w:footnote>
  <w:footnote w:id="50">
    <w:p w:rsidR="008B18CB" w:rsidRPr="007E3B15" w:rsidRDefault="008B18CB" w:rsidP="00184BCC">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Vyjadruje podiel ľudí, ktorí si nemôžu </w:t>
      </w:r>
      <w:proofErr w:type="spellStart"/>
      <w:r w:rsidRPr="007E3B15">
        <w:rPr>
          <w:rStyle w:val="Odkaznapoznmkupodiarou"/>
          <w:vertAlign w:val="baseline"/>
        </w:rPr>
        <w:t>dovololiť</w:t>
      </w:r>
      <w:proofErr w:type="spellEnd"/>
      <w:r w:rsidRPr="007E3B15">
        <w:rPr>
          <w:rStyle w:val="Odkaznapoznmkupodiarou"/>
          <w:vertAlign w:val="baseline"/>
        </w:rPr>
        <w:t xml:space="preserve"> 4 z 9-tich položiek charakterizujúc</w:t>
      </w:r>
      <w:r>
        <w:t>ich</w:t>
      </w:r>
      <w:r w:rsidRPr="007E3B15">
        <w:rPr>
          <w:rStyle w:val="Odkaznapoznmkupodiarou"/>
          <w:vertAlign w:val="baseline"/>
        </w:rPr>
        <w:t xml:space="preserve"> ekonomickú záťaž a predmety dlhodobej spotreby, a to: nedoplatky v súvislosti s</w:t>
      </w:r>
      <w:r>
        <w:rPr>
          <w:rStyle w:val="Odkaznapoznmkupodiarou"/>
          <w:vertAlign w:val="baseline"/>
        </w:rPr>
        <w:t> </w:t>
      </w:r>
      <w:r w:rsidRPr="007E3B15">
        <w:rPr>
          <w:rStyle w:val="Odkaznapoznmkupodiarou"/>
          <w:vertAlign w:val="baseline"/>
        </w:rPr>
        <w:t>položkami</w:t>
      </w:r>
      <w:r>
        <w:t>:</w:t>
      </w:r>
      <w:r w:rsidRPr="007E3B15">
        <w:rPr>
          <w:rStyle w:val="Odkaznapoznmkupodiarou"/>
          <w:vertAlign w:val="baseline"/>
        </w:rPr>
        <w:t xml:space="preserve"> nájomné a hypotéka, energie, kúpa na splátky a iné </w:t>
      </w:r>
      <w:proofErr w:type="spellStart"/>
      <w:r w:rsidRPr="007E3B15">
        <w:rPr>
          <w:rStyle w:val="Odkaznapoznmkupodiarou"/>
          <w:vertAlign w:val="baseline"/>
        </w:rPr>
        <w:t>pôžicky</w:t>
      </w:r>
      <w:proofErr w:type="spellEnd"/>
      <w:r w:rsidRPr="007E3B15">
        <w:rPr>
          <w:rStyle w:val="Odkaznapoznmkupodiarou"/>
          <w:vertAlign w:val="baseline"/>
        </w:rPr>
        <w:t xml:space="preserve">, schopnosť udržiavať doma adekvátne teplo, schopnosť domácnosti čeliť neočakávaným výdavkom, schopnosť dovoliť si zaplatenie raz ročne jedného </w:t>
      </w:r>
      <w:proofErr w:type="spellStart"/>
      <w:r w:rsidRPr="007E3B15">
        <w:rPr>
          <w:rStyle w:val="Odkaznapoznmkupodiarou"/>
          <w:vertAlign w:val="baseline"/>
        </w:rPr>
        <w:t>týždna</w:t>
      </w:r>
      <w:proofErr w:type="spellEnd"/>
      <w:r w:rsidRPr="007E3B15">
        <w:rPr>
          <w:rStyle w:val="Odkaznapoznmkupodiarou"/>
          <w:vertAlign w:val="baseline"/>
        </w:rPr>
        <w:t xml:space="preserve"> dovolenky mimo domu, schopnosť dovoliť si jedlo s mäsom, kuraťom, rybou alebo vegetariánskym ekvivalentom každý druhý deň alebo vybavenie domácnosti farebným televízorom, práčkou, autom alebo telefónom</w:t>
      </w:r>
    </w:p>
  </w:footnote>
  <w:footnote w:id="51">
    <w:p w:rsidR="008B18CB" w:rsidRPr="007E3B15" w:rsidRDefault="008B18CB" w:rsidP="00184BCC">
      <w:pPr>
        <w:pStyle w:val="Textpoznmkypodiarou"/>
      </w:pPr>
      <w:r w:rsidRPr="003C749F">
        <w:rPr>
          <w:rStyle w:val="Odkaznapoznmkupodiarou"/>
        </w:rPr>
        <w:footnoteRef/>
      </w:r>
      <w:r w:rsidRPr="007E3B15">
        <w:rPr>
          <w:rStyle w:val="Odkaznapoznmkupodiarou"/>
          <w:vertAlign w:val="baseline"/>
        </w:rPr>
        <w:t xml:space="preserve"> Vyjadruje podiel ľudí vo veku 0-59 rokov žijúcich v domácnostiach, kde dospelí pracujú menej ako 20</w:t>
      </w:r>
      <w:r>
        <w:t> </w:t>
      </w:r>
      <w:r w:rsidRPr="007E3B15">
        <w:rPr>
          <w:rStyle w:val="Odkaznapoznmkupodiarou"/>
          <w:vertAlign w:val="baseline"/>
        </w:rPr>
        <w:t xml:space="preserve">% z celkového času počas predchádzajúceho roka </w:t>
      </w:r>
    </w:p>
  </w:footnote>
  <w:footnote w:id="52">
    <w:p w:rsidR="008B18CB" w:rsidRPr="007E3B15" w:rsidRDefault="008B18CB" w:rsidP="00215F8C">
      <w:pPr>
        <w:pStyle w:val="Textpoznmkypodiarou"/>
        <w:rPr>
          <w:rStyle w:val="Odkaznapoznmkupodiarou"/>
          <w:vertAlign w:val="baseline"/>
        </w:rPr>
      </w:pPr>
      <w:r w:rsidRPr="003C749F">
        <w:rPr>
          <w:rStyle w:val="Odkaznapoznmkupodiarou"/>
        </w:rPr>
        <w:footnoteRef/>
      </w:r>
      <w:r w:rsidRPr="007E3B15">
        <w:rPr>
          <w:rStyle w:val="Odkaznapoznmkupodiarou"/>
          <w:vertAlign w:val="baseline"/>
        </w:rPr>
        <w:t xml:space="preserve"> Hranica </w:t>
      </w:r>
      <w:r>
        <w:t xml:space="preserve">rizika </w:t>
      </w:r>
      <w:r w:rsidRPr="007E3B15">
        <w:rPr>
          <w:rStyle w:val="Odkaznapoznmkupodiarou"/>
          <w:vertAlign w:val="baseline"/>
        </w:rPr>
        <w:t>chudob</w:t>
      </w:r>
      <w:r>
        <w:rPr>
          <w:rStyle w:val="Odkaznapoznmkupodiarou"/>
          <w:vertAlign w:val="baseline"/>
        </w:rPr>
        <w:t>y je vyjadrená ako 60</w:t>
      </w:r>
      <w:r>
        <w:t> </w:t>
      </w:r>
      <w:r>
        <w:rPr>
          <w:rStyle w:val="Odkaznapoznmkupodiarou"/>
          <w:vertAlign w:val="baseline"/>
        </w:rPr>
        <w:t xml:space="preserve">% mediánu </w:t>
      </w:r>
      <w:r w:rsidRPr="007E3B15">
        <w:rPr>
          <w:rStyle w:val="Odkaznapoznmkupodiarou"/>
          <w:vertAlign w:val="baseline"/>
        </w:rPr>
        <w:t>ekvivalentného disponibilného príjmu (po sociálnych transf</w:t>
      </w:r>
      <w:r>
        <w:t>e</w:t>
      </w:r>
      <w:r w:rsidRPr="007E3B15">
        <w:rPr>
          <w:rStyle w:val="Odkaznapoznmkupodiarou"/>
          <w:vertAlign w:val="baseline"/>
        </w:rPr>
        <w:t>roch)</w:t>
      </w:r>
    </w:p>
  </w:footnote>
  <w:footnote w:id="53">
    <w:p w:rsidR="008B18CB" w:rsidRDefault="008B18CB" w:rsidP="00215F8C">
      <w:pPr>
        <w:pStyle w:val="Textpoznmkypodiarou"/>
      </w:pPr>
      <w:r>
        <w:rPr>
          <w:rStyle w:val="Odkaznapoznmkupodiarou"/>
        </w:rPr>
        <w:footnoteRef/>
      </w:r>
      <w:r>
        <w:t xml:space="preserve"> Miera rizika chudoby zakotvená v čase je definovaná ako percento ľudí žijúcich pod hranicou chudoby vypočítanou v roku 2005, ktorá sa upravuje o infláciu. </w:t>
      </w:r>
    </w:p>
  </w:footnote>
  <w:footnote w:id="54">
    <w:p w:rsidR="008B18CB" w:rsidRPr="00C34E43" w:rsidRDefault="008B18CB" w:rsidP="00215F8C">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.j. súčet mesiacov, počas ktorých členovia domácnosti v ekonomicky aktívnom veku pracovali a vyjadruje sa ako podiel k celkovému súčtu všetkých mesiacov, počas ktorých mohli členovia domácnosti v ekonomicky aktívnom veku pracovať teoreticky</w:t>
      </w:r>
    </w:p>
  </w:footnote>
  <w:footnote w:id="55">
    <w:p w:rsidR="008B18CB" w:rsidRDefault="008B18CB" w:rsidP="00215F8C">
      <w:pPr>
        <w:pStyle w:val="Textpoznmkypodiarou"/>
      </w:pPr>
      <w:r>
        <w:rPr>
          <w:rStyle w:val="Odkaznapoznmkupodiarou"/>
        </w:rPr>
        <w:footnoteRef/>
      </w:r>
      <w:r>
        <w:t xml:space="preserve"> Miera preplnených obydlí vyjadruje podiel osôb v populácií, ktoré žijú v domácnostiach s nedostatkom priestoru podľa niektorých z nasledujúcich kritérií: a) jedna izba pre domácnosť, b) izba pre pár v domácnosti, c) izba pre každú osobu vo veku 18 a viac rokov, d) izba pre pár osôb rovnakého pohlavia vo veku 12-17 rokov, e) izba pre osobu vo veku </w:t>
      </w:r>
      <w:r>
        <w:br/>
        <w:t>12-17 rokov nezahrnutú v predošlej kategórii, f) izba pre pár detí vo veku do 12 rokov.</w:t>
      </w:r>
    </w:p>
  </w:footnote>
  <w:footnote w:id="56">
    <w:p w:rsidR="008B18CB" w:rsidRDefault="008B18CB" w:rsidP="00B02C76">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rizika chudoby v danom roku a aspoň dva z troch predchádzajúcich rokov. </w:t>
      </w:r>
    </w:p>
  </w:footnote>
  <w:footnote w:id="57">
    <w:p w:rsidR="008B18CB" w:rsidRDefault="008B18CB">
      <w:pPr>
        <w:pStyle w:val="Textpoznmkypodiarou"/>
      </w:pPr>
      <w:r>
        <w:rPr>
          <w:rStyle w:val="Odkaznapoznmkupodiarou"/>
        </w:rPr>
        <w:footnoteRef/>
      </w:r>
      <w:r>
        <w:t xml:space="preserve"> </w:t>
      </w:r>
      <w:r w:rsidRPr="005377FD">
        <w:t>http://ec.europa.eu/economy_finance/publications/european_economy/2015/pdf/ee2_en.pdf</w:t>
      </w:r>
    </w:p>
  </w:footnote>
  <w:footnote w:id="58">
    <w:p w:rsidR="008B18CB" w:rsidRDefault="008B18CB" w:rsidP="007135B3">
      <w:pPr>
        <w:pStyle w:val="Textpoznmkypodiarou"/>
      </w:pPr>
      <w:r>
        <w:rPr>
          <w:rStyle w:val="Odkaznapoznmkupodiarou"/>
        </w:rPr>
        <w:footnoteRef/>
      </w:r>
      <w:r>
        <w:t xml:space="preserve"> Indikátor sa vzťahuje k jednotlivcovi bez detí so mzdou na úrovni 67 % priemernej mzdy</w:t>
      </w:r>
    </w:p>
  </w:footnote>
  <w:footnote w:id="59">
    <w:p w:rsidR="008B18CB" w:rsidRDefault="008B18CB" w:rsidP="007135B3">
      <w:pPr>
        <w:pStyle w:val="Textpoznmkypodiarou"/>
      </w:pPr>
      <w:r>
        <w:rPr>
          <w:rStyle w:val="Odkaznapoznmkupodiarou"/>
        </w:rPr>
        <w:footnoteRef/>
      </w:r>
      <w:r>
        <w:t xml:space="preserve"> EU28 bez Chorvátska, Rumunska a Bulharska, za ktoré chýbajú údaje</w:t>
      </w:r>
    </w:p>
  </w:footnote>
  <w:footnote w:id="60">
    <w:p w:rsidR="008B18CB" w:rsidRDefault="008B18CB" w:rsidP="007135B3">
      <w:pPr>
        <w:pStyle w:val="Textpoznmkypodiarou"/>
      </w:pPr>
      <w:r>
        <w:rPr>
          <w:rStyle w:val="Odkaznapoznmkupodiarou"/>
        </w:rPr>
        <w:footnoteRef/>
      </w:r>
      <w:r>
        <w:t xml:space="preserve"> Pasca nezamestnanosti sa v</w:t>
      </w:r>
      <w:r w:rsidRPr="00256B25">
        <w:t>zťahuje k situácii, keď čisté pracovné zárobky sú relatívne nízke vo vzťahu k dávkam poskytovaným v nezamestnanosti</w:t>
      </w:r>
      <w:r>
        <w:t>. Obrátene ide o % zvýšenia disponibilného príjmu, keď sa zamestnanec vráti do zamest</w:t>
      </w:r>
      <w:r>
        <w:softHyphen/>
        <w:t>nania po období nezamestnanosti a dostane mzdu na úrovni 67 % priemernej mzdy. Indikátor sa vzťahuje k jednotlivcovi bez detí.</w:t>
      </w:r>
    </w:p>
  </w:footnote>
  <w:footnote w:id="61">
    <w:p w:rsidR="008B18CB" w:rsidRDefault="008B18CB" w:rsidP="007135B3">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w:t>
      </w:r>
      <w:r>
        <w:t>3 %</w:t>
      </w:r>
      <w:r w:rsidRPr="000D0A0D">
        <w:t xml:space="preserve"> na 6</w:t>
      </w:r>
      <w:r>
        <w:t>7 %</w:t>
      </w:r>
      <w:r w:rsidRPr="000D0A0D">
        <w:t xml:space="preserve"> priemernej mzdy</w:t>
      </w:r>
      <w:r>
        <w:t>. Obrátene hovorí o % zvýšenia čistého príjmu, ak vzrastie hrubý príjem.</w:t>
      </w:r>
    </w:p>
  </w:footnote>
  <w:footnote w:id="62">
    <w:p w:rsidR="008B18CB" w:rsidRDefault="008B18CB" w:rsidP="007135B3">
      <w:pPr>
        <w:pStyle w:val="Textpoznmkypodiarou"/>
        <w:rPr>
          <w:szCs w:val="18"/>
        </w:rPr>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63">
    <w:p w:rsidR="008B18CB" w:rsidRDefault="008B18CB" w:rsidP="007135B3">
      <w:pPr>
        <w:pStyle w:val="Textpoznmkypodiarou"/>
        <w:rPr>
          <w:szCs w:val="18"/>
        </w:rPr>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64">
    <w:p w:rsidR="008B18CB" w:rsidRDefault="008B18CB" w:rsidP="007135B3">
      <w:pPr>
        <w:pStyle w:val="Textpoznmkypodiarou"/>
        <w:rPr>
          <w:szCs w:val="18"/>
        </w:rPr>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w:t>
      </w:r>
      <w:proofErr w:type="spellStart"/>
      <w:r>
        <w:rPr>
          <w:szCs w:val="18"/>
        </w:rPr>
        <w:t>deprivovaní</w:t>
      </w:r>
      <w:proofErr w:type="spellEnd"/>
      <w:r>
        <w:rPr>
          <w:szCs w:val="18"/>
        </w:rPr>
        <w:t xml:space="preserve">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5167F5" w:rsidRDefault="008B18CB" w:rsidP="005167F5">
    <w:pPr>
      <w:pStyle w:val="Hlavika"/>
      <w:jc w:val="left"/>
      <w:rPr>
        <w:i/>
      </w:rPr>
    </w:pPr>
    <w:r w:rsidRPr="005167F5">
      <w:rPr>
        <w:i/>
      </w:rPr>
      <w:t>Správa o sociálnej situácii obyvateľstva SR za rok 2010</w:t>
    </w:r>
  </w:p>
  <w:p w:rsidR="008B18CB" w:rsidRDefault="008B18CB">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Default="008B18CB" w:rsidP="00671272">
    <w:pPr>
      <w:pStyle w:val="Hlavika"/>
      <w:jc w:val="right"/>
      <w:rPr>
        <w:i/>
      </w:rPr>
    </w:pPr>
    <w:r>
      <w:rPr>
        <w:i/>
      </w:rPr>
      <w:t>Kapitola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DF1615" w:rsidRDefault="008B18CB" w:rsidP="00DF1615">
    <w:pPr>
      <w:pStyle w:val="Hlavika"/>
      <w:jc w:val="left"/>
      <w:rPr>
        <w:i/>
      </w:rPr>
    </w:pPr>
    <w:r w:rsidRPr="004C34A9">
      <w:rPr>
        <w:i/>
      </w:rPr>
      <w:t>Správa o sociálnej situácii obyvateľstva SR za rok 201</w:t>
    </w:r>
    <w:r>
      <w:rPr>
        <w:i/>
      </w:rPr>
      <w:t>4</w:t>
    </w:r>
  </w:p>
  <w:p w:rsidR="008B18CB" w:rsidRPr="00DF1615" w:rsidRDefault="008B18CB" w:rsidP="00DF1615">
    <w:pPr>
      <w:pStyle w:val="Hlavika"/>
      <w:rPr>
        <w:i/>
      </w:rPr>
    </w:pPr>
    <w:r w:rsidRPr="00DF1615">
      <w:rPr>
        <w:i/>
      </w:rPr>
      <w:t xml:space="preserve">Kapitola </w:t>
    </w:r>
    <w:r>
      <w:rPr>
        <w:i/>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Pr="00DF1615" w:rsidRDefault="008B18CB" w:rsidP="00671272">
    <w:pPr>
      <w:pStyle w:val="Hlavika"/>
      <w:jc w:val="right"/>
      <w:rPr>
        <w:i/>
      </w:rPr>
    </w:pPr>
    <w:r>
      <w:rPr>
        <w:i/>
      </w:rPr>
      <w:t>Kapitola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5B3458" w:rsidRDefault="008B18CB" w:rsidP="005B3458">
    <w:pPr>
      <w:pStyle w:val="Hlavik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Pr="00DF1615" w:rsidRDefault="008B18CB" w:rsidP="00671272">
    <w:pPr>
      <w:pStyle w:val="Hlavika"/>
      <w:jc w:val="right"/>
      <w:rPr>
        <w:i/>
      </w:rPr>
    </w:pPr>
    <w:r>
      <w:rPr>
        <w:i/>
      </w:rPr>
      <w:t>Kapitola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D43" w:rsidRDefault="006D3D43" w:rsidP="006D3D43">
    <w:pPr>
      <w:pStyle w:val="Hlavika"/>
      <w:jc w:val="left"/>
      <w:rPr>
        <w:i/>
      </w:rPr>
    </w:pPr>
    <w:r w:rsidRPr="004C34A9">
      <w:rPr>
        <w:i/>
      </w:rPr>
      <w:t>Správa o sociálnej situácii obyvateľstva SR za rok 201</w:t>
    </w:r>
    <w:r>
      <w:rPr>
        <w:i/>
      </w:rPr>
      <w:t>4</w:t>
    </w:r>
  </w:p>
  <w:p w:rsidR="006D3D43" w:rsidRPr="005B3458" w:rsidRDefault="006D3D43" w:rsidP="00175240">
    <w:pPr>
      <w:pStyle w:val="Hlavika"/>
      <w:jc w:val="left"/>
    </w:pPr>
    <w:r>
      <w:rPr>
        <w:i/>
      </w:rPr>
      <w:t>Kapitola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4C34A9" w:rsidRDefault="008B18CB" w:rsidP="004C34A9">
    <w:pPr>
      <w:pStyle w:val="Hlavika"/>
      <w:jc w:val="left"/>
      <w:rPr>
        <w:i/>
      </w:rPr>
    </w:pPr>
    <w:r w:rsidRPr="004C34A9">
      <w:rPr>
        <w:i/>
      </w:rPr>
      <w:t>Správa o sociálnej situ</w:t>
    </w:r>
    <w:r>
      <w:rPr>
        <w:i/>
      </w:rPr>
      <w:t>ácii obyvateľstva SR za rok 2014</w:t>
    </w:r>
  </w:p>
  <w:p w:rsidR="008B18CB" w:rsidRPr="004C34A9" w:rsidRDefault="008B18CB" w:rsidP="004C34A9">
    <w:pPr>
      <w:pStyle w:val="Hlavika"/>
      <w:jc w:val="left"/>
      <w:rPr>
        <w:i/>
      </w:rPr>
    </w:pPr>
    <w:r>
      <w:rPr>
        <w:i/>
      </w:rPr>
      <w:t>Kapitola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Pr="00DF1615" w:rsidRDefault="008B18CB" w:rsidP="00671272">
    <w:pPr>
      <w:pStyle w:val="Hlavika"/>
      <w:jc w:val="right"/>
      <w:rPr>
        <w:i/>
      </w:rPr>
    </w:pPr>
    <w:r>
      <w:rPr>
        <w:i/>
      </w:rPr>
      <w:t>Kapitola 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4C34A9" w:rsidRDefault="008B18CB" w:rsidP="004C34A9">
    <w:pPr>
      <w:pStyle w:val="Hlavika"/>
      <w:jc w:val="left"/>
      <w:rPr>
        <w:i/>
      </w:rPr>
    </w:pPr>
    <w:r w:rsidRPr="004C34A9">
      <w:rPr>
        <w:i/>
      </w:rPr>
      <w:t>Správa o sociálnej situ</w:t>
    </w:r>
    <w:r>
      <w:rPr>
        <w:i/>
      </w:rPr>
      <w:t>ácii obyvateľstva SR za rok 2014</w:t>
    </w:r>
  </w:p>
  <w:p w:rsidR="008B18CB" w:rsidRPr="004C34A9" w:rsidRDefault="008B18CB" w:rsidP="004C34A9">
    <w:pPr>
      <w:pStyle w:val="Hlavika"/>
      <w:jc w:val="left"/>
      <w:rPr>
        <w:i/>
      </w:rPr>
    </w:pPr>
    <w:r>
      <w:rPr>
        <w:i/>
      </w:rPr>
      <w:t>Kapitola 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Pr="00DF1615" w:rsidRDefault="008B18CB" w:rsidP="00671272">
    <w:pPr>
      <w:pStyle w:val="Hlavika"/>
      <w:jc w:val="right"/>
      <w:rPr>
        <w:i/>
      </w:rPr>
    </w:pPr>
    <w:r>
      <w:rPr>
        <w:i/>
      </w:rPr>
      <w:t>Kapitola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pPr>
    <w:r w:rsidRPr="004C34A9">
      <w:rPr>
        <w:i/>
      </w:rPr>
      <w:t>Správa o sociálnej situácii obyvateľstva SR za rok 201</w:t>
    </w:r>
    <w:r>
      <w:rPr>
        <w:i/>
      </w:rPr>
      <w:t>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EF12BE">
    <w:pPr>
      <w:pStyle w:val="Hlavika"/>
      <w:jc w:val="right"/>
      <w:rPr>
        <w:i/>
      </w:rPr>
    </w:pPr>
    <w:r w:rsidRPr="00AD0A11">
      <w:rPr>
        <w:i/>
      </w:rPr>
      <w:t>Správa o sociálnej situácii obyvateľstva SR za rok 201</w:t>
    </w:r>
    <w:r>
      <w:rPr>
        <w:i/>
      </w:rP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240" w:rsidRDefault="00175240" w:rsidP="00175240">
    <w:pPr>
      <w:pStyle w:val="Hlavika"/>
      <w:jc w:val="left"/>
      <w:rPr>
        <w:i/>
      </w:rPr>
    </w:pPr>
    <w:r w:rsidRPr="004C34A9">
      <w:rPr>
        <w:i/>
      </w:rPr>
      <w:t>Správa o sociálnej situ</w:t>
    </w:r>
    <w:r>
      <w:rPr>
        <w:i/>
      </w:rPr>
      <w:t>ácii obyvateľstva SR za rok 2014</w:t>
    </w:r>
  </w:p>
  <w:p w:rsidR="00175240" w:rsidRPr="007E71DD" w:rsidRDefault="00175240" w:rsidP="00F05BBF">
    <w:pPr>
      <w:pStyle w:val="Hlavika"/>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F05BBF" w:rsidRDefault="008B18CB" w:rsidP="00F05BBF">
    <w:pPr>
      <w:pStyle w:val="Hlavik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jc w:val="left"/>
      <w:rPr>
        <w:i/>
      </w:rPr>
    </w:pPr>
    <w:r w:rsidRPr="00AD0A11">
      <w:rPr>
        <w:i/>
      </w:rPr>
      <w:t>Správa o sociálnej situácii obyvateľstva SR za rok 201</w:t>
    </w:r>
    <w:r>
      <w:rPr>
        <w:i/>
      </w:rPr>
      <w:t>2</w:t>
    </w:r>
  </w:p>
  <w:p w:rsidR="008B18CB" w:rsidRDefault="008B18CB" w:rsidP="0084617B">
    <w:pPr>
      <w:pStyle w:val="Hlavika"/>
      <w:jc w:val="left"/>
    </w:pPr>
    <w:r w:rsidRPr="00AD0A11">
      <w:rPr>
        <w:i/>
      </w:rPr>
      <w:t>Príloha ku kapitole 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0E7856">
    <w:pPr>
      <w:pStyle w:val="Hlavika"/>
      <w:jc w:val="right"/>
      <w:rPr>
        <w:i/>
      </w:rPr>
    </w:pPr>
    <w:r w:rsidRPr="00AD0A11">
      <w:rPr>
        <w:i/>
      </w:rPr>
      <w:t>Správa o sociálnej situácii obyvateľstva SR za rok 201</w:t>
    </w:r>
    <w:r>
      <w:rPr>
        <w:i/>
      </w:rPr>
      <w:t>4</w:t>
    </w:r>
  </w:p>
  <w:p w:rsidR="008B18CB" w:rsidRPr="00AD0A11" w:rsidRDefault="008B18CB" w:rsidP="000E7856">
    <w:pPr>
      <w:pStyle w:val="Hlavika"/>
      <w:jc w:val="right"/>
      <w:rPr>
        <w:i/>
      </w:rPr>
    </w:pPr>
    <w:r w:rsidRPr="00AD0A11">
      <w:rPr>
        <w:i/>
      </w:rPr>
      <w:t xml:space="preserve">Príloha ku kapitole </w:t>
    </w:r>
    <w:r>
      <w:rPr>
        <w:i/>
      </w:rPr>
      <w:t>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6214B9">
    <w:pPr>
      <w:pStyle w:val="Hlavika"/>
      <w:jc w:val="left"/>
      <w:rPr>
        <w:i/>
      </w:rPr>
    </w:pPr>
    <w:r w:rsidRPr="00AD0A11">
      <w:rPr>
        <w:i/>
      </w:rPr>
      <w:t>Správa o sociálnej situácii obyvateľstva SR za rok 201</w:t>
    </w:r>
    <w:r>
      <w:rPr>
        <w:i/>
      </w:rPr>
      <w:t>4</w:t>
    </w:r>
  </w:p>
  <w:p w:rsidR="008B18CB" w:rsidRPr="007E71DD" w:rsidRDefault="008B18CB" w:rsidP="006214B9">
    <w:pPr>
      <w:pStyle w:val="Hlavika"/>
      <w:jc w:val="left"/>
    </w:pPr>
    <w:r w:rsidRPr="00AD0A11">
      <w:rPr>
        <w:i/>
      </w:rPr>
      <w:t xml:space="preserve">Príloha ku kapitole </w:t>
    </w:r>
    <w:r>
      <w:rPr>
        <w:i/>
      </w:rPr>
      <w:t>1</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6214B9" w:rsidRDefault="008B18CB" w:rsidP="006214B9">
    <w:pPr>
      <w:pStyle w:val="Hlavika"/>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4617B">
    <w:pPr>
      <w:pStyle w:val="Hlavika"/>
      <w:rPr>
        <w:i/>
      </w:rPr>
    </w:pPr>
    <w:r>
      <w:rPr>
        <w:i/>
      </w:rPr>
      <w:t>Správa o sociálnej situácii obyvateľstva SR za rok 2014</w:t>
    </w:r>
  </w:p>
  <w:p w:rsidR="008B18CB" w:rsidRPr="00386EB5" w:rsidRDefault="008B18CB" w:rsidP="0084617B">
    <w:pPr>
      <w:pStyle w:val="Hlavika"/>
      <w:rPr>
        <w:i/>
      </w:rPr>
    </w:pPr>
    <w:r w:rsidRPr="00386EB5">
      <w:rPr>
        <w:i/>
      </w:rPr>
      <w:t>Príloh</w:t>
    </w:r>
    <w:r>
      <w:rPr>
        <w:i/>
      </w:rPr>
      <w:t>a</w:t>
    </w:r>
    <w:r w:rsidRPr="00386EB5">
      <w:rPr>
        <w:i/>
      </w:rPr>
      <w:t xml:space="preserve"> ku kapitole 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4617B">
    <w:pPr>
      <w:pStyle w:val="Hlavika"/>
      <w:jc w:val="right"/>
      <w:rPr>
        <w:i/>
      </w:rPr>
    </w:pPr>
    <w:r>
      <w:rPr>
        <w:i/>
      </w:rPr>
      <w:t>Správa o sociálnej situácii obyvateľstva SR za rok 2014</w:t>
    </w:r>
  </w:p>
  <w:p w:rsidR="008B18CB" w:rsidRPr="00386EB5" w:rsidRDefault="008B18CB" w:rsidP="0084617B">
    <w:pPr>
      <w:pStyle w:val="Hlavika"/>
      <w:jc w:val="right"/>
      <w:rPr>
        <w:i/>
      </w:rPr>
    </w:pPr>
    <w:r w:rsidRPr="00386EB5">
      <w:rPr>
        <w:i/>
      </w:rPr>
      <w:t>Príloh</w:t>
    </w:r>
    <w:r>
      <w:rPr>
        <w:i/>
      </w:rPr>
      <w:t>a</w:t>
    </w:r>
    <w:r w:rsidRPr="00386EB5">
      <w:rPr>
        <w:i/>
      </w:rPr>
      <w:t xml:space="preserve"> ku kapitole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F05BBF" w:rsidRDefault="008B18CB" w:rsidP="008122FB">
    <w:pPr>
      <w:pStyle w:val="Hlavika"/>
      <w:jc w:val="left"/>
    </w:pPr>
    <w:r w:rsidRPr="004C34A9">
      <w:rPr>
        <w:i/>
      </w:rPr>
      <w:t>Správa o sociálnej situácii obyvateľstva SR za rok 201</w:t>
    </w:r>
    <w:r>
      <w:rPr>
        <w:i/>
      </w:rPr>
      <w:t>4</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rPr>
        <w:i/>
      </w:rPr>
    </w:pPr>
    <w:r w:rsidRPr="00AD0A11">
      <w:rPr>
        <w:i/>
      </w:rPr>
      <w:t>Správa o sociálnej situácii obyvateľstva SR za rok 201</w:t>
    </w:r>
    <w:r>
      <w:rPr>
        <w:i/>
      </w:rPr>
      <w:t>2</w:t>
    </w:r>
  </w:p>
  <w:p w:rsidR="008B18CB" w:rsidRDefault="008B18CB" w:rsidP="0084617B">
    <w:pPr>
      <w:pStyle w:val="Hlavika"/>
    </w:pPr>
    <w:r w:rsidRPr="00AD0A11">
      <w:rPr>
        <w:i/>
      </w:rPr>
      <w:t>Príloha ku kapitole 1</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C51170" w:rsidRDefault="008B18CB" w:rsidP="00C51170">
    <w:pPr>
      <w:pStyle w:val="Hlavika"/>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rPr>
        <w:i/>
      </w:rPr>
    </w:pPr>
    <w:r w:rsidRPr="00AD0A11">
      <w:rPr>
        <w:i/>
      </w:rPr>
      <w:t>Správa o sociálnej situácii obyvateľstva SR za rok 201</w:t>
    </w:r>
    <w:r>
      <w:rPr>
        <w:i/>
      </w:rPr>
      <w:t>4</w:t>
    </w:r>
  </w:p>
  <w:p w:rsidR="008B18CB" w:rsidRDefault="008B18CB" w:rsidP="0084617B">
    <w:pPr>
      <w:pStyle w:val="Hlavika"/>
    </w:pPr>
    <w:r w:rsidRPr="00AD0A11">
      <w:rPr>
        <w:i/>
      </w:rPr>
      <w:t xml:space="preserve">Príloha ku kapitole </w:t>
    </w:r>
    <w:r>
      <w:rPr>
        <w:i/>
      </w:rPr>
      <w:t>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643E42" w:rsidRDefault="008B18CB" w:rsidP="0084617B">
    <w:pPr>
      <w:pStyle w:val="Hlavika"/>
      <w:jc w:val="right"/>
      <w:rPr>
        <w:i/>
      </w:rPr>
    </w:pPr>
    <w:r w:rsidRPr="00643E42">
      <w:rPr>
        <w:i/>
      </w:rPr>
      <w:t>Správa o sociálnej situ</w:t>
    </w:r>
    <w:r>
      <w:rPr>
        <w:i/>
      </w:rPr>
      <w:t>ácii obyvateľstva SR za rok 2014</w:t>
    </w:r>
  </w:p>
  <w:p w:rsidR="008B18CB" w:rsidRPr="00643E42" w:rsidRDefault="008B18CB" w:rsidP="0084617B">
    <w:pPr>
      <w:pStyle w:val="Hlavika"/>
      <w:jc w:val="right"/>
    </w:pPr>
    <w:r w:rsidRPr="00643E42">
      <w:rPr>
        <w:i/>
      </w:rPr>
      <w:t>Príloha ku kapitole 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643E42" w:rsidRDefault="008B18CB" w:rsidP="00EF12BE">
    <w:pPr>
      <w:pStyle w:val="Hlavika"/>
      <w:jc w:val="left"/>
      <w:rPr>
        <w:i/>
      </w:rPr>
    </w:pPr>
    <w:r w:rsidRPr="00643E42">
      <w:rPr>
        <w:i/>
      </w:rPr>
      <w:t>Správa o sociálnej situácii obyvateľstva SR za rok 201</w:t>
    </w:r>
    <w:r>
      <w:rPr>
        <w:i/>
      </w:rPr>
      <w:t>4</w:t>
    </w:r>
  </w:p>
  <w:p w:rsidR="008B18CB" w:rsidRPr="00EF12BE" w:rsidRDefault="008B18CB" w:rsidP="00EF12BE">
    <w:pPr>
      <w:pStyle w:val="Hlavika"/>
      <w:jc w:val="left"/>
    </w:pPr>
    <w:r w:rsidRPr="00643E42">
      <w:rPr>
        <w:i/>
      </w:rPr>
      <w:t>Príloha ku kapitole 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jc w:val="left"/>
      <w:rPr>
        <w:i/>
      </w:rPr>
    </w:pPr>
    <w:r w:rsidRPr="00AD0A11">
      <w:rPr>
        <w:i/>
      </w:rPr>
      <w:t>Správa o sociálnej situácii obyvateľstva SR za rok 201</w:t>
    </w:r>
    <w:r>
      <w:rPr>
        <w:i/>
      </w:rPr>
      <w:t>4</w:t>
    </w:r>
  </w:p>
  <w:p w:rsidR="008B18CB" w:rsidRDefault="008B18CB" w:rsidP="0084617B">
    <w:pPr>
      <w:pStyle w:val="Hlavika"/>
      <w:jc w:val="left"/>
    </w:pPr>
    <w:r>
      <w:rPr>
        <w:i/>
      </w:rPr>
      <w:t>Príloha ku kapitole 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C51170" w:rsidRDefault="008B18CB" w:rsidP="00C51170">
    <w:pPr>
      <w:pStyle w:val="Hlavika"/>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jc w:val="right"/>
      <w:rPr>
        <w:i/>
      </w:rPr>
    </w:pPr>
    <w:r w:rsidRPr="00AD0A11">
      <w:rPr>
        <w:i/>
      </w:rPr>
      <w:t>Správa o sociálnej situácii obyvateľstva SR za rok 201</w:t>
    </w:r>
    <w:r>
      <w:rPr>
        <w:i/>
      </w:rPr>
      <w:t>4</w:t>
    </w:r>
  </w:p>
  <w:p w:rsidR="008B18CB" w:rsidRDefault="008B18CB" w:rsidP="0084617B">
    <w:pPr>
      <w:pStyle w:val="Hlavika"/>
      <w:jc w:val="right"/>
    </w:pPr>
    <w:r>
      <w:rPr>
        <w:i/>
      </w:rPr>
      <w:t>Príloha ku kapitole 4</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643E42" w:rsidRDefault="008B18CB" w:rsidP="00C51170">
    <w:pPr>
      <w:pStyle w:val="Hlavika"/>
      <w:jc w:val="left"/>
      <w:rPr>
        <w:i/>
      </w:rPr>
    </w:pPr>
    <w:r w:rsidRPr="00643E42">
      <w:rPr>
        <w:i/>
      </w:rPr>
      <w:t>Správa o sociálnej situácii obyvateľstva SR za rok 201</w:t>
    </w:r>
    <w:r>
      <w:rPr>
        <w:i/>
      </w:rPr>
      <w:t>4</w:t>
    </w:r>
  </w:p>
  <w:p w:rsidR="008B18CB" w:rsidRPr="00C51170" w:rsidRDefault="008B18CB" w:rsidP="00C51170">
    <w:pPr>
      <w:pStyle w:val="Hlavika"/>
      <w:jc w:val="left"/>
    </w:pPr>
    <w:r w:rsidRPr="00643E42">
      <w:rPr>
        <w:i/>
      </w:rPr>
      <w:t xml:space="preserve">Príloha ku kapitole </w:t>
    </w:r>
    <w:r>
      <w:rPr>
        <w:i/>
      </w:rPr>
      <w:t>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4966DF">
    <w:pPr>
      <w:jc w:val="left"/>
      <w:rPr>
        <w:i/>
      </w:rPr>
    </w:pPr>
    <w:r>
      <w:rPr>
        <w:i/>
      </w:rPr>
      <w:t>Správa o sociálnej situácii obyvateľstva SR za rok 2014</w:t>
    </w:r>
  </w:p>
  <w:p w:rsidR="008B18CB" w:rsidRPr="00B73347" w:rsidRDefault="008B18CB" w:rsidP="004966DF">
    <w:pPr>
      <w:jc w:val="left"/>
      <w:rPr>
        <w:i/>
      </w:rPr>
    </w:pPr>
    <w:r>
      <w:rPr>
        <w:i/>
      </w:rPr>
      <w:t>Príloha ku kapitole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7E71DD" w:rsidRDefault="008B18CB" w:rsidP="00F05BBF">
    <w:pPr>
      <w:pStyle w:val="Hlavika"/>
      <w:jc w:val="right"/>
    </w:pPr>
    <w:r w:rsidRPr="004C34A9">
      <w:rPr>
        <w:i/>
      </w:rPr>
      <w:t>Správa o sociálnej situ</w:t>
    </w:r>
    <w:r>
      <w:rPr>
        <w:i/>
      </w:rPr>
      <w:t>ácii obyvateľstva SR za rok 2014</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D0A11" w:rsidRDefault="008B18CB" w:rsidP="0084617B">
    <w:pPr>
      <w:pStyle w:val="Hlavika"/>
      <w:jc w:val="right"/>
      <w:rPr>
        <w:i/>
      </w:rPr>
    </w:pPr>
    <w:r w:rsidRPr="00AD0A11">
      <w:rPr>
        <w:i/>
      </w:rPr>
      <w:t>Správa o sociálnej situácii obyvateľstva SR za rok 201</w:t>
    </w:r>
    <w:r>
      <w:rPr>
        <w:i/>
      </w:rPr>
      <w:t>2</w:t>
    </w:r>
  </w:p>
  <w:p w:rsidR="008B18CB" w:rsidRDefault="008B18CB" w:rsidP="0084617B">
    <w:pPr>
      <w:pStyle w:val="Hlavika"/>
      <w:jc w:val="right"/>
    </w:pPr>
    <w:r>
      <w:rPr>
        <w:i/>
      </w:rPr>
      <w:t>Príloha ku kapitole 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Pr="00A470A7" w:rsidRDefault="008B18CB" w:rsidP="00A470A7">
    <w:pPr>
      <w:pStyle w:val="Hlavika"/>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84617B">
    <w:pPr>
      <w:jc w:val="right"/>
      <w:rPr>
        <w:i/>
      </w:rPr>
    </w:pPr>
    <w:r>
      <w:rPr>
        <w:i/>
      </w:rPr>
      <w:t>Správa o sociálnej situácii obyvateľstva SR za rok 2014</w:t>
    </w:r>
  </w:p>
  <w:p w:rsidR="008B18CB" w:rsidRPr="00B73347" w:rsidRDefault="008B18CB" w:rsidP="0084617B">
    <w:pPr>
      <w:jc w:val="right"/>
      <w:rPr>
        <w:i/>
      </w:rPr>
    </w:pPr>
    <w:r>
      <w:rPr>
        <w:i/>
      </w:rPr>
      <w:t>Príloha ku kapitole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F05BBF">
    <w:pPr>
      <w:pStyle w:val="Hlavika"/>
      <w:jc w:val="left"/>
      <w:rPr>
        <w:i/>
      </w:rPr>
    </w:pPr>
    <w:r w:rsidRPr="004C34A9">
      <w:rPr>
        <w:i/>
      </w:rPr>
      <w:t>Správa o sociálnej situácii obyvateľstva SR za rok 201</w:t>
    </w:r>
    <w:r>
      <w:rPr>
        <w:i/>
      </w:rP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pPr>
    <w:r w:rsidRPr="004C34A9">
      <w:rPr>
        <w:i/>
      </w:rPr>
      <w:t>Správa o sociálnej situácii obyvateľstva SR za rok 201</w:t>
    </w:r>
    <w:r>
      <w:rPr>
        <w:i/>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671272">
    <w:pPr>
      <w:pStyle w:val="Hlavika"/>
      <w:jc w:val="right"/>
      <w:rPr>
        <w:i/>
      </w:rPr>
    </w:pPr>
    <w:r w:rsidRPr="004C34A9">
      <w:rPr>
        <w:i/>
      </w:rPr>
      <w:t>Správa o sociálnej situácii obyvateľstva SR za rok 201</w:t>
    </w:r>
    <w:r>
      <w:rPr>
        <w:i/>
      </w:rPr>
      <w:t>4</w:t>
    </w:r>
  </w:p>
  <w:p w:rsidR="008B18CB" w:rsidRDefault="008B18CB" w:rsidP="00671272">
    <w:pPr>
      <w:pStyle w:val="Hlavika"/>
      <w:jc w:val="right"/>
      <w:rPr>
        <w:i/>
      </w:rPr>
    </w:pPr>
    <w:r>
      <w:rPr>
        <w:i/>
      </w:rPr>
      <w:t>Kapitola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F05BBF">
    <w:pPr>
      <w:pStyle w:val="Hlavika"/>
      <w:jc w:val="right"/>
      <w:rPr>
        <w:i/>
      </w:rPr>
    </w:pPr>
    <w:r w:rsidRPr="004C34A9">
      <w:rPr>
        <w:i/>
      </w:rPr>
      <w:t>Správa o sociálnej situ</w:t>
    </w:r>
    <w:r>
      <w:rPr>
        <w:i/>
      </w:rPr>
      <w:t>ácii obyvateľstva SR za rok 2014</w:t>
    </w:r>
  </w:p>
  <w:p w:rsidR="008B18CB" w:rsidRPr="007E71DD" w:rsidRDefault="008B18CB" w:rsidP="00F05BBF">
    <w:pPr>
      <w:pStyle w:val="Hlavika"/>
      <w:jc w:val="right"/>
    </w:pPr>
    <w:r>
      <w:rPr>
        <w:i/>
      </w:rPr>
      <w:t>Úvod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CB" w:rsidRDefault="008B18CB" w:rsidP="00F05BBF">
    <w:pPr>
      <w:pStyle w:val="Hlavika"/>
      <w:jc w:val="left"/>
      <w:rPr>
        <w:i/>
      </w:rPr>
    </w:pPr>
    <w:r w:rsidRPr="004C34A9">
      <w:rPr>
        <w:i/>
      </w:rPr>
      <w:t>Správa o sociálnej situácii obyvateľstva SR za rok 201</w:t>
    </w:r>
    <w:r>
      <w:rPr>
        <w:i/>
      </w:rPr>
      <w:t>4</w:t>
    </w:r>
  </w:p>
  <w:p w:rsidR="008B18CB" w:rsidRPr="00DF1615" w:rsidRDefault="008B18CB" w:rsidP="00F05BBF">
    <w:pPr>
      <w:pStyle w:val="Hlavika"/>
      <w:jc w:val="left"/>
      <w:rPr>
        <w:i/>
      </w:rPr>
    </w:pPr>
    <w:r>
      <w:rPr>
        <w:i/>
      </w:rPr>
      <w:t>Kapitola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0B719AB"/>
    <w:multiLevelType w:val="hybridMultilevel"/>
    <w:tmpl w:val="AC06FCF2"/>
    <w:lvl w:ilvl="0" w:tplc="5F14DEAE">
      <w:start w:val="1"/>
      <w:numFmt w:val="bullet"/>
      <w:lvlText w:val=""/>
      <w:lvlJc w:val="left"/>
      <w:pPr>
        <w:ind w:left="720" w:hanging="360"/>
      </w:pPr>
      <w:rPr>
        <w:rFonts w:ascii="Symbol" w:hAnsi="Symbol" w:hint="default"/>
        <w:color w:val="DF5446" w:themeColor="text2" w:themeTint="99"/>
        <w:sz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0A0B00D8"/>
    <w:multiLevelType w:val="hybridMultilevel"/>
    <w:tmpl w:val="040EF94E"/>
    <w:lvl w:ilvl="0" w:tplc="5F14DEAE">
      <w:start w:val="1"/>
      <w:numFmt w:val="bullet"/>
      <w:lvlText w:val=""/>
      <w:lvlJc w:val="left"/>
      <w:pPr>
        <w:ind w:left="644" w:hanging="360"/>
      </w:pPr>
      <w:rPr>
        <w:rFonts w:ascii="Symbol" w:hAnsi="Symbol" w:hint="default"/>
        <w:color w:val="DF5446" w:themeColor="text2" w:themeTint="99"/>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3">
    <w:nsid w:val="0B086CC6"/>
    <w:multiLevelType w:val="hybridMultilevel"/>
    <w:tmpl w:val="CDDABDBA"/>
    <w:lvl w:ilvl="0" w:tplc="B2A271A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0D8F5A1B"/>
    <w:multiLevelType w:val="hybridMultilevel"/>
    <w:tmpl w:val="FB1E54BC"/>
    <w:lvl w:ilvl="0" w:tplc="5F14DEAE">
      <w:start w:val="1"/>
      <w:numFmt w:val="bullet"/>
      <w:lvlText w:val=""/>
      <w:lvlJc w:val="left"/>
      <w:pPr>
        <w:ind w:left="360" w:hanging="360"/>
      </w:pPr>
      <w:rPr>
        <w:rFonts w:ascii="Symbol" w:hAnsi="Symbol" w:hint="default"/>
        <w:color w:val="DF5446" w:themeColor="text2" w:themeTint="99"/>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nsid w:val="0E0D342E"/>
    <w:multiLevelType w:val="hybridMultilevel"/>
    <w:tmpl w:val="1B9A4492"/>
    <w:lvl w:ilvl="0" w:tplc="D98E976A">
      <w:start w:val="1"/>
      <w:numFmt w:val="bullet"/>
      <w:lvlText w:val=""/>
      <w:lvlJc w:val="left"/>
      <w:pPr>
        <w:ind w:left="720" w:hanging="360"/>
      </w:pPr>
      <w:rPr>
        <w:rFonts w:ascii="Wingdings 2" w:hAnsi="Wingdings 2" w:hint="default"/>
        <w:color w:val="D83E2C" w:themeColor="accent2"/>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13D0656"/>
    <w:multiLevelType w:val="hybridMultilevel"/>
    <w:tmpl w:val="8F3A3476"/>
    <w:lvl w:ilvl="0" w:tplc="5F14DEAE">
      <w:start w:val="1"/>
      <w:numFmt w:val="bullet"/>
      <w:lvlText w:val=""/>
      <w:lvlJc w:val="left"/>
      <w:pPr>
        <w:ind w:left="1151" w:hanging="360"/>
      </w:pPr>
      <w:rPr>
        <w:rFonts w:ascii="Symbol" w:hAnsi="Symbol" w:hint="default"/>
        <w:color w:val="DF5446" w:themeColor="text2" w:themeTint="99"/>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7">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8">
    <w:nsid w:val="17CA52BB"/>
    <w:multiLevelType w:val="hybridMultilevel"/>
    <w:tmpl w:val="27821B0A"/>
    <w:lvl w:ilvl="0" w:tplc="FA984E00">
      <w:start w:val="11"/>
      <w:numFmt w:val="bullet"/>
      <w:lvlText w:val="-"/>
      <w:lvlJc w:val="left"/>
      <w:pPr>
        <w:tabs>
          <w:tab w:val="num" w:pos="360"/>
        </w:tabs>
        <w:ind w:left="360" w:hanging="360"/>
      </w:pPr>
      <w:rPr>
        <w:rFonts w:ascii="Times New Roman" w:eastAsia="Times New Roman" w:hAnsi="Times New Roman" w:hint="default"/>
      </w:rPr>
    </w:lvl>
    <w:lvl w:ilvl="1" w:tplc="D8F0F60E">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
    <w:nsid w:val="18E549BF"/>
    <w:multiLevelType w:val="hybridMultilevel"/>
    <w:tmpl w:val="BB1CC88E"/>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D266256"/>
    <w:multiLevelType w:val="multilevel"/>
    <w:tmpl w:val="BB6E02A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2663534A"/>
    <w:multiLevelType w:val="hybridMultilevel"/>
    <w:tmpl w:val="0C849FB4"/>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9014A7F"/>
    <w:multiLevelType w:val="hybridMultilevel"/>
    <w:tmpl w:val="C0728E90"/>
    <w:lvl w:ilvl="0" w:tplc="D98E976A">
      <w:start w:val="1"/>
      <w:numFmt w:val="bullet"/>
      <w:lvlText w:val=""/>
      <w:lvlJc w:val="left"/>
      <w:pPr>
        <w:ind w:left="360" w:hanging="360"/>
      </w:pPr>
      <w:rPr>
        <w:rFonts w:ascii="Wingdings 2" w:hAnsi="Wingdings 2" w:hint="default"/>
        <w:color w:val="D83E2C" w:themeColor="accent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2BA64D19"/>
    <w:multiLevelType w:val="hybridMultilevel"/>
    <w:tmpl w:val="5282B57E"/>
    <w:lvl w:ilvl="0" w:tplc="5F14DEAE">
      <w:start w:val="1"/>
      <w:numFmt w:val="bullet"/>
      <w:lvlText w:val=""/>
      <w:lvlJc w:val="left"/>
      <w:pPr>
        <w:ind w:left="1080" w:hanging="360"/>
      </w:pPr>
      <w:rPr>
        <w:rFonts w:ascii="Symbol" w:hAnsi="Symbol" w:hint="default"/>
        <w:color w:val="DF5446" w:themeColor="text2" w:themeTint="9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nsid w:val="2EFD4FF3"/>
    <w:multiLevelType w:val="hybridMultilevel"/>
    <w:tmpl w:val="D0DAD51A"/>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F970234"/>
    <w:multiLevelType w:val="hybridMultilevel"/>
    <w:tmpl w:val="5AB67818"/>
    <w:lvl w:ilvl="0" w:tplc="D98E976A">
      <w:start w:val="1"/>
      <w:numFmt w:val="bullet"/>
      <w:lvlText w:val=""/>
      <w:lvlJc w:val="left"/>
      <w:pPr>
        <w:ind w:left="720" w:hanging="360"/>
      </w:pPr>
      <w:rPr>
        <w:rFonts w:ascii="Wingdings 2" w:hAnsi="Wingdings 2" w:hint="default"/>
        <w:color w:val="C0504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14030E4"/>
    <w:multiLevelType w:val="hybridMultilevel"/>
    <w:tmpl w:val="9B3E3DF0"/>
    <w:lvl w:ilvl="0" w:tplc="5F2A4220">
      <w:start w:val="1"/>
      <w:numFmt w:val="bullet"/>
      <w:lvlText w:val=""/>
      <w:lvlJc w:val="left"/>
      <w:pPr>
        <w:ind w:left="720" w:hanging="360"/>
      </w:pPr>
      <w:rPr>
        <w:rFonts w:ascii="Wingdings 2" w:hAnsi="Wingdings 2" w:hint="default"/>
        <w:color w:val="7F2016" w:themeColor="accent1"/>
        <w:sz w:val="24"/>
      </w:rPr>
    </w:lvl>
    <w:lvl w:ilvl="1" w:tplc="5F2A4220">
      <w:start w:val="1"/>
      <w:numFmt w:val="bullet"/>
      <w:lvlText w:val=""/>
      <w:lvlJc w:val="left"/>
      <w:pPr>
        <w:ind w:left="1440" w:hanging="360"/>
      </w:pPr>
      <w:rPr>
        <w:rFonts w:ascii="Wingdings 2" w:hAnsi="Wingdings 2" w:hint="default"/>
        <w:color w:val="7F2016" w:themeColor="accent1"/>
        <w:sz w:val="24"/>
      </w:rPr>
    </w:lvl>
    <w:lvl w:ilvl="2" w:tplc="041B0005">
      <w:start w:val="1"/>
      <w:numFmt w:val="bullet"/>
      <w:lvlText w:val=""/>
      <w:lvlJc w:val="left"/>
      <w:pPr>
        <w:ind w:left="2160" w:hanging="360"/>
      </w:pPr>
      <w:rPr>
        <w:rFonts w:ascii="Wingdings" w:hAnsi="Wingdings" w:hint="default"/>
      </w:rPr>
    </w:lvl>
    <w:lvl w:ilvl="3" w:tplc="8D2EC2FA">
      <w:start w:val="1"/>
      <w:numFmt w:val="bullet"/>
      <w:lvlText w:val=""/>
      <w:lvlJc w:val="left"/>
      <w:pPr>
        <w:ind w:left="2880" w:hanging="360"/>
      </w:pPr>
      <w:rPr>
        <w:rFonts w:ascii="Symbol" w:hAnsi="Symbol" w:hint="default"/>
        <w:color w:val="7F2016" w:themeColor="text2"/>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A2C6F88"/>
    <w:multiLevelType w:val="hybridMultilevel"/>
    <w:tmpl w:val="2A16F4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3B6B3CE1"/>
    <w:multiLevelType w:val="hybridMultilevel"/>
    <w:tmpl w:val="9B626B52"/>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41E7751E"/>
    <w:multiLevelType w:val="hybridMultilevel"/>
    <w:tmpl w:val="A5B00494"/>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89666DE"/>
    <w:multiLevelType w:val="hybridMultilevel"/>
    <w:tmpl w:val="B5E4A1C2"/>
    <w:lvl w:ilvl="0" w:tplc="D98E976A">
      <w:start w:val="1"/>
      <w:numFmt w:val="bullet"/>
      <w:pStyle w:val="Odsekzoznamu"/>
      <w:lvlText w:val=""/>
      <w:lvlJc w:val="left"/>
      <w:pPr>
        <w:ind w:left="720" w:hanging="360"/>
      </w:pPr>
      <w:rPr>
        <w:rFonts w:ascii="Wingdings 2" w:hAnsi="Wingdings 2" w:hint="default"/>
        <w:color w:val="D83E2C" w:themeColor="accen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4B7E74A1"/>
    <w:multiLevelType w:val="hybridMultilevel"/>
    <w:tmpl w:val="36104E0A"/>
    <w:lvl w:ilvl="0" w:tplc="C00645AC">
      <w:start w:val="1"/>
      <w:numFmt w:val="lowerLetter"/>
      <w:lvlText w:val="%1)"/>
      <w:lvlJc w:val="left"/>
      <w:pPr>
        <w:tabs>
          <w:tab w:val="num" w:pos="897"/>
        </w:tabs>
        <w:ind w:left="897" w:hanging="357"/>
      </w:pPr>
      <w:rPr>
        <w:rFonts w:cs="Times New Roman" w:hint="default"/>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27">
    <w:nsid w:val="4C9A7E8D"/>
    <w:multiLevelType w:val="hybridMultilevel"/>
    <w:tmpl w:val="1D3C0F98"/>
    <w:lvl w:ilvl="0" w:tplc="5F14DEAE">
      <w:start w:val="1"/>
      <w:numFmt w:val="bullet"/>
      <w:lvlText w:val=""/>
      <w:lvlJc w:val="left"/>
      <w:pPr>
        <w:ind w:left="644" w:hanging="360"/>
      </w:pPr>
      <w:rPr>
        <w:rFonts w:ascii="Symbol" w:hAnsi="Symbol" w:hint="default"/>
        <w:color w:val="DF5446" w:themeColor="text2" w:themeTint="99"/>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8">
    <w:nsid w:val="4D520B58"/>
    <w:multiLevelType w:val="hybridMultilevel"/>
    <w:tmpl w:val="04EE5C54"/>
    <w:lvl w:ilvl="0" w:tplc="5F14DEAE">
      <w:start w:val="1"/>
      <w:numFmt w:val="bullet"/>
      <w:lvlText w:val=""/>
      <w:lvlJc w:val="left"/>
      <w:pPr>
        <w:ind w:left="1287" w:hanging="360"/>
      </w:pPr>
      <w:rPr>
        <w:rFonts w:ascii="Symbol" w:hAnsi="Symbol" w:hint="default"/>
        <w:color w:val="DF5446" w:themeColor="text2" w:themeTint="99"/>
        <w:sz w:val="24"/>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9">
    <w:nsid w:val="4EEC67F9"/>
    <w:multiLevelType w:val="hybridMultilevel"/>
    <w:tmpl w:val="A106F1CC"/>
    <w:lvl w:ilvl="0" w:tplc="8DBA8292">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0">
    <w:nsid w:val="4F5C536D"/>
    <w:multiLevelType w:val="multilevel"/>
    <w:tmpl w:val="E3E8F252"/>
    <w:lvl w:ilvl="0">
      <w:start w:val="1"/>
      <w:numFmt w:val="bullet"/>
      <w:lvlText w:val=""/>
      <w:lvlJc w:val="left"/>
      <w:pPr>
        <w:tabs>
          <w:tab w:val="num" w:pos="720"/>
        </w:tabs>
        <w:ind w:left="720" w:hanging="360"/>
      </w:pPr>
      <w:rPr>
        <w:rFonts w:ascii="Symbol" w:hAnsi="Symbol" w:hint="default"/>
        <w:color w:val="DF5446" w:themeColor="text2" w:themeTint="9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CF4545"/>
    <w:multiLevelType w:val="hybridMultilevel"/>
    <w:tmpl w:val="32100268"/>
    <w:lvl w:ilvl="0" w:tplc="5F2A4220">
      <w:start w:val="1"/>
      <w:numFmt w:val="bullet"/>
      <w:lvlText w:val=""/>
      <w:lvlJc w:val="left"/>
      <w:pPr>
        <w:ind w:left="720" w:hanging="360"/>
      </w:pPr>
      <w:rPr>
        <w:rFonts w:ascii="Wingdings 2" w:hAnsi="Wingdings 2" w:hint="default"/>
        <w:color w:val="7F2016" w:themeColor="accent1"/>
        <w:sz w:val="24"/>
      </w:rPr>
    </w:lvl>
    <w:lvl w:ilvl="1" w:tplc="5F2A4220">
      <w:start w:val="1"/>
      <w:numFmt w:val="bullet"/>
      <w:lvlText w:val=""/>
      <w:lvlJc w:val="left"/>
      <w:pPr>
        <w:ind w:left="1440" w:hanging="360"/>
      </w:pPr>
      <w:rPr>
        <w:rFonts w:ascii="Wingdings 2" w:hAnsi="Wingdings 2" w:hint="default"/>
        <w:b/>
        <w:color w:val="7F2016" w:themeColor="accent1"/>
        <w:sz w:val="24"/>
      </w:rPr>
    </w:lvl>
    <w:lvl w:ilvl="2" w:tplc="1DE2D458">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D73922"/>
    <w:multiLevelType w:val="hybridMultilevel"/>
    <w:tmpl w:val="20D4DC70"/>
    <w:lvl w:ilvl="0" w:tplc="5F2A4220">
      <w:start w:val="1"/>
      <w:numFmt w:val="bullet"/>
      <w:lvlText w:val=""/>
      <w:lvlJc w:val="left"/>
      <w:pPr>
        <w:ind w:left="1080" w:hanging="360"/>
      </w:pPr>
      <w:rPr>
        <w:rFonts w:ascii="Wingdings 2" w:hAnsi="Wingdings 2" w:hint="default"/>
        <w:color w:val="7F2016" w:themeColor="accent1"/>
        <w:sz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4">
    <w:nsid w:val="62733042"/>
    <w:multiLevelType w:val="hybridMultilevel"/>
    <w:tmpl w:val="F1E0E22E"/>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6">
    <w:nsid w:val="631F6570"/>
    <w:multiLevelType w:val="hybridMultilevel"/>
    <w:tmpl w:val="88E2CBE6"/>
    <w:lvl w:ilvl="0" w:tplc="5F14DEAE">
      <w:start w:val="1"/>
      <w:numFmt w:val="bullet"/>
      <w:lvlText w:val=""/>
      <w:lvlJc w:val="left"/>
      <w:pPr>
        <w:ind w:left="360" w:hanging="360"/>
      </w:pPr>
      <w:rPr>
        <w:rFonts w:ascii="Symbol" w:hAnsi="Symbol" w:hint="default"/>
        <w:color w:val="DF5446" w:themeColor="text2" w:themeTint="99"/>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nsid w:val="67F86D25"/>
    <w:multiLevelType w:val="hybridMultilevel"/>
    <w:tmpl w:val="91FE42E6"/>
    <w:lvl w:ilvl="0" w:tplc="D9287A3E">
      <w:numFmt w:val="bullet"/>
      <w:lvlText w:val="-"/>
      <w:lvlJc w:val="left"/>
      <w:pPr>
        <w:ind w:left="927" w:hanging="360"/>
      </w:pPr>
      <w:rPr>
        <w:rFonts w:ascii="Times New Roman" w:eastAsia="Times New Roman" w:hAnsi="Times New Roman" w:cs="Times New Roman" w:hint="default"/>
        <w:b/>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hint="default"/>
      </w:rPr>
    </w:lvl>
    <w:lvl w:ilvl="3" w:tplc="041B0001">
      <w:start w:val="1"/>
      <w:numFmt w:val="bullet"/>
      <w:lvlText w:val=""/>
      <w:lvlJc w:val="left"/>
      <w:pPr>
        <w:ind w:left="3087" w:hanging="360"/>
      </w:pPr>
      <w:rPr>
        <w:rFonts w:ascii="Symbol" w:hAnsi="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hint="default"/>
      </w:rPr>
    </w:lvl>
    <w:lvl w:ilvl="6" w:tplc="041B0001">
      <w:start w:val="1"/>
      <w:numFmt w:val="bullet"/>
      <w:lvlText w:val=""/>
      <w:lvlJc w:val="left"/>
      <w:pPr>
        <w:ind w:left="5247" w:hanging="360"/>
      </w:pPr>
      <w:rPr>
        <w:rFonts w:ascii="Symbol" w:hAnsi="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hint="default"/>
      </w:rPr>
    </w:lvl>
  </w:abstractNum>
  <w:abstractNum w:abstractNumId="38">
    <w:nsid w:val="68695090"/>
    <w:multiLevelType w:val="hybridMultilevel"/>
    <w:tmpl w:val="84229C7E"/>
    <w:lvl w:ilvl="0" w:tplc="175A60DE">
      <w:numFmt w:val="bullet"/>
      <w:lvlText w:val="-"/>
      <w:lvlJc w:val="left"/>
      <w:pPr>
        <w:ind w:left="42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39">
    <w:nsid w:val="68B4058F"/>
    <w:multiLevelType w:val="hybridMultilevel"/>
    <w:tmpl w:val="6E0C5B36"/>
    <w:lvl w:ilvl="0" w:tplc="5F14DEAE">
      <w:start w:val="1"/>
      <w:numFmt w:val="bullet"/>
      <w:lvlText w:val=""/>
      <w:lvlJc w:val="left"/>
      <w:pPr>
        <w:ind w:left="720" w:hanging="360"/>
      </w:pPr>
      <w:rPr>
        <w:rFonts w:ascii="Symbol" w:hAnsi="Symbol" w:hint="default"/>
        <w:color w:val="DF5446" w:themeColor="text2" w:themeTint="99"/>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nsid w:val="6D8711A1"/>
    <w:multiLevelType w:val="hybridMultilevel"/>
    <w:tmpl w:val="E7FEBD3A"/>
    <w:lvl w:ilvl="0" w:tplc="04090017">
      <w:start w:val="1"/>
      <w:numFmt w:val="lowerLetter"/>
      <w:lvlText w:val="%1)"/>
      <w:lvlJc w:val="left"/>
      <w:pPr>
        <w:tabs>
          <w:tab w:val="num" w:pos="357"/>
        </w:tabs>
        <w:ind w:left="357" w:hanging="357"/>
      </w:pPr>
      <w:rPr>
        <w:rFonts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41">
    <w:nsid w:val="709F460F"/>
    <w:multiLevelType w:val="hybridMultilevel"/>
    <w:tmpl w:val="C30C2174"/>
    <w:lvl w:ilvl="0" w:tplc="5F14DEAE">
      <w:start w:val="1"/>
      <w:numFmt w:val="bullet"/>
      <w:lvlText w:val=""/>
      <w:lvlJc w:val="left"/>
      <w:pPr>
        <w:ind w:left="1080" w:hanging="360"/>
      </w:pPr>
      <w:rPr>
        <w:rFonts w:ascii="Symbol" w:hAnsi="Symbol" w:hint="default"/>
        <w:color w:val="DF5446" w:themeColor="text2" w:themeTint="9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nsid w:val="73EA3159"/>
    <w:multiLevelType w:val="hybridMultilevel"/>
    <w:tmpl w:val="6422DB7A"/>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7944C6F8">
      <w:start w:val="1"/>
      <w:numFmt w:val="bullet"/>
      <w:lvlText w:val="–"/>
      <w:lvlJc w:val="left"/>
      <w:pPr>
        <w:ind w:left="2160" w:hanging="360"/>
      </w:pPr>
      <w:rPr>
        <w:rFonts w:ascii="Times New Roman" w:eastAsia="Times New Roman" w:hAnsi="Times New Roman" w:cs="Times New Roman" w:hint="default"/>
        <w:b/>
        <w:color w:val="000000" w:themeColor="text1"/>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
    <w:nsid w:val="7ED04F90"/>
    <w:multiLevelType w:val="multilevel"/>
    <w:tmpl w:val="FC9EE442"/>
    <w:lvl w:ilvl="0">
      <w:start w:val="1"/>
      <w:numFmt w:val="bullet"/>
      <w:lvlText w:val=""/>
      <w:lvlJc w:val="left"/>
      <w:pPr>
        <w:ind w:left="720" w:hanging="360"/>
      </w:pPr>
      <w:rPr>
        <w:rFonts w:ascii="Symbol" w:hAnsi="Symbol" w:hint="default"/>
        <w:color w:val="DF5446" w:themeColor="text2" w:themeTint="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7"/>
  </w:num>
  <w:num w:numId="4">
    <w:abstractNumId w:val="25"/>
  </w:num>
  <w:num w:numId="5">
    <w:abstractNumId w:val="19"/>
  </w:num>
  <w:num w:numId="6">
    <w:abstractNumId w:val="35"/>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4"/>
  </w:num>
  <w:num w:numId="10">
    <w:abstractNumId w:val="43"/>
  </w:num>
  <w:num w:numId="11">
    <w:abstractNumId w:val="9"/>
  </w:num>
  <w:num w:numId="12">
    <w:abstractNumId w:val="42"/>
  </w:num>
  <w:num w:numId="13">
    <w:abstractNumId w:val="10"/>
  </w:num>
  <w:num w:numId="14">
    <w:abstractNumId w:val="38"/>
  </w:num>
  <w:num w:numId="15">
    <w:abstractNumId w:val="3"/>
  </w:num>
  <w:num w:numId="16">
    <w:abstractNumId w:val="26"/>
  </w:num>
  <w:num w:numId="17">
    <w:abstractNumId w:val="40"/>
  </w:num>
  <w:num w:numId="18">
    <w:abstractNumId w:val="37"/>
  </w:num>
  <w:num w:numId="19">
    <w:abstractNumId w:val="34"/>
  </w:num>
  <w:num w:numId="20">
    <w:abstractNumId w:val="8"/>
  </w:num>
  <w:num w:numId="21">
    <w:abstractNumId w:val="27"/>
  </w:num>
  <w:num w:numId="22">
    <w:abstractNumId w:val="5"/>
  </w:num>
  <w:num w:numId="23">
    <w:abstractNumId w:val="13"/>
  </w:num>
  <w:num w:numId="24">
    <w:abstractNumId w:val="24"/>
  </w:num>
  <w:num w:numId="25">
    <w:abstractNumId w:val="1"/>
  </w:num>
  <w:num w:numId="26">
    <w:abstractNumId w:val="39"/>
  </w:num>
  <w:num w:numId="27">
    <w:abstractNumId w:val="29"/>
  </w:num>
  <w:num w:numId="28">
    <w:abstractNumId w:val="41"/>
  </w:num>
  <w:num w:numId="29">
    <w:abstractNumId w:val="2"/>
  </w:num>
  <w:num w:numId="30">
    <w:abstractNumId w:val="30"/>
  </w:num>
  <w:num w:numId="31">
    <w:abstractNumId w:val="14"/>
  </w:num>
  <w:num w:numId="32">
    <w:abstractNumId w:val="22"/>
  </w:num>
  <w:num w:numId="33">
    <w:abstractNumId w:val="5"/>
    <w:lvlOverride w:ilvl="0">
      <w:startOverride w:val="1"/>
    </w:lvlOverride>
  </w:num>
  <w:num w:numId="34">
    <w:abstractNumId w:val="24"/>
    <w:lvlOverride w:ilvl="0">
      <w:startOverride w:val="1"/>
    </w:lvlOverride>
  </w:num>
  <w:num w:numId="35">
    <w:abstractNumId w:val="18"/>
  </w:num>
  <w:num w:numId="36">
    <w:abstractNumId w:val="12"/>
  </w:num>
  <w:num w:numId="37">
    <w:abstractNumId w:val="20"/>
  </w:num>
  <w:num w:numId="38">
    <w:abstractNumId w:val="28"/>
  </w:num>
  <w:num w:numId="39">
    <w:abstractNumId w:val="15"/>
  </w:num>
  <w:num w:numId="40">
    <w:abstractNumId w:val="4"/>
  </w:num>
  <w:num w:numId="41">
    <w:abstractNumId w:val="36"/>
  </w:num>
  <w:num w:numId="42">
    <w:abstractNumId w:val="32"/>
  </w:num>
  <w:num w:numId="43">
    <w:abstractNumId w:val="31"/>
  </w:num>
  <w:num w:numId="44">
    <w:abstractNumId w:val="17"/>
  </w:num>
  <w:num w:numId="45">
    <w:abstractNumId w:val="45"/>
  </w:num>
  <w:num w:numId="46">
    <w:abstractNumId w:val="16"/>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ADA"/>
    <w:rsid w:val="00001498"/>
    <w:rsid w:val="000019AE"/>
    <w:rsid w:val="00002192"/>
    <w:rsid w:val="00002809"/>
    <w:rsid w:val="0000300D"/>
    <w:rsid w:val="000033B4"/>
    <w:rsid w:val="00003E80"/>
    <w:rsid w:val="0000437D"/>
    <w:rsid w:val="000044AC"/>
    <w:rsid w:val="000046A7"/>
    <w:rsid w:val="00004C2D"/>
    <w:rsid w:val="000054BF"/>
    <w:rsid w:val="000055C2"/>
    <w:rsid w:val="000056D0"/>
    <w:rsid w:val="0000594D"/>
    <w:rsid w:val="0000644D"/>
    <w:rsid w:val="000064BF"/>
    <w:rsid w:val="00006A6D"/>
    <w:rsid w:val="00006FF3"/>
    <w:rsid w:val="000070D1"/>
    <w:rsid w:val="00007323"/>
    <w:rsid w:val="000077CD"/>
    <w:rsid w:val="00007827"/>
    <w:rsid w:val="00007959"/>
    <w:rsid w:val="00010311"/>
    <w:rsid w:val="000108BB"/>
    <w:rsid w:val="00010BEA"/>
    <w:rsid w:val="000114DD"/>
    <w:rsid w:val="000117FE"/>
    <w:rsid w:val="000128B4"/>
    <w:rsid w:val="00012A40"/>
    <w:rsid w:val="00012AEC"/>
    <w:rsid w:val="00012D23"/>
    <w:rsid w:val="0001311C"/>
    <w:rsid w:val="00013231"/>
    <w:rsid w:val="000135EE"/>
    <w:rsid w:val="00013F71"/>
    <w:rsid w:val="00014525"/>
    <w:rsid w:val="000146D6"/>
    <w:rsid w:val="000146F1"/>
    <w:rsid w:val="0001551D"/>
    <w:rsid w:val="00015E7A"/>
    <w:rsid w:val="0001621E"/>
    <w:rsid w:val="000163BC"/>
    <w:rsid w:val="00016439"/>
    <w:rsid w:val="00016464"/>
    <w:rsid w:val="000166C3"/>
    <w:rsid w:val="00016E14"/>
    <w:rsid w:val="00016E17"/>
    <w:rsid w:val="0001727B"/>
    <w:rsid w:val="00017834"/>
    <w:rsid w:val="000178D1"/>
    <w:rsid w:val="000179FF"/>
    <w:rsid w:val="00017D5E"/>
    <w:rsid w:val="0002117F"/>
    <w:rsid w:val="0002141E"/>
    <w:rsid w:val="00021426"/>
    <w:rsid w:val="00021A3C"/>
    <w:rsid w:val="00021CB4"/>
    <w:rsid w:val="000225E7"/>
    <w:rsid w:val="0002340E"/>
    <w:rsid w:val="0002371A"/>
    <w:rsid w:val="00023835"/>
    <w:rsid w:val="00023B1C"/>
    <w:rsid w:val="00024B43"/>
    <w:rsid w:val="000258CE"/>
    <w:rsid w:val="00025F8E"/>
    <w:rsid w:val="00026024"/>
    <w:rsid w:val="00026352"/>
    <w:rsid w:val="00026A73"/>
    <w:rsid w:val="000274F0"/>
    <w:rsid w:val="0002759D"/>
    <w:rsid w:val="000275FB"/>
    <w:rsid w:val="000276D4"/>
    <w:rsid w:val="00027AAD"/>
    <w:rsid w:val="00027E20"/>
    <w:rsid w:val="00027F7F"/>
    <w:rsid w:val="000301E2"/>
    <w:rsid w:val="00030496"/>
    <w:rsid w:val="00030F21"/>
    <w:rsid w:val="00030FC3"/>
    <w:rsid w:val="00031658"/>
    <w:rsid w:val="00031D22"/>
    <w:rsid w:val="00031E40"/>
    <w:rsid w:val="000321E5"/>
    <w:rsid w:val="0003275B"/>
    <w:rsid w:val="00032F83"/>
    <w:rsid w:val="00033026"/>
    <w:rsid w:val="0003339A"/>
    <w:rsid w:val="00033F3E"/>
    <w:rsid w:val="000345C4"/>
    <w:rsid w:val="0003460D"/>
    <w:rsid w:val="00034756"/>
    <w:rsid w:val="00034A8C"/>
    <w:rsid w:val="0003523F"/>
    <w:rsid w:val="0003544F"/>
    <w:rsid w:val="000360FA"/>
    <w:rsid w:val="00036303"/>
    <w:rsid w:val="000366BC"/>
    <w:rsid w:val="00037763"/>
    <w:rsid w:val="000378FA"/>
    <w:rsid w:val="0004044B"/>
    <w:rsid w:val="00040B43"/>
    <w:rsid w:val="00041244"/>
    <w:rsid w:val="000414A7"/>
    <w:rsid w:val="00041844"/>
    <w:rsid w:val="00041989"/>
    <w:rsid w:val="00041B72"/>
    <w:rsid w:val="000423FD"/>
    <w:rsid w:val="00042937"/>
    <w:rsid w:val="00043839"/>
    <w:rsid w:val="00043D7F"/>
    <w:rsid w:val="00043DD7"/>
    <w:rsid w:val="00044B6E"/>
    <w:rsid w:val="00044E79"/>
    <w:rsid w:val="00045183"/>
    <w:rsid w:val="00045675"/>
    <w:rsid w:val="000456D4"/>
    <w:rsid w:val="000458D8"/>
    <w:rsid w:val="000464FC"/>
    <w:rsid w:val="00046A63"/>
    <w:rsid w:val="00046B5D"/>
    <w:rsid w:val="0004706C"/>
    <w:rsid w:val="00050C2E"/>
    <w:rsid w:val="00051A06"/>
    <w:rsid w:val="000520E5"/>
    <w:rsid w:val="00052296"/>
    <w:rsid w:val="000530AE"/>
    <w:rsid w:val="00053448"/>
    <w:rsid w:val="00053479"/>
    <w:rsid w:val="00053530"/>
    <w:rsid w:val="00053DC9"/>
    <w:rsid w:val="00053E1F"/>
    <w:rsid w:val="000543B1"/>
    <w:rsid w:val="00054868"/>
    <w:rsid w:val="00054E60"/>
    <w:rsid w:val="000550A4"/>
    <w:rsid w:val="00055580"/>
    <w:rsid w:val="00055B95"/>
    <w:rsid w:val="00055DBA"/>
    <w:rsid w:val="00056044"/>
    <w:rsid w:val="00056165"/>
    <w:rsid w:val="0005627F"/>
    <w:rsid w:val="0005633C"/>
    <w:rsid w:val="00056A68"/>
    <w:rsid w:val="00057136"/>
    <w:rsid w:val="0005732A"/>
    <w:rsid w:val="00057576"/>
    <w:rsid w:val="000575F3"/>
    <w:rsid w:val="00060065"/>
    <w:rsid w:val="00060403"/>
    <w:rsid w:val="000612CA"/>
    <w:rsid w:val="000616EB"/>
    <w:rsid w:val="000617E6"/>
    <w:rsid w:val="00062044"/>
    <w:rsid w:val="00062AB1"/>
    <w:rsid w:val="00062EDD"/>
    <w:rsid w:val="00062FE8"/>
    <w:rsid w:val="00063840"/>
    <w:rsid w:val="00063FA6"/>
    <w:rsid w:val="00064567"/>
    <w:rsid w:val="000646C8"/>
    <w:rsid w:val="0006511F"/>
    <w:rsid w:val="0006536D"/>
    <w:rsid w:val="0006537E"/>
    <w:rsid w:val="00065468"/>
    <w:rsid w:val="00065700"/>
    <w:rsid w:val="00065928"/>
    <w:rsid w:val="00065B6C"/>
    <w:rsid w:val="0006626C"/>
    <w:rsid w:val="000667F4"/>
    <w:rsid w:val="00066FAC"/>
    <w:rsid w:val="00067052"/>
    <w:rsid w:val="00067E3C"/>
    <w:rsid w:val="0007031C"/>
    <w:rsid w:val="00071064"/>
    <w:rsid w:val="00071245"/>
    <w:rsid w:val="000720BE"/>
    <w:rsid w:val="00072FAE"/>
    <w:rsid w:val="000731E2"/>
    <w:rsid w:val="00073D95"/>
    <w:rsid w:val="00074CC4"/>
    <w:rsid w:val="000755D0"/>
    <w:rsid w:val="00075DB4"/>
    <w:rsid w:val="000761CB"/>
    <w:rsid w:val="000761F6"/>
    <w:rsid w:val="0007640E"/>
    <w:rsid w:val="000770E3"/>
    <w:rsid w:val="0007760D"/>
    <w:rsid w:val="0007763E"/>
    <w:rsid w:val="000777F0"/>
    <w:rsid w:val="00077C12"/>
    <w:rsid w:val="00077EC1"/>
    <w:rsid w:val="000806B3"/>
    <w:rsid w:val="00081080"/>
    <w:rsid w:val="00081085"/>
    <w:rsid w:val="00081DCF"/>
    <w:rsid w:val="00081E47"/>
    <w:rsid w:val="00081F9E"/>
    <w:rsid w:val="0008230B"/>
    <w:rsid w:val="00082930"/>
    <w:rsid w:val="00083063"/>
    <w:rsid w:val="000830D8"/>
    <w:rsid w:val="000832BB"/>
    <w:rsid w:val="00083954"/>
    <w:rsid w:val="00084030"/>
    <w:rsid w:val="00085131"/>
    <w:rsid w:val="000856B7"/>
    <w:rsid w:val="00085A21"/>
    <w:rsid w:val="000860E9"/>
    <w:rsid w:val="00086793"/>
    <w:rsid w:val="00086A7B"/>
    <w:rsid w:val="0008700C"/>
    <w:rsid w:val="000871B3"/>
    <w:rsid w:val="000877FF"/>
    <w:rsid w:val="00087F98"/>
    <w:rsid w:val="00090370"/>
    <w:rsid w:val="00090827"/>
    <w:rsid w:val="00090DA5"/>
    <w:rsid w:val="00090F03"/>
    <w:rsid w:val="00091228"/>
    <w:rsid w:val="0009243D"/>
    <w:rsid w:val="00092450"/>
    <w:rsid w:val="0009248E"/>
    <w:rsid w:val="00092C82"/>
    <w:rsid w:val="00092E56"/>
    <w:rsid w:val="00093CCA"/>
    <w:rsid w:val="00093CE1"/>
    <w:rsid w:val="0009418C"/>
    <w:rsid w:val="00094228"/>
    <w:rsid w:val="00094774"/>
    <w:rsid w:val="00094A11"/>
    <w:rsid w:val="00094C64"/>
    <w:rsid w:val="0009528F"/>
    <w:rsid w:val="000953DC"/>
    <w:rsid w:val="00096384"/>
    <w:rsid w:val="00096565"/>
    <w:rsid w:val="000965E5"/>
    <w:rsid w:val="00096E70"/>
    <w:rsid w:val="00097339"/>
    <w:rsid w:val="000977B1"/>
    <w:rsid w:val="000A04D5"/>
    <w:rsid w:val="000A0AF9"/>
    <w:rsid w:val="000A15D6"/>
    <w:rsid w:val="000A17AA"/>
    <w:rsid w:val="000A1F1C"/>
    <w:rsid w:val="000A3172"/>
    <w:rsid w:val="000A4198"/>
    <w:rsid w:val="000A4B44"/>
    <w:rsid w:val="000A4EBE"/>
    <w:rsid w:val="000A5206"/>
    <w:rsid w:val="000A557A"/>
    <w:rsid w:val="000A5D03"/>
    <w:rsid w:val="000A5E86"/>
    <w:rsid w:val="000A5F84"/>
    <w:rsid w:val="000A678A"/>
    <w:rsid w:val="000A6C9E"/>
    <w:rsid w:val="000A6E02"/>
    <w:rsid w:val="000A7003"/>
    <w:rsid w:val="000A75EB"/>
    <w:rsid w:val="000A763A"/>
    <w:rsid w:val="000A788F"/>
    <w:rsid w:val="000A7D17"/>
    <w:rsid w:val="000A7E09"/>
    <w:rsid w:val="000B01B4"/>
    <w:rsid w:val="000B16FD"/>
    <w:rsid w:val="000B18CC"/>
    <w:rsid w:val="000B22BD"/>
    <w:rsid w:val="000B2649"/>
    <w:rsid w:val="000B3302"/>
    <w:rsid w:val="000B33AB"/>
    <w:rsid w:val="000B3663"/>
    <w:rsid w:val="000B4550"/>
    <w:rsid w:val="000B5105"/>
    <w:rsid w:val="000B641D"/>
    <w:rsid w:val="000B6A63"/>
    <w:rsid w:val="000B6DBC"/>
    <w:rsid w:val="000B7084"/>
    <w:rsid w:val="000B7095"/>
    <w:rsid w:val="000B70E1"/>
    <w:rsid w:val="000B7B41"/>
    <w:rsid w:val="000B7B44"/>
    <w:rsid w:val="000B7C3E"/>
    <w:rsid w:val="000C0393"/>
    <w:rsid w:val="000C03D2"/>
    <w:rsid w:val="000C03EF"/>
    <w:rsid w:val="000C0787"/>
    <w:rsid w:val="000C0B07"/>
    <w:rsid w:val="000C1396"/>
    <w:rsid w:val="000C1AC9"/>
    <w:rsid w:val="000C2667"/>
    <w:rsid w:val="000C2B0C"/>
    <w:rsid w:val="000C3DE6"/>
    <w:rsid w:val="000C44B3"/>
    <w:rsid w:val="000C497A"/>
    <w:rsid w:val="000C583D"/>
    <w:rsid w:val="000C5A2E"/>
    <w:rsid w:val="000C5E15"/>
    <w:rsid w:val="000C6485"/>
    <w:rsid w:val="000C67B6"/>
    <w:rsid w:val="000C70A3"/>
    <w:rsid w:val="000C72C2"/>
    <w:rsid w:val="000C7A7C"/>
    <w:rsid w:val="000C7CA6"/>
    <w:rsid w:val="000D02DA"/>
    <w:rsid w:val="000D038C"/>
    <w:rsid w:val="000D1469"/>
    <w:rsid w:val="000D14ED"/>
    <w:rsid w:val="000D1E98"/>
    <w:rsid w:val="000D343A"/>
    <w:rsid w:val="000D567F"/>
    <w:rsid w:val="000D56A4"/>
    <w:rsid w:val="000D5778"/>
    <w:rsid w:val="000D5ABC"/>
    <w:rsid w:val="000D5F29"/>
    <w:rsid w:val="000D650E"/>
    <w:rsid w:val="000D6688"/>
    <w:rsid w:val="000D6753"/>
    <w:rsid w:val="000D6773"/>
    <w:rsid w:val="000D6AEE"/>
    <w:rsid w:val="000D6C62"/>
    <w:rsid w:val="000D72BF"/>
    <w:rsid w:val="000D7E20"/>
    <w:rsid w:val="000D7E9E"/>
    <w:rsid w:val="000D7F71"/>
    <w:rsid w:val="000E02DB"/>
    <w:rsid w:val="000E0631"/>
    <w:rsid w:val="000E0EC0"/>
    <w:rsid w:val="000E0ED4"/>
    <w:rsid w:val="000E2259"/>
    <w:rsid w:val="000E39A5"/>
    <w:rsid w:val="000E4147"/>
    <w:rsid w:val="000E50A0"/>
    <w:rsid w:val="000E527E"/>
    <w:rsid w:val="000E5661"/>
    <w:rsid w:val="000E5A65"/>
    <w:rsid w:val="000E5EAD"/>
    <w:rsid w:val="000E6277"/>
    <w:rsid w:val="000E67B1"/>
    <w:rsid w:val="000E6D5C"/>
    <w:rsid w:val="000E6E0B"/>
    <w:rsid w:val="000E6E9A"/>
    <w:rsid w:val="000E7144"/>
    <w:rsid w:val="000E7180"/>
    <w:rsid w:val="000E76AB"/>
    <w:rsid w:val="000E7856"/>
    <w:rsid w:val="000E7902"/>
    <w:rsid w:val="000E7A62"/>
    <w:rsid w:val="000E7E45"/>
    <w:rsid w:val="000E7F5E"/>
    <w:rsid w:val="000F04E4"/>
    <w:rsid w:val="000F05FF"/>
    <w:rsid w:val="000F0A76"/>
    <w:rsid w:val="000F0CB1"/>
    <w:rsid w:val="000F0FB2"/>
    <w:rsid w:val="000F0FBD"/>
    <w:rsid w:val="000F2F4D"/>
    <w:rsid w:val="000F35AB"/>
    <w:rsid w:val="000F3C23"/>
    <w:rsid w:val="000F3FD9"/>
    <w:rsid w:val="000F452C"/>
    <w:rsid w:val="000F4F21"/>
    <w:rsid w:val="000F5A53"/>
    <w:rsid w:val="000F5B12"/>
    <w:rsid w:val="000F65C5"/>
    <w:rsid w:val="000F6847"/>
    <w:rsid w:val="000F6FF4"/>
    <w:rsid w:val="000F7123"/>
    <w:rsid w:val="000F735B"/>
    <w:rsid w:val="000F73C3"/>
    <w:rsid w:val="000F7743"/>
    <w:rsid w:val="000F7952"/>
    <w:rsid w:val="00100201"/>
    <w:rsid w:val="00100765"/>
    <w:rsid w:val="00100F0C"/>
    <w:rsid w:val="001013D4"/>
    <w:rsid w:val="00101668"/>
    <w:rsid w:val="00102275"/>
    <w:rsid w:val="00102A5C"/>
    <w:rsid w:val="00102DEB"/>
    <w:rsid w:val="00102E9B"/>
    <w:rsid w:val="0010304E"/>
    <w:rsid w:val="00103242"/>
    <w:rsid w:val="001032DB"/>
    <w:rsid w:val="0010380B"/>
    <w:rsid w:val="00103AF5"/>
    <w:rsid w:val="00104C36"/>
    <w:rsid w:val="00104E05"/>
    <w:rsid w:val="00105470"/>
    <w:rsid w:val="00105473"/>
    <w:rsid w:val="0010555C"/>
    <w:rsid w:val="001057F3"/>
    <w:rsid w:val="00105A91"/>
    <w:rsid w:val="00105CBB"/>
    <w:rsid w:val="00106028"/>
    <w:rsid w:val="0010656F"/>
    <w:rsid w:val="001067E0"/>
    <w:rsid w:val="001076CA"/>
    <w:rsid w:val="00107781"/>
    <w:rsid w:val="00107A0C"/>
    <w:rsid w:val="00107B05"/>
    <w:rsid w:val="00107D3D"/>
    <w:rsid w:val="00107E8B"/>
    <w:rsid w:val="001103DE"/>
    <w:rsid w:val="00110639"/>
    <w:rsid w:val="00112120"/>
    <w:rsid w:val="00113051"/>
    <w:rsid w:val="0011429B"/>
    <w:rsid w:val="0011473D"/>
    <w:rsid w:val="0011489D"/>
    <w:rsid w:val="00114C48"/>
    <w:rsid w:val="00114FC3"/>
    <w:rsid w:val="00115090"/>
    <w:rsid w:val="00115625"/>
    <w:rsid w:val="00115786"/>
    <w:rsid w:val="00116017"/>
    <w:rsid w:val="001166F1"/>
    <w:rsid w:val="00117C4F"/>
    <w:rsid w:val="00117CCB"/>
    <w:rsid w:val="00117F54"/>
    <w:rsid w:val="00120190"/>
    <w:rsid w:val="001206CF"/>
    <w:rsid w:val="0012071A"/>
    <w:rsid w:val="00120EFF"/>
    <w:rsid w:val="00121035"/>
    <w:rsid w:val="00121142"/>
    <w:rsid w:val="00121D26"/>
    <w:rsid w:val="00121E32"/>
    <w:rsid w:val="00122C07"/>
    <w:rsid w:val="00122C93"/>
    <w:rsid w:val="001237BA"/>
    <w:rsid w:val="00123A51"/>
    <w:rsid w:val="0012421D"/>
    <w:rsid w:val="00124628"/>
    <w:rsid w:val="001247CE"/>
    <w:rsid w:val="0012489D"/>
    <w:rsid w:val="001249F1"/>
    <w:rsid w:val="00124D36"/>
    <w:rsid w:val="0012528F"/>
    <w:rsid w:val="001253D1"/>
    <w:rsid w:val="001257E9"/>
    <w:rsid w:val="00125B30"/>
    <w:rsid w:val="00125B53"/>
    <w:rsid w:val="00126014"/>
    <w:rsid w:val="001263F1"/>
    <w:rsid w:val="00126FBE"/>
    <w:rsid w:val="0012729C"/>
    <w:rsid w:val="001302DA"/>
    <w:rsid w:val="00131169"/>
    <w:rsid w:val="001313A2"/>
    <w:rsid w:val="0013181C"/>
    <w:rsid w:val="0013185A"/>
    <w:rsid w:val="001318A9"/>
    <w:rsid w:val="0013235B"/>
    <w:rsid w:val="00132BE2"/>
    <w:rsid w:val="001333FE"/>
    <w:rsid w:val="00133B74"/>
    <w:rsid w:val="00133CA8"/>
    <w:rsid w:val="00133D90"/>
    <w:rsid w:val="00133E0E"/>
    <w:rsid w:val="0013494F"/>
    <w:rsid w:val="001349D2"/>
    <w:rsid w:val="00134C3C"/>
    <w:rsid w:val="00135059"/>
    <w:rsid w:val="00135407"/>
    <w:rsid w:val="00135B74"/>
    <w:rsid w:val="00135CDF"/>
    <w:rsid w:val="001360B8"/>
    <w:rsid w:val="00136675"/>
    <w:rsid w:val="0013667E"/>
    <w:rsid w:val="00136D69"/>
    <w:rsid w:val="00137571"/>
    <w:rsid w:val="00137A05"/>
    <w:rsid w:val="00137E99"/>
    <w:rsid w:val="001408B7"/>
    <w:rsid w:val="00142125"/>
    <w:rsid w:val="00142D12"/>
    <w:rsid w:val="0014323E"/>
    <w:rsid w:val="00144389"/>
    <w:rsid w:val="001446D9"/>
    <w:rsid w:val="00144BE2"/>
    <w:rsid w:val="00145EBB"/>
    <w:rsid w:val="00145FB0"/>
    <w:rsid w:val="00145FCC"/>
    <w:rsid w:val="00146580"/>
    <w:rsid w:val="001467EB"/>
    <w:rsid w:val="00146F42"/>
    <w:rsid w:val="001508A3"/>
    <w:rsid w:val="00150A6A"/>
    <w:rsid w:val="00151089"/>
    <w:rsid w:val="00151265"/>
    <w:rsid w:val="00151918"/>
    <w:rsid w:val="00152081"/>
    <w:rsid w:val="00152713"/>
    <w:rsid w:val="001527A4"/>
    <w:rsid w:val="00152F13"/>
    <w:rsid w:val="0015329D"/>
    <w:rsid w:val="00155632"/>
    <w:rsid w:val="00155861"/>
    <w:rsid w:val="001558E9"/>
    <w:rsid w:val="001559C8"/>
    <w:rsid w:val="00155B16"/>
    <w:rsid w:val="00155B85"/>
    <w:rsid w:val="0015643E"/>
    <w:rsid w:val="001565CC"/>
    <w:rsid w:val="00156637"/>
    <w:rsid w:val="00156B84"/>
    <w:rsid w:val="00156E62"/>
    <w:rsid w:val="00156EE0"/>
    <w:rsid w:val="00160660"/>
    <w:rsid w:val="0016196A"/>
    <w:rsid w:val="00161C3C"/>
    <w:rsid w:val="00161E87"/>
    <w:rsid w:val="0016289B"/>
    <w:rsid w:val="00162996"/>
    <w:rsid w:val="00162AE3"/>
    <w:rsid w:val="00163642"/>
    <w:rsid w:val="00163657"/>
    <w:rsid w:val="00163EFE"/>
    <w:rsid w:val="00163FE4"/>
    <w:rsid w:val="001645C5"/>
    <w:rsid w:val="00164E2E"/>
    <w:rsid w:val="001650E2"/>
    <w:rsid w:val="00165B3B"/>
    <w:rsid w:val="00165DB6"/>
    <w:rsid w:val="001665F9"/>
    <w:rsid w:val="001666D0"/>
    <w:rsid w:val="00166D73"/>
    <w:rsid w:val="00167070"/>
    <w:rsid w:val="0016708A"/>
    <w:rsid w:val="001670B7"/>
    <w:rsid w:val="0016780A"/>
    <w:rsid w:val="00167ED9"/>
    <w:rsid w:val="00170570"/>
    <w:rsid w:val="00170725"/>
    <w:rsid w:val="00170733"/>
    <w:rsid w:val="00170A67"/>
    <w:rsid w:val="00170C94"/>
    <w:rsid w:val="00170D74"/>
    <w:rsid w:val="00170F9A"/>
    <w:rsid w:val="0017133B"/>
    <w:rsid w:val="0017146E"/>
    <w:rsid w:val="00172908"/>
    <w:rsid w:val="0017317B"/>
    <w:rsid w:val="00173201"/>
    <w:rsid w:val="001743E6"/>
    <w:rsid w:val="00174607"/>
    <w:rsid w:val="00174FB9"/>
    <w:rsid w:val="00175240"/>
    <w:rsid w:val="00175601"/>
    <w:rsid w:val="0017570A"/>
    <w:rsid w:val="001759BD"/>
    <w:rsid w:val="001767F7"/>
    <w:rsid w:val="00177302"/>
    <w:rsid w:val="001773DC"/>
    <w:rsid w:val="001777E4"/>
    <w:rsid w:val="00177C89"/>
    <w:rsid w:val="00177D15"/>
    <w:rsid w:val="001804E2"/>
    <w:rsid w:val="00181534"/>
    <w:rsid w:val="00182116"/>
    <w:rsid w:val="00182BED"/>
    <w:rsid w:val="00183549"/>
    <w:rsid w:val="00183AB0"/>
    <w:rsid w:val="00183E74"/>
    <w:rsid w:val="00184012"/>
    <w:rsid w:val="001841F1"/>
    <w:rsid w:val="00184339"/>
    <w:rsid w:val="00184541"/>
    <w:rsid w:val="001847E9"/>
    <w:rsid w:val="00184BCC"/>
    <w:rsid w:val="00185E8C"/>
    <w:rsid w:val="00186204"/>
    <w:rsid w:val="001863EB"/>
    <w:rsid w:val="00186E2A"/>
    <w:rsid w:val="00186F8E"/>
    <w:rsid w:val="00187377"/>
    <w:rsid w:val="001874BF"/>
    <w:rsid w:val="00187509"/>
    <w:rsid w:val="00187517"/>
    <w:rsid w:val="001875CE"/>
    <w:rsid w:val="001876AD"/>
    <w:rsid w:val="00187C1F"/>
    <w:rsid w:val="001905A4"/>
    <w:rsid w:val="001905B2"/>
    <w:rsid w:val="0019062D"/>
    <w:rsid w:val="0019098D"/>
    <w:rsid w:val="00190B01"/>
    <w:rsid w:val="00191046"/>
    <w:rsid w:val="001912FC"/>
    <w:rsid w:val="00191895"/>
    <w:rsid w:val="001919FE"/>
    <w:rsid w:val="00191AAD"/>
    <w:rsid w:val="001923E5"/>
    <w:rsid w:val="00192C71"/>
    <w:rsid w:val="00192D50"/>
    <w:rsid w:val="00193842"/>
    <w:rsid w:val="00193F03"/>
    <w:rsid w:val="001945A8"/>
    <w:rsid w:val="00194C22"/>
    <w:rsid w:val="00195272"/>
    <w:rsid w:val="00195424"/>
    <w:rsid w:val="00195A3F"/>
    <w:rsid w:val="00196A24"/>
    <w:rsid w:val="00196E10"/>
    <w:rsid w:val="001972D7"/>
    <w:rsid w:val="00197725"/>
    <w:rsid w:val="00197752"/>
    <w:rsid w:val="0019779E"/>
    <w:rsid w:val="001978D8"/>
    <w:rsid w:val="00197E6A"/>
    <w:rsid w:val="001A0387"/>
    <w:rsid w:val="001A04D4"/>
    <w:rsid w:val="001A078F"/>
    <w:rsid w:val="001A0CDB"/>
    <w:rsid w:val="001A0DEA"/>
    <w:rsid w:val="001A0E05"/>
    <w:rsid w:val="001A11B0"/>
    <w:rsid w:val="001A1BA2"/>
    <w:rsid w:val="001A2E3B"/>
    <w:rsid w:val="001A339B"/>
    <w:rsid w:val="001A3523"/>
    <w:rsid w:val="001A37C9"/>
    <w:rsid w:val="001A3D1C"/>
    <w:rsid w:val="001A4381"/>
    <w:rsid w:val="001A48E8"/>
    <w:rsid w:val="001A4B06"/>
    <w:rsid w:val="001A4B57"/>
    <w:rsid w:val="001A4CC1"/>
    <w:rsid w:val="001A4FC0"/>
    <w:rsid w:val="001A50A2"/>
    <w:rsid w:val="001A5139"/>
    <w:rsid w:val="001A5AE9"/>
    <w:rsid w:val="001A6253"/>
    <w:rsid w:val="001A6672"/>
    <w:rsid w:val="001A687D"/>
    <w:rsid w:val="001A6A4E"/>
    <w:rsid w:val="001A730D"/>
    <w:rsid w:val="001A7930"/>
    <w:rsid w:val="001B0504"/>
    <w:rsid w:val="001B0D39"/>
    <w:rsid w:val="001B144B"/>
    <w:rsid w:val="001B14F9"/>
    <w:rsid w:val="001B1756"/>
    <w:rsid w:val="001B1A14"/>
    <w:rsid w:val="001B1CEC"/>
    <w:rsid w:val="001B274A"/>
    <w:rsid w:val="001B2783"/>
    <w:rsid w:val="001B27DB"/>
    <w:rsid w:val="001B27FE"/>
    <w:rsid w:val="001B2E14"/>
    <w:rsid w:val="001B32E2"/>
    <w:rsid w:val="001B41A5"/>
    <w:rsid w:val="001B4379"/>
    <w:rsid w:val="001B4854"/>
    <w:rsid w:val="001B5B95"/>
    <w:rsid w:val="001B6522"/>
    <w:rsid w:val="001B6532"/>
    <w:rsid w:val="001B6562"/>
    <w:rsid w:val="001B68B4"/>
    <w:rsid w:val="001B74D0"/>
    <w:rsid w:val="001B7765"/>
    <w:rsid w:val="001B7C41"/>
    <w:rsid w:val="001C01CD"/>
    <w:rsid w:val="001C0656"/>
    <w:rsid w:val="001C1259"/>
    <w:rsid w:val="001C176D"/>
    <w:rsid w:val="001C1839"/>
    <w:rsid w:val="001C1D80"/>
    <w:rsid w:val="001C20E1"/>
    <w:rsid w:val="001C2119"/>
    <w:rsid w:val="001C2144"/>
    <w:rsid w:val="001C2474"/>
    <w:rsid w:val="001C3065"/>
    <w:rsid w:val="001C33AF"/>
    <w:rsid w:val="001C3C5E"/>
    <w:rsid w:val="001C3EB0"/>
    <w:rsid w:val="001C430B"/>
    <w:rsid w:val="001C46B6"/>
    <w:rsid w:val="001C49E0"/>
    <w:rsid w:val="001C4C0A"/>
    <w:rsid w:val="001C4E3B"/>
    <w:rsid w:val="001C57E1"/>
    <w:rsid w:val="001C6269"/>
    <w:rsid w:val="001C6364"/>
    <w:rsid w:val="001C6836"/>
    <w:rsid w:val="001C6A70"/>
    <w:rsid w:val="001C6C2C"/>
    <w:rsid w:val="001C6E78"/>
    <w:rsid w:val="001C725E"/>
    <w:rsid w:val="001C72FC"/>
    <w:rsid w:val="001C751A"/>
    <w:rsid w:val="001C7948"/>
    <w:rsid w:val="001D035E"/>
    <w:rsid w:val="001D0502"/>
    <w:rsid w:val="001D08D0"/>
    <w:rsid w:val="001D0A22"/>
    <w:rsid w:val="001D0AB7"/>
    <w:rsid w:val="001D0B17"/>
    <w:rsid w:val="001D0CCD"/>
    <w:rsid w:val="001D0F63"/>
    <w:rsid w:val="001D1078"/>
    <w:rsid w:val="001D1BAE"/>
    <w:rsid w:val="001D262C"/>
    <w:rsid w:val="001D2C5A"/>
    <w:rsid w:val="001D321D"/>
    <w:rsid w:val="001D35BD"/>
    <w:rsid w:val="001D3928"/>
    <w:rsid w:val="001D3B10"/>
    <w:rsid w:val="001D40DB"/>
    <w:rsid w:val="001D4904"/>
    <w:rsid w:val="001D5AA1"/>
    <w:rsid w:val="001D6C8E"/>
    <w:rsid w:val="001D716D"/>
    <w:rsid w:val="001D76CA"/>
    <w:rsid w:val="001E0522"/>
    <w:rsid w:val="001E0E08"/>
    <w:rsid w:val="001E1464"/>
    <w:rsid w:val="001E1511"/>
    <w:rsid w:val="001E1997"/>
    <w:rsid w:val="001E19AF"/>
    <w:rsid w:val="001E1D3A"/>
    <w:rsid w:val="001E1F72"/>
    <w:rsid w:val="001E2248"/>
    <w:rsid w:val="001E2E4B"/>
    <w:rsid w:val="001E2EC6"/>
    <w:rsid w:val="001E2ED6"/>
    <w:rsid w:val="001E3469"/>
    <w:rsid w:val="001E34BC"/>
    <w:rsid w:val="001E3ABB"/>
    <w:rsid w:val="001E3CAC"/>
    <w:rsid w:val="001E3FA9"/>
    <w:rsid w:val="001E4B96"/>
    <w:rsid w:val="001E5314"/>
    <w:rsid w:val="001E553C"/>
    <w:rsid w:val="001E6183"/>
    <w:rsid w:val="001E6BB3"/>
    <w:rsid w:val="001E788A"/>
    <w:rsid w:val="001E7C8D"/>
    <w:rsid w:val="001F00C5"/>
    <w:rsid w:val="001F00CC"/>
    <w:rsid w:val="001F07D8"/>
    <w:rsid w:val="001F0A46"/>
    <w:rsid w:val="001F0B6E"/>
    <w:rsid w:val="001F0DF5"/>
    <w:rsid w:val="001F14DC"/>
    <w:rsid w:val="001F163C"/>
    <w:rsid w:val="001F1CF1"/>
    <w:rsid w:val="001F1D8E"/>
    <w:rsid w:val="001F27A4"/>
    <w:rsid w:val="001F2B41"/>
    <w:rsid w:val="001F2E01"/>
    <w:rsid w:val="001F386C"/>
    <w:rsid w:val="001F4183"/>
    <w:rsid w:val="001F429E"/>
    <w:rsid w:val="001F4AEC"/>
    <w:rsid w:val="001F556B"/>
    <w:rsid w:val="001F5B98"/>
    <w:rsid w:val="001F5C1D"/>
    <w:rsid w:val="001F5E2E"/>
    <w:rsid w:val="001F7786"/>
    <w:rsid w:val="00200622"/>
    <w:rsid w:val="002006E0"/>
    <w:rsid w:val="0020122E"/>
    <w:rsid w:val="00201738"/>
    <w:rsid w:val="00201AAF"/>
    <w:rsid w:val="00202947"/>
    <w:rsid w:val="002030CF"/>
    <w:rsid w:val="00203EF0"/>
    <w:rsid w:val="00204AEE"/>
    <w:rsid w:val="00204E4E"/>
    <w:rsid w:val="00205E7D"/>
    <w:rsid w:val="00205F5E"/>
    <w:rsid w:val="002060F9"/>
    <w:rsid w:val="00206B09"/>
    <w:rsid w:val="00207670"/>
    <w:rsid w:val="00207ADD"/>
    <w:rsid w:val="00207BC7"/>
    <w:rsid w:val="00210016"/>
    <w:rsid w:val="002115EB"/>
    <w:rsid w:val="00211632"/>
    <w:rsid w:val="00211720"/>
    <w:rsid w:val="00211763"/>
    <w:rsid w:val="00211B44"/>
    <w:rsid w:val="00211BF7"/>
    <w:rsid w:val="00211EE7"/>
    <w:rsid w:val="00211F48"/>
    <w:rsid w:val="002124B2"/>
    <w:rsid w:val="00212AD9"/>
    <w:rsid w:val="00212C3F"/>
    <w:rsid w:val="00212D06"/>
    <w:rsid w:val="00213385"/>
    <w:rsid w:val="002133C5"/>
    <w:rsid w:val="0021344C"/>
    <w:rsid w:val="00213708"/>
    <w:rsid w:val="002137C7"/>
    <w:rsid w:val="0021385F"/>
    <w:rsid w:val="002140EA"/>
    <w:rsid w:val="002142CB"/>
    <w:rsid w:val="00214819"/>
    <w:rsid w:val="00214C45"/>
    <w:rsid w:val="00214E5D"/>
    <w:rsid w:val="00214F60"/>
    <w:rsid w:val="00215831"/>
    <w:rsid w:val="00215F10"/>
    <w:rsid w:val="00215F8C"/>
    <w:rsid w:val="00216D09"/>
    <w:rsid w:val="00216D0C"/>
    <w:rsid w:val="00216D62"/>
    <w:rsid w:val="00217733"/>
    <w:rsid w:val="00217B2E"/>
    <w:rsid w:val="00217CEA"/>
    <w:rsid w:val="0022103C"/>
    <w:rsid w:val="00221612"/>
    <w:rsid w:val="00221A28"/>
    <w:rsid w:val="00221AC2"/>
    <w:rsid w:val="00221B32"/>
    <w:rsid w:val="00221C08"/>
    <w:rsid w:val="0022209F"/>
    <w:rsid w:val="0022214F"/>
    <w:rsid w:val="00222470"/>
    <w:rsid w:val="00222805"/>
    <w:rsid w:val="00222A3A"/>
    <w:rsid w:val="00222A75"/>
    <w:rsid w:val="00222C65"/>
    <w:rsid w:val="00222D0B"/>
    <w:rsid w:val="002230C9"/>
    <w:rsid w:val="00223D5D"/>
    <w:rsid w:val="00224A37"/>
    <w:rsid w:val="002256A0"/>
    <w:rsid w:val="00225C4C"/>
    <w:rsid w:val="00225D79"/>
    <w:rsid w:val="0022611A"/>
    <w:rsid w:val="00226D77"/>
    <w:rsid w:val="002271D4"/>
    <w:rsid w:val="00227450"/>
    <w:rsid w:val="00227469"/>
    <w:rsid w:val="002275F2"/>
    <w:rsid w:val="0022775B"/>
    <w:rsid w:val="002278E3"/>
    <w:rsid w:val="002300E0"/>
    <w:rsid w:val="0023120E"/>
    <w:rsid w:val="002313BD"/>
    <w:rsid w:val="002315F2"/>
    <w:rsid w:val="002328D6"/>
    <w:rsid w:val="0023399F"/>
    <w:rsid w:val="00233C65"/>
    <w:rsid w:val="002354E5"/>
    <w:rsid w:val="00235BF5"/>
    <w:rsid w:val="00235D0C"/>
    <w:rsid w:val="00235DAD"/>
    <w:rsid w:val="00235E7C"/>
    <w:rsid w:val="002361AD"/>
    <w:rsid w:val="002362D3"/>
    <w:rsid w:val="00237200"/>
    <w:rsid w:val="00237FFD"/>
    <w:rsid w:val="00240544"/>
    <w:rsid w:val="0024069E"/>
    <w:rsid w:val="002409D9"/>
    <w:rsid w:val="00240ABD"/>
    <w:rsid w:val="00240AC1"/>
    <w:rsid w:val="00240E20"/>
    <w:rsid w:val="00240E58"/>
    <w:rsid w:val="0024160B"/>
    <w:rsid w:val="0024227B"/>
    <w:rsid w:val="002425B8"/>
    <w:rsid w:val="0024295D"/>
    <w:rsid w:val="00242B45"/>
    <w:rsid w:val="0024390C"/>
    <w:rsid w:val="00243970"/>
    <w:rsid w:val="00243FD2"/>
    <w:rsid w:val="002441C0"/>
    <w:rsid w:val="00244867"/>
    <w:rsid w:val="00244D5F"/>
    <w:rsid w:val="0024571B"/>
    <w:rsid w:val="00245AAC"/>
    <w:rsid w:val="00246843"/>
    <w:rsid w:val="002468DC"/>
    <w:rsid w:val="00246ADC"/>
    <w:rsid w:val="00247E8A"/>
    <w:rsid w:val="00247ED1"/>
    <w:rsid w:val="00247FC5"/>
    <w:rsid w:val="00250BF1"/>
    <w:rsid w:val="002511B1"/>
    <w:rsid w:val="002512C7"/>
    <w:rsid w:val="00251598"/>
    <w:rsid w:val="00251772"/>
    <w:rsid w:val="002517A1"/>
    <w:rsid w:val="00251A7E"/>
    <w:rsid w:val="00251D0E"/>
    <w:rsid w:val="00252797"/>
    <w:rsid w:val="00253046"/>
    <w:rsid w:val="00253250"/>
    <w:rsid w:val="00253BFA"/>
    <w:rsid w:val="00254346"/>
    <w:rsid w:val="00254D1D"/>
    <w:rsid w:val="00255EEB"/>
    <w:rsid w:val="00256B44"/>
    <w:rsid w:val="00256F64"/>
    <w:rsid w:val="00257B74"/>
    <w:rsid w:val="00257D61"/>
    <w:rsid w:val="00257DFC"/>
    <w:rsid w:val="002602DF"/>
    <w:rsid w:val="00260929"/>
    <w:rsid w:val="00261D01"/>
    <w:rsid w:val="002620C1"/>
    <w:rsid w:val="002621D7"/>
    <w:rsid w:val="00262324"/>
    <w:rsid w:val="002625E8"/>
    <w:rsid w:val="002626D7"/>
    <w:rsid w:val="00262C8A"/>
    <w:rsid w:val="00262D3E"/>
    <w:rsid w:val="00262F51"/>
    <w:rsid w:val="002634D2"/>
    <w:rsid w:val="0026383C"/>
    <w:rsid w:val="0026483B"/>
    <w:rsid w:val="00264BEB"/>
    <w:rsid w:val="002650AB"/>
    <w:rsid w:val="00265294"/>
    <w:rsid w:val="002657EA"/>
    <w:rsid w:val="00266182"/>
    <w:rsid w:val="00266184"/>
    <w:rsid w:val="0026734E"/>
    <w:rsid w:val="0026768A"/>
    <w:rsid w:val="00267E4E"/>
    <w:rsid w:val="002707A0"/>
    <w:rsid w:val="00271101"/>
    <w:rsid w:val="00271157"/>
    <w:rsid w:val="00271D60"/>
    <w:rsid w:val="00272397"/>
    <w:rsid w:val="00272999"/>
    <w:rsid w:val="00273525"/>
    <w:rsid w:val="002739DF"/>
    <w:rsid w:val="00274B3E"/>
    <w:rsid w:val="00274C09"/>
    <w:rsid w:val="00274C77"/>
    <w:rsid w:val="00274F35"/>
    <w:rsid w:val="0027514C"/>
    <w:rsid w:val="0027533D"/>
    <w:rsid w:val="00275B0E"/>
    <w:rsid w:val="00275F19"/>
    <w:rsid w:val="0027686C"/>
    <w:rsid w:val="00276BC2"/>
    <w:rsid w:val="00276C5B"/>
    <w:rsid w:val="00277062"/>
    <w:rsid w:val="0027708D"/>
    <w:rsid w:val="002774D9"/>
    <w:rsid w:val="00277B34"/>
    <w:rsid w:val="00277C0E"/>
    <w:rsid w:val="002805CA"/>
    <w:rsid w:val="002810A3"/>
    <w:rsid w:val="0028173B"/>
    <w:rsid w:val="00281F47"/>
    <w:rsid w:val="0028243B"/>
    <w:rsid w:val="0028246C"/>
    <w:rsid w:val="00282680"/>
    <w:rsid w:val="00283A6C"/>
    <w:rsid w:val="00283FD2"/>
    <w:rsid w:val="002855C3"/>
    <w:rsid w:val="002857D0"/>
    <w:rsid w:val="002859C6"/>
    <w:rsid w:val="00285A80"/>
    <w:rsid w:val="00285ACE"/>
    <w:rsid w:val="00285E1A"/>
    <w:rsid w:val="00286249"/>
    <w:rsid w:val="00286361"/>
    <w:rsid w:val="0028665F"/>
    <w:rsid w:val="00287A3D"/>
    <w:rsid w:val="00287AEA"/>
    <w:rsid w:val="0029155C"/>
    <w:rsid w:val="00291933"/>
    <w:rsid w:val="00291D9F"/>
    <w:rsid w:val="00291FD2"/>
    <w:rsid w:val="002926E5"/>
    <w:rsid w:val="0029284E"/>
    <w:rsid w:val="00292E74"/>
    <w:rsid w:val="0029361E"/>
    <w:rsid w:val="002937BF"/>
    <w:rsid w:val="002939B8"/>
    <w:rsid w:val="0029417E"/>
    <w:rsid w:val="00294584"/>
    <w:rsid w:val="0029484C"/>
    <w:rsid w:val="0029489E"/>
    <w:rsid w:val="002948EF"/>
    <w:rsid w:val="00294F08"/>
    <w:rsid w:val="002950E5"/>
    <w:rsid w:val="002957DD"/>
    <w:rsid w:val="0029583A"/>
    <w:rsid w:val="00295CF5"/>
    <w:rsid w:val="00295EB7"/>
    <w:rsid w:val="00296414"/>
    <w:rsid w:val="002966C0"/>
    <w:rsid w:val="00296761"/>
    <w:rsid w:val="00296888"/>
    <w:rsid w:val="002968B7"/>
    <w:rsid w:val="002975B7"/>
    <w:rsid w:val="0029767A"/>
    <w:rsid w:val="00297891"/>
    <w:rsid w:val="00297947"/>
    <w:rsid w:val="002979A1"/>
    <w:rsid w:val="002A027D"/>
    <w:rsid w:val="002A078A"/>
    <w:rsid w:val="002A07D2"/>
    <w:rsid w:val="002A111D"/>
    <w:rsid w:val="002A13BB"/>
    <w:rsid w:val="002A1CD0"/>
    <w:rsid w:val="002A3244"/>
    <w:rsid w:val="002A32B0"/>
    <w:rsid w:val="002A36C0"/>
    <w:rsid w:val="002A3CB9"/>
    <w:rsid w:val="002A4023"/>
    <w:rsid w:val="002A4761"/>
    <w:rsid w:val="002A49A5"/>
    <w:rsid w:val="002A4A2D"/>
    <w:rsid w:val="002A5979"/>
    <w:rsid w:val="002A59D3"/>
    <w:rsid w:val="002A5C1E"/>
    <w:rsid w:val="002A6433"/>
    <w:rsid w:val="002A6690"/>
    <w:rsid w:val="002A689B"/>
    <w:rsid w:val="002A69D6"/>
    <w:rsid w:val="002A746E"/>
    <w:rsid w:val="002A7B5E"/>
    <w:rsid w:val="002B0705"/>
    <w:rsid w:val="002B1933"/>
    <w:rsid w:val="002B1A6B"/>
    <w:rsid w:val="002B1E19"/>
    <w:rsid w:val="002B229B"/>
    <w:rsid w:val="002B3E62"/>
    <w:rsid w:val="002B5028"/>
    <w:rsid w:val="002B5E8E"/>
    <w:rsid w:val="002B5F39"/>
    <w:rsid w:val="002B6349"/>
    <w:rsid w:val="002B63EC"/>
    <w:rsid w:val="002B65A3"/>
    <w:rsid w:val="002B6951"/>
    <w:rsid w:val="002B6992"/>
    <w:rsid w:val="002B7608"/>
    <w:rsid w:val="002B77E4"/>
    <w:rsid w:val="002B7F70"/>
    <w:rsid w:val="002C022A"/>
    <w:rsid w:val="002C0AD3"/>
    <w:rsid w:val="002C0B94"/>
    <w:rsid w:val="002C0BE6"/>
    <w:rsid w:val="002C0C98"/>
    <w:rsid w:val="002C0E34"/>
    <w:rsid w:val="002C14D9"/>
    <w:rsid w:val="002C16CE"/>
    <w:rsid w:val="002C1E7D"/>
    <w:rsid w:val="002C272E"/>
    <w:rsid w:val="002C2F10"/>
    <w:rsid w:val="002C307E"/>
    <w:rsid w:val="002C3149"/>
    <w:rsid w:val="002C317A"/>
    <w:rsid w:val="002C388E"/>
    <w:rsid w:val="002C3B3E"/>
    <w:rsid w:val="002C4065"/>
    <w:rsid w:val="002C4BD4"/>
    <w:rsid w:val="002C4D7D"/>
    <w:rsid w:val="002C52C6"/>
    <w:rsid w:val="002C53C3"/>
    <w:rsid w:val="002C582B"/>
    <w:rsid w:val="002C58DB"/>
    <w:rsid w:val="002C5BEE"/>
    <w:rsid w:val="002C5F65"/>
    <w:rsid w:val="002C6103"/>
    <w:rsid w:val="002C656F"/>
    <w:rsid w:val="002C6A5C"/>
    <w:rsid w:val="002C7B84"/>
    <w:rsid w:val="002C7BB4"/>
    <w:rsid w:val="002C7E13"/>
    <w:rsid w:val="002D02A5"/>
    <w:rsid w:val="002D0A11"/>
    <w:rsid w:val="002D0B59"/>
    <w:rsid w:val="002D0BAE"/>
    <w:rsid w:val="002D1AA0"/>
    <w:rsid w:val="002D20E8"/>
    <w:rsid w:val="002D2594"/>
    <w:rsid w:val="002D2F91"/>
    <w:rsid w:val="002D32C7"/>
    <w:rsid w:val="002D3667"/>
    <w:rsid w:val="002D3EFC"/>
    <w:rsid w:val="002D54B8"/>
    <w:rsid w:val="002D5556"/>
    <w:rsid w:val="002D65D6"/>
    <w:rsid w:val="002D6604"/>
    <w:rsid w:val="002D6646"/>
    <w:rsid w:val="002D66B3"/>
    <w:rsid w:val="002D77F0"/>
    <w:rsid w:val="002E04F9"/>
    <w:rsid w:val="002E0641"/>
    <w:rsid w:val="002E07EC"/>
    <w:rsid w:val="002E1A5D"/>
    <w:rsid w:val="002E2B19"/>
    <w:rsid w:val="002E3094"/>
    <w:rsid w:val="002E3496"/>
    <w:rsid w:val="002E3F53"/>
    <w:rsid w:val="002E3F83"/>
    <w:rsid w:val="002E42C3"/>
    <w:rsid w:val="002E4C43"/>
    <w:rsid w:val="002E5145"/>
    <w:rsid w:val="002E541A"/>
    <w:rsid w:val="002E5748"/>
    <w:rsid w:val="002E5D3E"/>
    <w:rsid w:val="002E60C1"/>
    <w:rsid w:val="002E63FF"/>
    <w:rsid w:val="002E665A"/>
    <w:rsid w:val="002E6DFB"/>
    <w:rsid w:val="002E6E04"/>
    <w:rsid w:val="002E7193"/>
    <w:rsid w:val="002E7431"/>
    <w:rsid w:val="002E76A1"/>
    <w:rsid w:val="002E78E0"/>
    <w:rsid w:val="002E79DB"/>
    <w:rsid w:val="002E7B47"/>
    <w:rsid w:val="002F009C"/>
    <w:rsid w:val="002F1211"/>
    <w:rsid w:val="002F196D"/>
    <w:rsid w:val="002F1B52"/>
    <w:rsid w:val="002F1BC5"/>
    <w:rsid w:val="002F20CB"/>
    <w:rsid w:val="002F2B02"/>
    <w:rsid w:val="002F3602"/>
    <w:rsid w:val="002F36D9"/>
    <w:rsid w:val="002F39CB"/>
    <w:rsid w:val="002F3C6F"/>
    <w:rsid w:val="002F3E5E"/>
    <w:rsid w:val="002F3E80"/>
    <w:rsid w:val="002F40EF"/>
    <w:rsid w:val="002F4A5E"/>
    <w:rsid w:val="002F50A7"/>
    <w:rsid w:val="002F53A1"/>
    <w:rsid w:val="002F549E"/>
    <w:rsid w:val="002F5548"/>
    <w:rsid w:val="002F57E8"/>
    <w:rsid w:val="002F59A9"/>
    <w:rsid w:val="002F59CC"/>
    <w:rsid w:val="002F5A1B"/>
    <w:rsid w:val="002F5E10"/>
    <w:rsid w:val="002F66EB"/>
    <w:rsid w:val="002F67C6"/>
    <w:rsid w:val="002F6956"/>
    <w:rsid w:val="002F6F9C"/>
    <w:rsid w:val="002F75E8"/>
    <w:rsid w:val="002F7806"/>
    <w:rsid w:val="002F7C3E"/>
    <w:rsid w:val="0030038C"/>
    <w:rsid w:val="00300495"/>
    <w:rsid w:val="00301BE7"/>
    <w:rsid w:val="0030219C"/>
    <w:rsid w:val="003024B6"/>
    <w:rsid w:val="00302702"/>
    <w:rsid w:val="00302C21"/>
    <w:rsid w:val="003030DB"/>
    <w:rsid w:val="003039A0"/>
    <w:rsid w:val="00303F05"/>
    <w:rsid w:val="0030414F"/>
    <w:rsid w:val="003043DB"/>
    <w:rsid w:val="003048E4"/>
    <w:rsid w:val="00304A2A"/>
    <w:rsid w:val="00304D00"/>
    <w:rsid w:val="00304D6F"/>
    <w:rsid w:val="00304E41"/>
    <w:rsid w:val="003057F7"/>
    <w:rsid w:val="00306506"/>
    <w:rsid w:val="00306BCA"/>
    <w:rsid w:val="00306F73"/>
    <w:rsid w:val="00307230"/>
    <w:rsid w:val="00307A8E"/>
    <w:rsid w:val="0031004A"/>
    <w:rsid w:val="00310254"/>
    <w:rsid w:val="0031064A"/>
    <w:rsid w:val="003109F4"/>
    <w:rsid w:val="00310E4B"/>
    <w:rsid w:val="00310E95"/>
    <w:rsid w:val="00311A40"/>
    <w:rsid w:val="003120FD"/>
    <w:rsid w:val="003126C9"/>
    <w:rsid w:val="003134C4"/>
    <w:rsid w:val="003137C2"/>
    <w:rsid w:val="00313EFB"/>
    <w:rsid w:val="00314C02"/>
    <w:rsid w:val="00314C2D"/>
    <w:rsid w:val="00314C8E"/>
    <w:rsid w:val="00314FD6"/>
    <w:rsid w:val="003154BC"/>
    <w:rsid w:val="0031566A"/>
    <w:rsid w:val="00315703"/>
    <w:rsid w:val="003170D0"/>
    <w:rsid w:val="00317265"/>
    <w:rsid w:val="00317911"/>
    <w:rsid w:val="00320050"/>
    <w:rsid w:val="003200FE"/>
    <w:rsid w:val="00320A23"/>
    <w:rsid w:val="003211AB"/>
    <w:rsid w:val="0032160B"/>
    <w:rsid w:val="003216F7"/>
    <w:rsid w:val="003217A2"/>
    <w:rsid w:val="003221F9"/>
    <w:rsid w:val="00322FAC"/>
    <w:rsid w:val="00323C68"/>
    <w:rsid w:val="00324D9E"/>
    <w:rsid w:val="00324E2B"/>
    <w:rsid w:val="00325470"/>
    <w:rsid w:val="003255F1"/>
    <w:rsid w:val="00325689"/>
    <w:rsid w:val="003257DA"/>
    <w:rsid w:val="003261A9"/>
    <w:rsid w:val="003267E7"/>
    <w:rsid w:val="0032724A"/>
    <w:rsid w:val="003273AE"/>
    <w:rsid w:val="003279CC"/>
    <w:rsid w:val="00327B69"/>
    <w:rsid w:val="003303CC"/>
    <w:rsid w:val="00330450"/>
    <w:rsid w:val="00331104"/>
    <w:rsid w:val="00331260"/>
    <w:rsid w:val="003312A6"/>
    <w:rsid w:val="00331536"/>
    <w:rsid w:val="00331E2B"/>
    <w:rsid w:val="00331F6A"/>
    <w:rsid w:val="00331FC2"/>
    <w:rsid w:val="00332673"/>
    <w:rsid w:val="003326E5"/>
    <w:rsid w:val="003327EC"/>
    <w:rsid w:val="003336EC"/>
    <w:rsid w:val="00333995"/>
    <w:rsid w:val="00333BB6"/>
    <w:rsid w:val="00334CF9"/>
    <w:rsid w:val="0033512D"/>
    <w:rsid w:val="00335D0E"/>
    <w:rsid w:val="00335D11"/>
    <w:rsid w:val="00335FA2"/>
    <w:rsid w:val="00336E27"/>
    <w:rsid w:val="003376FF"/>
    <w:rsid w:val="003412AD"/>
    <w:rsid w:val="0034156B"/>
    <w:rsid w:val="00343377"/>
    <w:rsid w:val="00343A33"/>
    <w:rsid w:val="00343B47"/>
    <w:rsid w:val="00343D68"/>
    <w:rsid w:val="003443EB"/>
    <w:rsid w:val="00344443"/>
    <w:rsid w:val="0034452B"/>
    <w:rsid w:val="00345366"/>
    <w:rsid w:val="003473DF"/>
    <w:rsid w:val="003476A9"/>
    <w:rsid w:val="00347853"/>
    <w:rsid w:val="0035009B"/>
    <w:rsid w:val="0035010B"/>
    <w:rsid w:val="00350A9B"/>
    <w:rsid w:val="0035118A"/>
    <w:rsid w:val="00351B30"/>
    <w:rsid w:val="00351FBF"/>
    <w:rsid w:val="00351FCA"/>
    <w:rsid w:val="00352225"/>
    <w:rsid w:val="0035235F"/>
    <w:rsid w:val="0035276B"/>
    <w:rsid w:val="00352885"/>
    <w:rsid w:val="003529AA"/>
    <w:rsid w:val="00353404"/>
    <w:rsid w:val="003538DB"/>
    <w:rsid w:val="003539B4"/>
    <w:rsid w:val="00354A0F"/>
    <w:rsid w:val="00354B63"/>
    <w:rsid w:val="00354BDC"/>
    <w:rsid w:val="00355B43"/>
    <w:rsid w:val="00356016"/>
    <w:rsid w:val="0035679B"/>
    <w:rsid w:val="00356B4F"/>
    <w:rsid w:val="00356C18"/>
    <w:rsid w:val="00356EE3"/>
    <w:rsid w:val="00357F70"/>
    <w:rsid w:val="003609E8"/>
    <w:rsid w:val="00360E0F"/>
    <w:rsid w:val="00361B9E"/>
    <w:rsid w:val="0036300D"/>
    <w:rsid w:val="003632D0"/>
    <w:rsid w:val="00363505"/>
    <w:rsid w:val="00363E0E"/>
    <w:rsid w:val="00364105"/>
    <w:rsid w:val="00364826"/>
    <w:rsid w:val="0036488C"/>
    <w:rsid w:val="0036562F"/>
    <w:rsid w:val="00365FE7"/>
    <w:rsid w:val="0036611E"/>
    <w:rsid w:val="003664E3"/>
    <w:rsid w:val="0036687E"/>
    <w:rsid w:val="00366896"/>
    <w:rsid w:val="00370167"/>
    <w:rsid w:val="0037039C"/>
    <w:rsid w:val="003712A6"/>
    <w:rsid w:val="00372A33"/>
    <w:rsid w:val="003730A7"/>
    <w:rsid w:val="00373A07"/>
    <w:rsid w:val="00373CA7"/>
    <w:rsid w:val="0037415D"/>
    <w:rsid w:val="0037459B"/>
    <w:rsid w:val="003746E9"/>
    <w:rsid w:val="00375265"/>
    <w:rsid w:val="003752FF"/>
    <w:rsid w:val="0037620A"/>
    <w:rsid w:val="003763A5"/>
    <w:rsid w:val="00376561"/>
    <w:rsid w:val="00377471"/>
    <w:rsid w:val="00380295"/>
    <w:rsid w:val="00380665"/>
    <w:rsid w:val="00380E70"/>
    <w:rsid w:val="0038116C"/>
    <w:rsid w:val="00381599"/>
    <w:rsid w:val="00381844"/>
    <w:rsid w:val="00382523"/>
    <w:rsid w:val="003825CC"/>
    <w:rsid w:val="00382F18"/>
    <w:rsid w:val="00383D43"/>
    <w:rsid w:val="00384209"/>
    <w:rsid w:val="003844C0"/>
    <w:rsid w:val="0038489B"/>
    <w:rsid w:val="0038494F"/>
    <w:rsid w:val="00384DCB"/>
    <w:rsid w:val="00384E03"/>
    <w:rsid w:val="00384E41"/>
    <w:rsid w:val="00385087"/>
    <w:rsid w:val="003851C0"/>
    <w:rsid w:val="00385657"/>
    <w:rsid w:val="00385884"/>
    <w:rsid w:val="00386B8F"/>
    <w:rsid w:val="00386C3F"/>
    <w:rsid w:val="00386E2D"/>
    <w:rsid w:val="00387171"/>
    <w:rsid w:val="00387249"/>
    <w:rsid w:val="0038739B"/>
    <w:rsid w:val="0039011E"/>
    <w:rsid w:val="003902E8"/>
    <w:rsid w:val="00390308"/>
    <w:rsid w:val="00390844"/>
    <w:rsid w:val="00390DE0"/>
    <w:rsid w:val="00391099"/>
    <w:rsid w:val="00391842"/>
    <w:rsid w:val="00391EA6"/>
    <w:rsid w:val="00393B87"/>
    <w:rsid w:val="00393FE0"/>
    <w:rsid w:val="00394407"/>
    <w:rsid w:val="00394835"/>
    <w:rsid w:val="00394B2A"/>
    <w:rsid w:val="00394FF9"/>
    <w:rsid w:val="0039508E"/>
    <w:rsid w:val="00395539"/>
    <w:rsid w:val="00395586"/>
    <w:rsid w:val="00395F41"/>
    <w:rsid w:val="003972E2"/>
    <w:rsid w:val="003A0643"/>
    <w:rsid w:val="003A0E14"/>
    <w:rsid w:val="003A102C"/>
    <w:rsid w:val="003A1130"/>
    <w:rsid w:val="003A163B"/>
    <w:rsid w:val="003A224F"/>
    <w:rsid w:val="003A23DE"/>
    <w:rsid w:val="003A3015"/>
    <w:rsid w:val="003A32EB"/>
    <w:rsid w:val="003A3B85"/>
    <w:rsid w:val="003A3BA5"/>
    <w:rsid w:val="003A3CB0"/>
    <w:rsid w:val="003A3E0D"/>
    <w:rsid w:val="003A449A"/>
    <w:rsid w:val="003A467E"/>
    <w:rsid w:val="003A4C37"/>
    <w:rsid w:val="003A50B7"/>
    <w:rsid w:val="003A53C0"/>
    <w:rsid w:val="003A5503"/>
    <w:rsid w:val="003A55EF"/>
    <w:rsid w:val="003A5F78"/>
    <w:rsid w:val="003A61F3"/>
    <w:rsid w:val="003A69C4"/>
    <w:rsid w:val="003A71AF"/>
    <w:rsid w:val="003A7337"/>
    <w:rsid w:val="003A7378"/>
    <w:rsid w:val="003B0E41"/>
    <w:rsid w:val="003B0E51"/>
    <w:rsid w:val="003B1AE3"/>
    <w:rsid w:val="003B1B15"/>
    <w:rsid w:val="003B1E84"/>
    <w:rsid w:val="003B2294"/>
    <w:rsid w:val="003B2C03"/>
    <w:rsid w:val="003B315D"/>
    <w:rsid w:val="003B3B8A"/>
    <w:rsid w:val="003B3EB5"/>
    <w:rsid w:val="003B4332"/>
    <w:rsid w:val="003B4E24"/>
    <w:rsid w:val="003B6DBF"/>
    <w:rsid w:val="003B6F57"/>
    <w:rsid w:val="003B7607"/>
    <w:rsid w:val="003B76A4"/>
    <w:rsid w:val="003B784F"/>
    <w:rsid w:val="003B7AAE"/>
    <w:rsid w:val="003C0537"/>
    <w:rsid w:val="003C0B15"/>
    <w:rsid w:val="003C0C16"/>
    <w:rsid w:val="003C1806"/>
    <w:rsid w:val="003C1A97"/>
    <w:rsid w:val="003C25D2"/>
    <w:rsid w:val="003C3581"/>
    <w:rsid w:val="003C3A3F"/>
    <w:rsid w:val="003C3A6D"/>
    <w:rsid w:val="003C4DE4"/>
    <w:rsid w:val="003C564F"/>
    <w:rsid w:val="003C5D27"/>
    <w:rsid w:val="003C6704"/>
    <w:rsid w:val="003C6975"/>
    <w:rsid w:val="003C7214"/>
    <w:rsid w:val="003C7A5D"/>
    <w:rsid w:val="003C7C44"/>
    <w:rsid w:val="003D0340"/>
    <w:rsid w:val="003D10B1"/>
    <w:rsid w:val="003D1351"/>
    <w:rsid w:val="003D20B8"/>
    <w:rsid w:val="003D2265"/>
    <w:rsid w:val="003D2C1C"/>
    <w:rsid w:val="003D307B"/>
    <w:rsid w:val="003D39E3"/>
    <w:rsid w:val="003D42C7"/>
    <w:rsid w:val="003D43F1"/>
    <w:rsid w:val="003D4864"/>
    <w:rsid w:val="003D4998"/>
    <w:rsid w:val="003D4F15"/>
    <w:rsid w:val="003D5480"/>
    <w:rsid w:val="003D66AE"/>
    <w:rsid w:val="003D67C3"/>
    <w:rsid w:val="003D70F9"/>
    <w:rsid w:val="003D721B"/>
    <w:rsid w:val="003D733C"/>
    <w:rsid w:val="003E0183"/>
    <w:rsid w:val="003E0588"/>
    <w:rsid w:val="003E07F0"/>
    <w:rsid w:val="003E08EC"/>
    <w:rsid w:val="003E0EE9"/>
    <w:rsid w:val="003E1652"/>
    <w:rsid w:val="003E1C29"/>
    <w:rsid w:val="003E1E61"/>
    <w:rsid w:val="003E213E"/>
    <w:rsid w:val="003E2565"/>
    <w:rsid w:val="003E2617"/>
    <w:rsid w:val="003E295C"/>
    <w:rsid w:val="003E2C2A"/>
    <w:rsid w:val="003E2D6E"/>
    <w:rsid w:val="003E35B9"/>
    <w:rsid w:val="003E3664"/>
    <w:rsid w:val="003E3CB2"/>
    <w:rsid w:val="003E3FA2"/>
    <w:rsid w:val="003E4367"/>
    <w:rsid w:val="003E46FA"/>
    <w:rsid w:val="003E4B86"/>
    <w:rsid w:val="003E4C00"/>
    <w:rsid w:val="003E4C0E"/>
    <w:rsid w:val="003E4F15"/>
    <w:rsid w:val="003E4FA8"/>
    <w:rsid w:val="003E50B4"/>
    <w:rsid w:val="003E5719"/>
    <w:rsid w:val="003E5847"/>
    <w:rsid w:val="003E58A7"/>
    <w:rsid w:val="003E5A34"/>
    <w:rsid w:val="003E684D"/>
    <w:rsid w:val="003E7072"/>
    <w:rsid w:val="003E71C5"/>
    <w:rsid w:val="003E7439"/>
    <w:rsid w:val="003E7635"/>
    <w:rsid w:val="003E7F8E"/>
    <w:rsid w:val="003F0BAD"/>
    <w:rsid w:val="003F0F01"/>
    <w:rsid w:val="003F133A"/>
    <w:rsid w:val="003F1809"/>
    <w:rsid w:val="003F1A9D"/>
    <w:rsid w:val="003F1DA2"/>
    <w:rsid w:val="003F212C"/>
    <w:rsid w:val="003F2722"/>
    <w:rsid w:val="003F2F16"/>
    <w:rsid w:val="003F35FB"/>
    <w:rsid w:val="003F3624"/>
    <w:rsid w:val="003F4ED2"/>
    <w:rsid w:val="003F5400"/>
    <w:rsid w:val="003F5500"/>
    <w:rsid w:val="003F5BEB"/>
    <w:rsid w:val="003F5DA8"/>
    <w:rsid w:val="003F64C9"/>
    <w:rsid w:val="003F6DAC"/>
    <w:rsid w:val="003F7563"/>
    <w:rsid w:val="003F77EC"/>
    <w:rsid w:val="003F7827"/>
    <w:rsid w:val="003F7CD2"/>
    <w:rsid w:val="003F7DD9"/>
    <w:rsid w:val="003F7E22"/>
    <w:rsid w:val="0040081D"/>
    <w:rsid w:val="004008A3"/>
    <w:rsid w:val="00400974"/>
    <w:rsid w:val="00400A49"/>
    <w:rsid w:val="00401079"/>
    <w:rsid w:val="00401B91"/>
    <w:rsid w:val="0040201A"/>
    <w:rsid w:val="0040207E"/>
    <w:rsid w:val="00403678"/>
    <w:rsid w:val="004037D1"/>
    <w:rsid w:val="0040456A"/>
    <w:rsid w:val="00404B83"/>
    <w:rsid w:val="00404C41"/>
    <w:rsid w:val="00404C61"/>
    <w:rsid w:val="00404D61"/>
    <w:rsid w:val="004059BD"/>
    <w:rsid w:val="00406494"/>
    <w:rsid w:val="004068A1"/>
    <w:rsid w:val="0040697B"/>
    <w:rsid w:val="0040720B"/>
    <w:rsid w:val="00407278"/>
    <w:rsid w:val="004079F4"/>
    <w:rsid w:val="00407A39"/>
    <w:rsid w:val="00410124"/>
    <w:rsid w:val="00410221"/>
    <w:rsid w:val="00410517"/>
    <w:rsid w:val="004105AA"/>
    <w:rsid w:val="00410C83"/>
    <w:rsid w:val="00411B27"/>
    <w:rsid w:val="00411F48"/>
    <w:rsid w:val="004128ED"/>
    <w:rsid w:val="00412F60"/>
    <w:rsid w:val="00412FBD"/>
    <w:rsid w:val="00413D54"/>
    <w:rsid w:val="00414127"/>
    <w:rsid w:val="00414642"/>
    <w:rsid w:val="004148CD"/>
    <w:rsid w:val="00415172"/>
    <w:rsid w:val="00415E31"/>
    <w:rsid w:val="00415E64"/>
    <w:rsid w:val="00415EC6"/>
    <w:rsid w:val="0041621F"/>
    <w:rsid w:val="0041652C"/>
    <w:rsid w:val="0041662A"/>
    <w:rsid w:val="00417948"/>
    <w:rsid w:val="00420144"/>
    <w:rsid w:val="004209A6"/>
    <w:rsid w:val="00420C50"/>
    <w:rsid w:val="0042129B"/>
    <w:rsid w:val="00421326"/>
    <w:rsid w:val="004217B7"/>
    <w:rsid w:val="00421C68"/>
    <w:rsid w:val="004221A7"/>
    <w:rsid w:val="004223CF"/>
    <w:rsid w:val="004224A4"/>
    <w:rsid w:val="00422A1A"/>
    <w:rsid w:val="00422B1F"/>
    <w:rsid w:val="00422C1D"/>
    <w:rsid w:val="004231F7"/>
    <w:rsid w:val="00423669"/>
    <w:rsid w:val="004236FE"/>
    <w:rsid w:val="0042383A"/>
    <w:rsid w:val="00424275"/>
    <w:rsid w:val="00424EEB"/>
    <w:rsid w:val="004252D8"/>
    <w:rsid w:val="004255C2"/>
    <w:rsid w:val="00426097"/>
    <w:rsid w:val="0042688F"/>
    <w:rsid w:val="00426CD5"/>
    <w:rsid w:val="00426D86"/>
    <w:rsid w:val="00427382"/>
    <w:rsid w:val="004276C4"/>
    <w:rsid w:val="00427A0C"/>
    <w:rsid w:val="00427F5D"/>
    <w:rsid w:val="00430974"/>
    <w:rsid w:val="00430EF6"/>
    <w:rsid w:val="00430F5E"/>
    <w:rsid w:val="004316D5"/>
    <w:rsid w:val="00431CE7"/>
    <w:rsid w:val="0043295C"/>
    <w:rsid w:val="00433F24"/>
    <w:rsid w:val="0043477D"/>
    <w:rsid w:val="0043499C"/>
    <w:rsid w:val="00434FD2"/>
    <w:rsid w:val="0043540C"/>
    <w:rsid w:val="004354E2"/>
    <w:rsid w:val="00436117"/>
    <w:rsid w:val="00436DF0"/>
    <w:rsid w:val="0043708F"/>
    <w:rsid w:val="0043716A"/>
    <w:rsid w:val="004375AE"/>
    <w:rsid w:val="00437A24"/>
    <w:rsid w:val="00437D25"/>
    <w:rsid w:val="004412D5"/>
    <w:rsid w:val="00441D9D"/>
    <w:rsid w:val="0044217B"/>
    <w:rsid w:val="00442DDB"/>
    <w:rsid w:val="004434ED"/>
    <w:rsid w:val="00443515"/>
    <w:rsid w:val="004438D0"/>
    <w:rsid w:val="004443AF"/>
    <w:rsid w:val="00444C82"/>
    <w:rsid w:val="00444DFF"/>
    <w:rsid w:val="00445081"/>
    <w:rsid w:val="004450AB"/>
    <w:rsid w:val="004455CC"/>
    <w:rsid w:val="00445B7C"/>
    <w:rsid w:val="00446045"/>
    <w:rsid w:val="00446231"/>
    <w:rsid w:val="00446386"/>
    <w:rsid w:val="00447285"/>
    <w:rsid w:val="00447577"/>
    <w:rsid w:val="004476B0"/>
    <w:rsid w:val="00447B18"/>
    <w:rsid w:val="00447E38"/>
    <w:rsid w:val="0045010C"/>
    <w:rsid w:val="0045017B"/>
    <w:rsid w:val="00450211"/>
    <w:rsid w:val="004505CA"/>
    <w:rsid w:val="00450934"/>
    <w:rsid w:val="004511A9"/>
    <w:rsid w:val="004512E4"/>
    <w:rsid w:val="00451548"/>
    <w:rsid w:val="004519B3"/>
    <w:rsid w:val="00451A42"/>
    <w:rsid w:val="00451CF5"/>
    <w:rsid w:val="00452496"/>
    <w:rsid w:val="00452B31"/>
    <w:rsid w:val="00452B9C"/>
    <w:rsid w:val="00453E78"/>
    <w:rsid w:val="00453F8D"/>
    <w:rsid w:val="00453FD6"/>
    <w:rsid w:val="00454342"/>
    <w:rsid w:val="00454794"/>
    <w:rsid w:val="00454D12"/>
    <w:rsid w:val="00454DD8"/>
    <w:rsid w:val="00455F4A"/>
    <w:rsid w:val="0045613D"/>
    <w:rsid w:val="004566D9"/>
    <w:rsid w:val="00456B02"/>
    <w:rsid w:val="004572FF"/>
    <w:rsid w:val="00457348"/>
    <w:rsid w:val="00457391"/>
    <w:rsid w:val="00457670"/>
    <w:rsid w:val="00457706"/>
    <w:rsid w:val="00460902"/>
    <w:rsid w:val="00460955"/>
    <w:rsid w:val="00460DEB"/>
    <w:rsid w:val="004615FD"/>
    <w:rsid w:val="00461FDE"/>
    <w:rsid w:val="004625B0"/>
    <w:rsid w:val="00462AA0"/>
    <w:rsid w:val="00462CF3"/>
    <w:rsid w:val="00462D39"/>
    <w:rsid w:val="00462D3E"/>
    <w:rsid w:val="004630AA"/>
    <w:rsid w:val="004631FE"/>
    <w:rsid w:val="00463E2C"/>
    <w:rsid w:val="00464224"/>
    <w:rsid w:val="00464B3E"/>
    <w:rsid w:val="00465009"/>
    <w:rsid w:val="00465417"/>
    <w:rsid w:val="004656B0"/>
    <w:rsid w:val="0046593F"/>
    <w:rsid w:val="00466741"/>
    <w:rsid w:val="00466909"/>
    <w:rsid w:val="00466AA9"/>
    <w:rsid w:val="0046720A"/>
    <w:rsid w:val="00467754"/>
    <w:rsid w:val="00467EA8"/>
    <w:rsid w:val="00470110"/>
    <w:rsid w:val="004704FB"/>
    <w:rsid w:val="0047050F"/>
    <w:rsid w:val="00471605"/>
    <w:rsid w:val="00471701"/>
    <w:rsid w:val="00471FF8"/>
    <w:rsid w:val="004722DC"/>
    <w:rsid w:val="00472492"/>
    <w:rsid w:val="004748A5"/>
    <w:rsid w:val="00474CB4"/>
    <w:rsid w:val="00475346"/>
    <w:rsid w:val="00475523"/>
    <w:rsid w:val="004761ED"/>
    <w:rsid w:val="00476314"/>
    <w:rsid w:val="00476539"/>
    <w:rsid w:val="004767B3"/>
    <w:rsid w:val="00476C34"/>
    <w:rsid w:val="00476EDC"/>
    <w:rsid w:val="00476F0C"/>
    <w:rsid w:val="00476F0F"/>
    <w:rsid w:val="00476FD0"/>
    <w:rsid w:val="00477028"/>
    <w:rsid w:val="00477962"/>
    <w:rsid w:val="00477B0A"/>
    <w:rsid w:val="004800DE"/>
    <w:rsid w:val="00480166"/>
    <w:rsid w:val="004801CC"/>
    <w:rsid w:val="00480713"/>
    <w:rsid w:val="00480AF0"/>
    <w:rsid w:val="00481696"/>
    <w:rsid w:val="00481900"/>
    <w:rsid w:val="0048285C"/>
    <w:rsid w:val="00483BD2"/>
    <w:rsid w:val="004846F5"/>
    <w:rsid w:val="00485806"/>
    <w:rsid w:val="00485815"/>
    <w:rsid w:val="00485E14"/>
    <w:rsid w:val="0048658C"/>
    <w:rsid w:val="0048766B"/>
    <w:rsid w:val="00490821"/>
    <w:rsid w:val="00490BED"/>
    <w:rsid w:val="0049121E"/>
    <w:rsid w:val="004913D3"/>
    <w:rsid w:val="004918F7"/>
    <w:rsid w:val="00491B70"/>
    <w:rsid w:val="00491DBA"/>
    <w:rsid w:val="00491E78"/>
    <w:rsid w:val="004928A6"/>
    <w:rsid w:val="00492DAA"/>
    <w:rsid w:val="0049346D"/>
    <w:rsid w:val="004936B3"/>
    <w:rsid w:val="00493C2A"/>
    <w:rsid w:val="00493CB8"/>
    <w:rsid w:val="00493DC0"/>
    <w:rsid w:val="0049416F"/>
    <w:rsid w:val="004943BD"/>
    <w:rsid w:val="004947CD"/>
    <w:rsid w:val="00494888"/>
    <w:rsid w:val="004957AB"/>
    <w:rsid w:val="004966DF"/>
    <w:rsid w:val="004968D7"/>
    <w:rsid w:val="00496B16"/>
    <w:rsid w:val="00496B7E"/>
    <w:rsid w:val="00496DA9"/>
    <w:rsid w:val="00497AB5"/>
    <w:rsid w:val="00497FC8"/>
    <w:rsid w:val="004A02F7"/>
    <w:rsid w:val="004A124E"/>
    <w:rsid w:val="004A1741"/>
    <w:rsid w:val="004A1760"/>
    <w:rsid w:val="004A2678"/>
    <w:rsid w:val="004A2AD2"/>
    <w:rsid w:val="004A349D"/>
    <w:rsid w:val="004A37E0"/>
    <w:rsid w:val="004A397D"/>
    <w:rsid w:val="004A3CAA"/>
    <w:rsid w:val="004A4361"/>
    <w:rsid w:val="004A4B2E"/>
    <w:rsid w:val="004A513E"/>
    <w:rsid w:val="004A5615"/>
    <w:rsid w:val="004A5701"/>
    <w:rsid w:val="004A579A"/>
    <w:rsid w:val="004A598D"/>
    <w:rsid w:val="004A5C4D"/>
    <w:rsid w:val="004A625C"/>
    <w:rsid w:val="004A6EE1"/>
    <w:rsid w:val="004A71D8"/>
    <w:rsid w:val="004A71D9"/>
    <w:rsid w:val="004A793F"/>
    <w:rsid w:val="004B02FC"/>
    <w:rsid w:val="004B1484"/>
    <w:rsid w:val="004B1764"/>
    <w:rsid w:val="004B1E82"/>
    <w:rsid w:val="004B1F6A"/>
    <w:rsid w:val="004B2C7F"/>
    <w:rsid w:val="004B30BE"/>
    <w:rsid w:val="004B33D6"/>
    <w:rsid w:val="004B3AED"/>
    <w:rsid w:val="004B3B87"/>
    <w:rsid w:val="004B4503"/>
    <w:rsid w:val="004B48C9"/>
    <w:rsid w:val="004B4AA5"/>
    <w:rsid w:val="004B4B3E"/>
    <w:rsid w:val="004B5003"/>
    <w:rsid w:val="004B576F"/>
    <w:rsid w:val="004B6293"/>
    <w:rsid w:val="004B6412"/>
    <w:rsid w:val="004C0F64"/>
    <w:rsid w:val="004C1114"/>
    <w:rsid w:val="004C11F8"/>
    <w:rsid w:val="004C1502"/>
    <w:rsid w:val="004C1F75"/>
    <w:rsid w:val="004C2010"/>
    <w:rsid w:val="004C262A"/>
    <w:rsid w:val="004C2E4B"/>
    <w:rsid w:val="004C2EA6"/>
    <w:rsid w:val="004C2EEB"/>
    <w:rsid w:val="004C34A9"/>
    <w:rsid w:val="004C36A5"/>
    <w:rsid w:val="004C469D"/>
    <w:rsid w:val="004C537B"/>
    <w:rsid w:val="004C5551"/>
    <w:rsid w:val="004C56A3"/>
    <w:rsid w:val="004C6309"/>
    <w:rsid w:val="004C6A57"/>
    <w:rsid w:val="004C72F8"/>
    <w:rsid w:val="004C76EE"/>
    <w:rsid w:val="004C7CD7"/>
    <w:rsid w:val="004D0A6E"/>
    <w:rsid w:val="004D1150"/>
    <w:rsid w:val="004D17D6"/>
    <w:rsid w:val="004D224F"/>
    <w:rsid w:val="004D2CAB"/>
    <w:rsid w:val="004D2EB5"/>
    <w:rsid w:val="004D350C"/>
    <w:rsid w:val="004D38C9"/>
    <w:rsid w:val="004D3F99"/>
    <w:rsid w:val="004D3FF6"/>
    <w:rsid w:val="004D473A"/>
    <w:rsid w:val="004D4E7A"/>
    <w:rsid w:val="004D4EC7"/>
    <w:rsid w:val="004D4F13"/>
    <w:rsid w:val="004D50B2"/>
    <w:rsid w:val="004D533C"/>
    <w:rsid w:val="004D5E20"/>
    <w:rsid w:val="004D6735"/>
    <w:rsid w:val="004D6E2D"/>
    <w:rsid w:val="004D6FA9"/>
    <w:rsid w:val="004D701B"/>
    <w:rsid w:val="004D7937"/>
    <w:rsid w:val="004D7CBC"/>
    <w:rsid w:val="004D7D46"/>
    <w:rsid w:val="004D7D67"/>
    <w:rsid w:val="004E03B0"/>
    <w:rsid w:val="004E0772"/>
    <w:rsid w:val="004E0833"/>
    <w:rsid w:val="004E0AEC"/>
    <w:rsid w:val="004E0B26"/>
    <w:rsid w:val="004E0B64"/>
    <w:rsid w:val="004E0E6B"/>
    <w:rsid w:val="004E1540"/>
    <w:rsid w:val="004E171F"/>
    <w:rsid w:val="004E1A7F"/>
    <w:rsid w:val="004E2E77"/>
    <w:rsid w:val="004E3049"/>
    <w:rsid w:val="004E3123"/>
    <w:rsid w:val="004E35AB"/>
    <w:rsid w:val="004E39EC"/>
    <w:rsid w:val="004E53DA"/>
    <w:rsid w:val="004E5758"/>
    <w:rsid w:val="004E5CFE"/>
    <w:rsid w:val="004E5E07"/>
    <w:rsid w:val="004E61CD"/>
    <w:rsid w:val="004E6265"/>
    <w:rsid w:val="004E637E"/>
    <w:rsid w:val="004E6B58"/>
    <w:rsid w:val="004E6EBA"/>
    <w:rsid w:val="004E7042"/>
    <w:rsid w:val="004E7907"/>
    <w:rsid w:val="004E796D"/>
    <w:rsid w:val="004E7E4A"/>
    <w:rsid w:val="004E7EAC"/>
    <w:rsid w:val="004F01A7"/>
    <w:rsid w:val="004F052C"/>
    <w:rsid w:val="004F170C"/>
    <w:rsid w:val="004F1CCD"/>
    <w:rsid w:val="004F1DAB"/>
    <w:rsid w:val="004F1EA0"/>
    <w:rsid w:val="004F22F5"/>
    <w:rsid w:val="004F24D2"/>
    <w:rsid w:val="004F24EF"/>
    <w:rsid w:val="004F2CAA"/>
    <w:rsid w:val="004F3385"/>
    <w:rsid w:val="004F3B06"/>
    <w:rsid w:val="004F3C97"/>
    <w:rsid w:val="004F3EF0"/>
    <w:rsid w:val="004F41B4"/>
    <w:rsid w:val="004F4324"/>
    <w:rsid w:val="004F4ABA"/>
    <w:rsid w:val="004F51C7"/>
    <w:rsid w:val="004F56CA"/>
    <w:rsid w:val="004F5862"/>
    <w:rsid w:val="004F58C9"/>
    <w:rsid w:val="004F5A0D"/>
    <w:rsid w:val="004F5C4F"/>
    <w:rsid w:val="004F6703"/>
    <w:rsid w:val="004F6C75"/>
    <w:rsid w:val="004F6CA9"/>
    <w:rsid w:val="004F74AB"/>
    <w:rsid w:val="004F7A1B"/>
    <w:rsid w:val="005005CD"/>
    <w:rsid w:val="005007C6"/>
    <w:rsid w:val="00501140"/>
    <w:rsid w:val="005017FB"/>
    <w:rsid w:val="00501A4C"/>
    <w:rsid w:val="00501E3D"/>
    <w:rsid w:val="005022A2"/>
    <w:rsid w:val="00502AAC"/>
    <w:rsid w:val="00502BD4"/>
    <w:rsid w:val="0050353A"/>
    <w:rsid w:val="00504321"/>
    <w:rsid w:val="00504780"/>
    <w:rsid w:val="005048F5"/>
    <w:rsid w:val="00504DAE"/>
    <w:rsid w:val="005051F3"/>
    <w:rsid w:val="00505352"/>
    <w:rsid w:val="005053AE"/>
    <w:rsid w:val="005057D4"/>
    <w:rsid w:val="005057F3"/>
    <w:rsid w:val="00505CDE"/>
    <w:rsid w:val="005072F4"/>
    <w:rsid w:val="00507497"/>
    <w:rsid w:val="00507850"/>
    <w:rsid w:val="00510689"/>
    <w:rsid w:val="0051073C"/>
    <w:rsid w:val="00510A36"/>
    <w:rsid w:val="00510C6E"/>
    <w:rsid w:val="00510DAC"/>
    <w:rsid w:val="00511578"/>
    <w:rsid w:val="00512A23"/>
    <w:rsid w:val="0051344F"/>
    <w:rsid w:val="00513480"/>
    <w:rsid w:val="0051350A"/>
    <w:rsid w:val="0051351A"/>
    <w:rsid w:val="00513CF4"/>
    <w:rsid w:val="005140C3"/>
    <w:rsid w:val="005140F1"/>
    <w:rsid w:val="00514727"/>
    <w:rsid w:val="005152B9"/>
    <w:rsid w:val="00515B21"/>
    <w:rsid w:val="00516519"/>
    <w:rsid w:val="00516536"/>
    <w:rsid w:val="005167F5"/>
    <w:rsid w:val="00516E54"/>
    <w:rsid w:val="00517135"/>
    <w:rsid w:val="005173C7"/>
    <w:rsid w:val="00517571"/>
    <w:rsid w:val="0052058F"/>
    <w:rsid w:val="005206BB"/>
    <w:rsid w:val="00521277"/>
    <w:rsid w:val="00521601"/>
    <w:rsid w:val="00521828"/>
    <w:rsid w:val="005224D7"/>
    <w:rsid w:val="00522546"/>
    <w:rsid w:val="00522BAE"/>
    <w:rsid w:val="005237D2"/>
    <w:rsid w:val="005239A1"/>
    <w:rsid w:val="00523C30"/>
    <w:rsid w:val="00523D65"/>
    <w:rsid w:val="005240BE"/>
    <w:rsid w:val="00524394"/>
    <w:rsid w:val="005245FE"/>
    <w:rsid w:val="0052476F"/>
    <w:rsid w:val="005247A8"/>
    <w:rsid w:val="00525D18"/>
    <w:rsid w:val="00526682"/>
    <w:rsid w:val="005266B6"/>
    <w:rsid w:val="0052674D"/>
    <w:rsid w:val="00526970"/>
    <w:rsid w:val="00526BE2"/>
    <w:rsid w:val="00526DA1"/>
    <w:rsid w:val="0052702B"/>
    <w:rsid w:val="00527130"/>
    <w:rsid w:val="00527EC2"/>
    <w:rsid w:val="00530875"/>
    <w:rsid w:val="005308FD"/>
    <w:rsid w:val="00530FC7"/>
    <w:rsid w:val="00531124"/>
    <w:rsid w:val="00531441"/>
    <w:rsid w:val="005316B5"/>
    <w:rsid w:val="0053186C"/>
    <w:rsid w:val="00531A70"/>
    <w:rsid w:val="00531B40"/>
    <w:rsid w:val="0053260B"/>
    <w:rsid w:val="00532681"/>
    <w:rsid w:val="0053273E"/>
    <w:rsid w:val="00533212"/>
    <w:rsid w:val="005334FA"/>
    <w:rsid w:val="00533A12"/>
    <w:rsid w:val="00533E06"/>
    <w:rsid w:val="005341FF"/>
    <w:rsid w:val="00534902"/>
    <w:rsid w:val="00534AE3"/>
    <w:rsid w:val="00535553"/>
    <w:rsid w:val="0053574A"/>
    <w:rsid w:val="0053629A"/>
    <w:rsid w:val="00536478"/>
    <w:rsid w:val="005365A6"/>
    <w:rsid w:val="005366B0"/>
    <w:rsid w:val="00536EB7"/>
    <w:rsid w:val="005372B8"/>
    <w:rsid w:val="005377FD"/>
    <w:rsid w:val="005378C5"/>
    <w:rsid w:val="0054042F"/>
    <w:rsid w:val="0054050D"/>
    <w:rsid w:val="005405AE"/>
    <w:rsid w:val="005407C3"/>
    <w:rsid w:val="00540C2A"/>
    <w:rsid w:val="00540E1E"/>
    <w:rsid w:val="00541191"/>
    <w:rsid w:val="00541D2F"/>
    <w:rsid w:val="005422AE"/>
    <w:rsid w:val="005422C9"/>
    <w:rsid w:val="005426DD"/>
    <w:rsid w:val="005429DE"/>
    <w:rsid w:val="00542CD8"/>
    <w:rsid w:val="00543CF2"/>
    <w:rsid w:val="005447A1"/>
    <w:rsid w:val="0054485C"/>
    <w:rsid w:val="00544CC8"/>
    <w:rsid w:val="005451E4"/>
    <w:rsid w:val="00545270"/>
    <w:rsid w:val="00545BD9"/>
    <w:rsid w:val="00547203"/>
    <w:rsid w:val="00550229"/>
    <w:rsid w:val="005521A1"/>
    <w:rsid w:val="00552881"/>
    <w:rsid w:val="00552898"/>
    <w:rsid w:val="00552AB0"/>
    <w:rsid w:val="005532C9"/>
    <w:rsid w:val="00553B34"/>
    <w:rsid w:val="00553CBF"/>
    <w:rsid w:val="00553DC4"/>
    <w:rsid w:val="00553F8F"/>
    <w:rsid w:val="005555BF"/>
    <w:rsid w:val="00555618"/>
    <w:rsid w:val="00555805"/>
    <w:rsid w:val="00555D2B"/>
    <w:rsid w:val="00555F39"/>
    <w:rsid w:val="0055661E"/>
    <w:rsid w:val="00557043"/>
    <w:rsid w:val="0056050E"/>
    <w:rsid w:val="00561060"/>
    <w:rsid w:val="005618A4"/>
    <w:rsid w:val="0056267A"/>
    <w:rsid w:val="00562E98"/>
    <w:rsid w:val="00563604"/>
    <w:rsid w:val="00563680"/>
    <w:rsid w:val="00563A0E"/>
    <w:rsid w:val="00563E24"/>
    <w:rsid w:val="00564ACE"/>
    <w:rsid w:val="00564BAE"/>
    <w:rsid w:val="005653F4"/>
    <w:rsid w:val="0056544C"/>
    <w:rsid w:val="00565C13"/>
    <w:rsid w:val="00565FA3"/>
    <w:rsid w:val="00566880"/>
    <w:rsid w:val="005669CA"/>
    <w:rsid w:val="00566AEE"/>
    <w:rsid w:val="00566CD9"/>
    <w:rsid w:val="005670EE"/>
    <w:rsid w:val="00567125"/>
    <w:rsid w:val="00567BEE"/>
    <w:rsid w:val="005700D9"/>
    <w:rsid w:val="00570ECB"/>
    <w:rsid w:val="00571680"/>
    <w:rsid w:val="00571F74"/>
    <w:rsid w:val="00572231"/>
    <w:rsid w:val="005722E3"/>
    <w:rsid w:val="00573252"/>
    <w:rsid w:val="0057325F"/>
    <w:rsid w:val="0057343D"/>
    <w:rsid w:val="005737D0"/>
    <w:rsid w:val="00573C56"/>
    <w:rsid w:val="00574185"/>
    <w:rsid w:val="005743A7"/>
    <w:rsid w:val="005747E9"/>
    <w:rsid w:val="00574F57"/>
    <w:rsid w:val="005751F8"/>
    <w:rsid w:val="005752B1"/>
    <w:rsid w:val="0057642D"/>
    <w:rsid w:val="0057729E"/>
    <w:rsid w:val="00577310"/>
    <w:rsid w:val="005776DA"/>
    <w:rsid w:val="00577C40"/>
    <w:rsid w:val="005807B3"/>
    <w:rsid w:val="005810EA"/>
    <w:rsid w:val="005812E9"/>
    <w:rsid w:val="00581871"/>
    <w:rsid w:val="00581B6E"/>
    <w:rsid w:val="00581BBA"/>
    <w:rsid w:val="00581FFD"/>
    <w:rsid w:val="005824DD"/>
    <w:rsid w:val="00582BC2"/>
    <w:rsid w:val="0058317F"/>
    <w:rsid w:val="005845B4"/>
    <w:rsid w:val="00584750"/>
    <w:rsid w:val="00585491"/>
    <w:rsid w:val="005858F6"/>
    <w:rsid w:val="00585BA3"/>
    <w:rsid w:val="00585DD8"/>
    <w:rsid w:val="00585DDD"/>
    <w:rsid w:val="005863FF"/>
    <w:rsid w:val="00586B82"/>
    <w:rsid w:val="00586D1F"/>
    <w:rsid w:val="005879A4"/>
    <w:rsid w:val="00590059"/>
    <w:rsid w:val="00590720"/>
    <w:rsid w:val="00591CC1"/>
    <w:rsid w:val="00591D2E"/>
    <w:rsid w:val="00591FAE"/>
    <w:rsid w:val="005923B3"/>
    <w:rsid w:val="00593202"/>
    <w:rsid w:val="00593366"/>
    <w:rsid w:val="00594517"/>
    <w:rsid w:val="005949F0"/>
    <w:rsid w:val="00594D58"/>
    <w:rsid w:val="00594FD9"/>
    <w:rsid w:val="0059590A"/>
    <w:rsid w:val="00595D37"/>
    <w:rsid w:val="00596794"/>
    <w:rsid w:val="0059729B"/>
    <w:rsid w:val="00597418"/>
    <w:rsid w:val="005977E4"/>
    <w:rsid w:val="005A0012"/>
    <w:rsid w:val="005A0357"/>
    <w:rsid w:val="005A041D"/>
    <w:rsid w:val="005A0620"/>
    <w:rsid w:val="005A0680"/>
    <w:rsid w:val="005A099E"/>
    <w:rsid w:val="005A0B0A"/>
    <w:rsid w:val="005A0B51"/>
    <w:rsid w:val="005A0C4E"/>
    <w:rsid w:val="005A16E6"/>
    <w:rsid w:val="005A1F04"/>
    <w:rsid w:val="005A2024"/>
    <w:rsid w:val="005A25A5"/>
    <w:rsid w:val="005A2B7D"/>
    <w:rsid w:val="005A2CDB"/>
    <w:rsid w:val="005A3154"/>
    <w:rsid w:val="005A32CB"/>
    <w:rsid w:val="005A36D8"/>
    <w:rsid w:val="005A393C"/>
    <w:rsid w:val="005A3BD2"/>
    <w:rsid w:val="005A48B0"/>
    <w:rsid w:val="005A4D89"/>
    <w:rsid w:val="005A58C7"/>
    <w:rsid w:val="005A5B6B"/>
    <w:rsid w:val="005A5BEE"/>
    <w:rsid w:val="005A606E"/>
    <w:rsid w:val="005A6208"/>
    <w:rsid w:val="005A6424"/>
    <w:rsid w:val="005A6ED1"/>
    <w:rsid w:val="005A7023"/>
    <w:rsid w:val="005A71AF"/>
    <w:rsid w:val="005A76BE"/>
    <w:rsid w:val="005A7CB9"/>
    <w:rsid w:val="005A7E62"/>
    <w:rsid w:val="005B0D16"/>
    <w:rsid w:val="005B1149"/>
    <w:rsid w:val="005B13E0"/>
    <w:rsid w:val="005B1474"/>
    <w:rsid w:val="005B147E"/>
    <w:rsid w:val="005B18F3"/>
    <w:rsid w:val="005B1BF9"/>
    <w:rsid w:val="005B2043"/>
    <w:rsid w:val="005B2361"/>
    <w:rsid w:val="005B23E5"/>
    <w:rsid w:val="005B27BA"/>
    <w:rsid w:val="005B2958"/>
    <w:rsid w:val="005B2B88"/>
    <w:rsid w:val="005B3458"/>
    <w:rsid w:val="005B3B6F"/>
    <w:rsid w:val="005B3C0A"/>
    <w:rsid w:val="005B40B9"/>
    <w:rsid w:val="005B43BA"/>
    <w:rsid w:val="005B45FD"/>
    <w:rsid w:val="005B4845"/>
    <w:rsid w:val="005B5246"/>
    <w:rsid w:val="005B5D0A"/>
    <w:rsid w:val="005B5F98"/>
    <w:rsid w:val="005B6607"/>
    <w:rsid w:val="005B6AF8"/>
    <w:rsid w:val="005B6B32"/>
    <w:rsid w:val="005B6B9E"/>
    <w:rsid w:val="005B7586"/>
    <w:rsid w:val="005B7C5B"/>
    <w:rsid w:val="005B7DA7"/>
    <w:rsid w:val="005B7E61"/>
    <w:rsid w:val="005C09F6"/>
    <w:rsid w:val="005C0A61"/>
    <w:rsid w:val="005C0FAA"/>
    <w:rsid w:val="005C10C1"/>
    <w:rsid w:val="005C1856"/>
    <w:rsid w:val="005C1864"/>
    <w:rsid w:val="005C1F10"/>
    <w:rsid w:val="005C3A6A"/>
    <w:rsid w:val="005C3F4E"/>
    <w:rsid w:val="005C4F14"/>
    <w:rsid w:val="005C5033"/>
    <w:rsid w:val="005C521E"/>
    <w:rsid w:val="005C55BC"/>
    <w:rsid w:val="005C586E"/>
    <w:rsid w:val="005C5989"/>
    <w:rsid w:val="005C5DC2"/>
    <w:rsid w:val="005C5ECF"/>
    <w:rsid w:val="005C64CD"/>
    <w:rsid w:val="005C66A1"/>
    <w:rsid w:val="005C69B2"/>
    <w:rsid w:val="005C7555"/>
    <w:rsid w:val="005C7839"/>
    <w:rsid w:val="005D072F"/>
    <w:rsid w:val="005D0BAA"/>
    <w:rsid w:val="005D0C7B"/>
    <w:rsid w:val="005D1A7A"/>
    <w:rsid w:val="005D1D07"/>
    <w:rsid w:val="005D1EB8"/>
    <w:rsid w:val="005D2316"/>
    <w:rsid w:val="005D253D"/>
    <w:rsid w:val="005D3168"/>
    <w:rsid w:val="005D31AB"/>
    <w:rsid w:val="005D380C"/>
    <w:rsid w:val="005D3DFE"/>
    <w:rsid w:val="005D4A1E"/>
    <w:rsid w:val="005D4AF1"/>
    <w:rsid w:val="005D5115"/>
    <w:rsid w:val="005D550D"/>
    <w:rsid w:val="005D575D"/>
    <w:rsid w:val="005D6372"/>
    <w:rsid w:val="005D76B7"/>
    <w:rsid w:val="005D79A2"/>
    <w:rsid w:val="005D79FF"/>
    <w:rsid w:val="005D7A35"/>
    <w:rsid w:val="005D7B89"/>
    <w:rsid w:val="005D7B8C"/>
    <w:rsid w:val="005D7BA8"/>
    <w:rsid w:val="005E03BE"/>
    <w:rsid w:val="005E0FCF"/>
    <w:rsid w:val="005E1101"/>
    <w:rsid w:val="005E11DC"/>
    <w:rsid w:val="005E17F8"/>
    <w:rsid w:val="005E1E94"/>
    <w:rsid w:val="005E20F5"/>
    <w:rsid w:val="005E24E1"/>
    <w:rsid w:val="005E2DDD"/>
    <w:rsid w:val="005E356A"/>
    <w:rsid w:val="005E37AE"/>
    <w:rsid w:val="005E3806"/>
    <w:rsid w:val="005E4457"/>
    <w:rsid w:val="005E4C23"/>
    <w:rsid w:val="005E501E"/>
    <w:rsid w:val="005E50E5"/>
    <w:rsid w:val="005E532F"/>
    <w:rsid w:val="005E57E2"/>
    <w:rsid w:val="005E5CAA"/>
    <w:rsid w:val="005E5F93"/>
    <w:rsid w:val="005E70DE"/>
    <w:rsid w:val="005E7942"/>
    <w:rsid w:val="005E7C04"/>
    <w:rsid w:val="005E7C8D"/>
    <w:rsid w:val="005F06FD"/>
    <w:rsid w:val="005F0DC4"/>
    <w:rsid w:val="005F1702"/>
    <w:rsid w:val="005F2A7C"/>
    <w:rsid w:val="005F302A"/>
    <w:rsid w:val="005F35AE"/>
    <w:rsid w:val="005F38BB"/>
    <w:rsid w:val="005F5100"/>
    <w:rsid w:val="005F5232"/>
    <w:rsid w:val="005F5AB3"/>
    <w:rsid w:val="005F5B11"/>
    <w:rsid w:val="005F7877"/>
    <w:rsid w:val="005F7F15"/>
    <w:rsid w:val="0060041A"/>
    <w:rsid w:val="0060052F"/>
    <w:rsid w:val="00600686"/>
    <w:rsid w:val="00600E84"/>
    <w:rsid w:val="006011D8"/>
    <w:rsid w:val="006016C4"/>
    <w:rsid w:val="0060181B"/>
    <w:rsid w:val="00601901"/>
    <w:rsid w:val="00601A66"/>
    <w:rsid w:val="00601C9C"/>
    <w:rsid w:val="00602215"/>
    <w:rsid w:val="006022FE"/>
    <w:rsid w:val="00602B2C"/>
    <w:rsid w:val="00602BDB"/>
    <w:rsid w:val="00603129"/>
    <w:rsid w:val="00603C90"/>
    <w:rsid w:val="00604B4C"/>
    <w:rsid w:val="00604DA1"/>
    <w:rsid w:val="00604DF2"/>
    <w:rsid w:val="00605461"/>
    <w:rsid w:val="00605699"/>
    <w:rsid w:val="0060591A"/>
    <w:rsid w:val="00605B25"/>
    <w:rsid w:val="006070A0"/>
    <w:rsid w:val="0060723D"/>
    <w:rsid w:val="0060765A"/>
    <w:rsid w:val="00610307"/>
    <w:rsid w:val="006105F5"/>
    <w:rsid w:val="006119F9"/>
    <w:rsid w:val="00611E9A"/>
    <w:rsid w:val="006122BE"/>
    <w:rsid w:val="00612A46"/>
    <w:rsid w:val="00613021"/>
    <w:rsid w:val="0061311D"/>
    <w:rsid w:val="0061367D"/>
    <w:rsid w:val="00613697"/>
    <w:rsid w:val="006138FA"/>
    <w:rsid w:val="00613B4F"/>
    <w:rsid w:val="00613D59"/>
    <w:rsid w:val="006142BB"/>
    <w:rsid w:val="00614643"/>
    <w:rsid w:val="006147C3"/>
    <w:rsid w:val="00614AF9"/>
    <w:rsid w:val="00615337"/>
    <w:rsid w:val="00615C05"/>
    <w:rsid w:val="00616E28"/>
    <w:rsid w:val="006170A2"/>
    <w:rsid w:val="0061798E"/>
    <w:rsid w:val="00617CE3"/>
    <w:rsid w:val="00620715"/>
    <w:rsid w:val="00620861"/>
    <w:rsid w:val="00620974"/>
    <w:rsid w:val="006210FC"/>
    <w:rsid w:val="006214B9"/>
    <w:rsid w:val="00621FDA"/>
    <w:rsid w:val="006221E6"/>
    <w:rsid w:val="00623619"/>
    <w:rsid w:val="00623627"/>
    <w:rsid w:val="006240B9"/>
    <w:rsid w:val="0062559A"/>
    <w:rsid w:val="00625967"/>
    <w:rsid w:val="00626154"/>
    <w:rsid w:val="00626CCD"/>
    <w:rsid w:val="00626DFD"/>
    <w:rsid w:val="00626F75"/>
    <w:rsid w:val="00626FDD"/>
    <w:rsid w:val="00627448"/>
    <w:rsid w:val="0062759B"/>
    <w:rsid w:val="006275CE"/>
    <w:rsid w:val="00627A1F"/>
    <w:rsid w:val="006301B9"/>
    <w:rsid w:val="00630603"/>
    <w:rsid w:val="00630A69"/>
    <w:rsid w:val="00631120"/>
    <w:rsid w:val="006314B2"/>
    <w:rsid w:val="00631AE2"/>
    <w:rsid w:val="006324E5"/>
    <w:rsid w:val="00632C97"/>
    <w:rsid w:val="00632D2A"/>
    <w:rsid w:val="0063309D"/>
    <w:rsid w:val="006333EE"/>
    <w:rsid w:val="0063433C"/>
    <w:rsid w:val="0063442F"/>
    <w:rsid w:val="006349D2"/>
    <w:rsid w:val="00634FC8"/>
    <w:rsid w:val="00635489"/>
    <w:rsid w:val="006354AC"/>
    <w:rsid w:val="00635793"/>
    <w:rsid w:val="00635ECE"/>
    <w:rsid w:val="00636547"/>
    <w:rsid w:val="0063682A"/>
    <w:rsid w:val="006370AC"/>
    <w:rsid w:val="006377F0"/>
    <w:rsid w:val="006403A1"/>
    <w:rsid w:val="00640420"/>
    <w:rsid w:val="00640486"/>
    <w:rsid w:val="0064056C"/>
    <w:rsid w:val="00641072"/>
    <w:rsid w:val="0064107E"/>
    <w:rsid w:val="006416A1"/>
    <w:rsid w:val="0064180A"/>
    <w:rsid w:val="006418DC"/>
    <w:rsid w:val="00641BBF"/>
    <w:rsid w:val="006424EB"/>
    <w:rsid w:val="00642F1F"/>
    <w:rsid w:val="006432F0"/>
    <w:rsid w:val="00643AEE"/>
    <w:rsid w:val="00644211"/>
    <w:rsid w:val="0064462B"/>
    <w:rsid w:val="0064545B"/>
    <w:rsid w:val="00645D99"/>
    <w:rsid w:val="006464B7"/>
    <w:rsid w:val="0064752F"/>
    <w:rsid w:val="006477BB"/>
    <w:rsid w:val="006478C9"/>
    <w:rsid w:val="00647F99"/>
    <w:rsid w:val="00650245"/>
    <w:rsid w:val="006507F4"/>
    <w:rsid w:val="00650C4E"/>
    <w:rsid w:val="00650C63"/>
    <w:rsid w:val="00650C9C"/>
    <w:rsid w:val="00650CAB"/>
    <w:rsid w:val="00650D1A"/>
    <w:rsid w:val="0065142D"/>
    <w:rsid w:val="006515FE"/>
    <w:rsid w:val="006518DD"/>
    <w:rsid w:val="006519CD"/>
    <w:rsid w:val="006521C1"/>
    <w:rsid w:val="0065224C"/>
    <w:rsid w:val="00652584"/>
    <w:rsid w:val="00652B7C"/>
    <w:rsid w:val="00652F7F"/>
    <w:rsid w:val="00653136"/>
    <w:rsid w:val="006534C7"/>
    <w:rsid w:val="006534E3"/>
    <w:rsid w:val="00653A32"/>
    <w:rsid w:val="00653AB2"/>
    <w:rsid w:val="00653ACC"/>
    <w:rsid w:val="00653D76"/>
    <w:rsid w:val="006540F8"/>
    <w:rsid w:val="0065458B"/>
    <w:rsid w:val="00655048"/>
    <w:rsid w:val="00655346"/>
    <w:rsid w:val="006556D9"/>
    <w:rsid w:val="00655ED3"/>
    <w:rsid w:val="00655F4E"/>
    <w:rsid w:val="0065625F"/>
    <w:rsid w:val="0065649F"/>
    <w:rsid w:val="006565C5"/>
    <w:rsid w:val="00656C70"/>
    <w:rsid w:val="00660815"/>
    <w:rsid w:val="00660853"/>
    <w:rsid w:val="00660ECA"/>
    <w:rsid w:val="00661EDB"/>
    <w:rsid w:val="00661FD1"/>
    <w:rsid w:val="00662644"/>
    <w:rsid w:val="00662787"/>
    <w:rsid w:val="006637C2"/>
    <w:rsid w:val="0066572C"/>
    <w:rsid w:val="00665BA6"/>
    <w:rsid w:val="00665CD2"/>
    <w:rsid w:val="00667586"/>
    <w:rsid w:val="0066759A"/>
    <w:rsid w:val="00667DF1"/>
    <w:rsid w:val="006700A6"/>
    <w:rsid w:val="0067099E"/>
    <w:rsid w:val="00671272"/>
    <w:rsid w:val="00671F7D"/>
    <w:rsid w:val="00672D64"/>
    <w:rsid w:val="00672DA1"/>
    <w:rsid w:val="00673D00"/>
    <w:rsid w:val="00673F6C"/>
    <w:rsid w:val="00674132"/>
    <w:rsid w:val="006743D9"/>
    <w:rsid w:val="00674CEF"/>
    <w:rsid w:val="00674D1A"/>
    <w:rsid w:val="00675498"/>
    <w:rsid w:val="00675B38"/>
    <w:rsid w:val="0067624F"/>
    <w:rsid w:val="006775D8"/>
    <w:rsid w:val="006778B8"/>
    <w:rsid w:val="0068024F"/>
    <w:rsid w:val="00680814"/>
    <w:rsid w:val="00680FEF"/>
    <w:rsid w:val="006812B6"/>
    <w:rsid w:val="00681694"/>
    <w:rsid w:val="00682050"/>
    <w:rsid w:val="006821B1"/>
    <w:rsid w:val="006821E4"/>
    <w:rsid w:val="006829EC"/>
    <w:rsid w:val="0068324F"/>
    <w:rsid w:val="006832C1"/>
    <w:rsid w:val="00685129"/>
    <w:rsid w:val="00685A6B"/>
    <w:rsid w:val="00685EC9"/>
    <w:rsid w:val="00685F65"/>
    <w:rsid w:val="00686312"/>
    <w:rsid w:val="00686A7E"/>
    <w:rsid w:val="006879C9"/>
    <w:rsid w:val="00687CE6"/>
    <w:rsid w:val="0069063D"/>
    <w:rsid w:val="00691288"/>
    <w:rsid w:val="00691358"/>
    <w:rsid w:val="006913F2"/>
    <w:rsid w:val="00692BC4"/>
    <w:rsid w:val="00693B38"/>
    <w:rsid w:val="00693CCC"/>
    <w:rsid w:val="00694281"/>
    <w:rsid w:val="0069433F"/>
    <w:rsid w:val="00695084"/>
    <w:rsid w:val="00695302"/>
    <w:rsid w:val="006955C8"/>
    <w:rsid w:val="00695687"/>
    <w:rsid w:val="00696532"/>
    <w:rsid w:val="00696C83"/>
    <w:rsid w:val="00696CF2"/>
    <w:rsid w:val="00697AB8"/>
    <w:rsid w:val="00697AFA"/>
    <w:rsid w:val="00697C7A"/>
    <w:rsid w:val="006A0301"/>
    <w:rsid w:val="006A0583"/>
    <w:rsid w:val="006A0AB9"/>
    <w:rsid w:val="006A0D46"/>
    <w:rsid w:val="006A0D7B"/>
    <w:rsid w:val="006A0D83"/>
    <w:rsid w:val="006A0F7B"/>
    <w:rsid w:val="006A13F1"/>
    <w:rsid w:val="006A1492"/>
    <w:rsid w:val="006A153B"/>
    <w:rsid w:val="006A1957"/>
    <w:rsid w:val="006A1B1E"/>
    <w:rsid w:val="006A1C3C"/>
    <w:rsid w:val="006A3329"/>
    <w:rsid w:val="006A421D"/>
    <w:rsid w:val="006A44E7"/>
    <w:rsid w:val="006A4782"/>
    <w:rsid w:val="006A48F4"/>
    <w:rsid w:val="006A494C"/>
    <w:rsid w:val="006A5C29"/>
    <w:rsid w:val="006A5D53"/>
    <w:rsid w:val="006A631C"/>
    <w:rsid w:val="006A6761"/>
    <w:rsid w:val="006A68DB"/>
    <w:rsid w:val="006A68E2"/>
    <w:rsid w:val="006A6DA4"/>
    <w:rsid w:val="006A6ED3"/>
    <w:rsid w:val="006A6FB2"/>
    <w:rsid w:val="006A7293"/>
    <w:rsid w:val="006A740B"/>
    <w:rsid w:val="006B0C16"/>
    <w:rsid w:val="006B105E"/>
    <w:rsid w:val="006B118F"/>
    <w:rsid w:val="006B1AF6"/>
    <w:rsid w:val="006B21EE"/>
    <w:rsid w:val="006B2640"/>
    <w:rsid w:val="006B299C"/>
    <w:rsid w:val="006B2DA6"/>
    <w:rsid w:val="006B40DB"/>
    <w:rsid w:val="006B4237"/>
    <w:rsid w:val="006B4606"/>
    <w:rsid w:val="006B4DF9"/>
    <w:rsid w:val="006B4E43"/>
    <w:rsid w:val="006B4E67"/>
    <w:rsid w:val="006B5050"/>
    <w:rsid w:val="006B60EF"/>
    <w:rsid w:val="006B642E"/>
    <w:rsid w:val="006B64F4"/>
    <w:rsid w:val="006B6C5F"/>
    <w:rsid w:val="006B6CBF"/>
    <w:rsid w:val="006B71FA"/>
    <w:rsid w:val="006B7A01"/>
    <w:rsid w:val="006B7CF8"/>
    <w:rsid w:val="006B7F72"/>
    <w:rsid w:val="006C0666"/>
    <w:rsid w:val="006C0813"/>
    <w:rsid w:val="006C0D0A"/>
    <w:rsid w:val="006C145B"/>
    <w:rsid w:val="006C1C4F"/>
    <w:rsid w:val="006C1C9A"/>
    <w:rsid w:val="006C27B5"/>
    <w:rsid w:val="006C28A4"/>
    <w:rsid w:val="006C29B8"/>
    <w:rsid w:val="006C2BCF"/>
    <w:rsid w:val="006C34A8"/>
    <w:rsid w:val="006C34F8"/>
    <w:rsid w:val="006C38D8"/>
    <w:rsid w:val="006C4132"/>
    <w:rsid w:val="006C44D9"/>
    <w:rsid w:val="006C4BE9"/>
    <w:rsid w:val="006C4C3C"/>
    <w:rsid w:val="006C5614"/>
    <w:rsid w:val="006C5A68"/>
    <w:rsid w:val="006C6006"/>
    <w:rsid w:val="006C6492"/>
    <w:rsid w:val="006C7F91"/>
    <w:rsid w:val="006D0272"/>
    <w:rsid w:val="006D06CB"/>
    <w:rsid w:val="006D06CD"/>
    <w:rsid w:val="006D07E4"/>
    <w:rsid w:val="006D07E5"/>
    <w:rsid w:val="006D1305"/>
    <w:rsid w:val="006D158E"/>
    <w:rsid w:val="006D159A"/>
    <w:rsid w:val="006D16E5"/>
    <w:rsid w:val="006D1C7C"/>
    <w:rsid w:val="006D1EE3"/>
    <w:rsid w:val="006D210A"/>
    <w:rsid w:val="006D297B"/>
    <w:rsid w:val="006D2A57"/>
    <w:rsid w:val="006D2AA7"/>
    <w:rsid w:val="006D2B9B"/>
    <w:rsid w:val="006D2EE6"/>
    <w:rsid w:val="006D3048"/>
    <w:rsid w:val="006D34FC"/>
    <w:rsid w:val="006D3A23"/>
    <w:rsid w:val="006D3D43"/>
    <w:rsid w:val="006D505C"/>
    <w:rsid w:val="006D5486"/>
    <w:rsid w:val="006D5B80"/>
    <w:rsid w:val="006D61CD"/>
    <w:rsid w:val="006D64B9"/>
    <w:rsid w:val="006D6B1D"/>
    <w:rsid w:val="006D7744"/>
    <w:rsid w:val="006E0097"/>
    <w:rsid w:val="006E05C4"/>
    <w:rsid w:val="006E0627"/>
    <w:rsid w:val="006E083C"/>
    <w:rsid w:val="006E08BF"/>
    <w:rsid w:val="006E0FFB"/>
    <w:rsid w:val="006E1A22"/>
    <w:rsid w:val="006E1A96"/>
    <w:rsid w:val="006E1B0C"/>
    <w:rsid w:val="006E1E0D"/>
    <w:rsid w:val="006E2674"/>
    <w:rsid w:val="006E2734"/>
    <w:rsid w:val="006E311B"/>
    <w:rsid w:val="006E338D"/>
    <w:rsid w:val="006E3B18"/>
    <w:rsid w:val="006E3D16"/>
    <w:rsid w:val="006E51C7"/>
    <w:rsid w:val="006E5280"/>
    <w:rsid w:val="006E57AF"/>
    <w:rsid w:val="006E6048"/>
    <w:rsid w:val="006E616B"/>
    <w:rsid w:val="006E63EB"/>
    <w:rsid w:val="006E6CDD"/>
    <w:rsid w:val="006E72DD"/>
    <w:rsid w:val="006E7338"/>
    <w:rsid w:val="006E7B05"/>
    <w:rsid w:val="006E7B3A"/>
    <w:rsid w:val="006E7D9D"/>
    <w:rsid w:val="006F018E"/>
    <w:rsid w:val="006F050B"/>
    <w:rsid w:val="006F0553"/>
    <w:rsid w:val="006F0BF6"/>
    <w:rsid w:val="006F123D"/>
    <w:rsid w:val="006F12C0"/>
    <w:rsid w:val="006F1EB4"/>
    <w:rsid w:val="006F285F"/>
    <w:rsid w:val="006F2AC6"/>
    <w:rsid w:val="006F2D93"/>
    <w:rsid w:val="006F3062"/>
    <w:rsid w:val="006F3C5F"/>
    <w:rsid w:val="006F40D2"/>
    <w:rsid w:val="006F49AD"/>
    <w:rsid w:val="006F4C4F"/>
    <w:rsid w:val="006F5093"/>
    <w:rsid w:val="006F57A7"/>
    <w:rsid w:val="006F591F"/>
    <w:rsid w:val="006F598D"/>
    <w:rsid w:val="006F6AA3"/>
    <w:rsid w:val="006F7217"/>
    <w:rsid w:val="006F7531"/>
    <w:rsid w:val="006F79CB"/>
    <w:rsid w:val="006F7CC2"/>
    <w:rsid w:val="00700BAE"/>
    <w:rsid w:val="00700D38"/>
    <w:rsid w:val="0070127B"/>
    <w:rsid w:val="007013BA"/>
    <w:rsid w:val="00701658"/>
    <w:rsid w:val="007019A8"/>
    <w:rsid w:val="00701A5C"/>
    <w:rsid w:val="00701DF0"/>
    <w:rsid w:val="00701F89"/>
    <w:rsid w:val="007023DE"/>
    <w:rsid w:val="00702594"/>
    <w:rsid w:val="00702871"/>
    <w:rsid w:val="00702A07"/>
    <w:rsid w:val="00702AA7"/>
    <w:rsid w:val="00702C0F"/>
    <w:rsid w:val="00702FFB"/>
    <w:rsid w:val="0070315E"/>
    <w:rsid w:val="007035AE"/>
    <w:rsid w:val="00703788"/>
    <w:rsid w:val="00703EF4"/>
    <w:rsid w:val="00704644"/>
    <w:rsid w:val="007047A5"/>
    <w:rsid w:val="00704AE3"/>
    <w:rsid w:val="00705255"/>
    <w:rsid w:val="0070536C"/>
    <w:rsid w:val="00705406"/>
    <w:rsid w:val="00705DAB"/>
    <w:rsid w:val="00706665"/>
    <w:rsid w:val="00707322"/>
    <w:rsid w:val="00707560"/>
    <w:rsid w:val="00707770"/>
    <w:rsid w:val="00710601"/>
    <w:rsid w:val="007106C9"/>
    <w:rsid w:val="00710749"/>
    <w:rsid w:val="007108A7"/>
    <w:rsid w:val="007108DC"/>
    <w:rsid w:val="00710BB0"/>
    <w:rsid w:val="00710C9A"/>
    <w:rsid w:val="00711F9F"/>
    <w:rsid w:val="00712741"/>
    <w:rsid w:val="00712A7C"/>
    <w:rsid w:val="00712B7C"/>
    <w:rsid w:val="007130FE"/>
    <w:rsid w:val="00713385"/>
    <w:rsid w:val="00713562"/>
    <w:rsid w:val="007135B3"/>
    <w:rsid w:val="00714037"/>
    <w:rsid w:val="00714721"/>
    <w:rsid w:val="00714745"/>
    <w:rsid w:val="00715C6F"/>
    <w:rsid w:val="00715DC7"/>
    <w:rsid w:val="00715E48"/>
    <w:rsid w:val="0071607E"/>
    <w:rsid w:val="0071661A"/>
    <w:rsid w:val="00716793"/>
    <w:rsid w:val="00716864"/>
    <w:rsid w:val="00720374"/>
    <w:rsid w:val="007203D2"/>
    <w:rsid w:val="00720D30"/>
    <w:rsid w:val="00721235"/>
    <w:rsid w:val="00721415"/>
    <w:rsid w:val="00721F10"/>
    <w:rsid w:val="00722403"/>
    <w:rsid w:val="00722522"/>
    <w:rsid w:val="00723C93"/>
    <w:rsid w:val="00724BBF"/>
    <w:rsid w:val="0072514C"/>
    <w:rsid w:val="00725281"/>
    <w:rsid w:val="00725312"/>
    <w:rsid w:val="00725578"/>
    <w:rsid w:val="00725610"/>
    <w:rsid w:val="00726076"/>
    <w:rsid w:val="007261B3"/>
    <w:rsid w:val="00726534"/>
    <w:rsid w:val="00726F5F"/>
    <w:rsid w:val="00727107"/>
    <w:rsid w:val="00730250"/>
    <w:rsid w:val="007309B2"/>
    <w:rsid w:val="007313F9"/>
    <w:rsid w:val="0073162A"/>
    <w:rsid w:val="00731C38"/>
    <w:rsid w:val="00732468"/>
    <w:rsid w:val="00732584"/>
    <w:rsid w:val="0073275C"/>
    <w:rsid w:val="00732802"/>
    <w:rsid w:val="007328C3"/>
    <w:rsid w:val="0073299D"/>
    <w:rsid w:val="00732EDD"/>
    <w:rsid w:val="00733501"/>
    <w:rsid w:val="00733642"/>
    <w:rsid w:val="00733F86"/>
    <w:rsid w:val="00734209"/>
    <w:rsid w:val="007344C0"/>
    <w:rsid w:val="0073468E"/>
    <w:rsid w:val="00734957"/>
    <w:rsid w:val="00734CE6"/>
    <w:rsid w:val="0073515F"/>
    <w:rsid w:val="00735EB0"/>
    <w:rsid w:val="00736902"/>
    <w:rsid w:val="00736C56"/>
    <w:rsid w:val="00736DE1"/>
    <w:rsid w:val="00736EB4"/>
    <w:rsid w:val="00737125"/>
    <w:rsid w:val="007375A9"/>
    <w:rsid w:val="007375DD"/>
    <w:rsid w:val="007376F5"/>
    <w:rsid w:val="00740D82"/>
    <w:rsid w:val="00740E25"/>
    <w:rsid w:val="00740F8A"/>
    <w:rsid w:val="0074174B"/>
    <w:rsid w:val="00741851"/>
    <w:rsid w:val="007424D1"/>
    <w:rsid w:val="00743140"/>
    <w:rsid w:val="00743193"/>
    <w:rsid w:val="00743503"/>
    <w:rsid w:val="00743C80"/>
    <w:rsid w:val="007443E9"/>
    <w:rsid w:val="00744B55"/>
    <w:rsid w:val="00744CB9"/>
    <w:rsid w:val="00744EF1"/>
    <w:rsid w:val="00745112"/>
    <w:rsid w:val="00746317"/>
    <w:rsid w:val="00746575"/>
    <w:rsid w:val="00746DFE"/>
    <w:rsid w:val="00747458"/>
    <w:rsid w:val="00747966"/>
    <w:rsid w:val="00750248"/>
    <w:rsid w:val="00750DBC"/>
    <w:rsid w:val="00750EC3"/>
    <w:rsid w:val="007511DF"/>
    <w:rsid w:val="007513AD"/>
    <w:rsid w:val="0075187A"/>
    <w:rsid w:val="007518CF"/>
    <w:rsid w:val="00751B16"/>
    <w:rsid w:val="00751F5A"/>
    <w:rsid w:val="00752FD8"/>
    <w:rsid w:val="007530FA"/>
    <w:rsid w:val="007536D4"/>
    <w:rsid w:val="007537F0"/>
    <w:rsid w:val="00753DF8"/>
    <w:rsid w:val="00754586"/>
    <w:rsid w:val="00754835"/>
    <w:rsid w:val="00754BBB"/>
    <w:rsid w:val="00754C2A"/>
    <w:rsid w:val="00754CA3"/>
    <w:rsid w:val="007555D0"/>
    <w:rsid w:val="00756709"/>
    <w:rsid w:val="00756DC5"/>
    <w:rsid w:val="00757101"/>
    <w:rsid w:val="0075738B"/>
    <w:rsid w:val="00757A09"/>
    <w:rsid w:val="00757FDD"/>
    <w:rsid w:val="00760397"/>
    <w:rsid w:val="0076117C"/>
    <w:rsid w:val="00761617"/>
    <w:rsid w:val="0076167B"/>
    <w:rsid w:val="00761BFF"/>
    <w:rsid w:val="00761F7F"/>
    <w:rsid w:val="007640EE"/>
    <w:rsid w:val="00764169"/>
    <w:rsid w:val="00765219"/>
    <w:rsid w:val="007655FE"/>
    <w:rsid w:val="00766209"/>
    <w:rsid w:val="00766490"/>
    <w:rsid w:val="00766D31"/>
    <w:rsid w:val="0076772E"/>
    <w:rsid w:val="00770A0F"/>
    <w:rsid w:val="007710BF"/>
    <w:rsid w:val="0077175E"/>
    <w:rsid w:val="00771799"/>
    <w:rsid w:val="007720A5"/>
    <w:rsid w:val="007722AB"/>
    <w:rsid w:val="00772A27"/>
    <w:rsid w:val="00773C58"/>
    <w:rsid w:val="00773FCA"/>
    <w:rsid w:val="007742C4"/>
    <w:rsid w:val="007743A9"/>
    <w:rsid w:val="00774820"/>
    <w:rsid w:val="00774B7E"/>
    <w:rsid w:val="00774E31"/>
    <w:rsid w:val="00774F3D"/>
    <w:rsid w:val="00775158"/>
    <w:rsid w:val="0077520B"/>
    <w:rsid w:val="00776DA3"/>
    <w:rsid w:val="00776DC8"/>
    <w:rsid w:val="00777290"/>
    <w:rsid w:val="00777349"/>
    <w:rsid w:val="007776CD"/>
    <w:rsid w:val="00777DEF"/>
    <w:rsid w:val="007802FD"/>
    <w:rsid w:val="0078064A"/>
    <w:rsid w:val="007809D1"/>
    <w:rsid w:val="00780BE2"/>
    <w:rsid w:val="007811BB"/>
    <w:rsid w:val="00781A10"/>
    <w:rsid w:val="00782AD6"/>
    <w:rsid w:val="00782BB3"/>
    <w:rsid w:val="007834FA"/>
    <w:rsid w:val="00783552"/>
    <w:rsid w:val="00783587"/>
    <w:rsid w:val="00783AD8"/>
    <w:rsid w:val="00783D67"/>
    <w:rsid w:val="00784CED"/>
    <w:rsid w:val="0078523A"/>
    <w:rsid w:val="00785A8C"/>
    <w:rsid w:val="007863F8"/>
    <w:rsid w:val="00786A20"/>
    <w:rsid w:val="00786B42"/>
    <w:rsid w:val="00786B7D"/>
    <w:rsid w:val="00787281"/>
    <w:rsid w:val="00787390"/>
    <w:rsid w:val="00790140"/>
    <w:rsid w:val="0079054D"/>
    <w:rsid w:val="0079064A"/>
    <w:rsid w:val="00790A46"/>
    <w:rsid w:val="00790C47"/>
    <w:rsid w:val="007915B2"/>
    <w:rsid w:val="00791838"/>
    <w:rsid w:val="00791A7E"/>
    <w:rsid w:val="007946CC"/>
    <w:rsid w:val="007949B4"/>
    <w:rsid w:val="00794C37"/>
    <w:rsid w:val="00795025"/>
    <w:rsid w:val="00795761"/>
    <w:rsid w:val="00795A62"/>
    <w:rsid w:val="00796221"/>
    <w:rsid w:val="00796414"/>
    <w:rsid w:val="00796D4E"/>
    <w:rsid w:val="00796F15"/>
    <w:rsid w:val="007977E6"/>
    <w:rsid w:val="007A041F"/>
    <w:rsid w:val="007A055B"/>
    <w:rsid w:val="007A076C"/>
    <w:rsid w:val="007A08F8"/>
    <w:rsid w:val="007A0E02"/>
    <w:rsid w:val="007A1088"/>
    <w:rsid w:val="007A1552"/>
    <w:rsid w:val="007A1CEF"/>
    <w:rsid w:val="007A2143"/>
    <w:rsid w:val="007A29A1"/>
    <w:rsid w:val="007A2BEE"/>
    <w:rsid w:val="007A3249"/>
    <w:rsid w:val="007A32CE"/>
    <w:rsid w:val="007A33B0"/>
    <w:rsid w:val="007A357F"/>
    <w:rsid w:val="007A3AF9"/>
    <w:rsid w:val="007A4121"/>
    <w:rsid w:val="007A4935"/>
    <w:rsid w:val="007A4E0E"/>
    <w:rsid w:val="007A5376"/>
    <w:rsid w:val="007A5C1E"/>
    <w:rsid w:val="007A5C76"/>
    <w:rsid w:val="007A5DEE"/>
    <w:rsid w:val="007A628B"/>
    <w:rsid w:val="007A6761"/>
    <w:rsid w:val="007A67BE"/>
    <w:rsid w:val="007A6AB0"/>
    <w:rsid w:val="007A6FA8"/>
    <w:rsid w:val="007A70E9"/>
    <w:rsid w:val="007A7697"/>
    <w:rsid w:val="007B03D7"/>
    <w:rsid w:val="007B1C6E"/>
    <w:rsid w:val="007B20F9"/>
    <w:rsid w:val="007B2281"/>
    <w:rsid w:val="007B2324"/>
    <w:rsid w:val="007B2E8B"/>
    <w:rsid w:val="007B311D"/>
    <w:rsid w:val="007B33C0"/>
    <w:rsid w:val="007B3499"/>
    <w:rsid w:val="007B3A5D"/>
    <w:rsid w:val="007B3C86"/>
    <w:rsid w:val="007B3CD5"/>
    <w:rsid w:val="007B5671"/>
    <w:rsid w:val="007B5C4A"/>
    <w:rsid w:val="007B5DF2"/>
    <w:rsid w:val="007B5F1E"/>
    <w:rsid w:val="007B624E"/>
    <w:rsid w:val="007B6B67"/>
    <w:rsid w:val="007B6C03"/>
    <w:rsid w:val="007B6C9E"/>
    <w:rsid w:val="007B6EA5"/>
    <w:rsid w:val="007B7230"/>
    <w:rsid w:val="007B7522"/>
    <w:rsid w:val="007B762C"/>
    <w:rsid w:val="007B7632"/>
    <w:rsid w:val="007C0A5D"/>
    <w:rsid w:val="007C0C6C"/>
    <w:rsid w:val="007C0D64"/>
    <w:rsid w:val="007C0D9A"/>
    <w:rsid w:val="007C1614"/>
    <w:rsid w:val="007C25D9"/>
    <w:rsid w:val="007C2623"/>
    <w:rsid w:val="007C2626"/>
    <w:rsid w:val="007C2BCF"/>
    <w:rsid w:val="007C2E6F"/>
    <w:rsid w:val="007C3054"/>
    <w:rsid w:val="007C305F"/>
    <w:rsid w:val="007C314A"/>
    <w:rsid w:val="007C334E"/>
    <w:rsid w:val="007C338F"/>
    <w:rsid w:val="007C359A"/>
    <w:rsid w:val="007C35F9"/>
    <w:rsid w:val="007C3D23"/>
    <w:rsid w:val="007C4200"/>
    <w:rsid w:val="007C4308"/>
    <w:rsid w:val="007C4745"/>
    <w:rsid w:val="007C4950"/>
    <w:rsid w:val="007C530D"/>
    <w:rsid w:val="007C5423"/>
    <w:rsid w:val="007C5AFA"/>
    <w:rsid w:val="007C5D31"/>
    <w:rsid w:val="007C6881"/>
    <w:rsid w:val="007C72E9"/>
    <w:rsid w:val="007C7ACF"/>
    <w:rsid w:val="007C7EE0"/>
    <w:rsid w:val="007C7F30"/>
    <w:rsid w:val="007D005B"/>
    <w:rsid w:val="007D038B"/>
    <w:rsid w:val="007D042C"/>
    <w:rsid w:val="007D0513"/>
    <w:rsid w:val="007D0A10"/>
    <w:rsid w:val="007D0F0D"/>
    <w:rsid w:val="007D10FF"/>
    <w:rsid w:val="007D1237"/>
    <w:rsid w:val="007D149D"/>
    <w:rsid w:val="007D18D2"/>
    <w:rsid w:val="007D2F3D"/>
    <w:rsid w:val="007D30BC"/>
    <w:rsid w:val="007D3CC9"/>
    <w:rsid w:val="007D4612"/>
    <w:rsid w:val="007D485A"/>
    <w:rsid w:val="007D5E93"/>
    <w:rsid w:val="007D61A2"/>
    <w:rsid w:val="007D68BA"/>
    <w:rsid w:val="007D6979"/>
    <w:rsid w:val="007D6E67"/>
    <w:rsid w:val="007D6FD8"/>
    <w:rsid w:val="007D70D2"/>
    <w:rsid w:val="007D71CC"/>
    <w:rsid w:val="007D7972"/>
    <w:rsid w:val="007D7D50"/>
    <w:rsid w:val="007E07BA"/>
    <w:rsid w:val="007E0F62"/>
    <w:rsid w:val="007E10AC"/>
    <w:rsid w:val="007E1720"/>
    <w:rsid w:val="007E1CA7"/>
    <w:rsid w:val="007E234A"/>
    <w:rsid w:val="007E3C3D"/>
    <w:rsid w:val="007E4084"/>
    <w:rsid w:val="007E4BFE"/>
    <w:rsid w:val="007E4EB4"/>
    <w:rsid w:val="007E51F5"/>
    <w:rsid w:val="007E6AF6"/>
    <w:rsid w:val="007E6BBA"/>
    <w:rsid w:val="007E71DD"/>
    <w:rsid w:val="007E7499"/>
    <w:rsid w:val="007E7529"/>
    <w:rsid w:val="007E76AE"/>
    <w:rsid w:val="007E7996"/>
    <w:rsid w:val="007F00C6"/>
    <w:rsid w:val="007F043E"/>
    <w:rsid w:val="007F0CA0"/>
    <w:rsid w:val="007F1CAC"/>
    <w:rsid w:val="007F2742"/>
    <w:rsid w:val="007F2C36"/>
    <w:rsid w:val="007F3057"/>
    <w:rsid w:val="007F4F5A"/>
    <w:rsid w:val="007F5214"/>
    <w:rsid w:val="007F53E3"/>
    <w:rsid w:val="007F5498"/>
    <w:rsid w:val="007F5A56"/>
    <w:rsid w:val="007F6CC0"/>
    <w:rsid w:val="007F72A6"/>
    <w:rsid w:val="007F72AE"/>
    <w:rsid w:val="007F78BB"/>
    <w:rsid w:val="0080017A"/>
    <w:rsid w:val="008003E4"/>
    <w:rsid w:val="00800670"/>
    <w:rsid w:val="00801C00"/>
    <w:rsid w:val="008024AE"/>
    <w:rsid w:val="00802742"/>
    <w:rsid w:val="00802883"/>
    <w:rsid w:val="00803687"/>
    <w:rsid w:val="008036D7"/>
    <w:rsid w:val="00803BF8"/>
    <w:rsid w:val="0080472B"/>
    <w:rsid w:val="00804AEB"/>
    <w:rsid w:val="00805AA7"/>
    <w:rsid w:val="00805FD9"/>
    <w:rsid w:val="00806E3E"/>
    <w:rsid w:val="00806EED"/>
    <w:rsid w:val="00806FB8"/>
    <w:rsid w:val="0080734B"/>
    <w:rsid w:val="00807AB3"/>
    <w:rsid w:val="008101E6"/>
    <w:rsid w:val="0081033F"/>
    <w:rsid w:val="00810830"/>
    <w:rsid w:val="00810E0C"/>
    <w:rsid w:val="00810F9D"/>
    <w:rsid w:val="0081175D"/>
    <w:rsid w:val="00811A19"/>
    <w:rsid w:val="00811C10"/>
    <w:rsid w:val="008122FB"/>
    <w:rsid w:val="0081251C"/>
    <w:rsid w:val="00812556"/>
    <w:rsid w:val="008133A3"/>
    <w:rsid w:val="00814116"/>
    <w:rsid w:val="008148A9"/>
    <w:rsid w:val="00814CBB"/>
    <w:rsid w:val="0081510B"/>
    <w:rsid w:val="0081546D"/>
    <w:rsid w:val="00815643"/>
    <w:rsid w:val="00815658"/>
    <w:rsid w:val="008158E4"/>
    <w:rsid w:val="00816652"/>
    <w:rsid w:val="0081678D"/>
    <w:rsid w:val="0081783D"/>
    <w:rsid w:val="00817C69"/>
    <w:rsid w:val="00820BB3"/>
    <w:rsid w:val="008213A7"/>
    <w:rsid w:val="00821496"/>
    <w:rsid w:val="008214B1"/>
    <w:rsid w:val="0082245F"/>
    <w:rsid w:val="00822854"/>
    <w:rsid w:val="00822DFF"/>
    <w:rsid w:val="00823A07"/>
    <w:rsid w:val="00823CAA"/>
    <w:rsid w:val="00823CB8"/>
    <w:rsid w:val="00823E4F"/>
    <w:rsid w:val="008240EF"/>
    <w:rsid w:val="0082465E"/>
    <w:rsid w:val="008248F2"/>
    <w:rsid w:val="00825E85"/>
    <w:rsid w:val="008265AF"/>
    <w:rsid w:val="00826607"/>
    <w:rsid w:val="008268AE"/>
    <w:rsid w:val="00826B8F"/>
    <w:rsid w:val="00827900"/>
    <w:rsid w:val="00831140"/>
    <w:rsid w:val="008314C7"/>
    <w:rsid w:val="0083158F"/>
    <w:rsid w:val="00831899"/>
    <w:rsid w:val="00831A2C"/>
    <w:rsid w:val="00832196"/>
    <w:rsid w:val="008321B7"/>
    <w:rsid w:val="00832B9B"/>
    <w:rsid w:val="00833AC1"/>
    <w:rsid w:val="00833B28"/>
    <w:rsid w:val="00833BE5"/>
    <w:rsid w:val="00833E39"/>
    <w:rsid w:val="00834BAC"/>
    <w:rsid w:val="008355D2"/>
    <w:rsid w:val="0083589F"/>
    <w:rsid w:val="008359CA"/>
    <w:rsid w:val="00835AA5"/>
    <w:rsid w:val="00835F70"/>
    <w:rsid w:val="00836609"/>
    <w:rsid w:val="00836676"/>
    <w:rsid w:val="00836AEF"/>
    <w:rsid w:val="00837F2A"/>
    <w:rsid w:val="00840797"/>
    <w:rsid w:val="00840DEA"/>
    <w:rsid w:val="00842642"/>
    <w:rsid w:val="0084267E"/>
    <w:rsid w:val="00842ABF"/>
    <w:rsid w:val="00842E70"/>
    <w:rsid w:val="0084301B"/>
    <w:rsid w:val="00843051"/>
    <w:rsid w:val="008437C6"/>
    <w:rsid w:val="008438A2"/>
    <w:rsid w:val="00843D60"/>
    <w:rsid w:val="00843F3E"/>
    <w:rsid w:val="008441BE"/>
    <w:rsid w:val="0084450F"/>
    <w:rsid w:val="00844935"/>
    <w:rsid w:val="00845F6E"/>
    <w:rsid w:val="0084617B"/>
    <w:rsid w:val="008464ED"/>
    <w:rsid w:val="00846736"/>
    <w:rsid w:val="00846739"/>
    <w:rsid w:val="008471A5"/>
    <w:rsid w:val="008472A8"/>
    <w:rsid w:val="00847C52"/>
    <w:rsid w:val="00847F45"/>
    <w:rsid w:val="00850799"/>
    <w:rsid w:val="00851804"/>
    <w:rsid w:val="0085181B"/>
    <w:rsid w:val="0085244D"/>
    <w:rsid w:val="00852830"/>
    <w:rsid w:val="00852B5B"/>
    <w:rsid w:val="00853872"/>
    <w:rsid w:val="00853CC9"/>
    <w:rsid w:val="00853D86"/>
    <w:rsid w:val="008541A3"/>
    <w:rsid w:val="00854ADD"/>
    <w:rsid w:val="00854EF0"/>
    <w:rsid w:val="00855577"/>
    <w:rsid w:val="00855661"/>
    <w:rsid w:val="00855ECA"/>
    <w:rsid w:val="00856121"/>
    <w:rsid w:val="008568CF"/>
    <w:rsid w:val="00857B38"/>
    <w:rsid w:val="00857C59"/>
    <w:rsid w:val="00860022"/>
    <w:rsid w:val="008603FF"/>
    <w:rsid w:val="008610C9"/>
    <w:rsid w:val="00861811"/>
    <w:rsid w:val="00861871"/>
    <w:rsid w:val="00862940"/>
    <w:rsid w:val="00862A28"/>
    <w:rsid w:val="00862D47"/>
    <w:rsid w:val="00862D51"/>
    <w:rsid w:val="00862FC2"/>
    <w:rsid w:val="008637E1"/>
    <w:rsid w:val="00863A12"/>
    <w:rsid w:val="00863E59"/>
    <w:rsid w:val="00863E5D"/>
    <w:rsid w:val="00864ED5"/>
    <w:rsid w:val="008651D1"/>
    <w:rsid w:val="00865223"/>
    <w:rsid w:val="00866A27"/>
    <w:rsid w:val="00866C59"/>
    <w:rsid w:val="0086730A"/>
    <w:rsid w:val="00867772"/>
    <w:rsid w:val="00867C54"/>
    <w:rsid w:val="00867FB0"/>
    <w:rsid w:val="00870225"/>
    <w:rsid w:val="00870280"/>
    <w:rsid w:val="0087034D"/>
    <w:rsid w:val="00870544"/>
    <w:rsid w:val="00870C9C"/>
    <w:rsid w:val="0087125A"/>
    <w:rsid w:val="008713E3"/>
    <w:rsid w:val="0087148A"/>
    <w:rsid w:val="00872130"/>
    <w:rsid w:val="00872540"/>
    <w:rsid w:val="00872581"/>
    <w:rsid w:val="00872CBA"/>
    <w:rsid w:val="00873082"/>
    <w:rsid w:val="008730B9"/>
    <w:rsid w:val="00873B30"/>
    <w:rsid w:val="00873FDB"/>
    <w:rsid w:val="00874206"/>
    <w:rsid w:val="008742A8"/>
    <w:rsid w:val="0087589D"/>
    <w:rsid w:val="00875A48"/>
    <w:rsid w:val="00875CBF"/>
    <w:rsid w:val="00875D86"/>
    <w:rsid w:val="00875FB5"/>
    <w:rsid w:val="00876A70"/>
    <w:rsid w:val="00876D27"/>
    <w:rsid w:val="00877013"/>
    <w:rsid w:val="00877466"/>
    <w:rsid w:val="0087765B"/>
    <w:rsid w:val="00880111"/>
    <w:rsid w:val="00880603"/>
    <w:rsid w:val="00880C94"/>
    <w:rsid w:val="00880E82"/>
    <w:rsid w:val="00880EF9"/>
    <w:rsid w:val="008816C3"/>
    <w:rsid w:val="00881D8B"/>
    <w:rsid w:val="00881E75"/>
    <w:rsid w:val="0088296B"/>
    <w:rsid w:val="00882D38"/>
    <w:rsid w:val="008831CD"/>
    <w:rsid w:val="00883C81"/>
    <w:rsid w:val="00883EE3"/>
    <w:rsid w:val="008844E3"/>
    <w:rsid w:val="00884667"/>
    <w:rsid w:val="00884C16"/>
    <w:rsid w:val="008855B2"/>
    <w:rsid w:val="00885A14"/>
    <w:rsid w:val="00885A81"/>
    <w:rsid w:val="0088604C"/>
    <w:rsid w:val="00886359"/>
    <w:rsid w:val="008863A1"/>
    <w:rsid w:val="008866D1"/>
    <w:rsid w:val="00886B69"/>
    <w:rsid w:val="00886C30"/>
    <w:rsid w:val="00887036"/>
    <w:rsid w:val="0088751C"/>
    <w:rsid w:val="00887A78"/>
    <w:rsid w:val="00887FB5"/>
    <w:rsid w:val="0089089A"/>
    <w:rsid w:val="00890B97"/>
    <w:rsid w:val="00890C31"/>
    <w:rsid w:val="00890CAD"/>
    <w:rsid w:val="00890E2F"/>
    <w:rsid w:val="00890F9B"/>
    <w:rsid w:val="008910FF"/>
    <w:rsid w:val="0089129E"/>
    <w:rsid w:val="008915DA"/>
    <w:rsid w:val="008917FA"/>
    <w:rsid w:val="00891D56"/>
    <w:rsid w:val="00892065"/>
    <w:rsid w:val="008923F6"/>
    <w:rsid w:val="00892F37"/>
    <w:rsid w:val="008932E3"/>
    <w:rsid w:val="0089336E"/>
    <w:rsid w:val="0089352A"/>
    <w:rsid w:val="0089353B"/>
    <w:rsid w:val="00893EAE"/>
    <w:rsid w:val="0089467D"/>
    <w:rsid w:val="00894911"/>
    <w:rsid w:val="00894D9F"/>
    <w:rsid w:val="00895069"/>
    <w:rsid w:val="00895129"/>
    <w:rsid w:val="00896267"/>
    <w:rsid w:val="008962EA"/>
    <w:rsid w:val="00896991"/>
    <w:rsid w:val="00896B2A"/>
    <w:rsid w:val="00896B8F"/>
    <w:rsid w:val="00897172"/>
    <w:rsid w:val="0089747B"/>
    <w:rsid w:val="008A0214"/>
    <w:rsid w:val="008A0A7C"/>
    <w:rsid w:val="008A1608"/>
    <w:rsid w:val="008A1BF3"/>
    <w:rsid w:val="008A1DD4"/>
    <w:rsid w:val="008A1E38"/>
    <w:rsid w:val="008A1EEC"/>
    <w:rsid w:val="008A2AA6"/>
    <w:rsid w:val="008A2C08"/>
    <w:rsid w:val="008A35F3"/>
    <w:rsid w:val="008A391A"/>
    <w:rsid w:val="008A39F5"/>
    <w:rsid w:val="008A4278"/>
    <w:rsid w:val="008A4290"/>
    <w:rsid w:val="008A4394"/>
    <w:rsid w:val="008A5815"/>
    <w:rsid w:val="008A6C66"/>
    <w:rsid w:val="008A6E93"/>
    <w:rsid w:val="008A6F03"/>
    <w:rsid w:val="008A7102"/>
    <w:rsid w:val="008A78FF"/>
    <w:rsid w:val="008A7B57"/>
    <w:rsid w:val="008B0A08"/>
    <w:rsid w:val="008B0A3F"/>
    <w:rsid w:val="008B0BD0"/>
    <w:rsid w:val="008B1831"/>
    <w:rsid w:val="008B18CB"/>
    <w:rsid w:val="008B1AA4"/>
    <w:rsid w:val="008B2127"/>
    <w:rsid w:val="008B26FF"/>
    <w:rsid w:val="008B2C9E"/>
    <w:rsid w:val="008B2E8E"/>
    <w:rsid w:val="008B354F"/>
    <w:rsid w:val="008B362E"/>
    <w:rsid w:val="008B387C"/>
    <w:rsid w:val="008B38C8"/>
    <w:rsid w:val="008B3F45"/>
    <w:rsid w:val="008B44BB"/>
    <w:rsid w:val="008B4FD9"/>
    <w:rsid w:val="008B50FE"/>
    <w:rsid w:val="008B5422"/>
    <w:rsid w:val="008B55C0"/>
    <w:rsid w:val="008B5DA0"/>
    <w:rsid w:val="008B665E"/>
    <w:rsid w:val="008B6D14"/>
    <w:rsid w:val="008B77CF"/>
    <w:rsid w:val="008B79A3"/>
    <w:rsid w:val="008B7B5D"/>
    <w:rsid w:val="008B7BF1"/>
    <w:rsid w:val="008C042D"/>
    <w:rsid w:val="008C0FFB"/>
    <w:rsid w:val="008C1AB9"/>
    <w:rsid w:val="008C2565"/>
    <w:rsid w:val="008C2E63"/>
    <w:rsid w:val="008C302F"/>
    <w:rsid w:val="008C3054"/>
    <w:rsid w:val="008C36D0"/>
    <w:rsid w:val="008C3EAD"/>
    <w:rsid w:val="008C4050"/>
    <w:rsid w:val="008C40F4"/>
    <w:rsid w:val="008C4962"/>
    <w:rsid w:val="008C5040"/>
    <w:rsid w:val="008C505E"/>
    <w:rsid w:val="008C5897"/>
    <w:rsid w:val="008C58D8"/>
    <w:rsid w:val="008C614B"/>
    <w:rsid w:val="008C6B05"/>
    <w:rsid w:val="008C7882"/>
    <w:rsid w:val="008C7F00"/>
    <w:rsid w:val="008C7FC5"/>
    <w:rsid w:val="008D0798"/>
    <w:rsid w:val="008D0E8A"/>
    <w:rsid w:val="008D1A0C"/>
    <w:rsid w:val="008D1BC5"/>
    <w:rsid w:val="008D25A5"/>
    <w:rsid w:val="008D2755"/>
    <w:rsid w:val="008D2818"/>
    <w:rsid w:val="008D2E05"/>
    <w:rsid w:val="008D336B"/>
    <w:rsid w:val="008D371A"/>
    <w:rsid w:val="008D37B4"/>
    <w:rsid w:val="008D3B10"/>
    <w:rsid w:val="008D4939"/>
    <w:rsid w:val="008D495A"/>
    <w:rsid w:val="008D4AC2"/>
    <w:rsid w:val="008D4EE7"/>
    <w:rsid w:val="008D52F0"/>
    <w:rsid w:val="008D568B"/>
    <w:rsid w:val="008D640E"/>
    <w:rsid w:val="008D6D33"/>
    <w:rsid w:val="008D6E75"/>
    <w:rsid w:val="008D6E92"/>
    <w:rsid w:val="008E08AB"/>
    <w:rsid w:val="008E0AEF"/>
    <w:rsid w:val="008E13BB"/>
    <w:rsid w:val="008E1648"/>
    <w:rsid w:val="008E18CC"/>
    <w:rsid w:val="008E1A4D"/>
    <w:rsid w:val="008E276A"/>
    <w:rsid w:val="008E2F3E"/>
    <w:rsid w:val="008E315E"/>
    <w:rsid w:val="008E32A5"/>
    <w:rsid w:val="008E3385"/>
    <w:rsid w:val="008E37F8"/>
    <w:rsid w:val="008E3A5D"/>
    <w:rsid w:val="008E3AEB"/>
    <w:rsid w:val="008E4A7D"/>
    <w:rsid w:val="008E4BDA"/>
    <w:rsid w:val="008E5542"/>
    <w:rsid w:val="008E5CBA"/>
    <w:rsid w:val="008E69BF"/>
    <w:rsid w:val="008E6AC9"/>
    <w:rsid w:val="008E6F21"/>
    <w:rsid w:val="008E72F5"/>
    <w:rsid w:val="008E79D0"/>
    <w:rsid w:val="008E7F80"/>
    <w:rsid w:val="008F09A2"/>
    <w:rsid w:val="008F09D1"/>
    <w:rsid w:val="008F0ECA"/>
    <w:rsid w:val="008F1D38"/>
    <w:rsid w:val="008F1E06"/>
    <w:rsid w:val="008F1F6A"/>
    <w:rsid w:val="008F4309"/>
    <w:rsid w:val="008F43B9"/>
    <w:rsid w:val="008F497F"/>
    <w:rsid w:val="008F4DFA"/>
    <w:rsid w:val="008F5012"/>
    <w:rsid w:val="008F58DD"/>
    <w:rsid w:val="008F5E37"/>
    <w:rsid w:val="008F5F2B"/>
    <w:rsid w:val="008F6462"/>
    <w:rsid w:val="008F6975"/>
    <w:rsid w:val="008F77DB"/>
    <w:rsid w:val="0090011C"/>
    <w:rsid w:val="00900458"/>
    <w:rsid w:val="0090069D"/>
    <w:rsid w:val="00900C9D"/>
    <w:rsid w:val="00900E22"/>
    <w:rsid w:val="00901489"/>
    <w:rsid w:val="009015E9"/>
    <w:rsid w:val="00901F4C"/>
    <w:rsid w:val="00902B54"/>
    <w:rsid w:val="00902C35"/>
    <w:rsid w:val="00903304"/>
    <w:rsid w:val="00903E04"/>
    <w:rsid w:val="00903F3E"/>
    <w:rsid w:val="009040F1"/>
    <w:rsid w:val="009047C0"/>
    <w:rsid w:val="009048C8"/>
    <w:rsid w:val="00904F7B"/>
    <w:rsid w:val="009053AC"/>
    <w:rsid w:val="00905AD8"/>
    <w:rsid w:val="009062A5"/>
    <w:rsid w:val="00906334"/>
    <w:rsid w:val="009075E6"/>
    <w:rsid w:val="00907CE2"/>
    <w:rsid w:val="00910855"/>
    <w:rsid w:val="009111DB"/>
    <w:rsid w:val="00912627"/>
    <w:rsid w:val="009129C6"/>
    <w:rsid w:val="00912E98"/>
    <w:rsid w:val="009136C2"/>
    <w:rsid w:val="009136D3"/>
    <w:rsid w:val="00913863"/>
    <w:rsid w:val="00913B48"/>
    <w:rsid w:val="00913C06"/>
    <w:rsid w:val="009144A4"/>
    <w:rsid w:val="00914576"/>
    <w:rsid w:val="009145E0"/>
    <w:rsid w:val="00914C28"/>
    <w:rsid w:val="00915D1D"/>
    <w:rsid w:val="00915D60"/>
    <w:rsid w:val="00916DD5"/>
    <w:rsid w:val="009174CC"/>
    <w:rsid w:val="00917529"/>
    <w:rsid w:val="00920515"/>
    <w:rsid w:val="00920766"/>
    <w:rsid w:val="0092082F"/>
    <w:rsid w:val="00920B91"/>
    <w:rsid w:val="00920F84"/>
    <w:rsid w:val="0092169E"/>
    <w:rsid w:val="00921B2E"/>
    <w:rsid w:val="00921F28"/>
    <w:rsid w:val="009221FC"/>
    <w:rsid w:val="00922230"/>
    <w:rsid w:val="00922A90"/>
    <w:rsid w:val="00922FE2"/>
    <w:rsid w:val="00923090"/>
    <w:rsid w:val="009230B4"/>
    <w:rsid w:val="00923126"/>
    <w:rsid w:val="00923719"/>
    <w:rsid w:val="00923A5B"/>
    <w:rsid w:val="00923CEC"/>
    <w:rsid w:val="009242FC"/>
    <w:rsid w:val="00924D88"/>
    <w:rsid w:val="00924FC2"/>
    <w:rsid w:val="009253DF"/>
    <w:rsid w:val="00925785"/>
    <w:rsid w:val="00925870"/>
    <w:rsid w:val="00926F36"/>
    <w:rsid w:val="00927A83"/>
    <w:rsid w:val="00927E4B"/>
    <w:rsid w:val="009300EF"/>
    <w:rsid w:val="009307EB"/>
    <w:rsid w:val="00930A36"/>
    <w:rsid w:val="00931085"/>
    <w:rsid w:val="0093110C"/>
    <w:rsid w:val="00932537"/>
    <w:rsid w:val="00932ABF"/>
    <w:rsid w:val="00932C3E"/>
    <w:rsid w:val="00932CE8"/>
    <w:rsid w:val="00932E76"/>
    <w:rsid w:val="00932F2D"/>
    <w:rsid w:val="009336BB"/>
    <w:rsid w:val="00933C18"/>
    <w:rsid w:val="00933C46"/>
    <w:rsid w:val="00933C93"/>
    <w:rsid w:val="00934E09"/>
    <w:rsid w:val="00934F9A"/>
    <w:rsid w:val="0093510E"/>
    <w:rsid w:val="0093563E"/>
    <w:rsid w:val="00935BF5"/>
    <w:rsid w:val="00936C1F"/>
    <w:rsid w:val="00936D5F"/>
    <w:rsid w:val="009372FB"/>
    <w:rsid w:val="00937DB4"/>
    <w:rsid w:val="00937DE6"/>
    <w:rsid w:val="0094055C"/>
    <w:rsid w:val="0094111A"/>
    <w:rsid w:val="009413B1"/>
    <w:rsid w:val="0094212E"/>
    <w:rsid w:val="009425AA"/>
    <w:rsid w:val="009436F7"/>
    <w:rsid w:val="009437D0"/>
    <w:rsid w:val="00943E79"/>
    <w:rsid w:val="00944E98"/>
    <w:rsid w:val="00945719"/>
    <w:rsid w:val="0094587E"/>
    <w:rsid w:val="009460CF"/>
    <w:rsid w:val="009462A5"/>
    <w:rsid w:val="009464A0"/>
    <w:rsid w:val="009469FE"/>
    <w:rsid w:val="00946DA8"/>
    <w:rsid w:val="00946FF9"/>
    <w:rsid w:val="00950239"/>
    <w:rsid w:val="009509DB"/>
    <w:rsid w:val="00951676"/>
    <w:rsid w:val="00952253"/>
    <w:rsid w:val="00952831"/>
    <w:rsid w:val="00952D75"/>
    <w:rsid w:val="00952E33"/>
    <w:rsid w:val="00953A6B"/>
    <w:rsid w:val="00953A88"/>
    <w:rsid w:val="00954113"/>
    <w:rsid w:val="00954140"/>
    <w:rsid w:val="0095432D"/>
    <w:rsid w:val="00954AD1"/>
    <w:rsid w:val="00955743"/>
    <w:rsid w:val="00955A5D"/>
    <w:rsid w:val="00955B7B"/>
    <w:rsid w:val="0095631F"/>
    <w:rsid w:val="009569B3"/>
    <w:rsid w:val="009574E1"/>
    <w:rsid w:val="00957717"/>
    <w:rsid w:val="009601F1"/>
    <w:rsid w:val="00960673"/>
    <w:rsid w:val="00960E22"/>
    <w:rsid w:val="00960E97"/>
    <w:rsid w:val="009610EE"/>
    <w:rsid w:val="009611FF"/>
    <w:rsid w:val="00961300"/>
    <w:rsid w:val="0096140A"/>
    <w:rsid w:val="00961588"/>
    <w:rsid w:val="00961A26"/>
    <w:rsid w:val="00961B03"/>
    <w:rsid w:val="00961D7E"/>
    <w:rsid w:val="009623B2"/>
    <w:rsid w:val="009631A7"/>
    <w:rsid w:val="00963323"/>
    <w:rsid w:val="00963418"/>
    <w:rsid w:val="00963C38"/>
    <w:rsid w:val="00964532"/>
    <w:rsid w:val="0096461E"/>
    <w:rsid w:val="00964995"/>
    <w:rsid w:val="0096537C"/>
    <w:rsid w:val="009660F3"/>
    <w:rsid w:val="00966413"/>
    <w:rsid w:val="00966BCD"/>
    <w:rsid w:val="00966C5D"/>
    <w:rsid w:val="00967B54"/>
    <w:rsid w:val="00967BBD"/>
    <w:rsid w:val="00967D32"/>
    <w:rsid w:val="009700F3"/>
    <w:rsid w:val="00971638"/>
    <w:rsid w:val="0097180B"/>
    <w:rsid w:val="00971944"/>
    <w:rsid w:val="00971AD7"/>
    <w:rsid w:val="00971F49"/>
    <w:rsid w:val="009723EF"/>
    <w:rsid w:val="0097304E"/>
    <w:rsid w:val="0097313D"/>
    <w:rsid w:val="00973465"/>
    <w:rsid w:val="00973B50"/>
    <w:rsid w:val="00973C0D"/>
    <w:rsid w:val="00973DDA"/>
    <w:rsid w:val="00973F1F"/>
    <w:rsid w:val="00974045"/>
    <w:rsid w:val="00974291"/>
    <w:rsid w:val="00974537"/>
    <w:rsid w:val="00974667"/>
    <w:rsid w:val="0097490B"/>
    <w:rsid w:val="00974A8C"/>
    <w:rsid w:val="00974ACE"/>
    <w:rsid w:val="009752D1"/>
    <w:rsid w:val="00975817"/>
    <w:rsid w:val="00975B41"/>
    <w:rsid w:val="00975D7D"/>
    <w:rsid w:val="00975ED9"/>
    <w:rsid w:val="00975F9E"/>
    <w:rsid w:val="00976367"/>
    <w:rsid w:val="009769B2"/>
    <w:rsid w:val="00976D54"/>
    <w:rsid w:val="00976E6C"/>
    <w:rsid w:val="00977C10"/>
    <w:rsid w:val="00977FF1"/>
    <w:rsid w:val="0098016F"/>
    <w:rsid w:val="00980227"/>
    <w:rsid w:val="00980237"/>
    <w:rsid w:val="0098062B"/>
    <w:rsid w:val="00980676"/>
    <w:rsid w:val="00980E44"/>
    <w:rsid w:val="00981C65"/>
    <w:rsid w:val="00982008"/>
    <w:rsid w:val="009826F6"/>
    <w:rsid w:val="00982E17"/>
    <w:rsid w:val="0098313D"/>
    <w:rsid w:val="00983541"/>
    <w:rsid w:val="00983698"/>
    <w:rsid w:val="0098391F"/>
    <w:rsid w:val="00983DE7"/>
    <w:rsid w:val="00984664"/>
    <w:rsid w:val="00984F23"/>
    <w:rsid w:val="0098503C"/>
    <w:rsid w:val="00985527"/>
    <w:rsid w:val="00985E45"/>
    <w:rsid w:val="00985F73"/>
    <w:rsid w:val="00986004"/>
    <w:rsid w:val="009860F4"/>
    <w:rsid w:val="009867AF"/>
    <w:rsid w:val="00986A3B"/>
    <w:rsid w:val="00986B3E"/>
    <w:rsid w:val="0098716A"/>
    <w:rsid w:val="00987231"/>
    <w:rsid w:val="009906B1"/>
    <w:rsid w:val="0099074F"/>
    <w:rsid w:val="00990B46"/>
    <w:rsid w:val="009922AC"/>
    <w:rsid w:val="009924D9"/>
    <w:rsid w:val="0099287D"/>
    <w:rsid w:val="009932A5"/>
    <w:rsid w:val="00994D66"/>
    <w:rsid w:val="00995542"/>
    <w:rsid w:val="00995D62"/>
    <w:rsid w:val="00995DD1"/>
    <w:rsid w:val="009964EE"/>
    <w:rsid w:val="00996A24"/>
    <w:rsid w:val="00996C77"/>
    <w:rsid w:val="009976D8"/>
    <w:rsid w:val="00997B73"/>
    <w:rsid w:val="00997F08"/>
    <w:rsid w:val="009A01ED"/>
    <w:rsid w:val="009A02B2"/>
    <w:rsid w:val="009A0DFF"/>
    <w:rsid w:val="009A10DF"/>
    <w:rsid w:val="009A2335"/>
    <w:rsid w:val="009A28BA"/>
    <w:rsid w:val="009A2E34"/>
    <w:rsid w:val="009A3DDD"/>
    <w:rsid w:val="009A46E0"/>
    <w:rsid w:val="009A4940"/>
    <w:rsid w:val="009A4E45"/>
    <w:rsid w:val="009A509B"/>
    <w:rsid w:val="009A5CF2"/>
    <w:rsid w:val="009A60BC"/>
    <w:rsid w:val="009A664A"/>
    <w:rsid w:val="009A67D0"/>
    <w:rsid w:val="009A6E13"/>
    <w:rsid w:val="009A7E31"/>
    <w:rsid w:val="009B025E"/>
    <w:rsid w:val="009B037C"/>
    <w:rsid w:val="009B06E6"/>
    <w:rsid w:val="009B0C9F"/>
    <w:rsid w:val="009B1737"/>
    <w:rsid w:val="009B1744"/>
    <w:rsid w:val="009B1C09"/>
    <w:rsid w:val="009B2BEC"/>
    <w:rsid w:val="009B2F20"/>
    <w:rsid w:val="009B40A4"/>
    <w:rsid w:val="009B4C33"/>
    <w:rsid w:val="009B4D5B"/>
    <w:rsid w:val="009B618C"/>
    <w:rsid w:val="009B6968"/>
    <w:rsid w:val="009B6AD5"/>
    <w:rsid w:val="009B7913"/>
    <w:rsid w:val="009B7923"/>
    <w:rsid w:val="009B7A32"/>
    <w:rsid w:val="009B7B3D"/>
    <w:rsid w:val="009B7B4B"/>
    <w:rsid w:val="009C0F1C"/>
    <w:rsid w:val="009C130B"/>
    <w:rsid w:val="009C13AD"/>
    <w:rsid w:val="009C1582"/>
    <w:rsid w:val="009C170B"/>
    <w:rsid w:val="009C1867"/>
    <w:rsid w:val="009C235E"/>
    <w:rsid w:val="009C254D"/>
    <w:rsid w:val="009C3807"/>
    <w:rsid w:val="009C38F3"/>
    <w:rsid w:val="009C48B6"/>
    <w:rsid w:val="009C55E3"/>
    <w:rsid w:val="009C5740"/>
    <w:rsid w:val="009C6864"/>
    <w:rsid w:val="009C7274"/>
    <w:rsid w:val="009C7C6B"/>
    <w:rsid w:val="009C7EAE"/>
    <w:rsid w:val="009D020A"/>
    <w:rsid w:val="009D052C"/>
    <w:rsid w:val="009D0753"/>
    <w:rsid w:val="009D07BD"/>
    <w:rsid w:val="009D092E"/>
    <w:rsid w:val="009D1593"/>
    <w:rsid w:val="009D223C"/>
    <w:rsid w:val="009D2CA5"/>
    <w:rsid w:val="009D2EBD"/>
    <w:rsid w:val="009D341C"/>
    <w:rsid w:val="009D3D30"/>
    <w:rsid w:val="009D3F13"/>
    <w:rsid w:val="009D3F8E"/>
    <w:rsid w:val="009D4FE6"/>
    <w:rsid w:val="009D5767"/>
    <w:rsid w:val="009D5816"/>
    <w:rsid w:val="009D67A5"/>
    <w:rsid w:val="009D6E63"/>
    <w:rsid w:val="009D7382"/>
    <w:rsid w:val="009D73F0"/>
    <w:rsid w:val="009D75BC"/>
    <w:rsid w:val="009D7C5B"/>
    <w:rsid w:val="009E0529"/>
    <w:rsid w:val="009E0F3D"/>
    <w:rsid w:val="009E0FF9"/>
    <w:rsid w:val="009E133B"/>
    <w:rsid w:val="009E182A"/>
    <w:rsid w:val="009E1830"/>
    <w:rsid w:val="009E1875"/>
    <w:rsid w:val="009E1F72"/>
    <w:rsid w:val="009E2776"/>
    <w:rsid w:val="009E2991"/>
    <w:rsid w:val="009E350A"/>
    <w:rsid w:val="009E3FC1"/>
    <w:rsid w:val="009E4094"/>
    <w:rsid w:val="009E4BCF"/>
    <w:rsid w:val="009E51ED"/>
    <w:rsid w:val="009E55EA"/>
    <w:rsid w:val="009E5ADA"/>
    <w:rsid w:val="009E5AF6"/>
    <w:rsid w:val="009E60BA"/>
    <w:rsid w:val="009E6163"/>
    <w:rsid w:val="009E62F7"/>
    <w:rsid w:val="009E6CD1"/>
    <w:rsid w:val="009F07AA"/>
    <w:rsid w:val="009F0DE3"/>
    <w:rsid w:val="009F113B"/>
    <w:rsid w:val="009F16FB"/>
    <w:rsid w:val="009F24F3"/>
    <w:rsid w:val="009F3AB1"/>
    <w:rsid w:val="009F3E84"/>
    <w:rsid w:val="009F3EC2"/>
    <w:rsid w:val="009F441B"/>
    <w:rsid w:val="009F4B68"/>
    <w:rsid w:val="009F4D74"/>
    <w:rsid w:val="009F5630"/>
    <w:rsid w:val="009F622A"/>
    <w:rsid w:val="009F6F04"/>
    <w:rsid w:val="009F7285"/>
    <w:rsid w:val="009F74C0"/>
    <w:rsid w:val="009F79BB"/>
    <w:rsid w:val="009F7B27"/>
    <w:rsid w:val="009F7E76"/>
    <w:rsid w:val="00A0000A"/>
    <w:rsid w:val="00A0065A"/>
    <w:rsid w:val="00A01233"/>
    <w:rsid w:val="00A0166C"/>
    <w:rsid w:val="00A01A0C"/>
    <w:rsid w:val="00A01F15"/>
    <w:rsid w:val="00A03801"/>
    <w:rsid w:val="00A038F2"/>
    <w:rsid w:val="00A03BF5"/>
    <w:rsid w:val="00A03FDB"/>
    <w:rsid w:val="00A04BDB"/>
    <w:rsid w:val="00A05573"/>
    <w:rsid w:val="00A059E2"/>
    <w:rsid w:val="00A05B40"/>
    <w:rsid w:val="00A07BF5"/>
    <w:rsid w:val="00A1096D"/>
    <w:rsid w:val="00A11398"/>
    <w:rsid w:val="00A11A67"/>
    <w:rsid w:val="00A11AC1"/>
    <w:rsid w:val="00A11BE2"/>
    <w:rsid w:val="00A11DF4"/>
    <w:rsid w:val="00A12293"/>
    <w:rsid w:val="00A123FE"/>
    <w:rsid w:val="00A126C4"/>
    <w:rsid w:val="00A12D69"/>
    <w:rsid w:val="00A12F3F"/>
    <w:rsid w:val="00A13E8B"/>
    <w:rsid w:val="00A14549"/>
    <w:rsid w:val="00A146C7"/>
    <w:rsid w:val="00A14B51"/>
    <w:rsid w:val="00A14E6C"/>
    <w:rsid w:val="00A151CC"/>
    <w:rsid w:val="00A15C28"/>
    <w:rsid w:val="00A15FA6"/>
    <w:rsid w:val="00A15FB2"/>
    <w:rsid w:val="00A161A3"/>
    <w:rsid w:val="00A167EE"/>
    <w:rsid w:val="00A176D6"/>
    <w:rsid w:val="00A17E2E"/>
    <w:rsid w:val="00A201EB"/>
    <w:rsid w:val="00A205E3"/>
    <w:rsid w:val="00A20D23"/>
    <w:rsid w:val="00A2112F"/>
    <w:rsid w:val="00A215A8"/>
    <w:rsid w:val="00A215D5"/>
    <w:rsid w:val="00A21645"/>
    <w:rsid w:val="00A22032"/>
    <w:rsid w:val="00A22797"/>
    <w:rsid w:val="00A22982"/>
    <w:rsid w:val="00A231CC"/>
    <w:rsid w:val="00A23F17"/>
    <w:rsid w:val="00A23F22"/>
    <w:rsid w:val="00A2412D"/>
    <w:rsid w:val="00A241FC"/>
    <w:rsid w:val="00A24487"/>
    <w:rsid w:val="00A24AD0"/>
    <w:rsid w:val="00A252B7"/>
    <w:rsid w:val="00A254ED"/>
    <w:rsid w:val="00A255B4"/>
    <w:rsid w:val="00A255E2"/>
    <w:rsid w:val="00A25E1A"/>
    <w:rsid w:val="00A263E0"/>
    <w:rsid w:val="00A26976"/>
    <w:rsid w:val="00A26AB6"/>
    <w:rsid w:val="00A26F43"/>
    <w:rsid w:val="00A271E3"/>
    <w:rsid w:val="00A27246"/>
    <w:rsid w:val="00A272B8"/>
    <w:rsid w:val="00A279F0"/>
    <w:rsid w:val="00A27CC7"/>
    <w:rsid w:val="00A27D57"/>
    <w:rsid w:val="00A307FA"/>
    <w:rsid w:val="00A3084B"/>
    <w:rsid w:val="00A30C8A"/>
    <w:rsid w:val="00A31333"/>
    <w:rsid w:val="00A32BDA"/>
    <w:rsid w:val="00A32BEC"/>
    <w:rsid w:val="00A33205"/>
    <w:rsid w:val="00A3338F"/>
    <w:rsid w:val="00A3383A"/>
    <w:rsid w:val="00A339B0"/>
    <w:rsid w:val="00A339E1"/>
    <w:rsid w:val="00A34865"/>
    <w:rsid w:val="00A350B1"/>
    <w:rsid w:val="00A35204"/>
    <w:rsid w:val="00A355CA"/>
    <w:rsid w:val="00A35A29"/>
    <w:rsid w:val="00A35E96"/>
    <w:rsid w:val="00A3605C"/>
    <w:rsid w:val="00A36141"/>
    <w:rsid w:val="00A368C0"/>
    <w:rsid w:val="00A372E9"/>
    <w:rsid w:val="00A37BA0"/>
    <w:rsid w:val="00A37CE9"/>
    <w:rsid w:val="00A37DA0"/>
    <w:rsid w:val="00A4022A"/>
    <w:rsid w:val="00A402FF"/>
    <w:rsid w:val="00A4065F"/>
    <w:rsid w:val="00A41A41"/>
    <w:rsid w:val="00A41AFB"/>
    <w:rsid w:val="00A41D50"/>
    <w:rsid w:val="00A42852"/>
    <w:rsid w:val="00A428F3"/>
    <w:rsid w:val="00A42C23"/>
    <w:rsid w:val="00A42C26"/>
    <w:rsid w:val="00A42C76"/>
    <w:rsid w:val="00A42E8C"/>
    <w:rsid w:val="00A42FE3"/>
    <w:rsid w:val="00A43057"/>
    <w:rsid w:val="00A4347E"/>
    <w:rsid w:val="00A44DB7"/>
    <w:rsid w:val="00A45390"/>
    <w:rsid w:val="00A46108"/>
    <w:rsid w:val="00A46349"/>
    <w:rsid w:val="00A469D4"/>
    <w:rsid w:val="00A46C38"/>
    <w:rsid w:val="00A46C67"/>
    <w:rsid w:val="00A46FC6"/>
    <w:rsid w:val="00A46FFB"/>
    <w:rsid w:val="00A470A7"/>
    <w:rsid w:val="00A5026C"/>
    <w:rsid w:val="00A505E8"/>
    <w:rsid w:val="00A5063D"/>
    <w:rsid w:val="00A50B07"/>
    <w:rsid w:val="00A50E1C"/>
    <w:rsid w:val="00A5140B"/>
    <w:rsid w:val="00A51EB2"/>
    <w:rsid w:val="00A51F4A"/>
    <w:rsid w:val="00A5418C"/>
    <w:rsid w:val="00A5422E"/>
    <w:rsid w:val="00A5431A"/>
    <w:rsid w:val="00A54330"/>
    <w:rsid w:val="00A54E68"/>
    <w:rsid w:val="00A54F77"/>
    <w:rsid w:val="00A55368"/>
    <w:rsid w:val="00A55B62"/>
    <w:rsid w:val="00A56605"/>
    <w:rsid w:val="00A568E4"/>
    <w:rsid w:val="00A569C6"/>
    <w:rsid w:val="00A570E9"/>
    <w:rsid w:val="00A5712A"/>
    <w:rsid w:val="00A57D05"/>
    <w:rsid w:val="00A60028"/>
    <w:rsid w:val="00A6030A"/>
    <w:rsid w:val="00A60EF3"/>
    <w:rsid w:val="00A60FB8"/>
    <w:rsid w:val="00A61C61"/>
    <w:rsid w:val="00A61E47"/>
    <w:rsid w:val="00A620C4"/>
    <w:rsid w:val="00A62A04"/>
    <w:rsid w:val="00A62B34"/>
    <w:rsid w:val="00A62F48"/>
    <w:rsid w:val="00A631B5"/>
    <w:rsid w:val="00A641FE"/>
    <w:rsid w:val="00A64288"/>
    <w:rsid w:val="00A64293"/>
    <w:rsid w:val="00A64974"/>
    <w:rsid w:val="00A64DDF"/>
    <w:rsid w:val="00A64EAA"/>
    <w:rsid w:val="00A65134"/>
    <w:rsid w:val="00A6566A"/>
    <w:rsid w:val="00A6586B"/>
    <w:rsid w:val="00A65C15"/>
    <w:rsid w:val="00A6623E"/>
    <w:rsid w:val="00A6699D"/>
    <w:rsid w:val="00A66A07"/>
    <w:rsid w:val="00A6703B"/>
    <w:rsid w:val="00A67054"/>
    <w:rsid w:val="00A671C7"/>
    <w:rsid w:val="00A67FC1"/>
    <w:rsid w:val="00A70633"/>
    <w:rsid w:val="00A709CA"/>
    <w:rsid w:val="00A709DC"/>
    <w:rsid w:val="00A70AEF"/>
    <w:rsid w:val="00A71434"/>
    <w:rsid w:val="00A71758"/>
    <w:rsid w:val="00A71C36"/>
    <w:rsid w:val="00A71C4D"/>
    <w:rsid w:val="00A72B1B"/>
    <w:rsid w:val="00A7331E"/>
    <w:rsid w:val="00A734D0"/>
    <w:rsid w:val="00A7356C"/>
    <w:rsid w:val="00A7372E"/>
    <w:rsid w:val="00A73995"/>
    <w:rsid w:val="00A74377"/>
    <w:rsid w:val="00A74962"/>
    <w:rsid w:val="00A754FD"/>
    <w:rsid w:val="00A75712"/>
    <w:rsid w:val="00A75D9E"/>
    <w:rsid w:val="00A762C1"/>
    <w:rsid w:val="00A76A0E"/>
    <w:rsid w:val="00A77488"/>
    <w:rsid w:val="00A77514"/>
    <w:rsid w:val="00A805EB"/>
    <w:rsid w:val="00A80AB0"/>
    <w:rsid w:val="00A80FFF"/>
    <w:rsid w:val="00A81150"/>
    <w:rsid w:val="00A81A27"/>
    <w:rsid w:val="00A81CA7"/>
    <w:rsid w:val="00A820B6"/>
    <w:rsid w:val="00A8320D"/>
    <w:rsid w:val="00A848ED"/>
    <w:rsid w:val="00A84C48"/>
    <w:rsid w:val="00A855DB"/>
    <w:rsid w:val="00A857D8"/>
    <w:rsid w:val="00A875DA"/>
    <w:rsid w:val="00A90F84"/>
    <w:rsid w:val="00A91461"/>
    <w:rsid w:val="00A926E5"/>
    <w:rsid w:val="00A92824"/>
    <w:rsid w:val="00A928FF"/>
    <w:rsid w:val="00A92EBC"/>
    <w:rsid w:val="00A93A52"/>
    <w:rsid w:val="00A94565"/>
    <w:rsid w:val="00A94E3A"/>
    <w:rsid w:val="00A95D1A"/>
    <w:rsid w:val="00A961A9"/>
    <w:rsid w:val="00A96375"/>
    <w:rsid w:val="00A966B5"/>
    <w:rsid w:val="00A96FDE"/>
    <w:rsid w:val="00A970A0"/>
    <w:rsid w:val="00A9739D"/>
    <w:rsid w:val="00A97999"/>
    <w:rsid w:val="00A97F9F"/>
    <w:rsid w:val="00AA0137"/>
    <w:rsid w:val="00AA0F07"/>
    <w:rsid w:val="00AA11A0"/>
    <w:rsid w:val="00AA12B0"/>
    <w:rsid w:val="00AA2DC9"/>
    <w:rsid w:val="00AA2DD6"/>
    <w:rsid w:val="00AA3EAF"/>
    <w:rsid w:val="00AA414C"/>
    <w:rsid w:val="00AA425B"/>
    <w:rsid w:val="00AA4632"/>
    <w:rsid w:val="00AA4D52"/>
    <w:rsid w:val="00AA522A"/>
    <w:rsid w:val="00AA60AB"/>
    <w:rsid w:val="00AA6427"/>
    <w:rsid w:val="00AA66DE"/>
    <w:rsid w:val="00AA679C"/>
    <w:rsid w:val="00AA6804"/>
    <w:rsid w:val="00AA6827"/>
    <w:rsid w:val="00AA6D19"/>
    <w:rsid w:val="00AA7C10"/>
    <w:rsid w:val="00AA7F27"/>
    <w:rsid w:val="00AB021E"/>
    <w:rsid w:val="00AB0532"/>
    <w:rsid w:val="00AB0C90"/>
    <w:rsid w:val="00AB1AEB"/>
    <w:rsid w:val="00AB1B5F"/>
    <w:rsid w:val="00AB2465"/>
    <w:rsid w:val="00AB31A7"/>
    <w:rsid w:val="00AB358A"/>
    <w:rsid w:val="00AB3B8D"/>
    <w:rsid w:val="00AB3C8D"/>
    <w:rsid w:val="00AB3F7F"/>
    <w:rsid w:val="00AB4100"/>
    <w:rsid w:val="00AB4BBD"/>
    <w:rsid w:val="00AB4CAF"/>
    <w:rsid w:val="00AB4E16"/>
    <w:rsid w:val="00AB4EB3"/>
    <w:rsid w:val="00AB51B3"/>
    <w:rsid w:val="00AB59BC"/>
    <w:rsid w:val="00AB5D5D"/>
    <w:rsid w:val="00AB66EF"/>
    <w:rsid w:val="00AB689E"/>
    <w:rsid w:val="00AB70A9"/>
    <w:rsid w:val="00AB7301"/>
    <w:rsid w:val="00AB7524"/>
    <w:rsid w:val="00AB7EF2"/>
    <w:rsid w:val="00AC03BF"/>
    <w:rsid w:val="00AC0993"/>
    <w:rsid w:val="00AC0ABC"/>
    <w:rsid w:val="00AC13DE"/>
    <w:rsid w:val="00AC17A2"/>
    <w:rsid w:val="00AC1CB2"/>
    <w:rsid w:val="00AC1EF5"/>
    <w:rsid w:val="00AC21E5"/>
    <w:rsid w:val="00AC28B4"/>
    <w:rsid w:val="00AC3DD6"/>
    <w:rsid w:val="00AC46F5"/>
    <w:rsid w:val="00AC4709"/>
    <w:rsid w:val="00AC4878"/>
    <w:rsid w:val="00AC4B2D"/>
    <w:rsid w:val="00AC4F7C"/>
    <w:rsid w:val="00AC55D6"/>
    <w:rsid w:val="00AC5AAB"/>
    <w:rsid w:val="00AC5D11"/>
    <w:rsid w:val="00AC61C6"/>
    <w:rsid w:val="00AC6626"/>
    <w:rsid w:val="00AC69AB"/>
    <w:rsid w:val="00AC7557"/>
    <w:rsid w:val="00AC75FB"/>
    <w:rsid w:val="00AC76BE"/>
    <w:rsid w:val="00AD0126"/>
    <w:rsid w:val="00AD0643"/>
    <w:rsid w:val="00AD0B3B"/>
    <w:rsid w:val="00AD0CB2"/>
    <w:rsid w:val="00AD1564"/>
    <w:rsid w:val="00AD16C6"/>
    <w:rsid w:val="00AD1708"/>
    <w:rsid w:val="00AD1F2C"/>
    <w:rsid w:val="00AD2065"/>
    <w:rsid w:val="00AD2612"/>
    <w:rsid w:val="00AD2622"/>
    <w:rsid w:val="00AD271B"/>
    <w:rsid w:val="00AD2A62"/>
    <w:rsid w:val="00AD3B4A"/>
    <w:rsid w:val="00AD4243"/>
    <w:rsid w:val="00AD4319"/>
    <w:rsid w:val="00AD43A0"/>
    <w:rsid w:val="00AD4406"/>
    <w:rsid w:val="00AD5331"/>
    <w:rsid w:val="00AD58F8"/>
    <w:rsid w:val="00AD600F"/>
    <w:rsid w:val="00AD623F"/>
    <w:rsid w:val="00AD62FC"/>
    <w:rsid w:val="00AD6C5C"/>
    <w:rsid w:val="00AD7C22"/>
    <w:rsid w:val="00AE08C7"/>
    <w:rsid w:val="00AE1009"/>
    <w:rsid w:val="00AE196A"/>
    <w:rsid w:val="00AE1B26"/>
    <w:rsid w:val="00AE2152"/>
    <w:rsid w:val="00AE24B1"/>
    <w:rsid w:val="00AE24CA"/>
    <w:rsid w:val="00AE2699"/>
    <w:rsid w:val="00AE42B3"/>
    <w:rsid w:val="00AE4B14"/>
    <w:rsid w:val="00AE4FAD"/>
    <w:rsid w:val="00AE5173"/>
    <w:rsid w:val="00AE5604"/>
    <w:rsid w:val="00AE6139"/>
    <w:rsid w:val="00AE6A91"/>
    <w:rsid w:val="00AE710E"/>
    <w:rsid w:val="00AE781F"/>
    <w:rsid w:val="00AE7C24"/>
    <w:rsid w:val="00AF0158"/>
    <w:rsid w:val="00AF03EF"/>
    <w:rsid w:val="00AF04AD"/>
    <w:rsid w:val="00AF07E4"/>
    <w:rsid w:val="00AF0A3F"/>
    <w:rsid w:val="00AF17DF"/>
    <w:rsid w:val="00AF1825"/>
    <w:rsid w:val="00AF1C1A"/>
    <w:rsid w:val="00AF1FDA"/>
    <w:rsid w:val="00AF20A2"/>
    <w:rsid w:val="00AF271A"/>
    <w:rsid w:val="00AF2CB5"/>
    <w:rsid w:val="00AF2D5E"/>
    <w:rsid w:val="00AF3044"/>
    <w:rsid w:val="00AF3911"/>
    <w:rsid w:val="00AF3A06"/>
    <w:rsid w:val="00AF3FB8"/>
    <w:rsid w:val="00AF416E"/>
    <w:rsid w:val="00AF45A7"/>
    <w:rsid w:val="00AF4B66"/>
    <w:rsid w:val="00AF4BA7"/>
    <w:rsid w:val="00AF4EED"/>
    <w:rsid w:val="00AF61CA"/>
    <w:rsid w:val="00AF6273"/>
    <w:rsid w:val="00AF6783"/>
    <w:rsid w:val="00AF6B45"/>
    <w:rsid w:val="00AF6BB2"/>
    <w:rsid w:val="00AF6C72"/>
    <w:rsid w:val="00AF77A7"/>
    <w:rsid w:val="00AF7B26"/>
    <w:rsid w:val="00B005AD"/>
    <w:rsid w:val="00B0114E"/>
    <w:rsid w:val="00B01D78"/>
    <w:rsid w:val="00B02543"/>
    <w:rsid w:val="00B02C76"/>
    <w:rsid w:val="00B02E77"/>
    <w:rsid w:val="00B02F12"/>
    <w:rsid w:val="00B0361D"/>
    <w:rsid w:val="00B03868"/>
    <w:rsid w:val="00B04451"/>
    <w:rsid w:val="00B0522B"/>
    <w:rsid w:val="00B05DAD"/>
    <w:rsid w:val="00B05F8E"/>
    <w:rsid w:val="00B0611A"/>
    <w:rsid w:val="00B0674D"/>
    <w:rsid w:val="00B069DA"/>
    <w:rsid w:val="00B07044"/>
    <w:rsid w:val="00B07B4A"/>
    <w:rsid w:val="00B07EA5"/>
    <w:rsid w:val="00B07F11"/>
    <w:rsid w:val="00B1044F"/>
    <w:rsid w:val="00B1046F"/>
    <w:rsid w:val="00B104E6"/>
    <w:rsid w:val="00B10529"/>
    <w:rsid w:val="00B10D89"/>
    <w:rsid w:val="00B10FA0"/>
    <w:rsid w:val="00B1124F"/>
    <w:rsid w:val="00B118B4"/>
    <w:rsid w:val="00B11D03"/>
    <w:rsid w:val="00B11E56"/>
    <w:rsid w:val="00B12524"/>
    <w:rsid w:val="00B12B6F"/>
    <w:rsid w:val="00B13D61"/>
    <w:rsid w:val="00B14385"/>
    <w:rsid w:val="00B14403"/>
    <w:rsid w:val="00B14C81"/>
    <w:rsid w:val="00B155BC"/>
    <w:rsid w:val="00B15A74"/>
    <w:rsid w:val="00B15C0B"/>
    <w:rsid w:val="00B16046"/>
    <w:rsid w:val="00B166F7"/>
    <w:rsid w:val="00B1768B"/>
    <w:rsid w:val="00B17999"/>
    <w:rsid w:val="00B21028"/>
    <w:rsid w:val="00B21288"/>
    <w:rsid w:val="00B21974"/>
    <w:rsid w:val="00B21ED1"/>
    <w:rsid w:val="00B2202D"/>
    <w:rsid w:val="00B22627"/>
    <w:rsid w:val="00B2262E"/>
    <w:rsid w:val="00B22D6A"/>
    <w:rsid w:val="00B22EDA"/>
    <w:rsid w:val="00B23438"/>
    <w:rsid w:val="00B236AD"/>
    <w:rsid w:val="00B23ACD"/>
    <w:rsid w:val="00B23BFE"/>
    <w:rsid w:val="00B2441C"/>
    <w:rsid w:val="00B24441"/>
    <w:rsid w:val="00B24453"/>
    <w:rsid w:val="00B244B9"/>
    <w:rsid w:val="00B24E7A"/>
    <w:rsid w:val="00B25030"/>
    <w:rsid w:val="00B25536"/>
    <w:rsid w:val="00B257C5"/>
    <w:rsid w:val="00B25BF1"/>
    <w:rsid w:val="00B25DB4"/>
    <w:rsid w:val="00B26375"/>
    <w:rsid w:val="00B264B1"/>
    <w:rsid w:val="00B27367"/>
    <w:rsid w:val="00B279ED"/>
    <w:rsid w:val="00B27EA8"/>
    <w:rsid w:val="00B3001C"/>
    <w:rsid w:val="00B30397"/>
    <w:rsid w:val="00B30C15"/>
    <w:rsid w:val="00B30F88"/>
    <w:rsid w:val="00B315A2"/>
    <w:rsid w:val="00B31684"/>
    <w:rsid w:val="00B3185E"/>
    <w:rsid w:val="00B32948"/>
    <w:rsid w:val="00B3342A"/>
    <w:rsid w:val="00B33E20"/>
    <w:rsid w:val="00B33FCD"/>
    <w:rsid w:val="00B34958"/>
    <w:rsid w:val="00B34F51"/>
    <w:rsid w:val="00B35952"/>
    <w:rsid w:val="00B35DD9"/>
    <w:rsid w:val="00B3601F"/>
    <w:rsid w:val="00B365B8"/>
    <w:rsid w:val="00B365E9"/>
    <w:rsid w:val="00B3670D"/>
    <w:rsid w:val="00B36DD9"/>
    <w:rsid w:val="00B40113"/>
    <w:rsid w:val="00B4014B"/>
    <w:rsid w:val="00B402FB"/>
    <w:rsid w:val="00B40848"/>
    <w:rsid w:val="00B41109"/>
    <w:rsid w:val="00B4166C"/>
    <w:rsid w:val="00B41856"/>
    <w:rsid w:val="00B42581"/>
    <w:rsid w:val="00B42E24"/>
    <w:rsid w:val="00B44B01"/>
    <w:rsid w:val="00B451C1"/>
    <w:rsid w:val="00B45797"/>
    <w:rsid w:val="00B46166"/>
    <w:rsid w:val="00B4643F"/>
    <w:rsid w:val="00B46742"/>
    <w:rsid w:val="00B47A31"/>
    <w:rsid w:val="00B505CD"/>
    <w:rsid w:val="00B51BC0"/>
    <w:rsid w:val="00B532CE"/>
    <w:rsid w:val="00B5358F"/>
    <w:rsid w:val="00B53896"/>
    <w:rsid w:val="00B54300"/>
    <w:rsid w:val="00B545D2"/>
    <w:rsid w:val="00B545EF"/>
    <w:rsid w:val="00B54B3F"/>
    <w:rsid w:val="00B54F31"/>
    <w:rsid w:val="00B553C8"/>
    <w:rsid w:val="00B55548"/>
    <w:rsid w:val="00B557AC"/>
    <w:rsid w:val="00B557CE"/>
    <w:rsid w:val="00B55B82"/>
    <w:rsid w:val="00B55B9E"/>
    <w:rsid w:val="00B55E2C"/>
    <w:rsid w:val="00B55F7E"/>
    <w:rsid w:val="00B56312"/>
    <w:rsid w:val="00B56493"/>
    <w:rsid w:val="00B568FE"/>
    <w:rsid w:val="00B56AF5"/>
    <w:rsid w:val="00B575F4"/>
    <w:rsid w:val="00B5790D"/>
    <w:rsid w:val="00B57993"/>
    <w:rsid w:val="00B57A67"/>
    <w:rsid w:val="00B607D7"/>
    <w:rsid w:val="00B608A2"/>
    <w:rsid w:val="00B61DB1"/>
    <w:rsid w:val="00B62188"/>
    <w:rsid w:val="00B628BD"/>
    <w:rsid w:val="00B62A6C"/>
    <w:rsid w:val="00B62B6D"/>
    <w:rsid w:val="00B62C3B"/>
    <w:rsid w:val="00B62F6E"/>
    <w:rsid w:val="00B63612"/>
    <w:rsid w:val="00B63A01"/>
    <w:rsid w:val="00B64836"/>
    <w:rsid w:val="00B64C21"/>
    <w:rsid w:val="00B65403"/>
    <w:rsid w:val="00B655A6"/>
    <w:rsid w:val="00B65785"/>
    <w:rsid w:val="00B65E05"/>
    <w:rsid w:val="00B66A31"/>
    <w:rsid w:val="00B66C67"/>
    <w:rsid w:val="00B66D89"/>
    <w:rsid w:val="00B66E3B"/>
    <w:rsid w:val="00B66F81"/>
    <w:rsid w:val="00B67526"/>
    <w:rsid w:val="00B675D2"/>
    <w:rsid w:val="00B67B88"/>
    <w:rsid w:val="00B7063A"/>
    <w:rsid w:val="00B707C9"/>
    <w:rsid w:val="00B70BF4"/>
    <w:rsid w:val="00B71192"/>
    <w:rsid w:val="00B7133F"/>
    <w:rsid w:val="00B71676"/>
    <w:rsid w:val="00B71CA5"/>
    <w:rsid w:val="00B71D7B"/>
    <w:rsid w:val="00B720E7"/>
    <w:rsid w:val="00B73C19"/>
    <w:rsid w:val="00B74AC1"/>
    <w:rsid w:val="00B74D64"/>
    <w:rsid w:val="00B74FDC"/>
    <w:rsid w:val="00B76470"/>
    <w:rsid w:val="00B76BF8"/>
    <w:rsid w:val="00B76D48"/>
    <w:rsid w:val="00B76F56"/>
    <w:rsid w:val="00B77963"/>
    <w:rsid w:val="00B77E88"/>
    <w:rsid w:val="00B806F8"/>
    <w:rsid w:val="00B809B8"/>
    <w:rsid w:val="00B81229"/>
    <w:rsid w:val="00B81405"/>
    <w:rsid w:val="00B8168A"/>
    <w:rsid w:val="00B819D4"/>
    <w:rsid w:val="00B81AAB"/>
    <w:rsid w:val="00B81B94"/>
    <w:rsid w:val="00B8215B"/>
    <w:rsid w:val="00B82CFB"/>
    <w:rsid w:val="00B830AD"/>
    <w:rsid w:val="00B830CD"/>
    <w:rsid w:val="00B839D1"/>
    <w:rsid w:val="00B83D04"/>
    <w:rsid w:val="00B83D98"/>
    <w:rsid w:val="00B84381"/>
    <w:rsid w:val="00B85283"/>
    <w:rsid w:val="00B85490"/>
    <w:rsid w:val="00B85CEA"/>
    <w:rsid w:val="00B8602C"/>
    <w:rsid w:val="00B86210"/>
    <w:rsid w:val="00B86886"/>
    <w:rsid w:val="00B86B93"/>
    <w:rsid w:val="00B86C3A"/>
    <w:rsid w:val="00B875E8"/>
    <w:rsid w:val="00B90231"/>
    <w:rsid w:val="00B915AD"/>
    <w:rsid w:val="00B915FC"/>
    <w:rsid w:val="00B916F3"/>
    <w:rsid w:val="00B91911"/>
    <w:rsid w:val="00B91922"/>
    <w:rsid w:val="00B91CE7"/>
    <w:rsid w:val="00B922C6"/>
    <w:rsid w:val="00B92533"/>
    <w:rsid w:val="00B9284D"/>
    <w:rsid w:val="00B92B05"/>
    <w:rsid w:val="00B93EF3"/>
    <w:rsid w:val="00B94860"/>
    <w:rsid w:val="00B94E1F"/>
    <w:rsid w:val="00B95152"/>
    <w:rsid w:val="00B95164"/>
    <w:rsid w:val="00B952F2"/>
    <w:rsid w:val="00B96434"/>
    <w:rsid w:val="00B9702A"/>
    <w:rsid w:val="00B97876"/>
    <w:rsid w:val="00B978B8"/>
    <w:rsid w:val="00B97A39"/>
    <w:rsid w:val="00BA04F2"/>
    <w:rsid w:val="00BA06CF"/>
    <w:rsid w:val="00BA0884"/>
    <w:rsid w:val="00BA094D"/>
    <w:rsid w:val="00BA0E7F"/>
    <w:rsid w:val="00BA0FFA"/>
    <w:rsid w:val="00BA2209"/>
    <w:rsid w:val="00BA26A4"/>
    <w:rsid w:val="00BA2DCC"/>
    <w:rsid w:val="00BA2F29"/>
    <w:rsid w:val="00BA37C8"/>
    <w:rsid w:val="00BA3B38"/>
    <w:rsid w:val="00BA4143"/>
    <w:rsid w:val="00BA470E"/>
    <w:rsid w:val="00BA4AF8"/>
    <w:rsid w:val="00BA4E8F"/>
    <w:rsid w:val="00BA541D"/>
    <w:rsid w:val="00BA55A2"/>
    <w:rsid w:val="00BA5E10"/>
    <w:rsid w:val="00BA605A"/>
    <w:rsid w:val="00BA622F"/>
    <w:rsid w:val="00BA6666"/>
    <w:rsid w:val="00BA6A6F"/>
    <w:rsid w:val="00BA6C33"/>
    <w:rsid w:val="00BA7062"/>
    <w:rsid w:val="00BA70D3"/>
    <w:rsid w:val="00BA7A35"/>
    <w:rsid w:val="00BA7F92"/>
    <w:rsid w:val="00BB06E8"/>
    <w:rsid w:val="00BB07E0"/>
    <w:rsid w:val="00BB0E71"/>
    <w:rsid w:val="00BB101F"/>
    <w:rsid w:val="00BB143F"/>
    <w:rsid w:val="00BB1867"/>
    <w:rsid w:val="00BB1B69"/>
    <w:rsid w:val="00BB1CF1"/>
    <w:rsid w:val="00BB2139"/>
    <w:rsid w:val="00BB274F"/>
    <w:rsid w:val="00BB2759"/>
    <w:rsid w:val="00BB2E0A"/>
    <w:rsid w:val="00BB3621"/>
    <w:rsid w:val="00BB3C9F"/>
    <w:rsid w:val="00BB457A"/>
    <w:rsid w:val="00BB4880"/>
    <w:rsid w:val="00BB490D"/>
    <w:rsid w:val="00BB4A1F"/>
    <w:rsid w:val="00BB54CA"/>
    <w:rsid w:val="00BB5672"/>
    <w:rsid w:val="00BB621C"/>
    <w:rsid w:val="00BB63E6"/>
    <w:rsid w:val="00BB6BBD"/>
    <w:rsid w:val="00BB7110"/>
    <w:rsid w:val="00BB7698"/>
    <w:rsid w:val="00BB782F"/>
    <w:rsid w:val="00BC04C6"/>
    <w:rsid w:val="00BC0771"/>
    <w:rsid w:val="00BC0FE1"/>
    <w:rsid w:val="00BC10B5"/>
    <w:rsid w:val="00BC10D4"/>
    <w:rsid w:val="00BC1CE8"/>
    <w:rsid w:val="00BC20FA"/>
    <w:rsid w:val="00BC218A"/>
    <w:rsid w:val="00BC236A"/>
    <w:rsid w:val="00BC25E5"/>
    <w:rsid w:val="00BC2B2E"/>
    <w:rsid w:val="00BC2E2F"/>
    <w:rsid w:val="00BC3252"/>
    <w:rsid w:val="00BC4C5B"/>
    <w:rsid w:val="00BC57DB"/>
    <w:rsid w:val="00BC5809"/>
    <w:rsid w:val="00BC6314"/>
    <w:rsid w:val="00BC7006"/>
    <w:rsid w:val="00BC75BF"/>
    <w:rsid w:val="00BC79F9"/>
    <w:rsid w:val="00BC7E37"/>
    <w:rsid w:val="00BD01A4"/>
    <w:rsid w:val="00BD0738"/>
    <w:rsid w:val="00BD0AEB"/>
    <w:rsid w:val="00BD0C59"/>
    <w:rsid w:val="00BD0D56"/>
    <w:rsid w:val="00BD1AA3"/>
    <w:rsid w:val="00BD2156"/>
    <w:rsid w:val="00BD2307"/>
    <w:rsid w:val="00BD28BD"/>
    <w:rsid w:val="00BD297B"/>
    <w:rsid w:val="00BD2C0B"/>
    <w:rsid w:val="00BD365A"/>
    <w:rsid w:val="00BD3B98"/>
    <w:rsid w:val="00BD443E"/>
    <w:rsid w:val="00BD494D"/>
    <w:rsid w:val="00BD4983"/>
    <w:rsid w:val="00BD4A6C"/>
    <w:rsid w:val="00BD5241"/>
    <w:rsid w:val="00BD5873"/>
    <w:rsid w:val="00BD58D1"/>
    <w:rsid w:val="00BD5C8A"/>
    <w:rsid w:val="00BD66D1"/>
    <w:rsid w:val="00BD7723"/>
    <w:rsid w:val="00BD7BC2"/>
    <w:rsid w:val="00BE05EA"/>
    <w:rsid w:val="00BE0BD2"/>
    <w:rsid w:val="00BE0C7F"/>
    <w:rsid w:val="00BE0E70"/>
    <w:rsid w:val="00BE1FB5"/>
    <w:rsid w:val="00BE3837"/>
    <w:rsid w:val="00BE3BDA"/>
    <w:rsid w:val="00BE3FBD"/>
    <w:rsid w:val="00BE4984"/>
    <w:rsid w:val="00BE4E77"/>
    <w:rsid w:val="00BE5C62"/>
    <w:rsid w:val="00BE6394"/>
    <w:rsid w:val="00BE662F"/>
    <w:rsid w:val="00BE6ABB"/>
    <w:rsid w:val="00BE7656"/>
    <w:rsid w:val="00BE76F0"/>
    <w:rsid w:val="00BE7C86"/>
    <w:rsid w:val="00BE7DC2"/>
    <w:rsid w:val="00BE7FA0"/>
    <w:rsid w:val="00BF0655"/>
    <w:rsid w:val="00BF0B12"/>
    <w:rsid w:val="00BF0BB9"/>
    <w:rsid w:val="00BF0CA6"/>
    <w:rsid w:val="00BF12E1"/>
    <w:rsid w:val="00BF15B0"/>
    <w:rsid w:val="00BF15C3"/>
    <w:rsid w:val="00BF1982"/>
    <w:rsid w:val="00BF1AAF"/>
    <w:rsid w:val="00BF1C73"/>
    <w:rsid w:val="00BF2199"/>
    <w:rsid w:val="00BF2686"/>
    <w:rsid w:val="00BF3033"/>
    <w:rsid w:val="00BF553C"/>
    <w:rsid w:val="00BF5B73"/>
    <w:rsid w:val="00BF5DD9"/>
    <w:rsid w:val="00BF5F84"/>
    <w:rsid w:val="00BF6124"/>
    <w:rsid w:val="00BF7D45"/>
    <w:rsid w:val="00BF7DC7"/>
    <w:rsid w:val="00C00601"/>
    <w:rsid w:val="00C0085E"/>
    <w:rsid w:val="00C00C40"/>
    <w:rsid w:val="00C00D81"/>
    <w:rsid w:val="00C0188D"/>
    <w:rsid w:val="00C01979"/>
    <w:rsid w:val="00C01C24"/>
    <w:rsid w:val="00C02714"/>
    <w:rsid w:val="00C029DC"/>
    <w:rsid w:val="00C02C82"/>
    <w:rsid w:val="00C03721"/>
    <w:rsid w:val="00C03B04"/>
    <w:rsid w:val="00C03C4E"/>
    <w:rsid w:val="00C0411B"/>
    <w:rsid w:val="00C05024"/>
    <w:rsid w:val="00C0530A"/>
    <w:rsid w:val="00C05569"/>
    <w:rsid w:val="00C05933"/>
    <w:rsid w:val="00C05B66"/>
    <w:rsid w:val="00C05CE2"/>
    <w:rsid w:val="00C05E6F"/>
    <w:rsid w:val="00C060E5"/>
    <w:rsid w:val="00C066E9"/>
    <w:rsid w:val="00C101F6"/>
    <w:rsid w:val="00C10364"/>
    <w:rsid w:val="00C10420"/>
    <w:rsid w:val="00C104A1"/>
    <w:rsid w:val="00C107AF"/>
    <w:rsid w:val="00C10F50"/>
    <w:rsid w:val="00C12111"/>
    <w:rsid w:val="00C125D9"/>
    <w:rsid w:val="00C13318"/>
    <w:rsid w:val="00C1390F"/>
    <w:rsid w:val="00C13E71"/>
    <w:rsid w:val="00C13EC8"/>
    <w:rsid w:val="00C14543"/>
    <w:rsid w:val="00C1472C"/>
    <w:rsid w:val="00C15156"/>
    <w:rsid w:val="00C15455"/>
    <w:rsid w:val="00C15D89"/>
    <w:rsid w:val="00C162B4"/>
    <w:rsid w:val="00C1640C"/>
    <w:rsid w:val="00C17126"/>
    <w:rsid w:val="00C172B5"/>
    <w:rsid w:val="00C17994"/>
    <w:rsid w:val="00C17B85"/>
    <w:rsid w:val="00C17DF3"/>
    <w:rsid w:val="00C203B6"/>
    <w:rsid w:val="00C208BB"/>
    <w:rsid w:val="00C20D33"/>
    <w:rsid w:val="00C20D78"/>
    <w:rsid w:val="00C20D7E"/>
    <w:rsid w:val="00C20DF9"/>
    <w:rsid w:val="00C2171B"/>
    <w:rsid w:val="00C2196D"/>
    <w:rsid w:val="00C22547"/>
    <w:rsid w:val="00C22874"/>
    <w:rsid w:val="00C22AAC"/>
    <w:rsid w:val="00C2340E"/>
    <w:rsid w:val="00C234A7"/>
    <w:rsid w:val="00C23FD6"/>
    <w:rsid w:val="00C24176"/>
    <w:rsid w:val="00C241B6"/>
    <w:rsid w:val="00C24732"/>
    <w:rsid w:val="00C24CFF"/>
    <w:rsid w:val="00C24DB7"/>
    <w:rsid w:val="00C263E3"/>
    <w:rsid w:val="00C2791E"/>
    <w:rsid w:val="00C27A12"/>
    <w:rsid w:val="00C27C1E"/>
    <w:rsid w:val="00C27C26"/>
    <w:rsid w:val="00C27F45"/>
    <w:rsid w:val="00C3086C"/>
    <w:rsid w:val="00C30C2C"/>
    <w:rsid w:val="00C30D86"/>
    <w:rsid w:val="00C3107D"/>
    <w:rsid w:val="00C31B11"/>
    <w:rsid w:val="00C31B18"/>
    <w:rsid w:val="00C3358B"/>
    <w:rsid w:val="00C3405F"/>
    <w:rsid w:val="00C34D3F"/>
    <w:rsid w:val="00C34E32"/>
    <w:rsid w:val="00C36505"/>
    <w:rsid w:val="00C3691A"/>
    <w:rsid w:val="00C371A4"/>
    <w:rsid w:val="00C37210"/>
    <w:rsid w:val="00C374AB"/>
    <w:rsid w:val="00C379F6"/>
    <w:rsid w:val="00C37A00"/>
    <w:rsid w:val="00C4009A"/>
    <w:rsid w:val="00C40503"/>
    <w:rsid w:val="00C40789"/>
    <w:rsid w:val="00C40D1E"/>
    <w:rsid w:val="00C40E9C"/>
    <w:rsid w:val="00C4140C"/>
    <w:rsid w:val="00C417EC"/>
    <w:rsid w:val="00C42322"/>
    <w:rsid w:val="00C42380"/>
    <w:rsid w:val="00C429AC"/>
    <w:rsid w:val="00C42DBD"/>
    <w:rsid w:val="00C4428B"/>
    <w:rsid w:val="00C448DF"/>
    <w:rsid w:val="00C44FD6"/>
    <w:rsid w:val="00C45FD2"/>
    <w:rsid w:val="00C461BD"/>
    <w:rsid w:val="00C46957"/>
    <w:rsid w:val="00C469B8"/>
    <w:rsid w:val="00C46B09"/>
    <w:rsid w:val="00C46F26"/>
    <w:rsid w:val="00C474E2"/>
    <w:rsid w:val="00C47DCA"/>
    <w:rsid w:val="00C50187"/>
    <w:rsid w:val="00C501B0"/>
    <w:rsid w:val="00C50315"/>
    <w:rsid w:val="00C50346"/>
    <w:rsid w:val="00C50886"/>
    <w:rsid w:val="00C50B0F"/>
    <w:rsid w:val="00C50C97"/>
    <w:rsid w:val="00C50F83"/>
    <w:rsid w:val="00C50FA4"/>
    <w:rsid w:val="00C51124"/>
    <w:rsid w:val="00C51170"/>
    <w:rsid w:val="00C511E1"/>
    <w:rsid w:val="00C51C6B"/>
    <w:rsid w:val="00C5219B"/>
    <w:rsid w:val="00C531E5"/>
    <w:rsid w:val="00C53500"/>
    <w:rsid w:val="00C53DD1"/>
    <w:rsid w:val="00C53DF9"/>
    <w:rsid w:val="00C53F3A"/>
    <w:rsid w:val="00C53F4D"/>
    <w:rsid w:val="00C53FD1"/>
    <w:rsid w:val="00C5413A"/>
    <w:rsid w:val="00C54348"/>
    <w:rsid w:val="00C54BC3"/>
    <w:rsid w:val="00C54CDF"/>
    <w:rsid w:val="00C54F58"/>
    <w:rsid w:val="00C55891"/>
    <w:rsid w:val="00C55A5E"/>
    <w:rsid w:val="00C56195"/>
    <w:rsid w:val="00C568C9"/>
    <w:rsid w:val="00C572EE"/>
    <w:rsid w:val="00C5762F"/>
    <w:rsid w:val="00C57DFF"/>
    <w:rsid w:val="00C600CC"/>
    <w:rsid w:val="00C60D1E"/>
    <w:rsid w:val="00C61B4C"/>
    <w:rsid w:val="00C620F3"/>
    <w:rsid w:val="00C6211C"/>
    <w:rsid w:val="00C623C4"/>
    <w:rsid w:val="00C6278E"/>
    <w:rsid w:val="00C62D2B"/>
    <w:rsid w:val="00C62E99"/>
    <w:rsid w:val="00C631AC"/>
    <w:rsid w:val="00C637BB"/>
    <w:rsid w:val="00C6395C"/>
    <w:rsid w:val="00C63B38"/>
    <w:rsid w:val="00C63BC3"/>
    <w:rsid w:val="00C64770"/>
    <w:rsid w:val="00C64D14"/>
    <w:rsid w:val="00C656BD"/>
    <w:rsid w:val="00C65B8F"/>
    <w:rsid w:val="00C65D85"/>
    <w:rsid w:val="00C66883"/>
    <w:rsid w:val="00C67534"/>
    <w:rsid w:val="00C67F29"/>
    <w:rsid w:val="00C67F74"/>
    <w:rsid w:val="00C67FF9"/>
    <w:rsid w:val="00C7040D"/>
    <w:rsid w:val="00C70604"/>
    <w:rsid w:val="00C70B40"/>
    <w:rsid w:val="00C70B65"/>
    <w:rsid w:val="00C70F94"/>
    <w:rsid w:val="00C7193A"/>
    <w:rsid w:val="00C71E78"/>
    <w:rsid w:val="00C725F5"/>
    <w:rsid w:val="00C727D0"/>
    <w:rsid w:val="00C739E3"/>
    <w:rsid w:val="00C742DA"/>
    <w:rsid w:val="00C7476A"/>
    <w:rsid w:val="00C748BD"/>
    <w:rsid w:val="00C749D7"/>
    <w:rsid w:val="00C74E66"/>
    <w:rsid w:val="00C75382"/>
    <w:rsid w:val="00C75812"/>
    <w:rsid w:val="00C763E0"/>
    <w:rsid w:val="00C765A0"/>
    <w:rsid w:val="00C76A7E"/>
    <w:rsid w:val="00C76C35"/>
    <w:rsid w:val="00C7771C"/>
    <w:rsid w:val="00C77DC2"/>
    <w:rsid w:val="00C80191"/>
    <w:rsid w:val="00C80482"/>
    <w:rsid w:val="00C80501"/>
    <w:rsid w:val="00C80C5E"/>
    <w:rsid w:val="00C80D14"/>
    <w:rsid w:val="00C810F0"/>
    <w:rsid w:val="00C81296"/>
    <w:rsid w:val="00C835A7"/>
    <w:rsid w:val="00C83676"/>
    <w:rsid w:val="00C83B5B"/>
    <w:rsid w:val="00C844A1"/>
    <w:rsid w:val="00C844C1"/>
    <w:rsid w:val="00C85B87"/>
    <w:rsid w:val="00C85EE8"/>
    <w:rsid w:val="00C86241"/>
    <w:rsid w:val="00C86393"/>
    <w:rsid w:val="00C8727C"/>
    <w:rsid w:val="00C8782D"/>
    <w:rsid w:val="00C87A37"/>
    <w:rsid w:val="00C87BAA"/>
    <w:rsid w:val="00C90E33"/>
    <w:rsid w:val="00C90EA9"/>
    <w:rsid w:val="00C9102E"/>
    <w:rsid w:val="00C9131E"/>
    <w:rsid w:val="00C91613"/>
    <w:rsid w:val="00C918BB"/>
    <w:rsid w:val="00C9293D"/>
    <w:rsid w:val="00C92AC3"/>
    <w:rsid w:val="00C92B2F"/>
    <w:rsid w:val="00C93099"/>
    <w:rsid w:val="00C9327B"/>
    <w:rsid w:val="00C938CD"/>
    <w:rsid w:val="00C93DE5"/>
    <w:rsid w:val="00C94916"/>
    <w:rsid w:val="00C94BC5"/>
    <w:rsid w:val="00C94F79"/>
    <w:rsid w:val="00C95247"/>
    <w:rsid w:val="00C95359"/>
    <w:rsid w:val="00C959EF"/>
    <w:rsid w:val="00C95C6E"/>
    <w:rsid w:val="00C95DDB"/>
    <w:rsid w:val="00C96538"/>
    <w:rsid w:val="00C96660"/>
    <w:rsid w:val="00C96DF1"/>
    <w:rsid w:val="00C96FB1"/>
    <w:rsid w:val="00C97198"/>
    <w:rsid w:val="00CA0C1D"/>
    <w:rsid w:val="00CA172F"/>
    <w:rsid w:val="00CA1D1A"/>
    <w:rsid w:val="00CA2358"/>
    <w:rsid w:val="00CA26A1"/>
    <w:rsid w:val="00CA2CE2"/>
    <w:rsid w:val="00CA3918"/>
    <w:rsid w:val="00CA39FA"/>
    <w:rsid w:val="00CA4EF1"/>
    <w:rsid w:val="00CA5558"/>
    <w:rsid w:val="00CA61C8"/>
    <w:rsid w:val="00CB000D"/>
    <w:rsid w:val="00CB0316"/>
    <w:rsid w:val="00CB0735"/>
    <w:rsid w:val="00CB0B97"/>
    <w:rsid w:val="00CB1535"/>
    <w:rsid w:val="00CB199F"/>
    <w:rsid w:val="00CB1B05"/>
    <w:rsid w:val="00CB27E1"/>
    <w:rsid w:val="00CB3176"/>
    <w:rsid w:val="00CB32AA"/>
    <w:rsid w:val="00CB33A6"/>
    <w:rsid w:val="00CB3987"/>
    <w:rsid w:val="00CB3988"/>
    <w:rsid w:val="00CB48B0"/>
    <w:rsid w:val="00CB5EB8"/>
    <w:rsid w:val="00CB680A"/>
    <w:rsid w:val="00CB6CEA"/>
    <w:rsid w:val="00CB7026"/>
    <w:rsid w:val="00CB7469"/>
    <w:rsid w:val="00CB781B"/>
    <w:rsid w:val="00CB79C7"/>
    <w:rsid w:val="00CC0B1D"/>
    <w:rsid w:val="00CC2125"/>
    <w:rsid w:val="00CC2931"/>
    <w:rsid w:val="00CC296B"/>
    <w:rsid w:val="00CC2A56"/>
    <w:rsid w:val="00CC2FC3"/>
    <w:rsid w:val="00CC30A7"/>
    <w:rsid w:val="00CC328F"/>
    <w:rsid w:val="00CC3588"/>
    <w:rsid w:val="00CC3B75"/>
    <w:rsid w:val="00CC3DF5"/>
    <w:rsid w:val="00CC424E"/>
    <w:rsid w:val="00CC510D"/>
    <w:rsid w:val="00CC5218"/>
    <w:rsid w:val="00CC5A5D"/>
    <w:rsid w:val="00CC633F"/>
    <w:rsid w:val="00CC69B8"/>
    <w:rsid w:val="00CC7706"/>
    <w:rsid w:val="00CD04B4"/>
    <w:rsid w:val="00CD0AEF"/>
    <w:rsid w:val="00CD130F"/>
    <w:rsid w:val="00CD17A6"/>
    <w:rsid w:val="00CD2159"/>
    <w:rsid w:val="00CD2225"/>
    <w:rsid w:val="00CD24FA"/>
    <w:rsid w:val="00CD2FA1"/>
    <w:rsid w:val="00CD35E0"/>
    <w:rsid w:val="00CD3756"/>
    <w:rsid w:val="00CD392B"/>
    <w:rsid w:val="00CD3DA6"/>
    <w:rsid w:val="00CD3F00"/>
    <w:rsid w:val="00CD4789"/>
    <w:rsid w:val="00CD4E01"/>
    <w:rsid w:val="00CD6357"/>
    <w:rsid w:val="00CD69FB"/>
    <w:rsid w:val="00CD71B1"/>
    <w:rsid w:val="00CD79BC"/>
    <w:rsid w:val="00CD7CE0"/>
    <w:rsid w:val="00CD7F9E"/>
    <w:rsid w:val="00CD7FBF"/>
    <w:rsid w:val="00CE0AAE"/>
    <w:rsid w:val="00CE1430"/>
    <w:rsid w:val="00CE2E1B"/>
    <w:rsid w:val="00CE30F9"/>
    <w:rsid w:val="00CE3C9A"/>
    <w:rsid w:val="00CE3EEE"/>
    <w:rsid w:val="00CE4159"/>
    <w:rsid w:val="00CE4C82"/>
    <w:rsid w:val="00CE5001"/>
    <w:rsid w:val="00CE532C"/>
    <w:rsid w:val="00CE53EB"/>
    <w:rsid w:val="00CE5C1A"/>
    <w:rsid w:val="00CE5CC7"/>
    <w:rsid w:val="00CE5F50"/>
    <w:rsid w:val="00CE5FA2"/>
    <w:rsid w:val="00CE614D"/>
    <w:rsid w:val="00CE6188"/>
    <w:rsid w:val="00CE6438"/>
    <w:rsid w:val="00CE7397"/>
    <w:rsid w:val="00CE73D4"/>
    <w:rsid w:val="00CF04EA"/>
    <w:rsid w:val="00CF142C"/>
    <w:rsid w:val="00CF18ED"/>
    <w:rsid w:val="00CF254C"/>
    <w:rsid w:val="00CF263F"/>
    <w:rsid w:val="00CF2B36"/>
    <w:rsid w:val="00CF2F37"/>
    <w:rsid w:val="00CF32DC"/>
    <w:rsid w:val="00CF33E6"/>
    <w:rsid w:val="00CF34A6"/>
    <w:rsid w:val="00CF3C1A"/>
    <w:rsid w:val="00CF400F"/>
    <w:rsid w:val="00CF4A82"/>
    <w:rsid w:val="00CF4E9A"/>
    <w:rsid w:val="00CF6056"/>
    <w:rsid w:val="00CF6E26"/>
    <w:rsid w:val="00CF739B"/>
    <w:rsid w:val="00CF74E1"/>
    <w:rsid w:val="00CF7F06"/>
    <w:rsid w:val="00CF7FD7"/>
    <w:rsid w:val="00D009F5"/>
    <w:rsid w:val="00D00B58"/>
    <w:rsid w:val="00D015E1"/>
    <w:rsid w:val="00D0163E"/>
    <w:rsid w:val="00D02397"/>
    <w:rsid w:val="00D02678"/>
    <w:rsid w:val="00D02D08"/>
    <w:rsid w:val="00D0334D"/>
    <w:rsid w:val="00D039BE"/>
    <w:rsid w:val="00D04623"/>
    <w:rsid w:val="00D05028"/>
    <w:rsid w:val="00D059C8"/>
    <w:rsid w:val="00D05A00"/>
    <w:rsid w:val="00D0639E"/>
    <w:rsid w:val="00D06549"/>
    <w:rsid w:val="00D06D65"/>
    <w:rsid w:val="00D06EEE"/>
    <w:rsid w:val="00D07220"/>
    <w:rsid w:val="00D072BA"/>
    <w:rsid w:val="00D07674"/>
    <w:rsid w:val="00D07F8C"/>
    <w:rsid w:val="00D07FFD"/>
    <w:rsid w:val="00D10AA4"/>
    <w:rsid w:val="00D10DFA"/>
    <w:rsid w:val="00D11116"/>
    <w:rsid w:val="00D11151"/>
    <w:rsid w:val="00D112F7"/>
    <w:rsid w:val="00D1152C"/>
    <w:rsid w:val="00D1173A"/>
    <w:rsid w:val="00D11B1D"/>
    <w:rsid w:val="00D12AFE"/>
    <w:rsid w:val="00D136BB"/>
    <w:rsid w:val="00D1382A"/>
    <w:rsid w:val="00D13958"/>
    <w:rsid w:val="00D13CC1"/>
    <w:rsid w:val="00D14002"/>
    <w:rsid w:val="00D145F5"/>
    <w:rsid w:val="00D147B2"/>
    <w:rsid w:val="00D14E2E"/>
    <w:rsid w:val="00D15473"/>
    <w:rsid w:val="00D154E3"/>
    <w:rsid w:val="00D15CD7"/>
    <w:rsid w:val="00D15FC4"/>
    <w:rsid w:val="00D16C43"/>
    <w:rsid w:val="00D17EEF"/>
    <w:rsid w:val="00D17FB2"/>
    <w:rsid w:val="00D17FBE"/>
    <w:rsid w:val="00D20423"/>
    <w:rsid w:val="00D20AB4"/>
    <w:rsid w:val="00D20E0F"/>
    <w:rsid w:val="00D22201"/>
    <w:rsid w:val="00D222E2"/>
    <w:rsid w:val="00D22336"/>
    <w:rsid w:val="00D223AD"/>
    <w:rsid w:val="00D22736"/>
    <w:rsid w:val="00D2281E"/>
    <w:rsid w:val="00D22B22"/>
    <w:rsid w:val="00D23264"/>
    <w:rsid w:val="00D23C11"/>
    <w:rsid w:val="00D247DF"/>
    <w:rsid w:val="00D252CE"/>
    <w:rsid w:val="00D260B3"/>
    <w:rsid w:val="00D2655D"/>
    <w:rsid w:val="00D26864"/>
    <w:rsid w:val="00D26B90"/>
    <w:rsid w:val="00D27317"/>
    <w:rsid w:val="00D27B43"/>
    <w:rsid w:val="00D27C7F"/>
    <w:rsid w:val="00D27E74"/>
    <w:rsid w:val="00D27EDC"/>
    <w:rsid w:val="00D27F42"/>
    <w:rsid w:val="00D30048"/>
    <w:rsid w:val="00D3036E"/>
    <w:rsid w:val="00D307D0"/>
    <w:rsid w:val="00D31D57"/>
    <w:rsid w:val="00D31FCA"/>
    <w:rsid w:val="00D326B8"/>
    <w:rsid w:val="00D32714"/>
    <w:rsid w:val="00D32805"/>
    <w:rsid w:val="00D32C13"/>
    <w:rsid w:val="00D33132"/>
    <w:rsid w:val="00D3361F"/>
    <w:rsid w:val="00D33D2D"/>
    <w:rsid w:val="00D33E6B"/>
    <w:rsid w:val="00D33FA8"/>
    <w:rsid w:val="00D33FC3"/>
    <w:rsid w:val="00D3418E"/>
    <w:rsid w:val="00D346C6"/>
    <w:rsid w:val="00D34897"/>
    <w:rsid w:val="00D35623"/>
    <w:rsid w:val="00D36062"/>
    <w:rsid w:val="00D360D2"/>
    <w:rsid w:val="00D364C2"/>
    <w:rsid w:val="00D36BCB"/>
    <w:rsid w:val="00D36FB8"/>
    <w:rsid w:val="00D37186"/>
    <w:rsid w:val="00D3735F"/>
    <w:rsid w:val="00D37F56"/>
    <w:rsid w:val="00D40CFE"/>
    <w:rsid w:val="00D40D6B"/>
    <w:rsid w:val="00D4110E"/>
    <w:rsid w:val="00D4149F"/>
    <w:rsid w:val="00D42213"/>
    <w:rsid w:val="00D431F6"/>
    <w:rsid w:val="00D4331A"/>
    <w:rsid w:val="00D43DE4"/>
    <w:rsid w:val="00D43E34"/>
    <w:rsid w:val="00D44377"/>
    <w:rsid w:val="00D4466B"/>
    <w:rsid w:val="00D44A84"/>
    <w:rsid w:val="00D452E7"/>
    <w:rsid w:val="00D45608"/>
    <w:rsid w:val="00D45F67"/>
    <w:rsid w:val="00D46EAB"/>
    <w:rsid w:val="00D46EB5"/>
    <w:rsid w:val="00D46F2E"/>
    <w:rsid w:val="00D46FF4"/>
    <w:rsid w:val="00D476BB"/>
    <w:rsid w:val="00D476BE"/>
    <w:rsid w:val="00D47B9A"/>
    <w:rsid w:val="00D501A6"/>
    <w:rsid w:val="00D50326"/>
    <w:rsid w:val="00D50870"/>
    <w:rsid w:val="00D508BE"/>
    <w:rsid w:val="00D50E6A"/>
    <w:rsid w:val="00D5149D"/>
    <w:rsid w:val="00D51AFC"/>
    <w:rsid w:val="00D52E6A"/>
    <w:rsid w:val="00D52FB2"/>
    <w:rsid w:val="00D53A9E"/>
    <w:rsid w:val="00D540F8"/>
    <w:rsid w:val="00D54427"/>
    <w:rsid w:val="00D544B9"/>
    <w:rsid w:val="00D544F5"/>
    <w:rsid w:val="00D547C6"/>
    <w:rsid w:val="00D54F7A"/>
    <w:rsid w:val="00D5516C"/>
    <w:rsid w:val="00D55378"/>
    <w:rsid w:val="00D5685D"/>
    <w:rsid w:val="00D56C69"/>
    <w:rsid w:val="00D56FCC"/>
    <w:rsid w:val="00D57452"/>
    <w:rsid w:val="00D57765"/>
    <w:rsid w:val="00D57BDB"/>
    <w:rsid w:val="00D57E66"/>
    <w:rsid w:val="00D57F33"/>
    <w:rsid w:val="00D600ED"/>
    <w:rsid w:val="00D60895"/>
    <w:rsid w:val="00D60A67"/>
    <w:rsid w:val="00D6189A"/>
    <w:rsid w:val="00D62DDC"/>
    <w:rsid w:val="00D639AB"/>
    <w:rsid w:val="00D644B6"/>
    <w:rsid w:val="00D64F09"/>
    <w:rsid w:val="00D650E6"/>
    <w:rsid w:val="00D6574F"/>
    <w:rsid w:val="00D65E93"/>
    <w:rsid w:val="00D66312"/>
    <w:rsid w:val="00D66C0B"/>
    <w:rsid w:val="00D6777B"/>
    <w:rsid w:val="00D67851"/>
    <w:rsid w:val="00D6792E"/>
    <w:rsid w:val="00D67A1E"/>
    <w:rsid w:val="00D67A67"/>
    <w:rsid w:val="00D7012C"/>
    <w:rsid w:val="00D70B91"/>
    <w:rsid w:val="00D719EB"/>
    <w:rsid w:val="00D71BB0"/>
    <w:rsid w:val="00D72351"/>
    <w:rsid w:val="00D7256D"/>
    <w:rsid w:val="00D72AD6"/>
    <w:rsid w:val="00D73471"/>
    <w:rsid w:val="00D73B5B"/>
    <w:rsid w:val="00D73D28"/>
    <w:rsid w:val="00D73E18"/>
    <w:rsid w:val="00D74FF5"/>
    <w:rsid w:val="00D75BF7"/>
    <w:rsid w:val="00D75EA9"/>
    <w:rsid w:val="00D76A3B"/>
    <w:rsid w:val="00D772D6"/>
    <w:rsid w:val="00D802E6"/>
    <w:rsid w:val="00D8062D"/>
    <w:rsid w:val="00D80687"/>
    <w:rsid w:val="00D80EAA"/>
    <w:rsid w:val="00D80FFD"/>
    <w:rsid w:val="00D8131F"/>
    <w:rsid w:val="00D81353"/>
    <w:rsid w:val="00D818CE"/>
    <w:rsid w:val="00D838D7"/>
    <w:rsid w:val="00D83BB5"/>
    <w:rsid w:val="00D84256"/>
    <w:rsid w:val="00D84E0F"/>
    <w:rsid w:val="00D84EA5"/>
    <w:rsid w:val="00D85DF0"/>
    <w:rsid w:val="00D85E52"/>
    <w:rsid w:val="00D85E58"/>
    <w:rsid w:val="00D866FF"/>
    <w:rsid w:val="00D86B22"/>
    <w:rsid w:val="00D86BA9"/>
    <w:rsid w:val="00D86F5B"/>
    <w:rsid w:val="00D8735A"/>
    <w:rsid w:val="00D8755D"/>
    <w:rsid w:val="00D90A31"/>
    <w:rsid w:val="00D91E39"/>
    <w:rsid w:val="00D926C5"/>
    <w:rsid w:val="00D92B6B"/>
    <w:rsid w:val="00D92F09"/>
    <w:rsid w:val="00D934A2"/>
    <w:rsid w:val="00D93758"/>
    <w:rsid w:val="00D93798"/>
    <w:rsid w:val="00D93C8A"/>
    <w:rsid w:val="00D9407A"/>
    <w:rsid w:val="00D940FE"/>
    <w:rsid w:val="00D94FC6"/>
    <w:rsid w:val="00D95415"/>
    <w:rsid w:val="00D95521"/>
    <w:rsid w:val="00D95BB6"/>
    <w:rsid w:val="00D96A87"/>
    <w:rsid w:val="00D97279"/>
    <w:rsid w:val="00D97933"/>
    <w:rsid w:val="00D97A87"/>
    <w:rsid w:val="00D97BED"/>
    <w:rsid w:val="00D97D0B"/>
    <w:rsid w:val="00DA074A"/>
    <w:rsid w:val="00DA0800"/>
    <w:rsid w:val="00DA0D92"/>
    <w:rsid w:val="00DA10BB"/>
    <w:rsid w:val="00DA12FB"/>
    <w:rsid w:val="00DA1775"/>
    <w:rsid w:val="00DA18EE"/>
    <w:rsid w:val="00DA1DBD"/>
    <w:rsid w:val="00DA20F5"/>
    <w:rsid w:val="00DA216F"/>
    <w:rsid w:val="00DA291A"/>
    <w:rsid w:val="00DA30B9"/>
    <w:rsid w:val="00DA37D4"/>
    <w:rsid w:val="00DA4275"/>
    <w:rsid w:val="00DA4C37"/>
    <w:rsid w:val="00DA4D9E"/>
    <w:rsid w:val="00DA4DCE"/>
    <w:rsid w:val="00DA5950"/>
    <w:rsid w:val="00DA6841"/>
    <w:rsid w:val="00DA6899"/>
    <w:rsid w:val="00DA6CD1"/>
    <w:rsid w:val="00DA7099"/>
    <w:rsid w:val="00DA79C0"/>
    <w:rsid w:val="00DA7E91"/>
    <w:rsid w:val="00DB03FA"/>
    <w:rsid w:val="00DB083D"/>
    <w:rsid w:val="00DB0F03"/>
    <w:rsid w:val="00DB1E27"/>
    <w:rsid w:val="00DB22C0"/>
    <w:rsid w:val="00DB29BF"/>
    <w:rsid w:val="00DB3111"/>
    <w:rsid w:val="00DB317C"/>
    <w:rsid w:val="00DB3222"/>
    <w:rsid w:val="00DB3542"/>
    <w:rsid w:val="00DB3B4D"/>
    <w:rsid w:val="00DB3BEA"/>
    <w:rsid w:val="00DB4661"/>
    <w:rsid w:val="00DB46F6"/>
    <w:rsid w:val="00DB4703"/>
    <w:rsid w:val="00DB47EC"/>
    <w:rsid w:val="00DB4C48"/>
    <w:rsid w:val="00DB4E06"/>
    <w:rsid w:val="00DB509D"/>
    <w:rsid w:val="00DB597B"/>
    <w:rsid w:val="00DB5B03"/>
    <w:rsid w:val="00DB5BFE"/>
    <w:rsid w:val="00DB6C17"/>
    <w:rsid w:val="00DC05B1"/>
    <w:rsid w:val="00DC0A11"/>
    <w:rsid w:val="00DC1659"/>
    <w:rsid w:val="00DC17D3"/>
    <w:rsid w:val="00DC1989"/>
    <w:rsid w:val="00DC235D"/>
    <w:rsid w:val="00DC31AB"/>
    <w:rsid w:val="00DC375E"/>
    <w:rsid w:val="00DC397C"/>
    <w:rsid w:val="00DC3FBE"/>
    <w:rsid w:val="00DC44ED"/>
    <w:rsid w:val="00DC4F05"/>
    <w:rsid w:val="00DC4FA5"/>
    <w:rsid w:val="00DC6141"/>
    <w:rsid w:val="00DC652B"/>
    <w:rsid w:val="00DC6A2E"/>
    <w:rsid w:val="00DC7007"/>
    <w:rsid w:val="00DC7264"/>
    <w:rsid w:val="00DC79E3"/>
    <w:rsid w:val="00DC7D75"/>
    <w:rsid w:val="00DD014F"/>
    <w:rsid w:val="00DD06B2"/>
    <w:rsid w:val="00DD0B8D"/>
    <w:rsid w:val="00DD116D"/>
    <w:rsid w:val="00DD1349"/>
    <w:rsid w:val="00DD1EB9"/>
    <w:rsid w:val="00DD2115"/>
    <w:rsid w:val="00DD2E1C"/>
    <w:rsid w:val="00DD2E45"/>
    <w:rsid w:val="00DD2F31"/>
    <w:rsid w:val="00DD3014"/>
    <w:rsid w:val="00DD3298"/>
    <w:rsid w:val="00DD4E15"/>
    <w:rsid w:val="00DD53EF"/>
    <w:rsid w:val="00DD5A7D"/>
    <w:rsid w:val="00DD5C99"/>
    <w:rsid w:val="00DD6145"/>
    <w:rsid w:val="00DD65A0"/>
    <w:rsid w:val="00DD6A87"/>
    <w:rsid w:val="00DD71CA"/>
    <w:rsid w:val="00DD71FE"/>
    <w:rsid w:val="00DD791F"/>
    <w:rsid w:val="00DD7A6D"/>
    <w:rsid w:val="00DD7A84"/>
    <w:rsid w:val="00DE0098"/>
    <w:rsid w:val="00DE055E"/>
    <w:rsid w:val="00DE18D9"/>
    <w:rsid w:val="00DE1CEC"/>
    <w:rsid w:val="00DE1D9D"/>
    <w:rsid w:val="00DE1E08"/>
    <w:rsid w:val="00DE20A1"/>
    <w:rsid w:val="00DE29F9"/>
    <w:rsid w:val="00DE2C7D"/>
    <w:rsid w:val="00DE321A"/>
    <w:rsid w:val="00DE349E"/>
    <w:rsid w:val="00DE38DD"/>
    <w:rsid w:val="00DE3A7D"/>
    <w:rsid w:val="00DE5297"/>
    <w:rsid w:val="00DE59EC"/>
    <w:rsid w:val="00DE6270"/>
    <w:rsid w:val="00DE635C"/>
    <w:rsid w:val="00DE6A59"/>
    <w:rsid w:val="00DE6E5A"/>
    <w:rsid w:val="00DE70AE"/>
    <w:rsid w:val="00DE7519"/>
    <w:rsid w:val="00DE785B"/>
    <w:rsid w:val="00DE7C50"/>
    <w:rsid w:val="00DF043C"/>
    <w:rsid w:val="00DF0BF3"/>
    <w:rsid w:val="00DF0F4A"/>
    <w:rsid w:val="00DF100F"/>
    <w:rsid w:val="00DF14DB"/>
    <w:rsid w:val="00DF1615"/>
    <w:rsid w:val="00DF24CE"/>
    <w:rsid w:val="00DF25EA"/>
    <w:rsid w:val="00DF26CD"/>
    <w:rsid w:val="00DF29B3"/>
    <w:rsid w:val="00DF2BFD"/>
    <w:rsid w:val="00DF3185"/>
    <w:rsid w:val="00DF3AA5"/>
    <w:rsid w:val="00DF3EC1"/>
    <w:rsid w:val="00DF44F9"/>
    <w:rsid w:val="00DF4CF3"/>
    <w:rsid w:val="00DF50B3"/>
    <w:rsid w:val="00DF546B"/>
    <w:rsid w:val="00DF66CB"/>
    <w:rsid w:val="00DF6D70"/>
    <w:rsid w:val="00DF75BF"/>
    <w:rsid w:val="00DF75E4"/>
    <w:rsid w:val="00DF7D91"/>
    <w:rsid w:val="00DF7F6D"/>
    <w:rsid w:val="00E00125"/>
    <w:rsid w:val="00E00EAE"/>
    <w:rsid w:val="00E015F5"/>
    <w:rsid w:val="00E01A91"/>
    <w:rsid w:val="00E01CCF"/>
    <w:rsid w:val="00E02178"/>
    <w:rsid w:val="00E0263D"/>
    <w:rsid w:val="00E02DB6"/>
    <w:rsid w:val="00E02E1A"/>
    <w:rsid w:val="00E03ABD"/>
    <w:rsid w:val="00E03D0B"/>
    <w:rsid w:val="00E03D35"/>
    <w:rsid w:val="00E04244"/>
    <w:rsid w:val="00E0481C"/>
    <w:rsid w:val="00E04ADC"/>
    <w:rsid w:val="00E0511F"/>
    <w:rsid w:val="00E058DB"/>
    <w:rsid w:val="00E07D9B"/>
    <w:rsid w:val="00E07F08"/>
    <w:rsid w:val="00E10175"/>
    <w:rsid w:val="00E103BC"/>
    <w:rsid w:val="00E11041"/>
    <w:rsid w:val="00E1104A"/>
    <w:rsid w:val="00E113F8"/>
    <w:rsid w:val="00E11486"/>
    <w:rsid w:val="00E120CC"/>
    <w:rsid w:val="00E121AB"/>
    <w:rsid w:val="00E121F7"/>
    <w:rsid w:val="00E127EC"/>
    <w:rsid w:val="00E138B1"/>
    <w:rsid w:val="00E14A01"/>
    <w:rsid w:val="00E15186"/>
    <w:rsid w:val="00E151DB"/>
    <w:rsid w:val="00E15438"/>
    <w:rsid w:val="00E16466"/>
    <w:rsid w:val="00E170D3"/>
    <w:rsid w:val="00E172D8"/>
    <w:rsid w:val="00E175AE"/>
    <w:rsid w:val="00E2009B"/>
    <w:rsid w:val="00E212CB"/>
    <w:rsid w:val="00E220DB"/>
    <w:rsid w:val="00E22554"/>
    <w:rsid w:val="00E232BA"/>
    <w:rsid w:val="00E23E6B"/>
    <w:rsid w:val="00E23ECE"/>
    <w:rsid w:val="00E2491E"/>
    <w:rsid w:val="00E249E6"/>
    <w:rsid w:val="00E25560"/>
    <w:rsid w:val="00E259AE"/>
    <w:rsid w:val="00E25C3F"/>
    <w:rsid w:val="00E263E5"/>
    <w:rsid w:val="00E26593"/>
    <w:rsid w:val="00E26725"/>
    <w:rsid w:val="00E267BD"/>
    <w:rsid w:val="00E27466"/>
    <w:rsid w:val="00E30761"/>
    <w:rsid w:val="00E30DA0"/>
    <w:rsid w:val="00E310AA"/>
    <w:rsid w:val="00E31AD2"/>
    <w:rsid w:val="00E31B09"/>
    <w:rsid w:val="00E31F9C"/>
    <w:rsid w:val="00E32652"/>
    <w:rsid w:val="00E32EDF"/>
    <w:rsid w:val="00E32F90"/>
    <w:rsid w:val="00E3400D"/>
    <w:rsid w:val="00E341C5"/>
    <w:rsid w:val="00E3458E"/>
    <w:rsid w:val="00E346A0"/>
    <w:rsid w:val="00E34BC5"/>
    <w:rsid w:val="00E34F8D"/>
    <w:rsid w:val="00E35315"/>
    <w:rsid w:val="00E35390"/>
    <w:rsid w:val="00E36371"/>
    <w:rsid w:val="00E364F3"/>
    <w:rsid w:val="00E367D7"/>
    <w:rsid w:val="00E36A36"/>
    <w:rsid w:val="00E402E8"/>
    <w:rsid w:val="00E407DA"/>
    <w:rsid w:val="00E40C0F"/>
    <w:rsid w:val="00E40F23"/>
    <w:rsid w:val="00E41270"/>
    <w:rsid w:val="00E412D8"/>
    <w:rsid w:val="00E4189E"/>
    <w:rsid w:val="00E421C5"/>
    <w:rsid w:val="00E425C6"/>
    <w:rsid w:val="00E42B76"/>
    <w:rsid w:val="00E42E7A"/>
    <w:rsid w:val="00E4314B"/>
    <w:rsid w:val="00E43535"/>
    <w:rsid w:val="00E43723"/>
    <w:rsid w:val="00E437DC"/>
    <w:rsid w:val="00E43BBB"/>
    <w:rsid w:val="00E43BFB"/>
    <w:rsid w:val="00E43F60"/>
    <w:rsid w:val="00E45662"/>
    <w:rsid w:val="00E458AA"/>
    <w:rsid w:val="00E45AA6"/>
    <w:rsid w:val="00E45C7A"/>
    <w:rsid w:val="00E4603B"/>
    <w:rsid w:val="00E46359"/>
    <w:rsid w:val="00E46A49"/>
    <w:rsid w:val="00E47A4D"/>
    <w:rsid w:val="00E47B33"/>
    <w:rsid w:val="00E5059B"/>
    <w:rsid w:val="00E508A6"/>
    <w:rsid w:val="00E508F8"/>
    <w:rsid w:val="00E50C3F"/>
    <w:rsid w:val="00E50D46"/>
    <w:rsid w:val="00E50E7E"/>
    <w:rsid w:val="00E511EC"/>
    <w:rsid w:val="00E51BDD"/>
    <w:rsid w:val="00E52DFA"/>
    <w:rsid w:val="00E52ED8"/>
    <w:rsid w:val="00E53062"/>
    <w:rsid w:val="00E535DC"/>
    <w:rsid w:val="00E537F0"/>
    <w:rsid w:val="00E53A5E"/>
    <w:rsid w:val="00E53AE6"/>
    <w:rsid w:val="00E53EF6"/>
    <w:rsid w:val="00E54328"/>
    <w:rsid w:val="00E549B7"/>
    <w:rsid w:val="00E54AF7"/>
    <w:rsid w:val="00E54CD0"/>
    <w:rsid w:val="00E54F5A"/>
    <w:rsid w:val="00E5520A"/>
    <w:rsid w:val="00E56A27"/>
    <w:rsid w:val="00E56C13"/>
    <w:rsid w:val="00E56CC3"/>
    <w:rsid w:val="00E56E6A"/>
    <w:rsid w:val="00E573EA"/>
    <w:rsid w:val="00E57785"/>
    <w:rsid w:val="00E60AEE"/>
    <w:rsid w:val="00E60EA1"/>
    <w:rsid w:val="00E61062"/>
    <w:rsid w:val="00E612A9"/>
    <w:rsid w:val="00E6136E"/>
    <w:rsid w:val="00E615B0"/>
    <w:rsid w:val="00E61A21"/>
    <w:rsid w:val="00E61AC9"/>
    <w:rsid w:val="00E61B3E"/>
    <w:rsid w:val="00E61FDF"/>
    <w:rsid w:val="00E62549"/>
    <w:rsid w:val="00E628DF"/>
    <w:rsid w:val="00E631C1"/>
    <w:rsid w:val="00E63B92"/>
    <w:rsid w:val="00E645D1"/>
    <w:rsid w:val="00E658F2"/>
    <w:rsid w:val="00E65DD1"/>
    <w:rsid w:val="00E668D3"/>
    <w:rsid w:val="00E66C42"/>
    <w:rsid w:val="00E66CED"/>
    <w:rsid w:val="00E66DEC"/>
    <w:rsid w:val="00E6758A"/>
    <w:rsid w:val="00E67DDC"/>
    <w:rsid w:val="00E70BC9"/>
    <w:rsid w:val="00E715AF"/>
    <w:rsid w:val="00E7192E"/>
    <w:rsid w:val="00E71BAB"/>
    <w:rsid w:val="00E71BD7"/>
    <w:rsid w:val="00E71CFB"/>
    <w:rsid w:val="00E71E75"/>
    <w:rsid w:val="00E72629"/>
    <w:rsid w:val="00E737FB"/>
    <w:rsid w:val="00E74159"/>
    <w:rsid w:val="00E74836"/>
    <w:rsid w:val="00E74F1F"/>
    <w:rsid w:val="00E75140"/>
    <w:rsid w:val="00E75F37"/>
    <w:rsid w:val="00E761A4"/>
    <w:rsid w:val="00E7653D"/>
    <w:rsid w:val="00E766B3"/>
    <w:rsid w:val="00E77CDC"/>
    <w:rsid w:val="00E77EC4"/>
    <w:rsid w:val="00E80CD6"/>
    <w:rsid w:val="00E82B11"/>
    <w:rsid w:val="00E831C1"/>
    <w:rsid w:val="00E83444"/>
    <w:rsid w:val="00E83770"/>
    <w:rsid w:val="00E83794"/>
    <w:rsid w:val="00E842E9"/>
    <w:rsid w:val="00E84B2E"/>
    <w:rsid w:val="00E84EF9"/>
    <w:rsid w:val="00E85044"/>
    <w:rsid w:val="00E85E29"/>
    <w:rsid w:val="00E867A0"/>
    <w:rsid w:val="00E86951"/>
    <w:rsid w:val="00E86C4E"/>
    <w:rsid w:val="00E87494"/>
    <w:rsid w:val="00E874DE"/>
    <w:rsid w:val="00E87B13"/>
    <w:rsid w:val="00E87BCB"/>
    <w:rsid w:val="00E902D3"/>
    <w:rsid w:val="00E90D47"/>
    <w:rsid w:val="00E90F2C"/>
    <w:rsid w:val="00E91C64"/>
    <w:rsid w:val="00E922DB"/>
    <w:rsid w:val="00E92749"/>
    <w:rsid w:val="00E92C0D"/>
    <w:rsid w:val="00E92E03"/>
    <w:rsid w:val="00E93C41"/>
    <w:rsid w:val="00E93C42"/>
    <w:rsid w:val="00E93D7E"/>
    <w:rsid w:val="00E9467A"/>
    <w:rsid w:val="00E94B11"/>
    <w:rsid w:val="00E94CC0"/>
    <w:rsid w:val="00E96261"/>
    <w:rsid w:val="00E9628C"/>
    <w:rsid w:val="00E97573"/>
    <w:rsid w:val="00E97636"/>
    <w:rsid w:val="00E97766"/>
    <w:rsid w:val="00E979DC"/>
    <w:rsid w:val="00E97A28"/>
    <w:rsid w:val="00E97B48"/>
    <w:rsid w:val="00EA006C"/>
    <w:rsid w:val="00EA010B"/>
    <w:rsid w:val="00EA0DC9"/>
    <w:rsid w:val="00EA30C0"/>
    <w:rsid w:val="00EA36CA"/>
    <w:rsid w:val="00EA3E30"/>
    <w:rsid w:val="00EA40A8"/>
    <w:rsid w:val="00EA4A1A"/>
    <w:rsid w:val="00EA4C56"/>
    <w:rsid w:val="00EA503C"/>
    <w:rsid w:val="00EA557E"/>
    <w:rsid w:val="00EA5AF7"/>
    <w:rsid w:val="00EA5C8F"/>
    <w:rsid w:val="00EA659A"/>
    <w:rsid w:val="00EA66FB"/>
    <w:rsid w:val="00EA68ED"/>
    <w:rsid w:val="00EA770D"/>
    <w:rsid w:val="00EA77E1"/>
    <w:rsid w:val="00EA7F8F"/>
    <w:rsid w:val="00EA7FF1"/>
    <w:rsid w:val="00EB048C"/>
    <w:rsid w:val="00EB0666"/>
    <w:rsid w:val="00EB08D3"/>
    <w:rsid w:val="00EB0A90"/>
    <w:rsid w:val="00EB0C91"/>
    <w:rsid w:val="00EB10F9"/>
    <w:rsid w:val="00EB12E6"/>
    <w:rsid w:val="00EB1644"/>
    <w:rsid w:val="00EB1679"/>
    <w:rsid w:val="00EB2178"/>
    <w:rsid w:val="00EB2C41"/>
    <w:rsid w:val="00EB2E6B"/>
    <w:rsid w:val="00EB337E"/>
    <w:rsid w:val="00EB353B"/>
    <w:rsid w:val="00EB380E"/>
    <w:rsid w:val="00EB3E1D"/>
    <w:rsid w:val="00EB410A"/>
    <w:rsid w:val="00EB5631"/>
    <w:rsid w:val="00EB620A"/>
    <w:rsid w:val="00EB65C5"/>
    <w:rsid w:val="00EB7039"/>
    <w:rsid w:val="00EB71E1"/>
    <w:rsid w:val="00EB7761"/>
    <w:rsid w:val="00EC004B"/>
    <w:rsid w:val="00EC0421"/>
    <w:rsid w:val="00EC0E72"/>
    <w:rsid w:val="00EC16A9"/>
    <w:rsid w:val="00EC1C86"/>
    <w:rsid w:val="00EC2969"/>
    <w:rsid w:val="00EC3AF1"/>
    <w:rsid w:val="00EC3DE6"/>
    <w:rsid w:val="00EC4185"/>
    <w:rsid w:val="00EC483A"/>
    <w:rsid w:val="00EC546A"/>
    <w:rsid w:val="00EC6312"/>
    <w:rsid w:val="00EC6806"/>
    <w:rsid w:val="00EC6B98"/>
    <w:rsid w:val="00EC753B"/>
    <w:rsid w:val="00EC7893"/>
    <w:rsid w:val="00EC7F20"/>
    <w:rsid w:val="00ED0191"/>
    <w:rsid w:val="00ED0C1B"/>
    <w:rsid w:val="00ED10C4"/>
    <w:rsid w:val="00ED10F7"/>
    <w:rsid w:val="00ED13A8"/>
    <w:rsid w:val="00ED16E0"/>
    <w:rsid w:val="00ED16FA"/>
    <w:rsid w:val="00ED18AA"/>
    <w:rsid w:val="00ED1A71"/>
    <w:rsid w:val="00ED1FD5"/>
    <w:rsid w:val="00ED272C"/>
    <w:rsid w:val="00ED2922"/>
    <w:rsid w:val="00ED2A57"/>
    <w:rsid w:val="00ED2C10"/>
    <w:rsid w:val="00ED3530"/>
    <w:rsid w:val="00ED3E15"/>
    <w:rsid w:val="00ED3F36"/>
    <w:rsid w:val="00ED5C36"/>
    <w:rsid w:val="00ED614F"/>
    <w:rsid w:val="00ED6257"/>
    <w:rsid w:val="00ED62FD"/>
    <w:rsid w:val="00ED6928"/>
    <w:rsid w:val="00ED6B35"/>
    <w:rsid w:val="00ED6FC8"/>
    <w:rsid w:val="00ED7220"/>
    <w:rsid w:val="00ED73B0"/>
    <w:rsid w:val="00ED7E21"/>
    <w:rsid w:val="00ED7FB3"/>
    <w:rsid w:val="00ED7FDC"/>
    <w:rsid w:val="00EE0858"/>
    <w:rsid w:val="00EE093F"/>
    <w:rsid w:val="00EE0C89"/>
    <w:rsid w:val="00EE0DB2"/>
    <w:rsid w:val="00EE15FD"/>
    <w:rsid w:val="00EE1CF5"/>
    <w:rsid w:val="00EE2205"/>
    <w:rsid w:val="00EE22F1"/>
    <w:rsid w:val="00EE2CDC"/>
    <w:rsid w:val="00EE3137"/>
    <w:rsid w:val="00EE3676"/>
    <w:rsid w:val="00EE36EA"/>
    <w:rsid w:val="00EE3A3E"/>
    <w:rsid w:val="00EE480E"/>
    <w:rsid w:val="00EE49B9"/>
    <w:rsid w:val="00EE4C23"/>
    <w:rsid w:val="00EE501C"/>
    <w:rsid w:val="00EE57CC"/>
    <w:rsid w:val="00EE5A42"/>
    <w:rsid w:val="00EE7668"/>
    <w:rsid w:val="00EE7F62"/>
    <w:rsid w:val="00EF01C4"/>
    <w:rsid w:val="00EF0508"/>
    <w:rsid w:val="00EF0787"/>
    <w:rsid w:val="00EF0CFF"/>
    <w:rsid w:val="00EF12BE"/>
    <w:rsid w:val="00EF2196"/>
    <w:rsid w:val="00EF21EA"/>
    <w:rsid w:val="00EF2722"/>
    <w:rsid w:val="00EF2B94"/>
    <w:rsid w:val="00EF2DF2"/>
    <w:rsid w:val="00EF37D0"/>
    <w:rsid w:val="00EF471E"/>
    <w:rsid w:val="00EF4A41"/>
    <w:rsid w:val="00EF4D53"/>
    <w:rsid w:val="00EF4EAF"/>
    <w:rsid w:val="00EF514A"/>
    <w:rsid w:val="00EF53B2"/>
    <w:rsid w:val="00EF5749"/>
    <w:rsid w:val="00EF5810"/>
    <w:rsid w:val="00EF5BE3"/>
    <w:rsid w:val="00EF5DB8"/>
    <w:rsid w:val="00EF6143"/>
    <w:rsid w:val="00EF623C"/>
    <w:rsid w:val="00EF642E"/>
    <w:rsid w:val="00EF64CB"/>
    <w:rsid w:val="00EF6651"/>
    <w:rsid w:val="00EF69A8"/>
    <w:rsid w:val="00EF6A9C"/>
    <w:rsid w:val="00EF71B8"/>
    <w:rsid w:val="00F006CF"/>
    <w:rsid w:val="00F0114C"/>
    <w:rsid w:val="00F01325"/>
    <w:rsid w:val="00F0183C"/>
    <w:rsid w:val="00F018EF"/>
    <w:rsid w:val="00F01E4D"/>
    <w:rsid w:val="00F022EB"/>
    <w:rsid w:val="00F02AF1"/>
    <w:rsid w:val="00F02E09"/>
    <w:rsid w:val="00F02F4F"/>
    <w:rsid w:val="00F0314B"/>
    <w:rsid w:val="00F0422E"/>
    <w:rsid w:val="00F042B4"/>
    <w:rsid w:val="00F0432A"/>
    <w:rsid w:val="00F043D8"/>
    <w:rsid w:val="00F048BB"/>
    <w:rsid w:val="00F05178"/>
    <w:rsid w:val="00F05995"/>
    <w:rsid w:val="00F05BBF"/>
    <w:rsid w:val="00F0632A"/>
    <w:rsid w:val="00F0649F"/>
    <w:rsid w:val="00F071F4"/>
    <w:rsid w:val="00F103B4"/>
    <w:rsid w:val="00F10415"/>
    <w:rsid w:val="00F10A63"/>
    <w:rsid w:val="00F10CA1"/>
    <w:rsid w:val="00F10DB1"/>
    <w:rsid w:val="00F11569"/>
    <w:rsid w:val="00F11936"/>
    <w:rsid w:val="00F11998"/>
    <w:rsid w:val="00F12B23"/>
    <w:rsid w:val="00F131AC"/>
    <w:rsid w:val="00F133D8"/>
    <w:rsid w:val="00F137E7"/>
    <w:rsid w:val="00F13910"/>
    <w:rsid w:val="00F13A0E"/>
    <w:rsid w:val="00F145D8"/>
    <w:rsid w:val="00F145F9"/>
    <w:rsid w:val="00F15EED"/>
    <w:rsid w:val="00F15F3B"/>
    <w:rsid w:val="00F163ED"/>
    <w:rsid w:val="00F1680C"/>
    <w:rsid w:val="00F16C4D"/>
    <w:rsid w:val="00F16F08"/>
    <w:rsid w:val="00F170AA"/>
    <w:rsid w:val="00F1795A"/>
    <w:rsid w:val="00F17D3D"/>
    <w:rsid w:val="00F2017E"/>
    <w:rsid w:val="00F202C4"/>
    <w:rsid w:val="00F202DC"/>
    <w:rsid w:val="00F20559"/>
    <w:rsid w:val="00F2096B"/>
    <w:rsid w:val="00F20EE7"/>
    <w:rsid w:val="00F20F34"/>
    <w:rsid w:val="00F21516"/>
    <w:rsid w:val="00F22948"/>
    <w:rsid w:val="00F22BF4"/>
    <w:rsid w:val="00F22D96"/>
    <w:rsid w:val="00F22F50"/>
    <w:rsid w:val="00F2368E"/>
    <w:rsid w:val="00F23A64"/>
    <w:rsid w:val="00F24348"/>
    <w:rsid w:val="00F24589"/>
    <w:rsid w:val="00F24896"/>
    <w:rsid w:val="00F25514"/>
    <w:rsid w:val="00F256B7"/>
    <w:rsid w:val="00F2575B"/>
    <w:rsid w:val="00F25902"/>
    <w:rsid w:val="00F25EC1"/>
    <w:rsid w:val="00F2629E"/>
    <w:rsid w:val="00F276A8"/>
    <w:rsid w:val="00F279B6"/>
    <w:rsid w:val="00F30E13"/>
    <w:rsid w:val="00F322E5"/>
    <w:rsid w:val="00F32C4E"/>
    <w:rsid w:val="00F331ED"/>
    <w:rsid w:val="00F3321D"/>
    <w:rsid w:val="00F33706"/>
    <w:rsid w:val="00F33D7D"/>
    <w:rsid w:val="00F33EF8"/>
    <w:rsid w:val="00F33F30"/>
    <w:rsid w:val="00F33F56"/>
    <w:rsid w:val="00F35070"/>
    <w:rsid w:val="00F352FD"/>
    <w:rsid w:val="00F3534A"/>
    <w:rsid w:val="00F3546D"/>
    <w:rsid w:val="00F35DD0"/>
    <w:rsid w:val="00F36161"/>
    <w:rsid w:val="00F361BF"/>
    <w:rsid w:val="00F36322"/>
    <w:rsid w:val="00F36366"/>
    <w:rsid w:val="00F40532"/>
    <w:rsid w:val="00F41081"/>
    <w:rsid w:val="00F412F0"/>
    <w:rsid w:val="00F41C22"/>
    <w:rsid w:val="00F41E61"/>
    <w:rsid w:val="00F426EA"/>
    <w:rsid w:val="00F427FE"/>
    <w:rsid w:val="00F430EA"/>
    <w:rsid w:val="00F43508"/>
    <w:rsid w:val="00F4360D"/>
    <w:rsid w:val="00F4377A"/>
    <w:rsid w:val="00F43C9E"/>
    <w:rsid w:val="00F43CD6"/>
    <w:rsid w:val="00F4471C"/>
    <w:rsid w:val="00F44855"/>
    <w:rsid w:val="00F44AB0"/>
    <w:rsid w:val="00F45FAE"/>
    <w:rsid w:val="00F4626A"/>
    <w:rsid w:val="00F5013C"/>
    <w:rsid w:val="00F5126E"/>
    <w:rsid w:val="00F5235A"/>
    <w:rsid w:val="00F524BA"/>
    <w:rsid w:val="00F525F7"/>
    <w:rsid w:val="00F52C74"/>
    <w:rsid w:val="00F53021"/>
    <w:rsid w:val="00F54067"/>
    <w:rsid w:val="00F54720"/>
    <w:rsid w:val="00F55134"/>
    <w:rsid w:val="00F55175"/>
    <w:rsid w:val="00F5522F"/>
    <w:rsid w:val="00F565B0"/>
    <w:rsid w:val="00F56E44"/>
    <w:rsid w:val="00F56E9F"/>
    <w:rsid w:val="00F57003"/>
    <w:rsid w:val="00F57DF2"/>
    <w:rsid w:val="00F60B13"/>
    <w:rsid w:val="00F616E3"/>
    <w:rsid w:val="00F6172F"/>
    <w:rsid w:val="00F61FFA"/>
    <w:rsid w:val="00F6214E"/>
    <w:rsid w:val="00F62822"/>
    <w:rsid w:val="00F62D84"/>
    <w:rsid w:val="00F62E49"/>
    <w:rsid w:val="00F6349F"/>
    <w:rsid w:val="00F63738"/>
    <w:rsid w:val="00F63D58"/>
    <w:rsid w:val="00F64417"/>
    <w:rsid w:val="00F64635"/>
    <w:rsid w:val="00F647EF"/>
    <w:rsid w:val="00F64B8F"/>
    <w:rsid w:val="00F65523"/>
    <w:rsid w:val="00F65A6B"/>
    <w:rsid w:val="00F669E6"/>
    <w:rsid w:val="00F67762"/>
    <w:rsid w:val="00F67DE6"/>
    <w:rsid w:val="00F7019C"/>
    <w:rsid w:val="00F7055A"/>
    <w:rsid w:val="00F706E1"/>
    <w:rsid w:val="00F70F63"/>
    <w:rsid w:val="00F71F13"/>
    <w:rsid w:val="00F7214D"/>
    <w:rsid w:val="00F72393"/>
    <w:rsid w:val="00F72922"/>
    <w:rsid w:val="00F72DD2"/>
    <w:rsid w:val="00F741F4"/>
    <w:rsid w:val="00F74BE8"/>
    <w:rsid w:val="00F75070"/>
    <w:rsid w:val="00F7552C"/>
    <w:rsid w:val="00F759D0"/>
    <w:rsid w:val="00F75AF6"/>
    <w:rsid w:val="00F75B6B"/>
    <w:rsid w:val="00F763F4"/>
    <w:rsid w:val="00F76828"/>
    <w:rsid w:val="00F76B6F"/>
    <w:rsid w:val="00F776F7"/>
    <w:rsid w:val="00F77879"/>
    <w:rsid w:val="00F77A56"/>
    <w:rsid w:val="00F800A7"/>
    <w:rsid w:val="00F80174"/>
    <w:rsid w:val="00F804E2"/>
    <w:rsid w:val="00F80A2D"/>
    <w:rsid w:val="00F81F5F"/>
    <w:rsid w:val="00F8205D"/>
    <w:rsid w:val="00F8257C"/>
    <w:rsid w:val="00F82E60"/>
    <w:rsid w:val="00F83454"/>
    <w:rsid w:val="00F83810"/>
    <w:rsid w:val="00F8388C"/>
    <w:rsid w:val="00F838C2"/>
    <w:rsid w:val="00F83961"/>
    <w:rsid w:val="00F839A0"/>
    <w:rsid w:val="00F8401B"/>
    <w:rsid w:val="00F84D58"/>
    <w:rsid w:val="00F84DDF"/>
    <w:rsid w:val="00F85886"/>
    <w:rsid w:val="00F85ACF"/>
    <w:rsid w:val="00F85C9F"/>
    <w:rsid w:val="00F85D3B"/>
    <w:rsid w:val="00F86110"/>
    <w:rsid w:val="00F86463"/>
    <w:rsid w:val="00F868EC"/>
    <w:rsid w:val="00F86D4D"/>
    <w:rsid w:val="00F86FEF"/>
    <w:rsid w:val="00F8780F"/>
    <w:rsid w:val="00F87AC0"/>
    <w:rsid w:val="00F87DCB"/>
    <w:rsid w:val="00F905FA"/>
    <w:rsid w:val="00F90B93"/>
    <w:rsid w:val="00F90C52"/>
    <w:rsid w:val="00F90E08"/>
    <w:rsid w:val="00F91EE3"/>
    <w:rsid w:val="00F91F66"/>
    <w:rsid w:val="00F929D8"/>
    <w:rsid w:val="00F92ABC"/>
    <w:rsid w:val="00F92CFF"/>
    <w:rsid w:val="00F92E74"/>
    <w:rsid w:val="00F930DF"/>
    <w:rsid w:val="00F93252"/>
    <w:rsid w:val="00F93353"/>
    <w:rsid w:val="00F93584"/>
    <w:rsid w:val="00F93636"/>
    <w:rsid w:val="00F94294"/>
    <w:rsid w:val="00F943E8"/>
    <w:rsid w:val="00F948B7"/>
    <w:rsid w:val="00F94C43"/>
    <w:rsid w:val="00F952AD"/>
    <w:rsid w:val="00F96561"/>
    <w:rsid w:val="00F96726"/>
    <w:rsid w:val="00F96AE8"/>
    <w:rsid w:val="00F9741F"/>
    <w:rsid w:val="00F97C2F"/>
    <w:rsid w:val="00F97C8F"/>
    <w:rsid w:val="00F97DCF"/>
    <w:rsid w:val="00FA00BC"/>
    <w:rsid w:val="00FA048F"/>
    <w:rsid w:val="00FA063C"/>
    <w:rsid w:val="00FA06F5"/>
    <w:rsid w:val="00FA0896"/>
    <w:rsid w:val="00FA0AC5"/>
    <w:rsid w:val="00FA0E8D"/>
    <w:rsid w:val="00FA31C0"/>
    <w:rsid w:val="00FA3810"/>
    <w:rsid w:val="00FA3BAD"/>
    <w:rsid w:val="00FA3C63"/>
    <w:rsid w:val="00FA412B"/>
    <w:rsid w:val="00FA45A1"/>
    <w:rsid w:val="00FA4DB7"/>
    <w:rsid w:val="00FA4E30"/>
    <w:rsid w:val="00FA5E8A"/>
    <w:rsid w:val="00FA624D"/>
    <w:rsid w:val="00FA630E"/>
    <w:rsid w:val="00FA6680"/>
    <w:rsid w:val="00FA6724"/>
    <w:rsid w:val="00FA6AD0"/>
    <w:rsid w:val="00FA7398"/>
    <w:rsid w:val="00FA7832"/>
    <w:rsid w:val="00FA7D0F"/>
    <w:rsid w:val="00FA7EAD"/>
    <w:rsid w:val="00FB07A5"/>
    <w:rsid w:val="00FB0C73"/>
    <w:rsid w:val="00FB0DCB"/>
    <w:rsid w:val="00FB10F0"/>
    <w:rsid w:val="00FB1367"/>
    <w:rsid w:val="00FB16A5"/>
    <w:rsid w:val="00FB1DCF"/>
    <w:rsid w:val="00FB2714"/>
    <w:rsid w:val="00FB2A95"/>
    <w:rsid w:val="00FB3919"/>
    <w:rsid w:val="00FB3F60"/>
    <w:rsid w:val="00FB40B0"/>
    <w:rsid w:val="00FB4125"/>
    <w:rsid w:val="00FB419E"/>
    <w:rsid w:val="00FB42F3"/>
    <w:rsid w:val="00FB4B58"/>
    <w:rsid w:val="00FB4EA5"/>
    <w:rsid w:val="00FB51CD"/>
    <w:rsid w:val="00FB5275"/>
    <w:rsid w:val="00FB52ED"/>
    <w:rsid w:val="00FB532B"/>
    <w:rsid w:val="00FB5C37"/>
    <w:rsid w:val="00FB68E9"/>
    <w:rsid w:val="00FB79D1"/>
    <w:rsid w:val="00FC01BF"/>
    <w:rsid w:val="00FC12C2"/>
    <w:rsid w:val="00FC137F"/>
    <w:rsid w:val="00FC15B9"/>
    <w:rsid w:val="00FC15D8"/>
    <w:rsid w:val="00FC1A58"/>
    <w:rsid w:val="00FC1DAE"/>
    <w:rsid w:val="00FC205C"/>
    <w:rsid w:val="00FC220F"/>
    <w:rsid w:val="00FC3735"/>
    <w:rsid w:val="00FC382F"/>
    <w:rsid w:val="00FC3ADA"/>
    <w:rsid w:val="00FC3E56"/>
    <w:rsid w:val="00FC410C"/>
    <w:rsid w:val="00FC416C"/>
    <w:rsid w:val="00FC461A"/>
    <w:rsid w:val="00FC52BE"/>
    <w:rsid w:val="00FC5CE3"/>
    <w:rsid w:val="00FC68C5"/>
    <w:rsid w:val="00FC6B42"/>
    <w:rsid w:val="00FC70E1"/>
    <w:rsid w:val="00FC74E2"/>
    <w:rsid w:val="00FC79E0"/>
    <w:rsid w:val="00FD0E24"/>
    <w:rsid w:val="00FD1A70"/>
    <w:rsid w:val="00FD333D"/>
    <w:rsid w:val="00FD3525"/>
    <w:rsid w:val="00FD3987"/>
    <w:rsid w:val="00FD40CF"/>
    <w:rsid w:val="00FD41E5"/>
    <w:rsid w:val="00FD5702"/>
    <w:rsid w:val="00FD613E"/>
    <w:rsid w:val="00FD65D6"/>
    <w:rsid w:val="00FD71A7"/>
    <w:rsid w:val="00FD79C4"/>
    <w:rsid w:val="00FD7AD3"/>
    <w:rsid w:val="00FE0338"/>
    <w:rsid w:val="00FE0A68"/>
    <w:rsid w:val="00FE0ADC"/>
    <w:rsid w:val="00FE0DE8"/>
    <w:rsid w:val="00FE1715"/>
    <w:rsid w:val="00FE1FAC"/>
    <w:rsid w:val="00FE22A8"/>
    <w:rsid w:val="00FE2A12"/>
    <w:rsid w:val="00FE2A73"/>
    <w:rsid w:val="00FE2BD0"/>
    <w:rsid w:val="00FE2F0E"/>
    <w:rsid w:val="00FE33A6"/>
    <w:rsid w:val="00FE37D0"/>
    <w:rsid w:val="00FE37EE"/>
    <w:rsid w:val="00FE4127"/>
    <w:rsid w:val="00FE4836"/>
    <w:rsid w:val="00FE590E"/>
    <w:rsid w:val="00FE5AA8"/>
    <w:rsid w:val="00FE5EC8"/>
    <w:rsid w:val="00FE6424"/>
    <w:rsid w:val="00FE7D4F"/>
    <w:rsid w:val="00FF00C3"/>
    <w:rsid w:val="00FF03D5"/>
    <w:rsid w:val="00FF0449"/>
    <w:rsid w:val="00FF0C84"/>
    <w:rsid w:val="00FF0DA8"/>
    <w:rsid w:val="00FF0E0A"/>
    <w:rsid w:val="00FF217C"/>
    <w:rsid w:val="00FF3128"/>
    <w:rsid w:val="00FF4343"/>
    <w:rsid w:val="00FF4544"/>
    <w:rsid w:val="00FF4715"/>
    <w:rsid w:val="00FF5559"/>
    <w:rsid w:val="00FF5A2E"/>
    <w:rsid w:val="00FF5A8A"/>
    <w:rsid w:val="00FF6E05"/>
    <w:rsid w:val="00FF6FF8"/>
    <w:rsid w:val="00FF766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semiHidden="1" w:uiPriority="99" w:unhideWhenUsed="1" w:qFormat="1"/>
    <w:lsdException w:name="annotation reference" w:uiPriority="99"/>
    <w:lsdException w:name="page number" w:uiPriority="99"/>
    <w:lsdException w:name="endnote reference" w:uiPriority="99"/>
    <w:lsdException w:name="endnote text" w:uiPriority="99"/>
    <w:lsdException w:name="Title" w:uiPriority="99" w:qFormat="1"/>
    <w:lsdException w:name="Subtitle" w:uiPriority="99" w:qFormat="1"/>
    <w:lsdException w:name="Note Heading" w:uiPriority="99"/>
    <w:lsdException w:name="Hyperlink" w:uiPriority="99"/>
    <w:lsdException w:name="FollowedHyperlink" w:uiPriority="99"/>
    <w:lsdException w:name="Strong" w:uiPriority="22" w:qFormat="1"/>
    <w:lsdException w:name="Emphasis" w:uiPriority="99" w:qFormat="1"/>
    <w:lsdException w:name="Plain Text" w:uiPriority="99"/>
    <w:lsdException w:name="Normal (Web)"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
    <w:basedOn w:val="Normlny"/>
    <w:link w:val="OdsekzoznamuChar"/>
    <w:uiPriority w:val="34"/>
    <w:qFormat/>
    <w:rsid w:val="00591FAE"/>
    <w:pPr>
      <w:numPr>
        <w:numId w:val="2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A95D1A"/>
    <w:pPr>
      <w:tabs>
        <w:tab w:val="left" w:pos="567"/>
        <w:tab w:val="right" w:leader="dot" w:pos="9061"/>
      </w:tabs>
      <w:spacing w:before="120" w:after="120" w:line="276" w:lineRule="auto"/>
      <w:ind w:left="437"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BC2E2F"/>
    <w:pPr>
      <w:tabs>
        <w:tab w:val="left" w:pos="1815"/>
        <w:tab w:val="right" w:leader="dot" w:pos="9072"/>
      </w:tabs>
      <w:ind w:left="1701" w:right="565" w:hanging="601"/>
      <w:jc w:val="left"/>
    </w:pPr>
    <w:rPr>
      <w:noProof/>
      <w:color w:val="FF0000"/>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uiPriority w:val="99"/>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semiHidden="1" w:uiPriority="99" w:unhideWhenUsed="1" w:qFormat="1"/>
    <w:lsdException w:name="annotation reference" w:uiPriority="99"/>
    <w:lsdException w:name="page number" w:uiPriority="99"/>
    <w:lsdException w:name="endnote reference" w:uiPriority="99"/>
    <w:lsdException w:name="endnote text" w:uiPriority="99"/>
    <w:lsdException w:name="Title" w:uiPriority="99" w:qFormat="1"/>
    <w:lsdException w:name="Subtitle" w:uiPriority="99" w:qFormat="1"/>
    <w:lsdException w:name="Note Heading" w:uiPriority="99"/>
    <w:lsdException w:name="Hyperlink" w:uiPriority="99"/>
    <w:lsdException w:name="FollowedHyperlink" w:uiPriority="99"/>
    <w:lsdException w:name="Strong" w:uiPriority="22" w:qFormat="1"/>
    <w:lsdException w:name="Emphasis" w:uiPriority="99" w:qFormat="1"/>
    <w:lsdException w:name="Plain Text" w:uiPriority="99"/>
    <w:lsdException w:name="Normal (Web)"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
    <w:basedOn w:val="Normlny"/>
    <w:link w:val="OdsekzoznamuChar"/>
    <w:uiPriority w:val="34"/>
    <w:qFormat/>
    <w:rsid w:val="00591FAE"/>
    <w:pPr>
      <w:numPr>
        <w:numId w:val="2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A95D1A"/>
    <w:pPr>
      <w:tabs>
        <w:tab w:val="left" w:pos="567"/>
        <w:tab w:val="right" w:leader="dot" w:pos="9061"/>
      </w:tabs>
      <w:spacing w:before="120" w:after="120" w:line="276" w:lineRule="auto"/>
      <w:ind w:left="437"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BC2E2F"/>
    <w:pPr>
      <w:tabs>
        <w:tab w:val="left" w:pos="1815"/>
        <w:tab w:val="right" w:leader="dot" w:pos="9072"/>
      </w:tabs>
      <w:ind w:left="1701" w:right="565" w:hanging="601"/>
      <w:jc w:val="left"/>
    </w:pPr>
    <w:rPr>
      <w:noProof/>
      <w:color w:val="FF0000"/>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uiPriority w:val="99"/>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5405">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58009115">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262305089">
      <w:bodyDiv w:val="1"/>
      <w:marLeft w:val="0"/>
      <w:marRight w:val="0"/>
      <w:marTop w:val="0"/>
      <w:marBottom w:val="0"/>
      <w:divBdr>
        <w:top w:val="none" w:sz="0" w:space="0" w:color="auto"/>
        <w:left w:val="none" w:sz="0" w:space="0" w:color="auto"/>
        <w:bottom w:val="none" w:sz="0" w:space="0" w:color="auto"/>
        <w:right w:val="none" w:sz="0" w:space="0" w:color="auto"/>
      </w:divBdr>
      <w:divsChild>
        <w:div w:id="1898586578">
          <w:marLeft w:val="0"/>
          <w:marRight w:val="0"/>
          <w:marTop w:val="0"/>
          <w:marBottom w:val="0"/>
          <w:divBdr>
            <w:top w:val="none" w:sz="0" w:space="0" w:color="auto"/>
            <w:left w:val="none" w:sz="0" w:space="0" w:color="auto"/>
            <w:bottom w:val="none" w:sz="0" w:space="0" w:color="auto"/>
            <w:right w:val="none" w:sz="0" w:space="0" w:color="auto"/>
          </w:divBdr>
          <w:divsChild>
            <w:div w:id="1017583994">
              <w:marLeft w:val="0"/>
              <w:marRight w:val="0"/>
              <w:marTop w:val="0"/>
              <w:marBottom w:val="0"/>
              <w:divBdr>
                <w:top w:val="none" w:sz="0" w:space="0" w:color="auto"/>
                <w:left w:val="none" w:sz="0" w:space="0" w:color="auto"/>
                <w:bottom w:val="none" w:sz="0" w:space="0" w:color="auto"/>
                <w:right w:val="none" w:sz="0" w:space="0" w:color="auto"/>
              </w:divBdr>
              <w:divsChild>
                <w:div w:id="598760489">
                  <w:marLeft w:val="0"/>
                  <w:marRight w:val="0"/>
                  <w:marTop w:val="150"/>
                  <w:marBottom w:val="0"/>
                  <w:divBdr>
                    <w:top w:val="none" w:sz="0" w:space="0" w:color="auto"/>
                    <w:left w:val="none" w:sz="0" w:space="0" w:color="auto"/>
                    <w:bottom w:val="none" w:sz="0" w:space="0" w:color="auto"/>
                    <w:right w:val="none" w:sz="0" w:space="0" w:color="auto"/>
                  </w:divBdr>
                  <w:divsChild>
                    <w:div w:id="201525500">
                      <w:marLeft w:val="300"/>
                      <w:marRight w:val="0"/>
                      <w:marTop w:val="0"/>
                      <w:marBottom w:val="0"/>
                      <w:divBdr>
                        <w:top w:val="none" w:sz="0" w:space="0" w:color="auto"/>
                        <w:left w:val="none" w:sz="0" w:space="0" w:color="auto"/>
                        <w:bottom w:val="none" w:sz="0" w:space="0" w:color="auto"/>
                        <w:right w:val="none" w:sz="0" w:space="0" w:color="auto"/>
                      </w:divBdr>
                      <w:divsChild>
                        <w:div w:id="94935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416051554">
      <w:bodyDiv w:val="1"/>
      <w:marLeft w:val="0"/>
      <w:marRight w:val="0"/>
      <w:marTop w:val="0"/>
      <w:marBottom w:val="0"/>
      <w:divBdr>
        <w:top w:val="none" w:sz="0" w:space="0" w:color="auto"/>
        <w:left w:val="none" w:sz="0" w:space="0" w:color="auto"/>
        <w:bottom w:val="none" w:sz="0" w:space="0" w:color="auto"/>
        <w:right w:val="none" w:sz="0" w:space="0" w:color="auto"/>
      </w:divBdr>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46023757">
      <w:bodyDiv w:val="1"/>
      <w:marLeft w:val="0"/>
      <w:marRight w:val="0"/>
      <w:marTop w:val="0"/>
      <w:marBottom w:val="0"/>
      <w:divBdr>
        <w:top w:val="none" w:sz="0" w:space="0" w:color="auto"/>
        <w:left w:val="none" w:sz="0" w:space="0" w:color="auto"/>
        <w:bottom w:val="none" w:sz="0" w:space="0" w:color="auto"/>
        <w:right w:val="none" w:sz="0" w:space="0" w:color="auto"/>
      </w:divBdr>
    </w:div>
    <w:div w:id="849373311">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888610878">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66084914">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985667813">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10014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2890343">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42313448">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09275181">
      <w:bodyDiv w:val="1"/>
      <w:marLeft w:val="0"/>
      <w:marRight w:val="0"/>
      <w:marTop w:val="0"/>
      <w:marBottom w:val="0"/>
      <w:divBdr>
        <w:top w:val="none" w:sz="0" w:space="0" w:color="auto"/>
        <w:left w:val="none" w:sz="0" w:space="0" w:color="auto"/>
        <w:bottom w:val="none" w:sz="0" w:space="0" w:color="auto"/>
        <w:right w:val="none" w:sz="0" w:space="0" w:color="auto"/>
      </w:divBdr>
    </w:div>
    <w:div w:id="1822885783">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49708972">
      <w:bodyDiv w:val="1"/>
      <w:marLeft w:val="0"/>
      <w:marRight w:val="0"/>
      <w:marTop w:val="0"/>
      <w:marBottom w:val="0"/>
      <w:divBdr>
        <w:top w:val="none" w:sz="0" w:space="0" w:color="auto"/>
        <w:left w:val="none" w:sz="0" w:space="0" w:color="auto"/>
        <w:bottom w:val="none" w:sz="0" w:space="0" w:color="auto"/>
        <w:right w:val="none" w:sz="0" w:space="0" w:color="auto"/>
      </w:divBdr>
    </w:div>
    <w:div w:id="1864439044">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68730463">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14603209">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0813982">
      <w:bodyDiv w:val="1"/>
      <w:marLeft w:val="0"/>
      <w:marRight w:val="0"/>
      <w:marTop w:val="0"/>
      <w:marBottom w:val="0"/>
      <w:divBdr>
        <w:top w:val="none" w:sz="0" w:space="0" w:color="auto"/>
        <w:left w:val="none" w:sz="0" w:space="0" w:color="auto"/>
        <w:bottom w:val="none" w:sz="0" w:space="0" w:color="auto"/>
        <w:right w:val="none" w:sz="0" w:space="0" w:color="auto"/>
      </w:divBdr>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2704524">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eader" Target="header38.xml"/><Relationship Id="rId21"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chart" Target="charts/chart20.xml"/><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hyperlink" Target="http://ec.europa.eu/social/main.jsp?langId=en&amp;catId=89&amp;newsId=2172&amp;furtherNews=y" TargetMode="External"/><Relationship Id="rId89" Type="http://schemas.openxmlformats.org/officeDocument/2006/relationships/header" Target="header18.xml"/><Relationship Id="rId112" Type="http://schemas.openxmlformats.org/officeDocument/2006/relationships/header" Target="header33.xml"/><Relationship Id="rId16" Type="http://schemas.openxmlformats.org/officeDocument/2006/relationships/footer" Target="footer2.xml"/><Relationship Id="rId107" Type="http://schemas.openxmlformats.org/officeDocument/2006/relationships/footer" Target="footer12.xml"/><Relationship Id="rId11" Type="http://schemas.openxmlformats.org/officeDocument/2006/relationships/header" Target="header3.xm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6.xml"/><Relationship Id="rId58" Type="http://schemas.openxmlformats.org/officeDocument/2006/relationships/chart" Target="charts/chart31.xml"/><Relationship Id="rId74" Type="http://schemas.openxmlformats.org/officeDocument/2006/relationships/image" Target="media/image2.jpg"/><Relationship Id="rId79" Type="http://schemas.openxmlformats.org/officeDocument/2006/relationships/chart" Target="charts/chart46.xml"/><Relationship Id="rId102" Type="http://schemas.openxmlformats.org/officeDocument/2006/relationships/header" Target="header27.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4.xml"/><Relationship Id="rId82" Type="http://schemas.openxmlformats.org/officeDocument/2006/relationships/chart" Target="charts/chart49.xml"/><Relationship Id="rId90" Type="http://schemas.openxmlformats.org/officeDocument/2006/relationships/header" Target="header19.xml"/><Relationship Id="rId95" Type="http://schemas.openxmlformats.org/officeDocument/2006/relationships/header" Target="header23.xml"/><Relationship Id="rId19" Type="http://schemas.openxmlformats.org/officeDocument/2006/relationships/chart" Target="charts/chart1.xml"/><Relationship Id="rId14" Type="http://schemas.openxmlformats.org/officeDocument/2006/relationships/header" Target="header6.xml"/><Relationship Id="rId22" Type="http://schemas.openxmlformats.org/officeDocument/2006/relationships/footer" Target="footer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eader" Target="header14.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chart" Target="charts/chart42.xml"/><Relationship Id="rId77" Type="http://schemas.openxmlformats.org/officeDocument/2006/relationships/chart" Target="charts/chart44.xml"/><Relationship Id="rId100" Type="http://schemas.openxmlformats.org/officeDocument/2006/relationships/footer" Target="footer10.xml"/><Relationship Id="rId105" Type="http://schemas.openxmlformats.org/officeDocument/2006/relationships/footer" Target="footer11.xml"/><Relationship Id="rId113" Type="http://schemas.openxmlformats.org/officeDocument/2006/relationships/header" Target="header34.xml"/><Relationship Id="rId118"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chart" Target="charts/chart24.xml"/><Relationship Id="rId72" Type="http://schemas.openxmlformats.org/officeDocument/2006/relationships/header" Target="header15.xml"/><Relationship Id="rId80" Type="http://schemas.openxmlformats.org/officeDocument/2006/relationships/chart" Target="charts/chart47.xml"/><Relationship Id="rId85" Type="http://schemas.openxmlformats.org/officeDocument/2006/relationships/header" Target="header16.xml"/><Relationship Id="rId93" Type="http://schemas.openxmlformats.org/officeDocument/2006/relationships/footer" Target="footer7.xml"/><Relationship Id="rId98" Type="http://schemas.openxmlformats.org/officeDocument/2006/relationships/header" Target="header25.xml"/><Relationship Id="rId121" Type="http://schemas.openxmlformats.org/officeDocument/2006/relationships/header" Target="header4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19.xml"/><Relationship Id="rId59" Type="http://schemas.openxmlformats.org/officeDocument/2006/relationships/chart" Target="charts/chart32.xml"/><Relationship Id="rId67" Type="http://schemas.openxmlformats.org/officeDocument/2006/relationships/chart" Target="charts/chart40.xml"/><Relationship Id="rId103" Type="http://schemas.openxmlformats.org/officeDocument/2006/relationships/header" Target="header28.xml"/><Relationship Id="rId108" Type="http://schemas.openxmlformats.org/officeDocument/2006/relationships/header" Target="header31.xml"/><Relationship Id="rId116" Type="http://schemas.openxmlformats.org/officeDocument/2006/relationships/header" Target="header37.xml"/><Relationship Id="rId20" Type="http://schemas.openxmlformats.org/officeDocument/2006/relationships/header" Target="header9.xml"/><Relationship Id="rId41" Type="http://schemas.openxmlformats.org/officeDocument/2006/relationships/header" Target="header12.xml"/><Relationship Id="rId54" Type="http://schemas.openxmlformats.org/officeDocument/2006/relationships/chart" Target="charts/chart27.xml"/><Relationship Id="rId62" Type="http://schemas.openxmlformats.org/officeDocument/2006/relationships/chart" Target="charts/chart35.xml"/><Relationship Id="rId70" Type="http://schemas.openxmlformats.org/officeDocument/2006/relationships/image" Target="media/image1.jpeg"/><Relationship Id="rId75" Type="http://schemas.openxmlformats.org/officeDocument/2006/relationships/image" Target="media/image3.jpg"/><Relationship Id="rId83" Type="http://schemas.openxmlformats.org/officeDocument/2006/relationships/hyperlink" Target="http://ec.europa.eu/justice/gender-equality/files/annual_reports/150304_annual_report_2014_web_en.pdf" TargetMode="External"/><Relationship Id="rId88" Type="http://schemas.openxmlformats.org/officeDocument/2006/relationships/image" Target="media/image4.emf"/><Relationship Id="rId91" Type="http://schemas.openxmlformats.org/officeDocument/2006/relationships/header" Target="header20.xml"/><Relationship Id="rId96" Type="http://schemas.openxmlformats.org/officeDocument/2006/relationships/footer" Target="footer8.xml"/><Relationship Id="rId11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2.xml"/><Relationship Id="rId57" Type="http://schemas.openxmlformats.org/officeDocument/2006/relationships/chart" Target="charts/chart30.xml"/><Relationship Id="rId106" Type="http://schemas.openxmlformats.org/officeDocument/2006/relationships/header" Target="header30.xml"/><Relationship Id="rId114" Type="http://schemas.openxmlformats.org/officeDocument/2006/relationships/header" Target="header35.xml"/><Relationship Id="rId119" Type="http://schemas.openxmlformats.org/officeDocument/2006/relationships/header" Target="header40.xml"/><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footer" Target="footer4.xml"/><Relationship Id="rId52" Type="http://schemas.openxmlformats.org/officeDocument/2006/relationships/chart" Target="charts/chart25.xml"/><Relationship Id="rId60" Type="http://schemas.openxmlformats.org/officeDocument/2006/relationships/chart" Target="charts/chart33.xml"/><Relationship Id="rId65" Type="http://schemas.openxmlformats.org/officeDocument/2006/relationships/chart" Target="charts/chart38.xml"/><Relationship Id="rId73" Type="http://schemas.openxmlformats.org/officeDocument/2006/relationships/footer" Target="footer5.xml"/><Relationship Id="rId78" Type="http://schemas.openxmlformats.org/officeDocument/2006/relationships/chart" Target="charts/chart45.xml"/><Relationship Id="rId81" Type="http://schemas.openxmlformats.org/officeDocument/2006/relationships/chart" Target="charts/chart48.xml"/><Relationship Id="rId86" Type="http://schemas.openxmlformats.org/officeDocument/2006/relationships/header" Target="header17.xml"/><Relationship Id="rId94" Type="http://schemas.openxmlformats.org/officeDocument/2006/relationships/header" Target="header22.xml"/><Relationship Id="rId99" Type="http://schemas.openxmlformats.org/officeDocument/2006/relationships/footer" Target="footer9.xml"/><Relationship Id="rId101" Type="http://schemas.openxmlformats.org/officeDocument/2006/relationships/header" Target="header26.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chart" Target="charts/chart18.xml"/><Relationship Id="rId109" Type="http://schemas.openxmlformats.org/officeDocument/2006/relationships/chart" Target="charts/chart50.xml"/><Relationship Id="rId34" Type="http://schemas.openxmlformats.org/officeDocument/2006/relationships/chart" Target="charts/chart13.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chart" Target="charts/chart43.xml"/><Relationship Id="rId97" Type="http://schemas.openxmlformats.org/officeDocument/2006/relationships/header" Target="header24.xml"/><Relationship Id="rId104" Type="http://schemas.openxmlformats.org/officeDocument/2006/relationships/header" Target="header29.xml"/><Relationship Id="rId120"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hyperlink" Target="http://www1.employment.gov.sk/ESF/new/index8d93.html?id=3394" TargetMode="Externa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eader" Target="header11.xml"/><Relationship Id="rId45" Type="http://schemas.openxmlformats.org/officeDocument/2006/relationships/hyperlink" Target="http://www.zakonypreludi.sk/zz/2003-461" TargetMode="External"/><Relationship Id="rId66" Type="http://schemas.openxmlformats.org/officeDocument/2006/relationships/chart" Target="charts/chart39.xml"/><Relationship Id="rId87" Type="http://schemas.openxmlformats.org/officeDocument/2006/relationships/footer" Target="footer6.xml"/><Relationship Id="rId110" Type="http://schemas.openxmlformats.org/officeDocument/2006/relationships/chart" Target="charts/chart51.xml"/><Relationship Id="rId115" Type="http://schemas.openxmlformats.org/officeDocument/2006/relationships/header" Target="header36.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cache/ITY_OFFPUB/KS-SF-09-102/EN/KS-SF-09-102-EN.PDF" TargetMode="External"/><Relationship Id="rId3" Type="http://schemas.openxmlformats.org/officeDocument/2006/relationships/hyperlink" Target="http://eur-lex.europa.eu/legal-content/SK/TXT/PDF/?uri=CELEX:32007R1322&amp;from=EN" TargetMode="External"/><Relationship Id="rId7" Type="http://schemas.openxmlformats.org/officeDocument/2006/relationships/hyperlink" Target="http://epp.eurostat.ec.europa.eu/portal/page/portal/social_protection/statistics-illustrated"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c.europa.eu/eurostat/documents/3859598/5917481/KS-RA-11-014-EN.PDF/ee86d517-3348-4c20-94ee-a37c330755b1" TargetMode="External"/><Relationship Id="rId6" Type="http://schemas.openxmlformats.org/officeDocument/2006/relationships/hyperlink" Target="http://eur-lex.europa.eu/LexUriServ/LexUriServ.do?uri=OJ:L:2011:071:0004:0008:SK:PDF" TargetMode="External"/><Relationship Id="rId5" Type="http://schemas.openxmlformats.org/officeDocument/2006/relationships/hyperlink" Target="http://eur-lex.europa.eu/LexUriServ/LexUriServ.do?uri=OJ:L:2011:034:0029:0032:SK:PDF" TargetMode="External"/><Relationship Id="rId4" Type="http://schemas.openxmlformats.org/officeDocument/2006/relationships/hyperlink" Target="http://eur-lex.europa.eu/legal-content/SK/TXT/PDF/?uri=CELEX:32008R0010&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zova\Desktop\Spr&#225;va%20o%20SSO%20za%20rok%202014_20_5_2015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foldiova\Documents\Spr&#225;va%20o%20SSOSR%202015\k%20prvej%20kapitol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hrikj\Documents\0%200%200%200%200%20%20%20%20SSO%202014\SSO%202014%20grafy%20a%20tab\Graf%20miery%20stavy%202013%202014%20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hrikj\Documents\0%200%200%200%200%20%20%20%20SSO%202014\SSO%202014%20grafy%20a%20tab\Graf%20miery%20stavy%202013%202014%20a.xls"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uhrikj\Documents\0%200%200%200%200%20%20%20%20SSO%202014\SSO%202014%20grafy%20a%20tab\Graf%20miery%20stavy%202013%202014%20a.xls"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uhrikj\AppData\Local\Microsoft\Windows\Temporary%20Internet%20Files\Content.Outlook\3Y7XAZYF\Podklady%20VPM%20stavy%20regiony%20vzd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hrikj\Documents\0%200%200%200%200%20%20%20%20SSO%202014\2014%20SSO%20%20grafy%20a%20tab\Podklady%20VPM%20stavy%20regiony%20ISC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esktop\SPR&#193;VA%20za%20rok%202014\tabu&#318;ky\K&#243;pia%20-%2015%2005%2013%20UoZ%20nad%2012%20mes%20mohl.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pisiakova\Documents\EXCEL\SPRAV_SO\rok2014graf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rencikova\AppData\Local\Microsoft\Windows\Temporary%20Internet%20Files\Content.Outlook\D8ADXHT1\Vyvoj%20AHDJ.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c-users\users\BA\BA-FILIPKOVA_E\My%20Documents\SuboryPlocha\Dokumenty\&#353;tatistiky%20VP\Spr&#225;vy%20o%20soci&#225;lnej%20situ&#225;cii%20obyv%20v%20SR\Spr&#225;va%20o%20soci&#225;lnej%20situ&#225;cii%20obyvate&#318;stva%20SR%202014_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rezova\Desktop\SPR&#193;VA%20za%20rok%202014\K&#243;pia%20-%20K&#243;pia%20-%20sprava%20o%20sso%20za%20rok%202014%20graf_v2.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ezova\Desktop\SPR&#193;VA%20za%20rok%202014\K&#243;pia%20-%20K&#243;pia%20-%20sprava%20o%20sso%20za%20rok%202014%20graf.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ezova\Desktop\SPR&#193;VA%20za%20rok%202014\pr&#237;spevok%20na%20strostlivos&#357;%20o%20die&#357;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rezova\Desktop\SPR&#193;VA%20za%20rok%202014\hmotn&#225;%20n&#250;dz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ezova\Desktop\SPR&#193;VA%20za%20rok%202014\hmotn&#225;%20n&#250;dz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ezova\Desktop\SPR&#193;VA%20za%20rok%202014\hmotn&#225;%20n&#250;dz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zova\Desktop\SPR&#193;VA%20za%20rok%202014\hmotn&#225;%20n&#250;dz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KHQMJ8W5\export635677953516727517.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rezova\Desktop\SPR&#193;VA%20za%20rok%202014\tabu&#318;ky\DHN\&#353;kolsk&#233;%20potreb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rezova\Desktop\SPR&#193;VA%20za%20rok%202014\K&#243;pia%20-%20K&#243;pia%20-%20sprava%20o%20sso%20za%20rok%202014%20graf.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c-users\users\BA\BA-FILIPKOVA_E\My%20Documents\SuboryPlocha\Dokumenty\&#353;tatistiky%20VP\Spr&#225;vy%20o%20soci&#225;lnej%20situ&#225;cii%20obyv%20v%20SR\Spr&#225;va%20o%20soci&#225;lnej%20situ&#225;cii%20obyvate&#318;stva%20SR%202014_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0BMBVGKT\export63567045906866378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rezova\Desktop\SPR&#193;VA%20za%20rok%202014\tabu&#318;ky\&#357;zp\kompenz&#225;ci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rezova\Desktop\SPR&#193;VA%20za%20rok%202014\kompenz&#225;cie.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Desktop\SPR&#193;VA%20za%20rok%202014\tabu&#318;ky\&#357;zp\kompenz&#225;cie.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5.xml.rels><?xml version="1.0" encoding="UTF-8" standalone="yes"?>
<Relationships xmlns="http://schemas.openxmlformats.org/package/2006/relationships"><Relationship Id="rId1" Type="http://schemas.openxmlformats.org/officeDocument/2006/relationships/oleObject" Target="file:///C:\Users\brezova\Desktop\SPR&#193;VA%202013\&#353;trukt&#250;ra%20pr&#237;jmov%20na%20soci&#225;lnu%20ochranu%20(3.20).xls" TargetMode="External"/></Relationships>
</file>

<file path=word/charts/_rels/chart36.xml.rels><?xml version="1.0" encoding="UTF-8" standalone="yes"?>
<Relationships xmlns="http://schemas.openxmlformats.org/package/2006/relationships"><Relationship Id="rId2" Type="http://schemas.openxmlformats.org/officeDocument/2006/relationships/oleObject" Target="file:///C:\Users\brezova\AppData\Local\Microsoft\Windows\Temporary%20Internet%20Files\Content.Outlook\21QP0YNE\T%2032.xls" TargetMode="External"/><Relationship Id="rId1" Type="http://schemas.openxmlformats.org/officeDocument/2006/relationships/themeOverride" Target="../theme/themeOverride1.xm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T%2032.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T%2032.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T%203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c-users\users\BA\BA-FILIPKOVA_E\My%20Documents\SuboryPlocha\Dokumenty\&#353;tatistiky%20VP\Spr&#225;vy%20o%20soci&#225;lnej%20situ&#225;cii%20obyv%20v%20SR\Spr&#225;va%20o%20soci&#225;lnej%20situ&#225;cii%20obyvate&#318;stva%20SR%202014_1.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T%2032.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T%2032.xls"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ezdickova\Desktop\Soci&#225;lna%20situ&#225;cia%202014\NSRR%20porovnanie%20&#269;erpani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rezova\Desktop\SPR&#193;VA%20za%20rok%202014\K&#243;pia%20-%20zdrojovy%20subor%20SSSO2014_chudoba%20a%20socvyluc.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rezova\Desktop\SPR&#193;VA%20za%20rok%202014\tabu&#318;ky\K&#243;pia%20-%20zdrojovy%20subor%20SSSO2014_chudoba%20a%20socvyluc.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rezova\Desktop\SPR&#193;VA%20za%20rok%202014\K&#243;pia%20-%20zdrojovy%20subor%20SSSO2014_chudoba%20a%20socvyluc.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gregorcova\Desktop\archiv%20plocha\SSSO_2014\zdrojovy%20subor%20SSSO2014_chudoba%20a%20socvyluc.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regorcova\Desktop\archiv%20plocha\SSSO_2014\zdrojovy%20subor%20SSSO2014_chudoba%20a%20socvyluc.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gregorcova\Desktop\archiv%20plocha\SSSO_2014\zdrojovy%20subor%20SSSO2014_chudoba%20a%20socvyluc.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brezova\Desktop\SPR&#193;VA%20za%20rok%202014\K&#243;pia%20-%20zdrojovy%20subor%20SSSO2014_chudoba%20a%20socvylu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oc-users\users\BA\BA-FILIPKOVA_E\My%20Documents\SuboryPlocha\Dokumenty\&#353;tatistiky%20VP\Spr&#225;vy%20o%20soci&#225;lnej%20situ&#225;cii%20obyv%20v%20SR\Spr&#225;va%20o%20soci&#225;lnej%20situ&#225;cii%20obyvate&#318;stva%20SR%202014_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hebe\groups\Sspds\&#352;tatistick&#233;%20&#250;daje%20SP\II.pilier\Archiv\31.12.2014\II%20pilier%20k%2031%2012%202014.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hebe\groups\Sspds\&#352;tatistick&#233;%20&#250;daje%20SP\II.pilier\Archiv\31.12.2014\II%20pilier%20k%2031%2012%20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ezova\Desktop\SPR&#193;VA%20za%20rok%202014\tabu&#318;ky\odvetvov&#225;%20&#353;trukt&#250;r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pisiakova\Documents\EXCEL\tab2014\porovnanie%20nzamestnanos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hrikj\Documents\0%200%200%200%200%20%20%20%20SSO%202014\SSO%202014%20grafy%20a%20tab\Graf%20miery%20stavy%202013%202014%20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foldiova\Documents\Spr&#225;va%20o%20SSOSR%202015\k%20Uo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Hárok2!$C$28</c:f>
              <c:strCache>
                <c:ptCount val="1"/>
                <c:pt idx="0">
                  <c:v>HDP v b.c. (mld. EUR)</c:v>
                </c:pt>
              </c:strCache>
            </c:strRef>
          </c:tx>
          <c:spPr>
            <a:ln>
              <a:solidFill>
                <a:schemeClr val="accent2">
                  <a:lumMod val="75000"/>
                </a:schemeClr>
              </a:solidFill>
            </a:ln>
          </c:spPr>
          <c:marker>
            <c:symbol val="none"/>
          </c:marker>
          <c:cat>
            <c:numRef>
              <c:f>Hárok2!$I$27:$M$27</c:f>
              <c:numCache>
                <c:formatCode>General</c:formatCode>
                <c:ptCount val="5"/>
                <c:pt idx="0">
                  <c:v>2010</c:v>
                </c:pt>
                <c:pt idx="1">
                  <c:v>2011</c:v>
                </c:pt>
                <c:pt idx="2">
                  <c:v>2012</c:v>
                </c:pt>
                <c:pt idx="3">
                  <c:v>2013</c:v>
                </c:pt>
                <c:pt idx="4">
                  <c:v>2014</c:v>
                </c:pt>
              </c:numCache>
            </c:numRef>
          </c:cat>
          <c:val>
            <c:numRef>
              <c:f>Hárok2!$I$28:$M$28</c:f>
              <c:numCache>
                <c:formatCode>General</c:formatCode>
                <c:ptCount val="5"/>
                <c:pt idx="0">
                  <c:v>67.2</c:v>
                </c:pt>
                <c:pt idx="1">
                  <c:v>70.16</c:v>
                </c:pt>
                <c:pt idx="2">
                  <c:v>72.179999999999978</c:v>
                </c:pt>
                <c:pt idx="3">
                  <c:v>73.59</c:v>
                </c:pt>
                <c:pt idx="4">
                  <c:v>75.209999999999994</c:v>
                </c:pt>
              </c:numCache>
            </c:numRef>
          </c:val>
          <c:smooth val="0"/>
        </c:ser>
        <c:ser>
          <c:idx val="1"/>
          <c:order val="1"/>
          <c:tx>
            <c:strRef>
              <c:f>Hárok2!$C$29</c:f>
              <c:strCache>
                <c:ptCount val="1"/>
                <c:pt idx="0">
                  <c:v>HDP v s.c.10 (mld. EUR)</c:v>
                </c:pt>
              </c:strCache>
            </c:strRef>
          </c:tx>
          <c:spPr>
            <a:ln>
              <a:solidFill>
                <a:srgbClr val="FF0000"/>
              </a:solidFill>
              <a:prstDash val="dash"/>
            </a:ln>
          </c:spPr>
          <c:marker>
            <c:symbol val="none"/>
          </c:marker>
          <c:cat>
            <c:numRef>
              <c:f>Hárok2!$I$27:$M$27</c:f>
              <c:numCache>
                <c:formatCode>General</c:formatCode>
                <c:ptCount val="5"/>
                <c:pt idx="0">
                  <c:v>2010</c:v>
                </c:pt>
                <c:pt idx="1">
                  <c:v>2011</c:v>
                </c:pt>
                <c:pt idx="2">
                  <c:v>2012</c:v>
                </c:pt>
                <c:pt idx="3">
                  <c:v>2013</c:v>
                </c:pt>
                <c:pt idx="4">
                  <c:v>2014</c:v>
                </c:pt>
              </c:numCache>
            </c:numRef>
          </c:cat>
          <c:val>
            <c:numRef>
              <c:f>Hárok2!$I$29:$M$29</c:f>
              <c:numCache>
                <c:formatCode>General</c:formatCode>
                <c:ptCount val="5"/>
                <c:pt idx="0">
                  <c:v>67.2</c:v>
                </c:pt>
                <c:pt idx="1">
                  <c:v>69.02</c:v>
                </c:pt>
                <c:pt idx="2">
                  <c:v>70.13</c:v>
                </c:pt>
                <c:pt idx="3">
                  <c:v>71.13</c:v>
                </c:pt>
                <c:pt idx="4">
                  <c:v>72.84</c:v>
                </c:pt>
              </c:numCache>
            </c:numRef>
          </c:val>
          <c:smooth val="0"/>
        </c:ser>
        <c:dLbls>
          <c:showLegendKey val="0"/>
          <c:showVal val="0"/>
          <c:showCatName val="0"/>
          <c:showSerName val="0"/>
          <c:showPercent val="0"/>
          <c:showBubbleSize val="0"/>
        </c:dLbls>
        <c:marker val="1"/>
        <c:smooth val="0"/>
        <c:axId val="113900928"/>
        <c:axId val="213419136"/>
      </c:lineChart>
      <c:catAx>
        <c:axId val="113900928"/>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213419136"/>
        <c:crosses val="autoZero"/>
        <c:auto val="1"/>
        <c:lblAlgn val="ctr"/>
        <c:lblOffset val="100"/>
        <c:noMultiLvlLbl val="0"/>
      </c:catAx>
      <c:valAx>
        <c:axId val="213419136"/>
        <c:scaling>
          <c:orientation val="minMax"/>
          <c:min val="65"/>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113900928"/>
        <c:crosses val="autoZero"/>
        <c:crossBetween val="between"/>
      </c:valAx>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7295822791231"/>
          <c:y val="4.4460010800632208E-2"/>
          <c:w val="0.84728416821975971"/>
          <c:h val="0.84750721003799967"/>
        </c:manualLayout>
      </c:layout>
      <c:barChart>
        <c:barDir val="col"/>
        <c:grouping val="clustered"/>
        <c:varyColors val="0"/>
        <c:ser>
          <c:idx val="0"/>
          <c:order val="0"/>
          <c:tx>
            <c:strRef>
              <c:f>'2.8 graf stavy disp 13 14 '!$A$3</c:f>
              <c:strCache>
                <c:ptCount val="1"/>
                <c:pt idx="0">
                  <c:v>UoZ disp 2013</c:v>
                </c:pt>
              </c:strCache>
            </c:strRef>
          </c:tx>
          <c:spPr>
            <a:solidFill>
              <a:schemeClr val="accent1"/>
            </a:solidFill>
          </c:spPr>
          <c:invertIfNegative val="0"/>
          <c:cat>
            <c:strRef>
              <c:f>'2.8 graf stavy disp 13 14 '!$B$2:$M$2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'2.8 graf stavy disp 13 14 '!$B$3:$M$3</c:f>
              <c:numCache>
                <c:formatCode>#,##0</c:formatCode>
                <c:ptCount val="12"/>
                <c:pt idx="0">
                  <c:v>399367</c:v>
                </c:pt>
                <c:pt idx="1">
                  <c:v>397070</c:v>
                </c:pt>
                <c:pt idx="2">
                  <c:v>396252</c:v>
                </c:pt>
                <c:pt idx="3">
                  <c:v>388948</c:v>
                </c:pt>
                <c:pt idx="4">
                  <c:v>384977</c:v>
                </c:pt>
                <c:pt idx="5">
                  <c:v>384696</c:v>
                </c:pt>
                <c:pt idx="6">
                  <c:v>377423</c:v>
                </c:pt>
                <c:pt idx="7">
                  <c:v>369636</c:v>
                </c:pt>
                <c:pt idx="8">
                  <c:v>373396</c:v>
                </c:pt>
                <c:pt idx="9">
                  <c:v>368647</c:v>
                </c:pt>
                <c:pt idx="10">
                  <c:v>364233</c:v>
                </c:pt>
                <c:pt idx="11">
                  <c:v>364225</c:v>
                </c:pt>
              </c:numCache>
            </c:numRef>
          </c:val>
        </c:ser>
        <c:ser>
          <c:idx val="1"/>
          <c:order val="1"/>
          <c:tx>
            <c:strRef>
              <c:f>'2.8 graf stavy disp 13 14 '!$A$4</c:f>
              <c:strCache>
                <c:ptCount val="1"/>
                <c:pt idx="0">
                  <c:v>UoZ disp 2014</c:v>
                </c:pt>
              </c:strCache>
            </c:strRef>
          </c:tx>
          <c:spPr>
            <a:solidFill>
              <a:schemeClr val="accent2"/>
            </a:solidFill>
          </c:spPr>
          <c:invertIfNegative val="0"/>
          <c:cat>
            <c:strRef>
              <c:f>'2.8 graf stavy disp 13 14 '!$B$2:$M$2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'2.8 graf stavy disp 13 14 '!$B$4:$M$4</c:f>
              <c:numCache>
                <c:formatCode>#,##0</c:formatCode>
                <c:ptCount val="12"/>
                <c:pt idx="0">
                  <c:v>367221</c:v>
                </c:pt>
                <c:pt idx="1">
                  <c:v>364099</c:v>
                </c:pt>
                <c:pt idx="2">
                  <c:v>358285</c:v>
                </c:pt>
                <c:pt idx="3">
                  <c:v>349745</c:v>
                </c:pt>
                <c:pt idx="4">
                  <c:v>345487</c:v>
                </c:pt>
                <c:pt idx="5">
                  <c:v>345013</c:v>
                </c:pt>
                <c:pt idx="6">
                  <c:v>341882</c:v>
                </c:pt>
                <c:pt idx="7">
                  <c:v>338825</c:v>
                </c:pt>
                <c:pt idx="8">
                  <c:v>335720</c:v>
                </c:pt>
                <c:pt idx="9">
                  <c:v>333257</c:v>
                </c:pt>
                <c:pt idx="10">
                  <c:v>330517</c:v>
                </c:pt>
                <c:pt idx="11">
                  <c:v>331733</c:v>
                </c:pt>
              </c:numCache>
            </c:numRef>
          </c:val>
        </c:ser>
        <c:dLbls>
          <c:showLegendKey val="0"/>
          <c:showVal val="0"/>
          <c:showCatName val="0"/>
          <c:showSerName val="0"/>
          <c:showPercent val="0"/>
          <c:showBubbleSize val="0"/>
        </c:dLbls>
        <c:gapWidth val="150"/>
        <c:axId val="233616512"/>
        <c:axId val="233618048"/>
      </c:barChart>
      <c:catAx>
        <c:axId val="233616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233618048"/>
        <c:crosses val="autoZero"/>
        <c:auto val="1"/>
        <c:lblAlgn val="ctr"/>
        <c:lblOffset val="100"/>
        <c:tickMarkSkip val="1"/>
        <c:noMultiLvlLbl val="0"/>
      </c:catAx>
      <c:valAx>
        <c:axId val="233618048"/>
        <c:scaling>
          <c:orientation val="minMax"/>
          <c:max val="410000"/>
          <c:min val="310000"/>
        </c:scaling>
        <c:delete val="0"/>
        <c:axPos val="l"/>
        <c:majorGridlines>
          <c:spPr>
            <a:ln w="3175">
              <a:solidFill>
                <a:srgbClr val="000000"/>
              </a:solidFill>
              <a:prstDash val="solid"/>
            </a:ln>
          </c:spPr>
        </c:majorGridlines>
        <c:title>
          <c:tx>
            <c:rich>
              <a:bodyPr rot="-5400000" vert="horz"/>
              <a:lstStyle/>
              <a:p>
                <a:pPr algn="ctr">
                  <a:defRPr b="1"/>
                </a:pPr>
                <a:r>
                  <a:rPr lang="sk-SK" b="1"/>
                  <a:t>počet </a:t>
                </a:r>
                <a:r>
                  <a:rPr lang="sk-SK" sz="1000" b="1"/>
                  <a:t>UoZ</a:t>
                </a:r>
              </a:p>
            </c:rich>
          </c:tx>
          <c:layout>
            <c:manualLayout>
              <c:xMode val="edge"/>
              <c:yMode val="edge"/>
              <c:x val="2.0534195222596278E-3"/>
              <c:y val="0.39843368444877469"/>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233616512"/>
        <c:crosses val="autoZero"/>
        <c:crossBetween val="between"/>
        <c:majorUnit val="10000"/>
        <c:minorUnit val="1000"/>
      </c:valAx>
      <c:spPr>
        <a:solidFill>
          <a:srgbClr val="FFFFFF"/>
        </a:solidFill>
        <a:ln w="6350">
          <a:solidFill>
            <a:schemeClr val="tx1"/>
          </a:solidFill>
          <a:prstDash val="solid"/>
        </a:ln>
      </c:spPr>
    </c:plotArea>
    <c:legend>
      <c:legendPos val="b"/>
      <c:layout>
        <c:manualLayout>
          <c:xMode val="edge"/>
          <c:yMode val="edge"/>
          <c:x val="0.56712187917224399"/>
          <c:y val="0.12016564962840291"/>
          <c:w val="0.40729635642292045"/>
          <c:h val="0.10812633814031673"/>
        </c:manualLayout>
      </c:layout>
      <c:overlay val="0"/>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4702207731991"/>
          <c:y val="0.11644934726858019"/>
          <c:w val="0.79941406166016749"/>
          <c:h val="0.769245471120379"/>
        </c:manualLayout>
      </c:layout>
      <c:barChart>
        <c:barDir val="col"/>
        <c:grouping val="clustered"/>
        <c:varyColors val="0"/>
        <c:ser>
          <c:idx val="0"/>
          <c:order val="0"/>
          <c:tx>
            <c:strRef>
              <c:f>'2.9 priem stavy 13 14  '!$B$4</c:f>
              <c:strCache>
                <c:ptCount val="1"/>
                <c:pt idx="0">
                  <c:v>priemer 2013</c:v>
                </c:pt>
              </c:strCache>
            </c:strRef>
          </c:tx>
          <c:spPr>
            <a:solidFill>
              <a:schemeClr val="accent1"/>
            </a:solidFill>
          </c:spPr>
          <c:invertIfNegative val="0"/>
          <c:dLbls>
            <c:spPr>
              <a:noFill/>
              <a:ln w="25400">
                <a:noFill/>
              </a:ln>
            </c:spPr>
            <c:txPr>
              <a:bodyPr/>
              <a:lstStyle/>
              <a:p>
                <a:pPr>
                  <a:defRPr sz="1050" b="0" i="0" baseline="0">
                    <a:solidFill>
                      <a:schemeClr val="bg1"/>
                    </a:solidFill>
                  </a:defRPr>
                </a:pPr>
                <a:endParaRPr lang="sk-SK"/>
              </a:p>
            </c:txPr>
            <c:dLblPos val="ctr"/>
            <c:showLegendKey val="0"/>
            <c:showVal val="1"/>
            <c:showCatName val="0"/>
            <c:showSerName val="0"/>
            <c:showPercent val="0"/>
            <c:showBubbleSize val="0"/>
            <c:showLeaderLines val="0"/>
          </c:dLbls>
          <c:cat>
            <c:strRef>
              <c:f>'2.9 priem stavy 13 14  '!$A$5:$A$6</c:f>
              <c:strCache>
                <c:ptCount val="2"/>
                <c:pt idx="0">
                  <c:v>UoZ celk</c:v>
                </c:pt>
                <c:pt idx="1">
                  <c:v>UoZ disp</c:v>
                </c:pt>
              </c:strCache>
            </c:strRef>
          </c:cat>
          <c:val>
            <c:numRef>
              <c:f>'2.9 priem stavy 13 14  '!$B$5:$B$6</c:f>
              <c:numCache>
                <c:formatCode>#,##0</c:formatCode>
                <c:ptCount val="2"/>
                <c:pt idx="0">
                  <c:v>415006</c:v>
                </c:pt>
                <c:pt idx="1">
                  <c:v>380739</c:v>
                </c:pt>
              </c:numCache>
            </c:numRef>
          </c:val>
        </c:ser>
        <c:ser>
          <c:idx val="1"/>
          <c:order val="1"/>
          <c:tx>
            <c:strRef>
              <c:f>'2.9 priem stavy 13 14  '!$C$4</c:f>
              <c:strCache>
                <c:ptCount val="1"/>
                <c:pt idx="0">
                  <c:v>priemer 2014</c:v>
                </c:pt>
              </c:strCache>
            </c:strRef>
          </c:tx>
          <c:spPr>
            <a:solidFill>
              <a:schemeClr val="accent2"/>
            </a:solidFill>
          </c:spPr>
          <c:invertIfNegative val="0"/>
          <c:dLbls>
            <c:spPr>
              <a:noFill/>
              <a:ln w="25400">
                <a:noFill/>
              </a:ln>
            </c:spPr>
            <c:txPr>
              <a:bodyPr/>
              <a:lstStyle/>
              <a:p>
                <a:pPr>
                  <a:defRPr sz="1050" b="0" baseline="0">
                    <a:solidFill>
                      <a:schemeClr val="bg1"/>
                    </a:solidFill>
                  </a:defRPr>
                </a:pPr>
                <a:endParaRPr lang="sk-SK"/>
              </a:p>
            </c:txPr>
            <c:dLblPos val="ctr"/>
            <c:showLegendKey val="0"/>
            <c:showVal val="1"/>
            <c:showCatName val="0"/>
            <c:showSerName val="0"/>
            <c:showPercent val="0"/>
            <c:showBubbleSize val="0"/>
            <c:showLeaderLines val="0"/>
          </c:dLbls>
          <c:cat>
            <c:strRef>
              <c:f>'2.9 priem stavy 13 14  '!$A$5:$A$6</c:f>
              <c:strCache>
                <c:ptCount val="2"/>
                <c:pt idx="0">
                  <c:v>UoZ celk</c:v>
                </c:pt>
                <c:pt idx="1">
                  <c:v>UoZ disp</c:v>
                </c:pt>
              </c:strCache>
            </c:strRef>
          </c:cat>
          <c:val>
            <c:numRef>
              <c:f>'2.9 priem stavy 13 14  '!$C$5:$C$6</c:f>
              <c:numCache>
                <c:formatCode>#,##0</c:formatCode>
                <c:ptCount val="2"/>
                <c:pt idx="0">
                  <c:v>385661</c:v>
                </c:pt>
                <c:pt idx="1">
                  <c:v>345149</c:v>
                </c:pt>
              </c:numCache>
            </c:numRef>
          </c:val>
        </c:ser>
        <c:dLbls>
          <c:showLegendKey val="0"/>
          <c:showVal val="0"/>
          <c:showCatName val="0"/>
          <c:showSerName val="0"/>
          <c:showPercent val="0"/>
          <c:showBubbleSize val="0"/>
        </c:dLbls>
        <c:gapWidth val="230"/>
        <c:axId val="233792256"/>
        <c:axId val="233793792"/>
      </c:barChart>
      <c:catAx>
        <c:axId val="233792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233793792"/>
        <c:crosses val="autoZero"/>
        <c:auto val="1"/>
        <c:lblAlgn val="ctr"/>
        <c:lblOffset val="100"/>
        <c:tickLblSkip val="1"/>
        <c:tickMarkSkip val="1"/>
        <c:noMultiLvlLbl val="0"/>
      </c:catAx>
      <c:valAx>
        <c:axId val="233793792"/>
        <c:scaling>
          <c:orientation val="minMax"/>
          <c:max val="420000"/>
          <c:min val="300000"/>
        </c:scaling>
        <c:delete val="0"/>
        <c:axPos val="l"/>
        <c:majorGridlines>
          <c:spPr>
            <a:ln w="3175">
              <a:solidFill>
                <a:srgbClr val="000000"/>
              </a:solidFill>
              <a:prstDash val="solid"/>
            </a:ln>
          </c:spPr>
        </c:majorGridlines>
        <c:title>
          <c:tx>
            <c:rich>
              <a:bodyPr rot="-5400000" vert="horz"/>
              <a:lstStyle/>
              <a:p>
                <a:pPr algn="ctr">
                  <a:defRPr b="1"/>
                </a:pPr>
                <a:r>
                  <a:rPr lang="sk-SK" b="1"/>
                  <a:t>Počet UoZ</a:t>
                </a:r>
              </a:p>
            </c:rich>
          </c:tx>
          <c:layout>
            <c:manualLayout>
              <c:xMode val="edge"/>
              <c:yMode val="edge"/>
              <c:x val="2.877779972132672E-2"/>
              <c:y val="0.33689135097050926"/>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233792256"/>
        <c:crosses val="autoZero"/>
        <c:crossBetween val="between"/>
        <c:majorUnit val="10000"/>
      </c:valAx>
      <c:spPr>
        <a:solidFill>
          <a:srgbClr val="FFFFFF"/>
        </a:solidFill>
        <a:ln w="6350">
          <a:solidFill>
            <a:schemeClr val="tx1"/>
          </a:solidFill>
        </a:ln>
      </c:spPr>
    </c:plotArea>
    <c:legend>
      <c:legendPos val="t"/>
      <c:layout>
        <c:manualLayout>
          <c:xMode val="edge"/>
          <c:yMode val="edge"/>
          <c:x val="0.63582125145259705"/>
          <c:y val="0.11309897103570019"/>
          <c:w val="0.34124850778102589"/>
          <c:h val="8.3385874039317853E-2"/>
        </c:manualLayout>
      </c:layout>
      <c:overlay val="1"/>
      <c:spPr>
        <a:noFill/>
        <a:ln w="3175">
          <a:noFill/>
          <a:prstDash val="solid"/>
        </a:ln>
      </c:spPr>
      <c:txPr>
        <a:bodyPr/>
        <a:lstStyle/>
        <a:p>
          <a:pPr>
            <a:defRPr sz="1000"/>
          </a:pPr>
          <a:endParaRPr lang="sk-SK"/>
        </a:p>
      </c:txPr>
    </c:legend>
    <c:plotVisOnly val="1"/>
    <c:dispBlanksAs val="gap"/>
    <c:showDLblsOverMax val="0"/>
  </c:chart>
  <c:spPr>
    <a:noFill/>
    <a:ln w="3175">
      <a:noFill/>
      <a:prstDash val="solid"/>
    </a:ln>
  </c:spPr>
  <c:txPr>
    <a:bodyPr/>
    <a:lstStyle/>
    <a:p>
      <a:pPr>
        <a:defRPr sz="1025"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0917401730225"/>
          <c:y val="0.11904761904761912"/>
          <c:w val="0.82601836785821459"/>
          <c:h val="0.78763873265842321"/>
        </c:manualLayout>
      </c:layout>
      <c:barChart>
        <c:barDir val="col"/>
        <c:grouping val="clustered"/>
        <c:varyColors val="0"/>
        <c:ser>
          <c:idx val="0"/>
          <c:order val="0"/>
          <c:tx>
            <c:strRef>
              <c:f>Hárok1!$B$1</c:f>
              <c:strCache>
                <c:ptCount val="1"/>
                <c:pt idx="0">
                  <c:v>Priemerný počet UoZ</c:v>
                </c:pt>
              </c:strCache>
            </c:strRef>
          </c:tx>
          <c:spPr>
            <a:solidFill>
              <a:schemeClr val="accent2">
                <a:lumMod val="60000"/>
                <a:lumOff val="40000"/>
              </a:schemeClr>
            </a:solidFill>
          </c:spPr>
          <c:invertIfNegative val="0"/>
          <c:dLbls>
            <c:numFmt formatCode="#,##0" sourceLinked="0"/>
            <c:txPr>
              <a:bodyPr rot="-5400000" vert="horz"/>
              <a:lstStyle/>
              <a:p>
                <a:pPr>
                  <a:defRPr/>
                </a:pPr>
                <a:endParaRPr lang="sk-SK"/>
              </a:p>
            </c:txPr>
            <c:dLblPos val="inEnd"/>
            <c:showLegendKey val="0"/>
            <c:showVal val="1"/>
            <c:showCatName val="0"/>
            <c:showSerName val="0"/>
            <c:showPercent val="0"/>
            <c:showBubbleSize val="0"/>
            <c:showLeaderLines val="0"/>
          </c:dLbls>
          <c:cat>
            <c:strRef>
              <c:f>Hárok1!$A$2:$A$9</c:f>
              <c:strCache>
                <c:ptCount val="8"/>
                <c:pt idx="0">
                  <c:v>BA</c:v>
                </c:pt>
                <c:pt idx="1">
                  <c:v>TT</c:v>
                </c:pt>
                <c:pt idx="2">
                  <c:v>TN</c:v>
                </c:pt>
                <c:pt idx="3">
                  <c:v>NR</c:v>
                </c:pt>
                <c:pt idx="4">
                  <c:v>ZA</c:v>
                </c:pt>
                <c:pt idx="5">
                  <c:v>BB</c:v>
                </c:pt>
                <c:pt idx="6">
                  <c:v>PO</c:v>
                </c:pt>
                <c:pt idx="7">
                  <c:v>KE</c:v>
                </c:pt>
              </c:strCache>
            </c:strRef>
          </c:cat>
          <c:val>
            <c:numRef>
              <c:f>Hárok1!$B$2:$B$9</c:f>
              <c:numCache>
                <c:formatCode>General</c:formatCode>
                <c:ptCount val="8"/>
                <c:pt idx="0">
                  <c:v>21854</c:v>
                </c:pt>
                <c:pt idx="1">
                  <c:v>27239</c:v>
                </c:pt>
                <c:pt idx="2">
                  <c:v>33021</c:v>
                </c:pt>
                <c:pt idx="3">
                  <c:v>45748</c:v>
                </c:pt>
                <c:pt idx="4">
                  <c:v>42375</c:v>
                </c:pt>
                <c:pt idx="5">
                  <c:v>64921</c:v>
                </c:pt>
                <c:pt idx="6">
                  <c:v>80697</c:v>
                </c:pt>
                <c:pt idx="7">
                  <c:v>69805</c:v>
                </c:pt>
              </c:numCache>
            </c:numRef>
          </c:val>
        </c:ser>
        <c:dLbls>
          <c:showLegendKey val="0"/>
          <c:showVal val="0"/>
          <c:showCatName val="0"/>
          <c:showSerName val="0"/>
          <c:showPercent val="0"/>
          <c:showBubbleSize val="0"/>
        </c:dLbls>
        <c:gapWidth val="75"/>
        <c:axId val="233829504"/>
        <c:axId val="233831040"/>
      </c:barChart>
      <c:lineChart>
        <c:grouping val="standard"/>
        <c:varyColors val="0"/>
        <c:ser>
          <c:idx val="1"/>
          <c:order val="1"/>
          <c:tx>
            <c:strRef>
              <c:f>Hárok1!$C$1</c:f>
              <c:strCache>
                <c:ptCount val="1"/>
                <c:pt idx="0">
                  <c:v>Priemerná MEN</c:v>
                </c:pt>
              </c:strCache>
            </c:strRef>
          </c:tx>
          <c:dLbls>
            <c:dLbl>
              <c:idx val="3"/>
              <c:layout>
                <c:manualLayout>
                  <c:x val="-5.4110133627433638E-2"/>
                  <c:y val="-4.80984340044745E-2"/>
                </c:manualLayout>
              </c:layout>
              <c:dLblPos val="r"/>
              <c:showLegendKey val="0"/>
              <c:showVal val="1"/>
              <c:showCatName val="0"/>
              <c:showSerName val="0"/>
              <c:showPercent val="0"/>
              <c:showBubbleSize val="0"/>
            </c:dLbl>
            <c:dLbl>
              <c:idx val="4"/>
              <c:layout>
                <c:manualLayout>
                  <c:x val="-4.7589662041430503E-2"/>
                  <c:y val="4.586129753915003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Hárok1!$A$2:$A$9</c:f>
              <c:strCache>
                <c:ptCount val="8"/>
                <c:pt idx="0">
                  <c:v>BA</c:v>
                </c:pt>
                <c:pt idx="1">
                  <c:v>TT</c:v>
                </c:pt>
                <c:pt idx="2">
                  <c:v>TN</c:v>
                </c:pt>
                <c:pt idx="3">
                  <c:v>NR</c:v>
                </c:pt>
                <c:pt idx="4">
                  <c:v>ZA</c:v>
                </c:pt>
                <c:pt idx="5">
                  <c:v>BB</c:v>
                </c:pt>
                <c:pt idx="6">
                  <c:v>PO</c:v>
                </c:pt>
                <c:pt idx="7">
                  <c:v>KE</c:v>
                </c:pt>
              </c:strCache>
            </c:strRef>
          </c:cat>
          <c:val>
            <c:numRef>
              <c:f>Hárok1!$C$2:$C$9</c:f>
              <c:numCache>
                <c:formatCode>0.00%</c:formatCode>
                <c:ptCount val="8"/>
                <c:pt idx="0">
                  <c:v>6.2000000000000034E-2</c:v>
                </c:pt>
                <c:pt idx="1">
                  <c:v>8.5000000000000006E-2</c:v>
                </c:pt>
                <c:pt idx="2">
                  <c:v>0.10059999999999998</c:v>
                </c:pt>
                <c:pt idx="3">
                  <c:v>0.11710000000000002</c:v>
                </c:pt>
                <c:pt idx="4">
                  <c:v>0.1148</c:v>
                </c:pt>
                <c:pt idx="5">
                  <c:v>0.17810000000000001</c:v>
                </c:pt>
                <c:pt idx="6">
                  <c:v>0.18020000000000044</c:v>
                </c:pt>
                <c:pt idx="7">
                  <c:v>0.16600000000000001</c:v>
                </c:pt>
              </c:numCache>
            </c:numRef>
          </c:val>
          <c:smooth val="0"/>
        </c:ser>
        <c:dLbls>
          <c:showLegendKey val="0"/>
          <c:showVal val="0"/>
          <c:showCatName val="0"/>
          <c:showSerName val="0"/>
          <c:showPercent val="0"/>
          <c:showBubbleSize val="0"/>
        </c:dLbls>
        <c:marker val="1"/>
        <c:smooth val="0"/>
        <c:axId val="233851520"/>
        <c:axId val="233849600"/>
      </c:lineChart>
      <c:catAx>
        <c:axId val="233829504"/>
        <c:scaling>
          <c:orientation val="minMax"/>
        </c:scaling>
        <c:delete val="0"/>
        <c:axPos val="b"/>
        <c:majorTickMark val="out"/>
        <c:minorTickMark val="none"/>
        <c:tickLblPos val="nextTo"/>
        <c:crossAx val="233831040"/>
        <c:crosses val="autoZero"/>
        <c:auto val="1"/>
        <c:lblAlgn val="ctr"/>
        <c:lblOffset val="100"/>
        <c:noMultiLvlLbl val="0"/>
      </c:catAx>
      <c:valAx>
        <c:axId val="233831040"/>
        <c:scaling>
          <c:orientation val="minMax"/>
          <c:min val="0"/>
        </c:scaling>
        <c:delete val="0"/>
        <c:axPos val="l"/>
        <c:majorGridlines/>
        <c:title>
          <c:tx>
            <c:rich>
              <a:bodyPr rot="0" vert="horz"/>
              <a:lstStyle/>
              <a:p>
                <a:pPr>
                  <a:defRPr/>
                </a:pPr>
                <a:r>
                  <a:rPr lang="sk-SK"/>
                  <a:t>Počet UoZ</a:t>
                </a:r>
              </a:p>
            </c:rich>
          </c:tx>
          <c:layout>
            <c:manualLayout>
              <c:xMode val="edge"/>
              <c:yMode val="edge"/>
              <c:x val="2.3888888793888133E-2"/>
              <c:y val="3.370016247969005E-2"/>
            </c:manualLayout>
          </c:layout>
          <c:overlay val="0"/>
        </c:title>
        <c:numFmt formatCode="#,##0" sourceLinked="0"/>
        <c:majorTickMark val="out"/>
        <c:minorTickMark val="none"/>
        <c:tickLblPos val="nextTo"/>
        <c:crossAx val="233829504"/>
        <c:crosses val="autoZero"/>
        <c:crossBetween val="between"/>
      </c:valAx>
      <c:valAx>
        <c:axId val="233849600"/>
        <c:scaling>
          <c:orientation val="minMax"/>
        </c:scaling>
        <c:delete val="0"/>
        <c:axPos val="r"/>
        <c:title>
          <c:tx>
            <c:rich>
              <a:bodyPr rot="0" vert="horz"/>
              <a:lstStyle/>
              <a:p>
                <a:pPr>
                  <a:defRPr/>
                </a:pPr>
                <a:r>
                  <a:rPr lang="sk-SK"/>
                  <a:t>Miera</a:t>
                </a:r>
              </a:p>
            </c:rich>
          </c:tx>
          <c:layout>
            <c:manualLayout>
              <c:xMode val="edge"/>
              <c:yMode val="edge"/>
              <c:x val="0.91725757608662351"/>
              <c:y val="2.377952755905521E-2"/>
            </c:manualLayout>
          </c:layout>
          <c:overlay val="0"/>
        </c:title>
        <c:numFmt formatCode="0%" sourceLinked="0"/>
        <c:majorTickMark val="out"/>
        <c:minorTickMark val="none"/>
        <c:tickLblPos val="nextTo"/>
        <c:crossAx val="233851520"/>
        <c:crosses val="max"/>
        <c:crossBetween val="between"/>
        <c:majorUnit val="4.0000000000000022E-2"/>
      </c:valAx>
      <c:catAx>
        <c:axId val="233851520"/>
        <c:scaling>
          <c:orientation val="minMax"/>
        </c:scaling>
        <c:delete val="1"/>
        <c:axPos val="b"/>
        <c:majorTickMark val="out"/>
        <c:minorTickMark val="none"/>
        <c:tickLblPos val="none"/>
        <c:crossAx val="233849600"/>
        <c:crosses val="autoZero"/>
        <c:auto val="1"/>
        <c:lblAlgn val="ctr"/>
        <c:lblOffset val="100"/>
        <c:noMultiLvlLbl val="0"/>
      </c:catAx>
    </c:plotArea>
    <c:legend>
      <c:legendPos val="t"/>
      <c:layout>
        <c:manualLayout>
          <c:xMode val="edge"/>
          <c:yMode val="edge"/>
          <c:x val="0.1193370551207461"/>
          <c:y val="0.12698412698412698"/>
          <c:w val="0.52243683081827397"/>
          <c:h val="7.5890496753488551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1463940141928"/>
          <c:y val="5.2844394450693923E-2"/>
          <c:w val="0.84541400608506023"/>
          <c:h val="0.80888318147536331"/>
        </c:manualLayout>
      </c:layout>
      <c:barChart>
        <c:barDir val="col"/>
        <c:grouping val="clustered"/>
        <c:varyColors val="0"/>
        <c:ser>
          <c:idx val="1"/>
          <c:order val="0"/>
          <c:tx>
            <c:strRef>
              <c:f>'2.11graf priem miery'!$A$3</c:f>
              <c:strCache>
                <c:ptCount val="1"/>
                <c:pt idx="0">
                  <c:v>priemer 2013</c:v>
                </c:pt>
              </c:strCache>
            </c:strRef>
          </c:tx>
          <c:spPr>
            <a:solidFill>
              <a:schemeClr val="accent1"/>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dLbls>
          <c:cat>
            <c:strRef>
              <c:f>'2.11graf priem miery'!$B$2:$C$2</c:f>
              <c:strCache>
                <c:ptCount val="2"/>
                <c:pt idx="0">
                  <c:v>MEN</c:v>
                </c:pt>
                <c:pt idx="1">
                  <c:v>Miera nezamestnanosti z celkového počtu UoZ</c:v>
                </c:pt>
              </c:strCache>
            </c:strRef>
          </c:cat>
          <c:val>
            <c:numRef>
              <c:f>'2.11graf priem miery'!$B$3:$C$3</c:f>
              <c:numCache>
                <c:formatCode>0.00</c:formatCode>
                <c:ptCount val="2"/>
                <c:pt idx="0">
                  <c:v>14.11</c:v>
                </c:pt>
                <c:pt idx="1">
                  <c:v>15.38</c:v>
                </c:pt>
              </c:numCache>
            </c:numRef>
          </c:val>
        </c:ser>
        <c:ser>
          <c:idx val="2"/>
          <c:order val="1"/>
          <c:tx>
            <c:strRef>
              <c:f>'2.11graf priem miery'!$A$4</c:f>
              <c:strCache>
                <c:ptCount val="1"/>
                <c:pt idx="0">
                  <c:v>priemer 2014</c:v>
                </c:pt>
              </c:strCache>
            </c:strRef>
          </c:tx>
          <c:spPr>
            <a:solidFill>
              <a:schemeClr val="accent2"/>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dLbls>
          <c:cat>
            <c:strRef>
              <c:f>'2.11graf priem miery'!$B$2:$C$2</c:f>
              <c:strCache>
                <c:ptCount val="2"/>
                <c:pt idx="0">
                  <c:v>MEN</c:v>
                </c:pt>
                <c:pt idx="1">
                  <c:v>Miera nezamestnanosti z celkového počtu UoZ</c:v>
                </c:pt>
              </c:strCache>
            </c:strRef>
          </c:cat>
          <c:val>
            <c:numRef>
              <c:f>'2.11graf priem miery'!$B$4:$C$4</c:f>
              <c:numCache>
                <c:formatCode>0.00</c:formatCode>
                <c:ptCount val="2"/>
                <c:pt idx="0">
                  <c:v>12.79</c:v>
                </c:pt>
                <c:pt idx="1">
                  <c:v>14.29</c:v>
                </c:pt>
              </c:numCache>
            </c:numRef>
          </c:val>
        </c:ser>
        <c:dLbls>
          <c:showLegendKey val="0"/>
          <c:showVal val="0"/>
          <c:showCatName val="0"/>
          <c:showSerName val="0"/>
          <c:showPercent val="0"/>
          <c:showBubbleSize val="0"/>
        </c:dLbls>
        <c:gapWidth val="150"/>
        <c:axId val="233865216"/>
        <c:axId val="233866752"/>
      </c:barChart>
      <c:catAx>
        <c:axId val="233865216"/>
        <c:scaling>
          <c:orientation val="minMax"/>
        </c:scaling>
        <c:delete val="0"/>
        <c:axPos val="b"/>
        <c:numFmt formatCode="General" sourceLinked="1"/>
        <c:majorTickMark val="out"/>
        <c:minorTickMark val="none"/>
        <c:tickLblPos val="nextTo"/>
        <c:txPr>
          <a:bodyPr rot="0" vert="horz"/>
          <a:lstStyle/>
          <a:p>
            <a:pPr>
              <a:defRPr/>
            </a:pPr>
            <a:endParaRPr lang="sk-SK"/>
          </a:p>
        </c:txPr>
        <c:crossAx val="233866752"/>
        <c:crosses val="autoZero"/>
        <c:auto val="1"/>
        <c:lblAlgn val="ctr"/>
        <c:lblOffset val="100"/>
        <c:noMultiLvlLbl val="0"/>
      </c:catAx>
      <c:valAx>
        <c:axId val="233866752"/>
        <c:scaling>
          <c:orientation val="minMax"/>
          <c:max val="16"/>
          <c:min val="0"/>
        </c:scaling>
        <c:delete val="0"/>
        <c:axPos val="l"/>
        <c:majorGridlines/>
        <c:title>
          <c:tx>
            <c:rich>
              <a:bodyPr rot="-5400000" vert="horz"/>
              <a:lstStyle/>
              <a:p>
                <a:pPr algn="ctr">
                  <a:defRPr b="1"/>
                </a:pPr>
                <a:r>
                  <a:rPr lang="sk-SK" b="1"/>
                  <a:t>Miera nezamestnanosti v %</a:t>
                </a:r>
              </a:p>
            </c:rich>
          </c:tx>
          <c:layout>
            <c:manualLayout>
              <c:xMode val="edge"/>
              <c:yMode val="edge"/>
              <c:x val="1.6271745101629737E-2"/>
              <c:y val="8.5854268216474322E-2"/>
            </c:manualLayout>
          </c:layout>
          <c:overlay val="0"/>
          <c:spPr>
            <a:solidFill>
              <a:schemeClr val="bg1"/>
            </a:solidFill>
          </c:spPr>
        </c:title>
        <c:numFmt formatCode="0.0" sourceLinked="0"/>
        <c:majorTickMark val="out"/>
        <c:minorTickMark val="none"/>
        <c:tickLblPos val="nextTo"/>
        <c:txPr>
          <a:bodyPr rot="0" vert="horz"/>
          <a:lstStyle/>
          <a:p>
            <a:pPr>
              <a:defRPr/>
            </a:pPr>
            <a:endParaRPr lang="sk-SK"/>
          </a:p>
        </c:txPr>
        <c:crossAx val="233865216"/>
        <c:crosses val="autoZero"/>
        <c:crossBetween val="between"/>
      </c:valAx>
    </c:plotArea>
    <c:legend>
      <c:legendPos val="t"/>
      <c:layout>
        <c:manualLayout>
          <c:xMode val="edge"/>
          <c:yMode val="edge"/>
          <c:x val="0.12808547214010441"/>
          <c:y val="5.7938665561541723E-2"/>
          <c:w val="0.35178894290249446"/>
          <c:h val="8.9263259599493244E-2"/>
        </c:manualLayout>
      </c:layout>
      <c:overlay val="1"/>
      <c:spPr>
        <a:noFill/>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4"/>
          <c:order val="0"/>
          <c:tx>
            <c:strRef>
              <c:f>Hárok1!$F$1</c:f>
              <c:strCache>
                <c:ptCount val="1"/>
                <c:pt idx="0">
                  <c:v>st. 10, 11</c:v>
                </c:pt>
              </c:strCache>
            </c:strRef>
          </c:tx>
          <c:invertIfNegative val="0"/>
          <c:cat>
            <c:strRef>
              <c:f>Hárok1!$A$2:$A$10</c:f>
              <c:strCache>
                <c:ptCount val="9"/>
                <c:pt idx="0">
                  <c:v>BA</c:v>
                </c:pt>
                <c:pt idx="1">
                  <c:v>TT</c:v>
                </c:pt>
                <c:pt idx="2">
                  <c:v>TN</c:v>
                </c:pt>
                <c:pt idx="3">
                  <c:v>NR</c:v>
                </c:pt>
                <c:pt idx="4">
                  <c:v>ZA</c:v>
                </c:pt>
                <c:pt idx="5">
                  <c:v>BB</c:v>
                </c:pt>
                <c:pt idx="6">
                  <c:v>PO</c:v>
                </c:pt>
                <c:pt idx="7">
                  <c:v>KE</c:v>
                </c:pt>
                <c:pt idx="8">
                  <c:v>SR</c:v>
                </c:pt>
              </c:strCache>
            </c:strRef>
          </c:cat>
          <c:val>
            <c:numRef>
              <c:f>Hárok1!$F$2:$F$10</c:f>
              <c:numCache>
                <c:formatCode>General</c:formatCode>
                <c:ptCount val="9"/>
                <c:pt idx="0">
                  <c:v>13.4</c:v>
                </c:pt>
                <c:pt idx="1">
                  <c:v>22.03</c:v>
                </c:pt>
                <c:pt idx="2">
                  <c:v>15.55</c:v>
                </c:pt>
                <c:pt idx="3">
                  <c:v>23.810000000000031</c:v>
                </c:pt>
                <c:pt idx="4">
                  <c:v>16.87</c:v>
                </c:pt>
                <c:pt idx="5">
                  <c:v>35.64</c:v>
                </c:pt>
                <c:pt idx="6">
                  <c:v>36.82</c:v>
                </c:pt>
                <c:pt idx="7">
                  <c:v>35.790000000000013</c:v>
                </c:pt>
                <c:pt idx="8">
                  <c:v>28.51</c:v>
                </c:pt>
              </c:numCache>
            </c:numRef>
          </c:val>
        </c:ser>
        <c:ser>
          <c:idx val="3"/>
          <c:order val="1"/>
          <c:tx>
            <c:strRef>
              <c:f>Hárok1!$E$1</c:f>
              <c:strCache>
                <c:ptCount val="1"/>
                <c:pt idx="0">
                  <c:v>st. 12, 13</c:v>
                </c:pt>
              </c:strCache>
            </c:strRef>
          </c:tx>
          <c:invertIfNegative val="0"/>
          <c:cat>
            <c:strRef>
              <c:f>Hárok1!$A$2:$A$10</c:f>
              <c:strCache>
                <c:ptCount val="9"/>
                <c:pt idx="0">
                  <c:v>BA</c:v>
                </c:pt>
                <c:pt idx="1">
                  <c:v>TT</c:v>
                </c:pt>
                <c:pt idx="2">
                  <c:v>TN</c:v>
                </c:pt>
                <c:pt idx="3">
                  <c:v>NR</c:v>
                </c:pt>
                <c:pt idx="4">
                  <c:v>ZA</c:v>
                </c:pt>
                <c:pt idx="5">
                  <c:v>BB</c:v>
                </c:pt>
                <c:pt idx="6">
                  <c:v>PO</c:v>
                </c:pt>
                <c:pt idx="7">
                  <c:v>KE</c:v>
                </c:pt>
                <c:pt idx="8">
                  <c:v>SR</c:v>
                </c:pt>
              </c:strCache>
            </c:strRef>
          </c:cat>
          <c:val>
            <c:numRef>
              <c:f>Hárok1!$E$2:$E$10</c:f>
              <c:numCache>
                <c:formatCode>General</c:formatCode>
                <c:ptCount val="9"/>
                <c:pt idx="0">
                  <c:v>22.9</c:v>
                </c:pt>
                <c:pt idx="1">
                  <c:v>36.28</c:v>
                </c:pt>
                <c:pt idx="2">
                  <c:v>38.03</c:v>
                </c:pt>
                <c:pt idx="3">
                  <c:v>36.270000000000003</c:v>
                </c:pt>
                <c:pt idx="4">
                  <c:v>39.42</c:v>
                </c:pt>
                <c:pt idx="5">
                  <c:v>31.58</c:v>
                </c:pt>
                <c:pt idx="6">
                  <c:v>29.23</c:v>
                </c:pt>
                <c:pt idx="7">
                  <c:v>29.05</c:v>
                </c:pt>
                <c:pt idx="8">
                  <c:v>32.44</c:v>
                </c:pt>
              </c:numCache>
            </c:numRef>
          </c:val>
        </c:ser>
        <c:ser>
          <c:idx val="2"/>
          <c:order val="2"/>
          <c:tx>
            <c:strRef>
              <c:f>Hárok1!$D$1</c:f>
              <c:strCache>
                <c:ptCount val="1"/>
                <c:pt idx="0">
                  <c:v>st.15</c:v>
                </c:pt>
              </c:strCache>
            </c:strRef>
          </c:tx>
          <c:invertIfNegative val="0"/>
          <c:cat>
            <c:strRef>
              <c:f>Hárok1!$A$2:$A$10</c:f>
              <c:strCache>
                <c:ptCount val="9"/>
                <c:pt idx="0">
                  <c:v>BA</c:v>
                </c:pt>
                <c:pt idx="1">
                  <c:v>TT</c:v>
                </c:pt>
                <c:pt idx="2">
                  <c:v>TN</c:v>
                </c:pt>
                <c:pt idx="3">
                  <c:v>NR</c:v>
                </c:pt>
                <c:pt idx="4">
                  <c:v>ZA</c:v>
                </c:pt>
                <c:pt idx="5">
                  <c:v>BB</c:v>
                </c:pt>
                <c:pt idx="6">
                  <c:v>PO</c:v>
                </c:pt>
                <c:pt idx="7">
                  <c:v>KE</c:v>
                </c:pt>
                <c:pt idx="8">
                  <c:v>SR</c:v>
                </c:pt>
              </c:strCache>
            </c:strRef>
          </c:cat>
          <c:val>
            <c:numRef>
              <c:f>Hárok1!$D$2:$D$10</c:f>
              <c:numCache>
                <c:formatCode>General</c:formatCode>
                <c:ptCount val="9"/>
                <c:pt idx="0">
                  <c:v>7.67</c:v>
                </c:pt>
                <c:pt idx="1">
                  <c:v>4.29</c:v>
                </c:pt>
                <c:pt idx="2">
                  <c:v>3.57</c:v>
                </c:pt>
                <c:pt idx="3">
                  <c:v>4.26</c:v>
                </c:pt>
                <c:pt idx="4">
                  <c:v>3.57</c:v>
                </c:pt>
                <c:pt idx="5">
                  <c:v>3.05</c:v>
                </c:pt>
                <c:pt idx="6">
                  <c:v>2.58</c:v>
                </c:pt>
                <c:pt idx="7">
                  <c:v>3.52</c:v>
                </c:pt>
                <c:pt idx="8">
                  <c:v>3.63</c:v>
                </c:pt>
              </c:numCache>
            </c:numRef>
          </c:val>
        </c:ser>
        <c:ser>
          <c:idx val="1"/>
          <c:order val="3"/>
          <c:tx>
            <c:strRef>
              <c:f>Hárok1!$C$1</c:f>
              <c:strCache>
                <c:ptCount val="1"/>
                <c:pt idx="0">
                  <c:v>st. 14, 16</c:v>
                </c:pt>
              </c:strCache>
            </c:strRef>
          </c:tx>
          <c:invertIfNegative val="0"/>
          <c:cat>
            <c:strRef>
              <c:f>Hárok1!$A$2:$A$10</c:f>
              <c:strCache>
                <c:ptCount val="9"/>
                <c:pt idx="0">
                  <c:v>BA</c:v>
                </c:pt>
                <c:pt idx="1">
                  <c:v>TT</c:v>
                </c:pt>
                <c:pt idx="2">
                  <c:v>TN</c:v>
                </c:pt>
                <c:pt idx="3">
                  <c:v>NR</c:v>
                </c:pt>
                <c:pt idx="4">
                  <c:v>ZA</c:v>
                </c:pt>
                <c:pt idx="5">
                  <c:v>BB</c:v>
                </c:pt>
                <c:pt idx="6">
                  <c:v>PO</c:v>
                </c:pt>
                <c:pt idx="7">
                  <c:v>KE</c:v>
                </c:pt>
                <c:pt idx="8">
                  <c:v>SR</c:v>
                </c:pt>
              </c:strCache>
            </c:strRef>
          </c:cat>
          <c:val>
            <c:numRef>
              <c:f>Hárok1!$C$2:$C$10</c:f>
              <c:numCache>
                <c:formatCode>General</c:formatCode>
                <c:ptCount val="9"/>
                <c:pt idx="0">
                  <c:v>31.54</c:v>
                </c:pt>
                <c:pt idx="1">
                  <c:v>27.259999999999987</c:v>
                </c:pt>
                <c:pt idx="2">
                  <c:v>31.25</c:v>
                </c:pt>
                <c:pt idx="3">
                  <c:v>26.6</c:v>
                </c:pt>
                <c:pt idx="4">
                  <c:v>29.68</c:v>
                </c:pt>
                <c:pt idx="5">
                  <c:v>23.49</c:v>
                </c:pt>
                <c:pt idx="6">
                  <c:v>23.4</c:v>
                </c:pt>
                <c:pt idx="7">
                  <c:v>23.419999999999987</c:v>
                </c:pt>
                <c:pt idx="8">
                  <c:v>25.89</c:v>
                </c:pt>
              </c:numCache>
            </c:numRef>
          </c:val>
        </c:ser>
        <c:ser>
          <c:idx val="0"/>
          <c:order val="4"/>
          <c:tx>
            <c:strRef>
              <c:f>Hárok1!$B$1</c:f>
              <c:strCache>
                <c:ptCount val="1"/>
                <c:pt idx="0">
                  <c:v>st. 17 až 19</c:v>
                </c:pt>
              </c:strCache>
            </c:strRef>
          </c:tx>
          <c:invertIfNegative val="0"/>
          <c:cat>
            <c:strRef>
              <c:f>Hárok1!$A$2:$A$10</c:f>
              <c:strCache>
                <c:ptCount val="9"/>
                <c:pt idx="0">
                  <c:v>BA</c:v>
                </c:pt>
                <c:pt idx="1">
                  <c:v>TT</c:v>
                </c:pt>
                <c:pt idx="2">
                  <c:v>TN</c:v>
                </c:pt>
                <c:pt idx="3">
                  <c:v>NR</c:v>
                </c:pt>
                <c:pt idx="4">
                  <c:v>ZA</c:v>
                </c:pt>
                <c:pt idx="5">
                  <c:v>BB</c:v>
                </c:pt>
                <c:pt idx="6">
                  <c:v>PO</c:v>
                </c:pt>
                <c:pt idx="7">
                  <c:v>KE</c:v>
                </c:pt>
                <c:pt idx="8">
                  <c:v>SR</c:v>
                </c:pt>
              </c:strCache>
            </c:strRef>
          </c:cat>
          <c:val>
            <c:numRef>
              <c:f>Hárok1!$B$2:$B$10</c:f>
              <c:numCache>
                <c:formatCode>General</c:formatCode>
                <c:ptCount val="9"/>
                <c:pt idx="0">
                  <c:v>24.32</c:v>
                </c:pt>
                <c:pt idx="1">
                  <c:v>10.1</c:v>
                </c:pt>
                <c:pt idx="2">
                  <c:v>11.58</c:v>
                </c:pt>
                <c:pt idx="3">
                  <c:v>9.0300000000000011</c:v>
                </c:pt>
                <c:pt idx="4">
                  <c:v>10.41</c:v>
                </c:pt>
                <c:pt idx="5">
                  <c:v>6.23</c:v>
                </c:pt>
                <c:pt idx="6">
                  <c:v>7.94</c:v>
                </c:pt>
                <c:pt idx="7">
                  <c:v>8.2100000000000009</c:v>
                </c:pt>
                <c:pt idx="8">
                  <c:v>9.49</c:v>
                </c:pt>
              </c:numCache>
            </c:numRef>
          </c:val>
        </c:ser>
        <c:dLbls>
          <c:showLegendKey val="0"/>
          <c:showVal val="0"/>
          <c:showCatName val="0"/>
          <c:showSerName val="0"/>
          <c:showPercent val="0"/>
          <c:showBubbleSize val="0"/>
        </c:dLbls>
        <c:gapWidth val="60"/>
        <c:gapDepth val="100"/>
        <c:shape val="box"/>
        <c:axId val="234603648"/>
        <c:axId val="234605184"/>
        <c:axId val="0"/>
      </c:bar3DChart>
      <c:catAx>
        <c:axId val="234603648"/>
        <c:scaling>
          <c:orientation val="minMax"/>
        </c:scaling>
        <c:delete val="0"/>
        <c:axPos val="b"/>
        <c:majorTickMark val="out"/>
        <c:minorTickMark val="none"/>
        <c:tickLblPos val="nextTo"/>
        <c:crossAx val="234605184"/>
        <c:crosses val="autoZero"/>
        <c:auto val="1"/>
        <c:lblAlgn val="ctr"/>
        <c:lblOffset val="100"/>
        <c:noMultiLvlLbl val="0"/>
      </c:catAx>
      <c:valAx>
        <c:axId val="234605184"/>
        <c:scaling>
          <c:orientation val="minMax"/>
        </c:scaling>
        <c:delete val="0"/>
        <c:axPos val="l"/>
        <c:majorGridlines/>
        <c:numFmt formatCode="0%" sourceLinked="1"/>
        <c:majorTickMark val="out"/>
        <c:minorTickMark val="none"/>
        <c:tickLblPos val="nextTo"/>
        <c:crossAx val="23460364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4899387576707"/>
          <c:y val="0.2623952965886191"/>
          <c:w val="0.45555555555555555"/>
          <c:h val="0.61337064367105965"/>
        </c:manualLayout>
      </c:layout>
      <c:pieChart>
        <c:varyColors val="1"/>
        <c:ser>
          <c:idx val="0"/>
          <c:order val="0"/>
          <c:explosion val="10"/>
          <c:dPt>
            <c:idx val="0"/>
            <c:bubble3D val="0"/>
            <c:spPr>
              <a:pattFill prst="narHorz">
                <a:fgClr>
                  <a:schemeClr val="accent1"/>
                </a:fgClr>
                <a:bgClr>
                  <a:schemeClr val="bg1"/>
                </a:bgClr>
              </a:pattFill>
              <a:ln>
                <a:solidFill>
                  <a:schemeClr val="tx2"/>
                </a:solidFill>
              </a:ln>
            </c:spPr>
          </c:dPt>
          <c:dPt>
            <c:idx val="1"/>
            <c:bubble3D val="0"/>
            <c:spPr>
              <a:solidFill>
                <a:schemeClr val="accent1"/>
              </a:solidFill>
            </c:spPr>
          </c:dPt>
          <c:dPt>
            <c:idx val="2"/>
            <c:bubble3D val="0"/>
            <c:spPr>
              <a:pattFill prst="ltUpDiag">
                <a:fgClr>
                  <a:schemeClr val="accent1"/>
                </a:fgClr>
                <a:bgClr>
                  <a:schemeClr val="bg1"/>
                </a:bgClr>
              </a:pattFill>
              <a:ln>
                <a:solidFill>
                  <a:schemeClr val="accent1"/>
                </a:solidFill>
              </a:ln>
            </c:spPr>
          </c:dPt>
          <c:dPt>
            <c:idx val="3"/>
            <c:bubble3D val="0"/>
            <c:spPr>
              <a:solidFill>
                <a:schemeClr val="accent2"/>
              </a:solidFill>
              <a:ln>
                <a:solidFill>
                  <a:schemeClr val="accent2"/>
                </a:solidFill>
              </a:ln>
            </c:spPr>
          </c:dPt>
          <c:dPt>
            <c:idx val="4"/>
            <c:bubble3D val="0"/>
            <c:spPr>
              <a:pattFill prst="pct70">
                <a:fgClr>
                  <a:schemeClr val="accent2"/>
                </a:fgClr>
                <a:bgClr>
                  <a:schemeClr val="bg1"/>
                </a:bgClr>
              </a:pattFill>
              <a:ln>
                <a:solidFill>
                  <a:schemeClr val="accent2"/>
                </a:solidFill>
              </a:ln>
            </c:spPr>
          </c:dPt>
          <c:dPt>
            <c:idx val="5"/>
            <c:bubble3D val="0"/>
            <c:spPr>
              <a:pattFill prst="smGrid">
                <a:fgClr>
                  <a:schemeClr val="accent2"/>
                </a:fgClr>
                <a:bgClr>
                  <a:schemeClr val="bg1"/>
                </a:bgClr>
              </a:pattFill>
              <a:ln>
                <a:solidFill>
                  <a:schemeClr val="accent2"/>
                </a:solidFill>
              </a:ln>
            </c:spPr>
          </c:dPt>
          <c:dPt>
            <c:idx val="6"/>
            <c:bubble3D val="0"/>
            <c:spPr>
              <a:solidFill>
                <a:schemeClr val="accent3"/>
              </a:solidFill>
              <a:ln>
                <a:solidFill>
                  <a:schemeClr val="accent3"/>
                </a:solidFill>
              </a:ln>
            </c:spPr>
          </c:dPt>
          <c:dPt>
            <c:idx val="7"/>
            <c:bubble3D val="0"/>
            <c:spPr>
              <a:pattFill prst="pct10">
                <a:fgClr>
                  <a:schemeClr val="accent3"/>
                </a:fgClr>
                <a:bgClr>
                  <a:schemeClr val="bg1"/>
                </a:bgClr>
              </a:pattFill>
              <a:ln>
                <a:solidFill>
                  <a:schemeClr val="accent3"/>
                </a:solidFill>
              </a:ln>
            </c:spPr>
          </c:dPt>
          <c:dPt>
            <c:idx val="8"/>
            <c:bubble3D val="0"/>
            <c:spPr>
              <a:pattFill prst="lgConfetti">
                <a:fgClr>
                  <a:schemeClr val="accent3"/>
                </a:fgClr>
                <a:bgClr>
                  <a:schemeClr val="bg1"/>
                </a:bgClr>
              </a:pattFill>
              <a:ln>
                <a:solidFill>
                  <a:schemeClr val="accent3"/>
                </a:solidFill>
              </a:ln>
            </c:spPr>
          </c:dPt>
          <c:dPt>
            <c:idx val="9"/>
            <c:bubble3D val="0"/>
            <c:spPr>
              <a:solidFill>
                <a:schemeClr val="accent4"/>
              </a:solidFill>
              <a:ln>
                <a:solidFill>
                  <a:schemeClr val="accent4"/>
                </a:solidFill>
              </a:ln>
            </c:spPr>
          </c:dPt>
          <c:dPt>
            <c:idx val="10"/>
            <c:bubble3D val="0"/>
            <c:spPr>
              <a:pattFill prst="dkHorz">
                <a:fgClr>
                  <a:schemeClr val="accent4"/>
                </a:fgClr>
                <a:bgClr>
                  <a:schemeClr val="bg1"/>
                </a:bgClr>
              </a:pattFill>
              <a:ln>
                <a:solidFill>
                  <a:schemeClr val="accent4"/>
                </a:solidFill>
              </a:ln>
            </c:spPr>
          </c:dPt>
          <c:dLbls>
            <c:dLbl>
              <c:idx val="0"/>
              <c:layout>
                <c:manualLayout>
                  <c:x val="1.2292213473315836E-4"/>
                  <c:y val="-0.13364783254404244"/>
                </c:manualLayout>
              </c:layout>
              <c:tx>
                <c:rich>
                  <a:bodyPr/>
                  <a:lstStyle/>
                  <a:p>
                    <a:r>
                      <a:rPr lang="sk-SK"/>
                      <a:t>N/A</a:t>
                    </a:r>
                    <a:r>
                      <a:rPr lang="en-US"/>
                      <a:t>
4,36</a:t>
                    </a:r>
                  </a:p>
                </c:rich>
              </c:tx>
              <c:showLegendKey val="0"/>
              <c:showVal val="1"/>
              <c:showCatName val="1"/>
              <c:showSerName val="0"/>
              <c:showPercent val="0"/>
              <c:showBubbleSize val="0"/>
              <c:separator>
</c:separator>
            </c:dLbl>
            <c:dLbl>
              <c:idx val="1"/>
              <c:layout>
                <c:manualLayout>
                  <c:x val="5.8858923884514434E-2"/>
                  <c:y val="-9.4412784778700548E-2"/>
                </c:manualLayout>
              </c:layout>
              <c:showLegendKey val="0"/>
              <c:showVal val="1"/>
              <c:showCatName val="1"/>
              <c:showSerName val="0"/>
              <c:showPercent val="0"/>
              <c:showBubbleSize val="0"/>
              <c:separator>
</c:separator>
            </c:dLbl>
            <c:dLbl>
              <c:idx val="2"/>
              <c:layout>
                <c:manualLayout>
                  <c:x val="0.15097615923009641"/>
                  <c:y val="-3.9523651198602433E-2"/>
                </c:manualLayout>
              </c:layout>
              <c:showLegendKey val="0"/>
              <c:showVal val="1"/>
              <c:showCatName val="1"/>
              <c:showSerName val="0"/>
              <c:showPercent val="0"/>
              <c:showBubbleSize val="0"/>
              <c:separator>
</c:separator>
            </c:dLbl>
            <c:dLbl>
              <c:idx val="3"/>
              <c:layout>
                <c:manualLayout>
                  <c:x val="0.10718503937007874"/>
                  <c:y val="4.9819431433567429E-2"/>
                </c:manualLayout>
              </c:layout>
              <c:showLegendKey val="0"/>
              <c:showVal val="1"/>
              <c:showCatName val="1"/>
              <c:showSerName val="0"/>
              <c:showPercent val="0"/>
              <c:showBubbleSize val="0"/>
              <c:separator>
</c:separator>
            </c:dLbl>
            <c:dLbl>
              <c:idx val="4"/>
              <c:layout>
                <c:manualLayout>
                  <c:x val="6.3080508503366689E-2"/>
                  <c:y val="8.4418179196739843E-2"/>
                </c:manualLayout>
              </c:layout>
              <c:showLegendKey val="0"/>
              <c:showVal val="1"/>
              <c:showCatName val="1"/>
              <c:showSerName val="0"/>
              <c:showPercent val="0"/>
              <c:showBubbleSize val="0"/>
              <c:separator>
</c:separator>
            </c:dLbl>
            <c:dLbl>
              <c:idx val="5"/>
              <c:layout>
                <c:manualLayout>
                  <c:x val="-4.1713061102970184E-2"/>
                  <c:y val="2.1536632613965694E-2"/>
                </c:manualLayout>
              </c:layout>
              <c:showLegendKey val="0"/>
              <c:showVal val="1"/>
              <c:showCatName val="1"/>
              <c:showSerName val="0"/>
              <c:showPercent val="0"/>
              <c:showBubbleSize val="0"/>
              <c:separator>
</c:separator>
            </c:dLbl>
            <c:dLbl>
              <c:idx val="6"/>
              <c:layout>
                <c:manualLayout>
                  <c:x val="-7.6715551181102362E-2"/>
                  <c:y val="-3.1207454921174612E-3"/>
                </c:manualLayout>
              </c:layout>
              <c:showLegendKey val="0"/>
              <c:showVal val="1"/>
              <c:showCatName val="1"/>
              <c:showSerName val="0"/>
              <c:showPercent val="0"/>
              <c:showBubbleSize val="0"/>
              <c:separator>
</c:separator>
            </c:dLbl>
            <c:dLbl>
              <c:idx val="7"/>
              <c:layout>
                <c:manualLayout>
                  <c:x val="-8.9681758530183744E-2"/>
                  <c:y val="3.2325351485115256E-2"/>
                </c:manualLayout>
              </c:layout>
              <c:showLegendKey val="0"/>
              <c:showVal val="1"/>
              <c:showCatName val="1"/>
              <c:showSerName val="0"/>
              <c:showPercent val="0"/>
              <c:showBubbleSize val="0"/>
              <c:separator>
</c:separator>
            </c:dLbl>
            <c:dLbl>
              <c:idx val="8"/>
              <c:layout>
                <c:manualLayout>
                  <c:x val="-9.803871391076116E-2"/>
                  <c:y val="-3.0038611016464475E-2"/>
                </c:manualLayout>
              </c:layout>
              <c:showLegendKey val="0"/>
              <c:showVal val="1"/>
              <c:showCatName val="1"/>
              <c:showSerName val="0"/>
              <c:showPercent val="0"/>
              <c:showBubbleSize val="0"/>
              <c:separator>
</c:separator>
            </c:dLbl>
            <c:dLbl>
              <c:idx val="9"/>
              <c:layout>
                <c:manualLayout>
                  <c:x val="-8.6332786526684149E-2"/>
                  <c:y val="-8.7234805102863314E-2"/>
                </c:manualLayout>
              </c:layout>
              <c:showLegendKey val="0"/>
              <c:showVal val="1"/>
              <c:showCatName val="1"/>
              <c:showSerName val="0"/>
              <c:showPercent val="0"/>
              <c:showBubbleSize val="0"/>
              <c:separator>
</c:separator>
            </c:dLbl>
            <c:dLbl>
              <c:idx val="10"/>
              <c:layout>
                <c:manualLayout>
                  <c:x val="-6.9359798775153109E-2"/>
                  <c:y val="-0.14469339271888876"/>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Lit>
              <c:ptCount val="11"/>
              <c:pt idx="0">
                <c:v>nezistené</c:v>
              </c:pt>
              <c:pt idx="1">
                <c:v>10</c:v>
              </c:pt>
              <c:pt idx="2">
                <c:v>11</c:v>
              </c:pt>
              <c:pt idx="3">
                <c:v>12</c:v>
              </c:pt>
              <c:pt idx="4">
                <c:v>13</c:v>
              </c:pt>
              <c:pt idx="5">
                <c:v>14</c:v>
              </c:pt>
              <c:pt idx="6">
                <c:v>15</c:v>
              </c:pt>
              <c:pt idx="7">
                <c:v>16</c:v>
              </c:pt>
              <c:pt idx="8">
                <c:v>17</c:v>
              </c:pt>
              <c:pt idx="9">
                <c:v>18</c:v>
              </c:pt>
              <c:pt idx="10">
                <c:v>19</c:v>
              </c:pt>
            </c:strLit>
          </c:cat>
          <c:val>
            <c:numRef>
              <c:f>'[Podklady VPM stavy regiony vzdel.xlsx]Hárok1'!$P$132:$P$142</c:f>
              <c:numCache>
                <c:formatCode>0.00</c:formatCode>
                <c:ptCount val="11"/>
                <c:pt idx="0" formatCode="General">
                  <c:v>4.3599999999999985</c:v>
                </c:pt>
                <c:pt idx="1">
                  <c:v>0.74000000000000365</c:v>
                </c:pt>
                <c:pt idx="2">
                  <c:v>5.35</c:v>
                </c:pt>
                <c:pt idx="3">
                  <c:v>9.68</c:v>
                </c:pt>
                <c:pt idx="4">
                  <c:v>30.34</c:v>
                </c:pt>
                <c:pt idx="5">
                  <c:v>18.899999999999999</c:v>
                </c:pt>
                <c:pt idx="6">
                  <c:v>7.64</c:v>
                </c:pt>
                <c:pt idx="7">
                  <c:v>8.1</c:v>
                </c:pt>
                <c:pt idx="8">
                  <c:v>3.52</c:v>
                </c:pt>
                <c:pt idx="9">
                  <c:v>9.43</c:v>
                </c:pt>
                <c:pt idx="10">
                  <c:v>1.9400000000000075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9221347331591"/>
          <c:y val="0.20612648080477849"/>
          <c:w val="0.39444444444444787"/>
          <c:h val="0.65740740740741122"/>
        </c:manualLayout>
      </c:layout>
      <c:pieChart>
        <c:varyColors val="1"/>
        <c:ser>
          <c:idx val="0"/>
          <c:order val="0"/>
          <c:explosion val="10"/>
          <c:dPt>
            <c:idx val="0"/>
            <c:bubble3D val="0"/>
            <c:spPr>
              <a:solidFill>
                <a:schemeClr val="tx1"/>
              </a:solidFill>
              <a:ln>
                <a:solidFill>
                  <a:schemeClr val="tx1"/>
                </a:solidFill>
              </a:ln>
            </c:spPr>
          </c:dPt>
          <c:dPt>
            <c:idx val="1"/>
            <c:bubble3D val="0"/>
            <c:spPr>
              <a:solidFill>
                <a:schemeClr val="accent1"/>
              </a:solidFill>
              <a:ln>
                <a:solidFill>
                  <a:schemeClr val="accent1"/>
                </a:solidFill>
              </a:ln>
            </c:spPr>
          </c:dPt>
          <c:dPt>
            <c:idx val="2"/>
            <c:bubble3D val="0"/>
            <c:spPr>
              <a:pattFill prst="dkDnDiag">
                <a:fgClr>
                  <a:schemeClr val="accent1"/>
                </a:fgClr>
                <a:bgClr>
                  <a:schemeClr val="bg1"/>
                </a:bgClr>
              </a:pattFill>
              <a:ln>
                <a:solidFill>
                  <a:schemeClr val="accent1"/>
                </a:solidFill>
              </a:ln>
            </c:spPr>
          </c:dPt>
          <c:dPt>
            <c:idx val="3"/>
            <c:bubble3D val="0"/>
            <c:spPr>
              <a:solidFill>
                <a:schemeClr val="accent2"/>
              </a:solidFill>
              <a:ln>
                <a:solidFill>
                  <a:schemeClr val="accent2"/>
                </a:solidFill>
              </a:ln>
            </c:spPr>
          </c:dPt>
          <c:dPt>
            <c:idx val="4"/>
            <c:bubble3D val="0"/>
            <c:spPr>
              <a:pattFill prst="pct40">
                <a:fgClr>
                  <a:schemeClr val="accent2"/>
                </a:fgClr>
                <a:bgClr>
                  <a:schemeClr val="bg1"/>
                </a:bgClr>
              </a:pattFill>
              <a:ln>
                <a:solidFill>
                  <a:schemeClr val="accent2"/>
                </a:solidFill>
              </a:ln>
            </c:spPr>
          </c:dPt>
          <c:dPt>
            <c:idx val="5"/>
            <c:bubble3D val="0"/>
            <c:spPr>
              <a:solidFill>
                <a:schemeClr val="accent3"/>
              </a:solidFill>
              <a:ln>
                <a:solidFill>
                  <a:schemeClr val="accent3"/>
                </a:solidFill>
              </a:ln>
            </c:spPr>
          </c:dPt>
          <c:dPt>
            <c:idx val="6"/>
            <c:bubble3D val="0"/>
            <c:spPr>
              <a:solidFill>
                <a:schemeClr val="accent3">
                  <a:lumMod val="40000"/>
                  <a:lumOff val="60000"/>
                </a:schemeClr>
              </a:solidFill>
              <a:ln>
                <a:solidFill>
                  <a:schemeClr val="accent2">
                    <a:lumMod val="60000"/>
                    <a:lumOff val="40000"/>
                  </a:schemeClr>
                </a:solidFill>
              </a:ln>
            </c:spPr>
          </c:dPt>
          <c:dPt>
            <c:idx val="7"/>
            <c:bubble3D val="0"/>
            <c:spPr>
              <a:pattFill prst="dashVert">
                <a:fgClr>
                  <a:schemeClr val="accent3"/>
                </a:fgClr>
                <a:bgClr>
                  <a:schemeClr val="bg1"/>
                </a:bgClr>
              </a:pattFill>
              <a:ln>
                <a:solidFill>
                  <a:schemeClr val="accent3"/>
                </a:solidFill>
              </a:ln>
            </c:spPr>
          </c:dPt>
          <c:dPt>
            <c:idx val="8"/>
            <c:bubble3D val="0"/>
            <c:spPr>
              <a:solidFill>
                <a:schemeClr val="accent4"/>
              </a:solidFill>
              <a:ln>
                <a:solidFill>
                  <a:schemeClr val="accent4"/>
                </a:solidFill>
              </a:ln>
            </c:spPr>
          </c:dPt>
          <c:dPt>
            <c:idx val="9"/>
            <c:bubble3D val="0"/>
            <c:spPr>
              <a:pattFill prst="narHorz">
                <a:fgClr>
                  <a:schemeClr val="accent4"/>
                </a:fgClr>
                <a:bgClr>
                  <a:schemeClr val="bg1"/>
                </a:bgClr>
              </a:pattFill>
              <a:ln>
                <a:solidFill>
                  <a:schemeClr val="accent4"/>
                </a:solidFill>
              </a:ln>
            </c:spPr>
          </c:dPt>
          <c:dLbls>
            <c:dLbl>
              <c:idx val="0"/>
              <c:layout>
                <c:manualLayout>
                  <c:x val="-7.1260279965004378E-2"/>
                  <c:y val="-7.2615565735139678E-2"/>
                </c:manualLayout>
              </c:layout>
              <c:showLegendKey val="0"/>
              <c:showVal val="1"/>
              <c:showCatName val="1"/>
              <c:showSerName val="0"/>
              <c:showPercent val="0"/>
              <c:showBubbleSize val="0"/>
              <c:separator>
</c:separator>
            </c:dLbl>
            <c:dLbl>
              <c:idx val="1"/>
              <c:layout>
                <c:manualLayout>
                  <c:x val="4.0974628171478497E-2"/>
                  <c:y val="-7.6274216771287207E-2"/>
                </c:manualLayout>
              </c:layout>
              <c:showLegendKey val="0"/>
              <c:showVal val="1"/>
              <c:showCatName val="1"/>
              <c:showSerName val="0"/>
              <c:showPercent val="0"/>
              <c:showBubbleSize val="0"/>
              <c:separator>
</c:separator>
            </c:dLbl>
            <c:dLbl>
              <c:idx val="2"/>
              <c:layout>
                <c:manualLayout>
                  <c:x val="0.10918591426071762"/>
                  <c:y val="-2.1041030112667301E-2"/>
                </c:manualLayout>
              </c:layout>
              <c:showLegendKey val="0"/>
              <c:showVal val="1"/>
              <c:showCatName val="1"/>
              <c:showSerName val="0"/>
              <c:showPercent val="0"/>
              <c:showBubbleSize val="0"/>
              <c:separator>
</c:separator>
            </c:dLbl>
            <c:dLbl>
              <c:idx val="3"/>
              <c:layout>
                <c:manualLayout>
                  <c:x val="5.4920603674540734E-2"/>
                  <c:y val="1.1544099827506741E-2"/>
                </c:manualLayout>
              </c:layout>
              <c:showLegendKey val="0"/>
              <c:showVal val="1"/>
              <c:showCatName val="1"/>
              <c:showSerName val="0"/>
              <c:showPercent val="0"/>
              <c:showBubbleSize val="0"/>
              <c:separator>
</c:separator>
            </c:dLbl>
            <c:dLbl>
              <c:idx val="4"/>
              <c:layout>
                <c:manualLayout>
                  <c:x val="7.7641732283464548E-2"/>
                  <c:y val="1.2988968509287551E-2"/>
                </c:manualLayout>
              </c:layout>
              <c:showLegendKey val="0"/>
              <c:showVal val="1"/>
              <c:showCatName val="1"/>
              <c:showSerName val="0"/>
              <c:showPercent val="0"/>
              <c:showBubbleSize val="0"/>
              <c:separator>
</c:separator>
            </c:dLbl>
            <c:dLbl>
              <c:idx val="5"/>
              <c:layout>
                <c:manualLayout>
                  <c:x val="4.9640966754155726E-2"/>
                  <c:y val="-2.047615031148578E-2"/>
                </c:manualLayout>
              </c:layout>
              <c:showLegendKey val="0"/>
              <c:showVal val="1"/>
              <c:showCatName val="1"/>
              <c:showSerName val="0"/>
              <c:showPercent val="0"/>
              <c:showBubbleSize val="0"/>
              <c:separator>
</c:separator>
            </c:dLbl>
            <c:dLbl>
              <c:idx val="6"/>
              <c:layout>
                <c:manualLayout>
                  <c:x val="4.5903871391076122E-2"/>
                  <c:y val="2.3273819989261028E-2"/>
                </c:manualLayout>
              </c:layout>
              <c:showLegendKey val="0"/>
              <c:showVal val="1"/>
              <c:showCatName val="1"/>
              <c:showSerName val="0"/>
              <c:showPercent val="0"/>
              <c:showBubbleSize val="0"/>
              <c:separator>
</c:separator>
            </c:dLbl>
            <c:dLbl>
              <c:idx val="7"/>
              <c:layout>
                <c:manualLayout>
                  <c:x val="4.1999125109361329E-3"/>
                  <c:y val="3.2335953203480275E-2"/>
                </c:manualLayout>
              </c:layout>
              <c:showLegendKey val="0"/>
              <c:showVal val="1"/>
              <c:showCatName val="1"/>
              <c:showSerName val="0"/>
              <c:showPercent val="0"/>
              <c:showBubbleSize val="0"/>
              <c:separator>
</c:separator>
            </c:dLbl>
            <c:dLbl>
              <c:idx val="8"/>
              <c:layout>
                <c:manualLayout>
                  <c:x val="-4.2459755030621174E-2"/>
                  <c:y val="3.0912764976739546E-2"/>
                </c:manualLayout>
              </c:layout>
              <c:showLegendKey val="0"/>
              <c:showVal val="1"/>
              <c:showCatName val="1"/>
              <c:showSerName val="0"/>
              <c:showPercent val="0"/>
              <c:showBubbleSize val="0"/>
              <c:separator>
</c:separator>
            </c:dLbl>
            <c:dLbl>
              <c:idx val="9"/>
              <c:layout>
                <c:manualLayout>
                  <c:x val="-0.11905632108486439"/>
                  <c:y val="2.5392267739958087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numLit>
              <c:formatCode>General</c:formatCode>
              <c:ptCount val="10"/>
              <c:pt idx="0">
                <c:v>0</c:v>
              </c:pt>
              <c:pt idx="1">
                <c:v>1</c:v>
              </c:pt>
              <c:pt idx="2">
                <c:v>2</c:v>
              </c:pt>
              <c:pt idx="3">
                <c:v>3</c:v>
              </c:pt>
              <c:pt idx="4">
                <c:v>4</c:v>
              </c:pt>
              <c:pt idx="5">
                <c:v>5</c:v>
              </c:pt>
              <c:pt idx="6">
                <c:v>6</c:v>
              </c:pt>
              <c:pt idx="7">
                <c:v>7</c:v>
              </c:pt>
              <c:pt idx="8">
                <c:v>8</c:v>
              </c:pt>
              <c:pt idx="9">
                <c:v>9</c:v>
              </c:pt>
            </c:numLit>
          </c:cat>
          <c:val>
            <c:numRef>
              <c:f>'[Podklady VPM stavy regiony ISCO.xlsx]Hárok1'!$P$128:$P$137</c:f>
              <c:numCache>
                <c:formatCode>0.00</c:formatCode>
                <c:ptCount val="10"/>
                <c:pt idx="0">
                  <c:v>0.1</c:v>
                </c:pt>
                <c:pt idx="1">
                  <c:v>2.2599999999999998</c:v>
                </c:pt>
                <c:pt idx="2">
                  <c:v>8.01</c:v>
                </c:pt>
                <c:pt idx="3">
                  <c:v>8.44</c:v>
                </c:pt>
                <c:pt idx="4">
                  <c:v>4.8499999999999996</c:v>
                </c:pt>
                <c:pt idx="5">
                  <c:v>19.100000000000001</c:v>
                </c:pt>
                <c:pt idx="6">
                  <c:v>0.45</c:v>
                </c:pt>
                <c:pt idx="7">
                  <c:v>26.18</c:v>
                </c:pt>
                <c:pt idx="8">
                  <c:v>21.87</c:v>
                </c:pt>
                <c:pt idx="9">
                  <c:v>8.74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36698997528107E-2"/>
          <c:y val="4.0454730392743457E-2"/>
          <c:w val="0.8277615905299287"/>
          <c:h val="0.74590707576226667"/>
        </c:manualLayout>
      </c:layout>
      <c:barChart>
        <c:barDir val="col"/>
        <c:grouping val="clustered"/>
        <c:varyColors val="0"/>
        <c:ser>
          <c:idx val="2"/>
          <c:order val="0"/>
          <c:tx>
            <c:strRef>
              <c:f>'UoZ nad 12 mes'!$A$5</c:f>
              <c:strCache>
                <c:ptCount val="1"/>
                <c:pt idx="0">
                  <c:v>2013 - počet UoZ nad 12 mes. v evidencii</c:v>
                </c:pt>
              </c:strCache>
            </c:strRef>
          </c:tx>
          <c:spPr>
            <a:solidFill>
              <a:schemeClr val="accent1"/>
            </a:solidFill>
          </c:spPr>
          <c:invertIfNegative val="0"/>
          <c:cat>
            <c:strRef>
              <c:f>'\Users\brezova\AppData\Local\Microsoft\Windows\Temporary Internet Files\Content.Outlook\21QP0YNE\[Kópia - Znevýhodnení_podklad_TP_tabulky  (6).xlsx]Znevýhodnení UoZ (2)'!$B$3:$M$3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'UoZ nad 12 mes'!$B$5:$M$5</c:f>
              <c:numCache>
                <c:formatCode>#,##0</c:formatCode>
                <c:ptCount val="12"/>
                <c:pt idx="0">
                  <c:v>215845</c:v>
                </c:pt>
                <c:pt idx="1">
                  <c:v>214211</c:v>
                </c:pt>
                <c:pt idx="2">
                  <c:v>214088</c:v>
                </c:pt>
                <c:pt idx="3">
                  <c:v>214333</c:v>
                </c:pt>
                <c:pt idx="4">
                  <c:v>213999</c:v>
                </c:pt>
                <c:pt idx="5">
                  <c:v>215655</c:v>
                </c:pt>
                <c:pt idx="6">
                  <c:v>212476</c:v>
                </c:pt>
                <c:pt idx="7">
                  <c:v>210023</c:v>
                </c:pt>
                <c:pt idx="8">
                  <c:v>213267</c:v>
                </c:pt>
                <c:pt idx="9">
                  <c:v>212763</c:v>
                </c:pt>
                <c:pt idx="10">
                  <c:v>212548</c:v>
                </c:pt>
                <c:pt idx="11">
                  <c:v>213880</c:v>
                </c:pt>
              </c:numCache>
            </c:numRef>
          </c:val>
        </c:ser>
        <c:ser>
          <c:idx val="3"/>
          <c:order val="2"/>
          <c:tx>
            <c:strRef>
              <c:f>'UoZ nad 12 mes'!$A$6</c:f>
              <c:strCache>
                <c:ptCount val="1"/>
                <c:pt idx="0">
                  <c:v>2014 - počet UoZ nad 12 mes. v evidencii</c:v>
                </c:pt>
              </c:strCache>
            </c:strRef>
          </c:tx>
          <c:spPr>
            <a:solidFill>
              <a:schemeClr val="accent2"/>
            </a:solidFill>
          </c:spPr>
          <c:invertIfNegative val="0"/>
          <c:cat>
            <c:strRef>
              <c:f>'\Users\brezova\AppData\Local\Microsoft\Windows\Temporary Internet Files\Content.Outlook\21QP0YNE\[Kópia - Znevýhodnení_podklad_TP_tabulky  (6).xlsx]Znevýhodnení UoZ (2)'!$B$3:$M$3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'UoZ nad 12 mes'!$B$6:$M$6</c:f>
              <c:numCache>
                <c:formatCode>#,##0</c:formatCode>
                <c:ptCount val="12"/>
                <c:pt idx="0">
                  <c:v>216522</c:v>
                </c:pt>
                <c:pt idx="1">
                  <c:v>216287</c:v>
                </c:pt>
                <c:pt idx="2">
                  <c:v>214346</c:v>
                </c:pt>
                <c:pt idx="3">
                  <c:v>212746</c:v>
                </c:pt>
                <c:pt idx="4">
                  <c:v>210981</c:v>
                </c:pt>
                <c:pt idx="5">
                  <c:v>209363</c:v>
                </c:pt>
                <c:pt idx="6">
                  <c:v>208300</c:v>
                </c:pt>
                <c:pt idx="7">
                  <c:v>206856</c:v>
                </c:pt>
                <c:pt idx="8">
                  <c:v>207561</c:v>
                </c:pt>
                <c:pt idx="9">
                  <c:v>204560</c:v>
                </c:pt>
                <c:pt idx="10">
                  <c:v>203012</c:v>
                </c:pt>
                <c:pt idx="11">
                  <c:v>203408</c:v>
                </c:pt>
              </c:numCache>
            </c:numRef>
          </c:val>
        </c:ser>
        <c:dLbls>
          <c:showLegendKey val="0"/>
          <c:showVal val="0"/>
          <c:showCatName val="0"/>
          <c:showSerName val="0"/>
          <c:showPercent val="0"/>
          <c:showBubbleSize val="0"/>
        </c:dLbls>
        <c:gapWidth val="75"/>
        <c:axId val="234942848"/>
        <c:axId val="234941056"/>
      </c:barChart>
      <c:lineChart>
        <c:grouping val="standard"/>
        <c:varyColors val="0"/>
        <c:ser>
          <c:idx val="0"/>
          <c:order val="1"/>
          <c:tx>
            <c:strRef>
              <c:f>'UoZ nad 12 mes'!$A$7</c:f>
              <c:strCache>
                <c:ptCount val="1"/>
                <c:pt idx="0">
                  <c:v>2013 - podiel UoZ nad 12 mes. v evidencii </c:v>
                </c:pt>
              </c:strCache>
            </c:strRef>
          </c:tx>
          <c:marker>
            <c:spPr>
              <a:solidFill>
                <a:schemeClr val="bg1"/>
              </a:solidFill>
              <a:ln w="15875">
                <a:solidFill>
                  <a:schemeClr val="accent1"/>
                </a:solidFill>
              </a:ln>
            </c:spPr>
          </c:marker>
          <c:cat>
            <c:strRef>
              <c:f>'UoZ nad 12 mes'!$B$4:$M$4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'UoZ nad 12 mes'!$B$7:$M$7</c:f>
              <c:numCache>
                <c:formatCode>0.00</c:formatCode>
                <c:ptCount val="12"/>
                <c:pt idx="0">
                  <c:v>49.569628741634858</c:v>
                </c:pt>
                <c:pt idx="1">
                  <c:v>49.008105826449018</c:v>
                </c:pt>
                <c:pt idx="2">
                  <c:v>49.628403595884862</c:v>
                </c:pt>
                <c:pt idx="3">
                  <c:v>50.781266658927045</c:v>
                </c:pt>
                <c:pt idx="4">
                  <c:v>51.51612173268304</c:v>
                </c:pt>
                <c:pt idx="5">
                  <c:v>51.571378010751658</c:v>
                </c:pt>
                <c:pt idx="6">
                  <c:v>51.713932455192307</c:v>
                </c:pt>
                <c:pt idx="7">
                  <c:v>52.216860220828266</c:v>
                </c:pt>
                <c:pt idx="8">
                  <c:v>52.464464769814143</c:v>
                </c:pt>
                <c:pt idx="9">
                  <c:v>52.859716028372304</c:v>
                </c:pt>
                <c:pt idx="10">
                  <c:v>53.195381931670013</c:v>
                </c:pt>
                <c:pt idx="11">
                  <c:v>53.620674094204709</c:v>
                </c:pt>
              </c:numCache>
            </c:numRef>
          </c:val>
          <c:smooth val="0"/>
        </c:ser>
        <c:ser>
          <c:idx val="1"/>
          <c:order val="3"/>
          <c:tx>
            <c:strRef>
              <c:f>'UoZ nad 12 mes'!$A$8</c:f>
              <c:strCache>
                <c:ptCount val="1"/>
                <c:pt idx="0">
                  <c:v>2014 - podiel UoZ nad 12 mes. v evidencii </c:v>
                </c:pt>
              </c:strCache>
            </c:strRef>
          </c:tx>
          <c:marker>
            <c:spPr>
              <a:solidFill>
                <a:schemeClr val="bg1"/>
              </a:solidFill>
              <a:ln w="15875"/>
            </c:spPr>
          </c:marker>
          <c:cat>
            <c:strRef>
              <c:f>'UoZ nad 12 mes'!$B$4:$M$4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'UoZ nad 12 mes'!$B$8:$M$8</c:f>
              <c:numCache>
                <c:formatCode>0.00</c:formatCode>
                <c:ptCount val="12"/>
                <c:pt idx="0">
                  <c:v>53.844585252310068</c:v>
                </c:pt>
                <c:pt idx="1">
                  <c:v>53.819337308025361</c:v>
                </c:pt>
                <c:pt idx="2">
                  <c:v>53.962076049303157</c:v>
                </c:pt>
                <c:pt idx="3">
                  <c:v>54.512237618891426</c:v>
                </c:pt>
                <c:pt idx="4">
                  <c:v>54.775219639852963</c:v>
                </c:pt>
                <c:pt idx="5">
                  <c:v>54.404729422464754</c:v>
                </c:pt>
                <c:pt idx="6">
                  <c:v>54.244509143181538</c:v>
                </c:pt>
                <c:pt idx="7">
                  <c:v>54.340265007828243</c:v>
                </c:pt>
                <c:pt idx="8">
                  <c:v>54.907412306227187</c:v>
                </c:pt>
                <c:pt idx="9">
                  <c:v>54.407438733117345</c:v>
                </c:pt>
                <c:pt idx="10">
                  <c:v>54.278671080001502</c:v>
                </c:pt>
                <c:pt idx="11">
                  <c:v>54.422962697389188</c:v>
                </c:pt>
              </c:numCache>
            </c:numRef>
          </c:val>
          <c:smooth val="0"/>
        </c:ser>
        <c:dLbls>
          <c:showLegendKey val="0"/>
          <c:showVal val="0"/>
          <c:showCatName val="0"/>
          <c:showSerName val="0"/>
          <c:showPercent val="0"/>
          <c:showBubbleSize val="0"/>
        </c:dLbls>
        <c:marker val="1"/>
        <c:smooth val="0"/>
        <c:axId val="234929152"/>
        <c:axId val="234939520"/>
      </c:lineChart>
      <c:catAx>
        <c:axId val="234929152"/>
        <c:scaling>
          <c:orientation val="minMax"/>
        </c:scaling>
        <c:delete val="0"/>
        <c:axPos val="b"/>
        <c:numFmt formatCode="General" sourceLinked="1"/>
        <c:majorTickMark val="none"/>
        <c:minorTickMark val="none"/>
        <c:tickLblPos val="nextTo"/>
        <c:crossAx val="234939520"/>
        <c:crosses val="autoZero"/>
        <c:auto val="1"/>
        <c:lblAlgn val="ctr"/>
        <c:lblOffset val="100"/>
        <c:noMultiLvlLbl val="0"/>
      </c:catAx>
      <c:valAx>
        <c:axId val="234939520"/>
        <c:scaling>
          <c:orientation val="minMax"/>
          <c:max val="58"/>
          <c:min val="44"/>
        </c:scaling>
        <c:delete val="0"/>
        <c:axPos val="l"/>
        <c:majorGridlines/>
        <c:numFmt formatCode="#,##0.0" sourceLinked="0"/>
        <c:majorTickMark val="out"/>
        <c:minorTickMark val="none"/>
        <c:tickLblPos val="nextTo"/>
        <c:crossAx val="234929152"/>
        <c:crosses val="autoZero"/>
        <c:crossBetween val="between"/>
      </c:valAx>
      <c:valAx>
        <c:axId val="234941056"/>
        <c:scaling>
          <c:orientation val="minMax"/>
          <c:max val="240000"/>
        </c:scaling>
        <c:delete val="0"/>
        <c:axPos val="r"/>
        <c:numFmt formatCode="#,##0" sourceLinked="0"/>
        <c:majorTickMark val="out"/>
        <c:minorTickMark val="none"/>
        <c:tickLblPos val="nextTo"/>
        <c:crossAx val="234942848"/>
        <c:crosses val="max"/>
        <c:crossBetween val="between"/>
      </c:valAx>
      <c:catAx>
        <c:axId val="234942848"/>
        <c:scaling>
          <c:orientation val="minMax"/>
        </c:scaling>
        <c:delete val="1"/>
        <c:axPos val="b"/>
        <c:majorTickMark val="out"/>
        <c:minorTickMark val="none"/>
        <c:tickLblPos val="none"/>
        <c:crossAx val="234941056"/>
        <c:crosses val="autoZero"/>
        <c:auto val="1"/>
        <c:lblAlgn val="ctr"/>
        <c:lblOffset val="100"/>
        <c:noMultiLvlLbl val="0"/>
      </c:catAx>
    </c:plotArea>
    <c:legend>
      <c:legendPos val="b"/>
      <c:layout>
        <c:manualLayout>
          <c:xMode val="edge"/>
          <c:yMode val="edge"/>
          <c:x val="4.1414962018636745E-2"/>
          <c:y val="0.86455053205117471"/>
          <c:w val="0.88966438499533818"/>
          <c:h val="9.7850046401466953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18197573656837"/>
          <c:y val="4.6979865771811451E-2"/>
          <c:w val="0.83015597920277295"/>
          <c:h val="0.70134228187919467"/>
        </c:manualLayout>
      </c:layout>
      <c:lineChart>
        <c:grouping val="standard"/>
        <c:varyColors val="0"/>
        <c:ser>
          <c:idx val="0"/>
          <c:order val="0"/>
          <c:tx>
            <c:strRef>
              <c:f>'vyvoj nom.mzdy 2000-2012'!$A$4</c:f>
              <c:strCache>
                <c:ptCount val="1"/>
                <c:pt idx="0">
                  <c:v>Priemerná mesačná mzda nominálna</c:v>
                </c:pt>
              </c:strCache>
            </c:strRef>
          </c:tx>
          <c:dLbls>
            <c:dLbl>
              <c:idx val="0"/>
              <c:layout>
                <c:manualLayout>
                  <c:x val="-3.8812778410675521E-2"/>
                  <c:y val="-4.9217002237137056E-2"/>
                </c:manualLayout>
              </c:layout>
              <c:dLblPos val="r"/>
              <c:showLegendKey val="0"/>
              <c:showVal val="1"/>
              <c:showCatName val="0"/>
              <c:showSerName val="0"/>
              <c:showPercent val="0"/>
              <c:showBubbleSize val="0"/>
            </c:dLbl>
            <c:dLbl>
              <c:idx val="1"/>
              <c:layout>
                <c:manualLayout>
                  <c:x val="-5.2511406085031534E-2"/>
                  <c:y val="-4.0268456375838917E-2"/>
                </c:manualLayout>
              </c:layout>
              <c:dLblPos val="r"/>
              <c:showLegendKey val="0"/>
              <c:showVal val="1"/>
              <c:showCatName val="0"/>
              <c:showSerName val="0"/>
              <c:showPercent val="0"/>
              <c:showBubbleSize val="0"/>
            </c:dLbl>
            <c:dLbl>
              <c:idx val="2"/>
              <c:layout>
                <c:manualLayout>
                  <c:x val="-5.4794510697424123E-2"/>
                  <c:y val="-2.6845637583892992E-2"/>
                </c:manualLayout>
              </c:layout>
              <c:dLblPos val="r"/>
              <c:showLegendKey val="0"/>
              <c:showVal val="1"/>
              <c:showCatName val="0"/>
              <c:showSerName val="0"/>
              <c:showPercent val="0"/>
              <c:showBubbleSize val="0"/>
            </c:dLbl>
            <c:dLbl>
              <c:idx val="3"/>
              <c:layout>
                <c:manualLayout>
                  <c:x val="-5.0228301472638417E-2"/>
                  <c:y val="-4.4742729306487823E-2"/>
                </c:manualLayout>
              </c:layout>
              <c:dLblPos val="r"/>
              <c:showLegendKey val="0"/>
              <c:showVal val="1"/>
              <c:showCatName val="0"/>
              <c:showSerName val="0"/>
              <c:showPercent val="0"/>
              <c:showBubbleSize val="0"/>
            </c:dLbl>
            <c:dLbl>
              <c:idx val="4"/>
              <c:layout>
                <c:manualLayout>
                  <c:x val="-4.5662092247853114E-2"/>
                  <c:y val="-5.8165548098433995E-2"/>
                </c:manualLayout>
              </c:layout>
              <c:dLblPos val="r"/>
              <c:showLegendKey val="0"/>
              <c:showVal val="1"/>
              <c:showCatName val="0"/>
              <c:showSerName val="0"/>
              <c:showPercent val="0"/>
              <c:showBubbleSize val="0"/>
            </c:dLbl>
            <c:dLbl>
              <c:idx val="5"/>
              <c:layout>
                <c:manualLayout>
                  <c:x val="-4.3378987635460463E-2"/>
                  <c:y val="-3.1319910514541492E-2"/>
                </c:manualLayout>
              </c:layout>
              <c:dLblPos val="r"/>
              <c:showLegendKey val="0"/>
              <c:showVal val="1"/>
              <c:showCatName val="0"/>
              <c:showSerName val="0"/>
              <c:showPercent val="0"/>
              <c:showBubbleSize val="0"/>
            </c:dLbl>
            <c:dLbl>
              <c:idx val="6"/>
              <c:layout>
                <c:manualLayout>
                  <c:x val="-3.6529673798282494E-2"/>
                  <c:y val="-4.9217002237137042E-2"/>
                </c:manualLayout>
              </c:layout>
              <c:dLblPos val="r"/>
              <c:showLegendKey val="0"/>
              <c:showVal val="1"/>
              <c:showCatName val="0"/>
              <c:showSerName val="0"/>
              <c:showPercent val="0"/>
              <c:showBubbleSize val="0"/>
            </c:dLbl>
            <c:dLbl>
              <c:idx val="7"/>
              <c:layout>
                <c:manualLayout>
                  <c:x val="-3.8812778410675625E-2"/>
                  <c:y val="-4.0268456375838917E-2"/>
                </c:manualLayout>
              </c:layout>
              <c:dLblPos val="r"/>
              <c:showLegendKey val="0"/>
              <c:showVal val="1"/>
              <c:showCatName val="0"/>
              <c:showSerName val="0"/>
              <c:showPercent val="0"/>
              <c:showBubbleSize val="0"/>
            </c:dLbl>
            <c:dLbl>
              <c:idx val="8"/>
              <c:layout>
                <c:manualLayout>
                  <c:x val="-4.1095883023067797E-2"/>
                  <c:y val="-4.4742729306487823E-2"/>
                </c:manualLayout>
              </c:layout>
              <c:dLblPos val="r"/>
              <c:showLegendKey val="0"/>
              <c:showVal val="1"/>
              <c:showCatName val="0"/>
              <c:showSerName val="0"/>
              <c:showPercent val="0"/>
              <c:showBubbleSize val="0"/>
            </c:dLbl>
            <c:dLbl>
              <c:idx val="9"/>
              <c:layout>
                <c:manualLayout>
                  <c:x val="-3.6529673798282494E-2"/>
                  <c:y val="-2.6845637583892992E-2"/>
                </c:manualLayout>
              </c:layout>
              <c:dLblPos val="r"/>
              <c:showLegendKey val="0"/>
              <c:showVal val="1"/>
              <c:showCatName val="0"/>
              <c:showSerName val="0"/>
              <c:showPercent val="0"/>
              <c:showBubbleSize val="0"/>
            </c:dLbl>
            <c:dLbl>
              <c:idx val="10"/>
              <c:layout>
                <c:manualLayout>
                  <c:x val="-2.9680359961104592E-2"/>
                  <c:y val="-4.0268456375838882E-2"/>
                </c:manualLayout>
              </c:layout>
              <c:dLblPos val="r"/>
              <c:showLegendKey val="0"/>
              <c:showVal val="1"/>
              <c:showCatName val="0"/>
              <c:showSerName val="0"/>
              <c:showPercent val="0"/>
              <c:showBubbleSize val="0"/>
            </c:dLbl>
            <c:dLbl>
              <c:idx val="11"/>
              <c:layout>
                <c:manualLayout>
                  <c:x val="-4.1095883023067797E-2"/>
                  <c:y val="-3.5794183445190156E-2"/>
                </c:manualLayout>
              </c:layout>
              <c:dLblPos val="r"/>
              <c:showLegendKey val="0"/>
              <c:showVal val="1"/>
              <c:showCatName val="0"/>
              <c:showSerName val="0"/>
              <c:showPercent val="0"/>
              <c:showBubbleSize val="0"/>
            </c:dLbl>
            <c:dLbl>
              <c:idx val="12"/>
              <c:layout>
                <c:manualLayout>
                  <c:x val="-2.5114150736319209E-2"/>
                  <c:y val="-4.921700223713707E-2"/>
                </c:manualLayout>
              </c:layout>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'vyvoj nom.mzdy 2000-2012'!$B$3:$P$3</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'vyvoj nom.mzdy 2000-2012'!$B$4:$P$4</c:f>
              <c:numCache>
                <c:formatCode>0.0__</c:formatCode>
                <c:ptCount val="15"/>
                <c:pt idx="0">
                  <c:v>106.5</c:v>
                </c:pt>
                <c:pt idx="1">
                  <c:v>108.2</c:v>
                </c:pt>
                <c:pt idx="2">
                  <c:v>109.3</c:v>
                </c:pt>
                <c:pt idx="3">
                  <c:v>106.3</c:v>
                </c:pt>
                <c:pt idx="4">
                  <c:v>110.2</c:v>
                </c:pt>
                <c:pt idx="5">
                  <c:v>109.2</c:v>
                </c:pt>
                <c:pt idx="6">
                  <c:v>108</c:v>
                </c:pt>
                <c:pt idx="7">
                  <c:v>107.2</c:v>
                </c:pt>
                <c:pt idx="8">
                  <c:v>108.1</c:v>
                </c:pt>
                <c:pt idx="9">
                  <c:v>103</c:v>
                </c:pt>
                <c:pt idx="10">
                  <c:v>103.2</c:v>
                </c:pt>
                <c:pt idx="11">
                  <c:v>102.2</c:v>
                </c:pt>
                <c:pt idx="12">
                  <c:v>102.4</c:v>
                </c:pt>
                <c:pt idx="13">
                  <c:v>102.4</c:v>
                </c:pt>
                <c:pt idx="14">
                  <c:v>104.1</c:v>
                </c:pt>
              </c:numCache>
            </c:numRef>
          </c:val>
          <c:smooth val="0"/>
        </c:ser>
        <c:ser>
          <c:idx val="1"/>
          <c:order val="1"/>
          <c:tx>
            <c:strRef>
              <c:f>'vyvoj nom.mzdy 2000-2012'!$A$5</c:f>
              <c:strCache>
                <c:ptCount val="1"/>
                <c:pt idx="0">
                  <c:v>Priemerná mesačná mzda reálna</c:v>
                </c:pt>
              </c:strCache>
            </c:strRef>
          </c:tx>
          <c:dLbls>
            <c:dLbl>
              <c:idx val="0"/>
              <c:layout>
                <c:manualLayout>
                  <c:x val="-3.6529673798282494E-2"/>
                  <c:y val="-4.0268456375838917E-2"/>
                </c:manualLayout>
              </c:layout>
              <c:dLblPos val="r"/>
              <c:showLegendKey val="0"/>
              <c:showVal val="1"/>
              <c:showCatName val="0"/>
              <c:showSerName val="0"/>
              <c:showPercent val="0"/>
              <c:showBubbleSize val="0"/>
            </c:dLbl>
            <c:dLbl>
              <c:idx val="1"/>
              <c:layout>
                <c:manualLayout>
                  <c:x val="-4.7945196860245773E-2"/>
                  <c:y val="-4.9217002237136986E-2"/>
                </c:manualLayout>
              </c:layout>
              <c:dLblPos val="r"/>
              <c:showLegendKey val="0"/>
              <c:showVal val="1"/>
              <c:showCatName val="0"/>
              <c:showSerName val="0"/>
              <c:showPercent val="0"/>
              <c:showBubbleSize val="0"/>
            </c:dLbl>
            <c:dLbl>
              <c:idx val="2"/>
              <c:layout>
                <c:manualLayout>
                  <c:x val="-5.4794510697424123E-2"/>
                  <c:y val="-4.0268456375838917E-2"/>
                </c:manualLayout>
              </c:layout>
              <c:dLblPos val="r"/>
              <c:showLegendKey val="0"/>
              <c:showVal val="1"/>
              <c:showCatName val="0"/>
              <c:showSerName val="0"/>
              <c:showPercent val="0"/>
              <c:showBubbleSize val="0"/>
            </c:dLbl>
            <c:dLbl>
              <c:idx val="3"/>
              <c:layout>
                <c:manualLayout>
                  <c:x val="-5.2511406085031534E-2"/>
                  <c:y val="-3.5794183445190156E-2"/>
                </c:manualLayout>
              </c:layout>
              <c:dLblPos val="r"/>
              <c:showLegendKey val="0"/>
              <c:showVal val="1"/>
              <c:showCatName val="0"/>
              <c:showSerName val="0"/>
              <c:showPercent val="0"/>
              <c:showBubbleSize val="0"/>
            </c:dLbl>
            <c:dLbl>
              <c:idx val="4"/>
              <c:layout>
                <c:manualLayout>
                  <c:x val="-3.4246569185889836E-2"/>
                  <c:y val="-6.7114093959732585E-2"/>
                </c:manualLayout>
              </c:layout>
              <c:dLblPos val="r"/>
              <c:showLegendKey val="0"/>
              <c:showVal val="1"/>
              <c:showCatName val="0"/>
              <c:showSerName val="0"/>
              <c:showPercent val="0"/>
              <c:showBubbleSize val="0"/>
            </c:dLbl>
            <c:dLbl>
              <c:idx val="5"/>
              <c:layout>
                <c:manualLayout>
                  <c:x val="-5.4794510697424123E-2"/>
                  <c:y val="-4.0268456375838917E-2"/>
                </c:manualLayout>
              </c:layout>
              <c:dLblPos val="r"/>
              <c:showLegendKey val="0"/>
              <c:showVal val="1"/>
              <c:showCatName val="0"/>
              <c:showSerName val="0"/>
              <c:showPercent val="0"/>
              <c:showBubbleSize val="0"/>
            </c:dLbl>
            <c:dLbl>
              <c:idx val="6"/>
              <c:layout>
                <c:manualLayout>
                  <c:x val="-3.8812778410675521E-2"/>
                  <c:y val="-4.0268456375838917E-2"/>
                </c:manualLayout>
              </c:layout>
              <c:dLblPos val="r"/>
              <c:showLegendKey val="0"/>
              <c:showVal val="1"/>
              <c:showCatName val="0"/>
              <c:showSerName val="0"/>
              <c:showPercent val="0"/>
              <c:showBubbleSize val="0"/>
            </c:dLbl>
            <c:dLbl>
              <c:idx val="7"/>
              <c:layout>
                <c:manualLayout>
                  <c:x val="-3.8812778410675625E-2"/>
                  <c:y val="-4.4742729306487823E-2"/>
                </c:manualLayout>
              </c:layout>
              <c:dLblPos val="r"/>
              <c:showLegendKey val="0"/>
              <c:showVal val="1"/>
              <c:showCatName val="0"/>
              <c:showSerName val="0"/>
              <c:showPercent val="0"/>
              <c:showBubbleSize val="0"/>
            </c:dLbl>
            <c:dLbl>
              <c:idx val="8"/>
              <c:layout>
                <c:manualLayout>
                  <c:x val="-4.7945196860245773E-2"/>
                  <c:y val="-4.0268456375838882E-2"/>
                </c:manualLayout>
              </c:layout>
              <c:dLblPos val="r"/>
              <c:showLegendKey val="0"/>
              <c:showVal val="1"/>
              <c:showCatName val="0"/>
              <c:showSerName val="0"/>
              <c:showPercent val="0"/>
              <c:showBubbleSize val="0"/>
            </c:dLbl>
            <c:dLbl>
              <c:idx val="9"/>
              <c:layout>
                <c:manualLayout>
                  <c:x val="-3.4246569185889836E-2"/>
                  <c:y val="-4.0268456375838972E-2"/>
                </c:manualLayout>
              </c:layout>
              <c:dLblPos val="r"/>
              <c:showLegendKey val="0"/>
              <c:showVal val="1"/>
              <c:showCatName val="0"/>
              <c:showSerName val="0"/>
              <c:showPercent val="0"/>
              <c:showBubbleSize val="0"/>
            </c:dLbl>
            <c:dLbl>
              <c:idx val="10"/>
              <c:layout>
                <c:manualLayout>
                  <c:x val="-4.1095883023067797E-2"/>
                  <c:y val="4.0268456375838917E-2"/>
                </c:manualLayout>
              </c:layout>
              <c:dLblPos val="r"/>
              <c:showLegendKey val="0"/>
              <c:showVal val="1"/>
              <c:showCatName val="0"/>
              <c:showSerName val="0"/>
              <c:showPercent val="0"/>
              <c:showBubbleSize val="0"/>
            </c:dLbl>
            <c:dLbl>
              <c:idx val="11"/>
              <c:layout>
                <c:manualLayout>
                  <c:x val="-5.2511406085031534E-2"/>
                  <c:y val="4.9217002237137042E-2"/>
                </c:manualLayout>
              </c:layout>
              <c:dLblPos val="r"/>
              <c:showLegendKey val="0"/>
              <c:showVal val="1"/>
              <c:showCatName val="0"/>
              <c:showSerName val="0"/>
              <c:showPercent val="0"/>
              <c:showBubbleSize val="0"/>
            </c:dLbl>
            <c:dLbl>
              <c:idx val="12"/>
              <c:layout>
                <c:manualLayout>
                  <c:x val="-3.8812778410675521E-2"/>
                  <c:y val="5.3691275167785227E-2"/>
                </c:manualLayout>
              </c:layout>
              <c:dLblPos val="r"/>
              <c:showLegendKey val="0"/>
              <c:showVal val="1"/>
              <c:showCatName val="0"/>
              <c:showSerName val="0"/>
              <c:showPercent val="0"/>
              <c:showBubbleSize val="0"/>
            </c:dLbl>
            <c:dLbl>
              <c:idx val="14"/>
              <c:layout>
                <c:manualLayout>
                  <c:x val="0"/>
                  <c:y val="4.02384453526355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'vyvoj nom.mzdy 2000-2012'!$B$3:$P$3</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'vyvoj nom.mzdy 2000-2012'!$B$5:$P$5</c:f>
              <c:numCache>
                <c:formatCode>0.0__</c:formatCode>
                <c:ptCount val="15"/>
                <c:pt idx="0">
                  <c:v>95.1</c:v>
                </c:pt>
                <c:pt idx="1">
                  <c:v>101</c:v>
                </c:pt>
                <c:pt idx="2">
                  <c:v>105.8</c:v>
                </c:pt>
                <c:pt idx="3">
                  <c:v>98</c:v>
                </c:pt>
                <c:pt idx="4">
                  <c:v>102.5</c:v>
                </c:pt>
                <c:pt idx="5">
                  <c:v>106.3</c:v>
                </c:pt>
                <c:pt idx="6">
                  <c:v>103.3</c:v>
                </c:pt>
                <c:pt idx="7">
                  <c:v>104.3</c:v>
                </c:pt>
                <c:pt idx="8">
                  <c:v>103.3</c:v>
                </c:pt>
                <c:pt idx="9">
                  <c:v>101.4</c:v>
                </c:pt>
                <c:pt idx="10">
                  <c:v>102.2</c:v>
                </c:pt>
                <c:pt idx="11">
                  <c:v>98.4</c:v>
                </c:pt>
                <c:pt idx="12">
                  <c:v>98.8</c:v>
                </c:pt>
                <c:pt idx="13">
                  <c:v>101</c:v>
                </c:pt>
                <c:pt idx="14">
                  <c:v>104.2</c:v>
                </c:pt>
              </c:numCache>
            </c:numRef>
          </c:val>
          <c:smooth val="0"/>
        </c:ser>
        <c:dLbls>
          <c:showLegendKey val="0"/>
          <c:showVal val="0"/>
          <c:showCatName val="0"/>
          <c:showSerName val="0"/>
          <c:showPercent val="0"/>
          <c:showBubbleSize val="0"/>
        </c:dLbls>
        <c:marker val="1"/>
        <c:smooth val="0"/>
        <c:axId val="234967808"/>
        <c:axId val="234969344"/>
      </c:lineChart>
      <c:catAx>
        <c:axId val="23496780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34969344"/>
        <c:crossesAt val="94"/>
        <c:auto val="0"/>
        <c:lblAlgn val="ctr"/>
        <c:lblOffset val="100"/>
        <c:noMultiLvlLbl val="0"/>
      </c:catAx>
      <c:valAx>
        <c:axId val="234969344"/>
        <c:scaling>
          <c:orientation val="minMax"/>
          <c:max val="111"/>
          <c:min val="94"/>
        </c:scaling>
        <c:delete val="0"/>
        <c:axPos val="l"/>
        <c:majorGridlines/>
        <c:title>
          <c:tx>
            <c:rich>
              <a:bodyPr/>
              <a:lstStyle/>
              <a:p>
                <a:pPr>
                  <a:defRPr/>
                </a:pPr>
                <a:r>
                  <a:rPr lang="sk-SK"/>
                  <a:t>predchádzajúci rok = 100</a:t>
                </a:r>
              </a:p>
            </c:rich>
          </c:tx>
          <c:layout>
            <c:manualLayout>
              <c:xMode val="edge"/>
              <c:yMode val="edge"/>
              <c:x val="2.7729636048526862E-2"/>
              <c:y val="0.18456411069421691"/>
            </c:manualLayout>
          </c:layout>
          <c:overlay val="0"/>
        </c:title>
        <c:numFmt formatCode="#,##0.0" sourceLinked="0"/>
        <c:majorTickMark val="out"/>
        <c:minorTickMark val="none"/>
        <c:tickLblPos val="nextTo"/>
        <c:crossAx val="234967808"/>
        <c:crosses val="autoZero"/>
        <c:crossBetween val="between"/>
        <c:majorUnit val="2"/>
      </c:valAx>
    </c:plotArea>
    <c:legend>
      <c:legendPos val="r"/>
      <c:layout>
        <c:manualLayout>
          <c:xMode val="edge"/>
          <c:yMode val="edge"/>
          <c:x val="0.12824974867743102"/>
          <c:y val="0.89933026828022256"/>
          <c:w val="0.83015670701474276"/>
          <c:h val="7.0469798657718324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34615287237005"/>
          <c:y val="5.2757793764988008E-2"/>
          <c:w val="0.83663096775282508"/>
          <c:h val="0.70065069204478936"/>
        </c:manualLayout>
      </c:layout>
      <c:lineChart>
        <c:grouping val="standard"/>
        <c:varyColors val="0"/>
        <c:ser>
          <c:idx val="0"/>
          <c:order val="0"/>
          <c:tx>
            <c:strRef>
              <c:f>'[Vyvoj AHDJ.xlsx]Sheet1'!$B$1</c:f>
              <c:strCache>
                <c:ptCount val="1"/>
                <c:pt idx="0">
                  <c:v>Dlhopisové d.f.</c:v>
                </c:pt>
              </c:strCache>
            </c:strRef>
          </c:tx>
          <c:marker>
            <c:symbol val="none"/>
          </c:marker>
          <c:cat>
            <c:numRef>
              <c:f>'[Vyvoj AHDJ.xlsx]Sheet1'!$A$252:$A$499</c:f>
              <c:numCache>
                <c:formatCode>m/d/yyyy</c:formatCode>
                <c:ptCount val="248"/>
                <c:pt idx="0">
                  <c:v>41641</c:v>
                </c:pt>
                <c:pt idx="1">
                  <c:v>41642</c:v>
                </c:pt>
                <c:pt idx="2">
                  <c:v>41646</c:v>
                </c:pt>
                <c:pt idx="3">
                  <c:v>41647</c:v>
                </c:pt>
                <c:pt idx="4">
                  <c:v>41648</c:v>
                </c:pt>
                <c:pt idx="5">
                  <c:v>41649</c:v>
                </c:pt>
                <c:pt idx="6">
                  <c:v>41652</c:v>
                </c:pt>
                <c:pt idx="7">
                  <c:v>41653</c:v>
                </c:pt>
                <c:pt idx="8">
                  <c:v>41654</c:v>
                </c:pt>
                <c:pt idx="9">
                  <c:v>41655</c:v>
                </c:pt>
                <c:pt idx="10">
                  <c:v>41656</c:v>
                </c:pt>
                <c:pt idx="11">
                  <c:v>41659</c:v>
                </c:pt>
                <c:pt idx="12">
                  <c:v>41660</c:v>
                </c:pt>
                <c:pt idx="13">
                  <c:v>41661</c:v>
                </c:pt>
                <c:pt idx="14">
                  <c:v>41662</c:v>
                </c:pt>
                <c:pt idx="15">
                  <c:v>41663</c:v>
                </c:pt>
                <c:pt idx="16">
                  <c:v>41666</c:v>
                </c:pt>
                <c:pt idx="17">
                  <c:v>41667</c:v>
                </c:pt>
                <c:pt idx="18">
                  <c:v>41668</c:v>
                </c:pt>
                <c:pt idx="19">
                  <c:v>41669</c:v>
                </c:pt>
                <c:pt idx="20">
                  <c:v>41670</c:v>
                </c:pt>
                <c:pt idx="21">
                  <c:v>41673</c:v>
                </c:pt>
                <c:pt idx="22">
                  <c:v>41674</c:v>
                </c:pt>
                <c:pt idx="23">
                  <c:v>41675</c:v>
                </c:pt>
                <c:pt idx="24">
                  <c:v>41676</c:v>
                </c:pt>
                <c:pt idx="25">
                  <c:v>41677</c:v>
                </c:pt>
                <c:pt idx="26">
                  <c:v>41680</c:v>
                </c:pt>
                <c:pt idx="27">
                  <c:v>41681</c:v>
                </c:pt>
                <c:pt idx="28">
                  <c:v>41682</c:v>
                </c:pt>
                <c:pt idx="29">
                  <c:v>41683</c:v>
                </c:pt>
                <c:pt idx="30">
                  <c:v>41684</c:v>
                </c:pt>
                <c:pt idx="31">
                  <c:v>41687</c:v>
                </c:pt>
                <c:pt idx="32">
                  <c:v>41688</c:v>
                </c:pt>
                <c:pt idx="33">
                  <c:v>41689</c:v>
                </c:pt>
                <c:pt idx="34">
                  <c:v>41690</c:v>
                </c:pt>
                <c:pt idx="35">
                  <c:v>41691</c:v>
                </c:pt>
                <c:pt idx="36">
                  <c:v>41694</c:v>
                </c:pt>
                <c:pt idx="37">
                  <c:v>41695</c:v>
                </c:pt>
                <c:pt idx="38">
                  <c:v>41696</c:v>
                </c:pt>
                <c:pt idx="39">
                  <c:v>41697</c:v>
                </c:pt>
                <c:pt idx="40">
                  <c:v>41698</c:v>
                </c:pt>
                <c:pt idx="41">
                  <c:v>41701</c:v>
                </c:pt>
                <c:pt idx="42">
                  <c:v>41702</c:v>
                </c:pt>
                <c:pt idx="43">
                  <c:v>41703</c:v>
                </c:pt>
                <c:pt idx="44">
                  <c:v>41704</c:v>
                </c:pt>
                <c:pt idx="45">
                  <c:v>41705</c:v>
                </c:pt>
                <c:pt idx="46">
                  <c:v>41708</c:v>
                </c:pt>
                <c:pt idx="47">
                  <c:v>41709</c:v>
                </c:pt>
                <c:pt idx="48">
                  <c:v>41710</c:v>
                </c:pt>
                <c:pt idx="49">
                  <c:v>41711</c:v>
                </c:pt>
                <c:pt idx="50">
                  <c:v>41712</c:v>
                </c:pt>
                <c:pt idx="51">
                  <c:v>41715</c:v>
                </c:pt>
                <c:pt idx="52">
                  <c:v>41716</c:v>
                </c:pt>
                <c:pt idx="53">
                  <c:v>41717</c:v>
                </c:pt>
                <c:pt idx="54">
                  <c:v>41718</c:v>
                </c:pt>
                <c:pt idx="55">
                  <c:v>41719</c:v>
                </c:pt>
                <c:pt idx="56">
                  <c:v>41722</c:v>
                </c:pt>
                <c:pt idx="57">
                  <c:v>41723</c:v>
                </c:pt>
                <c:pt idx="58">
                  <c:v>41724</c:v>
                </c:pt>
                <c:pt idx="59">
                  <c:v>41725</c:v>
                </c:pt>
                <c:pt idx="60">
                  <c:v>41726</c:v>
                </c:pt>
                <c:pt idx="61">
                  <c:v>41729</c:v>
                </c:pt>
                <c:pt idx="62">
                  <c:v>41730</c:v>
                </c:pt>
                <c:pt idx="63">
                  <c:v>41731</c:v>
                </c:pt>
                <c:pt idx="64">
                  <c:v>41732</c:v>
                </c:pt>
                <c:pt idx="65">
                  <c:v>41733</c:v>
                </c:pt>
                <c:pt idx="66">
                  <c:v>41736</c:v>
                </c:pt>
                <c:pt idx="67">
                  <c:v>41737</c:v>
                </c:pt>
                <c:pt idx="68">
                  <c:v>41738</c:v>
                </c:pt>
                <c:pt idx="69">
                  <c:v>41739</c:v>
                </c:pt>
                <c:pt idx="70">
                  <c:v>41740</c:v>
                </c:pt>
                <c:pt idx="71">
                  <c:v>41743</c:v>
                </c:pt>
                <c:pt idx="72">
                  <c:v>41744</c:v>
                </c:pt>
                <c:pt idx="73">
                  <c:v>41745</c:v>
                </c:pt>
                <c:pt idx="74">
                  <c:v>41746</c:v>
                </c:pt>
                <c:pt idx="75">
                  <c:v>41751</c:v>
                </c:pt>
                <c:pt idx="76">
                  <c:v>41752</c:v>
                </c:pt>
                <c:pt idx="77">
                  <c:v>41753</c:v>
                </c:pt>
                <c:pt idx="78">
                  <c:v>41754</c:v>
                </c:pt>
                <c:pt idx="79">
                  <c:v>41757</c:v>
                </c:pt>
                <c:pt idx="80">
                  <c:v>41758</c:v>
                </c:pt>
                <c:pt idx="81">
                  <c:v>41759</c:v>
                </c:pt>
                <c:pt idx="82">
                  <c:v>41761</c:v>
                </c:pt>
                <c:pt idx="83">
                  <c:v>41764</c:v>
                </c:pt>
                <c:pt idx="84">
                  <c:v>41765</c:v>
                </c:pt>
                <c:pt idx="85">
                  <c:v>41766</c:v>
                </c:pt>
                <c:pt idx="86">
                  <c:v>41768</c:v>
                </c:pt>
                <c:pt idx="87">
                  <c:v>41771</c:v>
                </c:pt>
                <c:pt idx="88">
                  <c:v>41772</c:v>
                </c:pt>
                <c:pt idx="89">
                  <c:v>41773</c:v>
                </c:pt>
                <c:pt idx="90">
                  <c:v>41774</c:v>
                </c:pt>
                <c:pt idx="91">
                  <c:v>41775</c:v>
                </c:pt>
                <c:pt idx="92">
                  <c:v>41778</c:v>
                </c:pt>
                <c:pt idx="93">
                  <c:v>41779</c:v>
                </c:pt>
                <c:pt idx="94">
                  <c:v>41780</c:v>
                </c:pt>
                <c:pt idx="95">
                  <c:v>41781</c:v>
                </c:pt>
                <c:pt idx="96">
                  <c:v>41782</c:v>
                </c:pt>
                <c:pt idx="97">
                  <c:v>41785</c:v>
                </c:pt>
                <c:pt idx="98">
                  <c:v>41786</c:v>
                </c:pt>
                <c:pt idx="99">
                  <c:v>41787</c:v>
                </c:pt>
                <c:pt idx="100">
                  <c:v>41788</c:v>
                </c:pt>
                <c:pt idx="101">
                  <c:v>41789</c:v>
                </c:pt>
                <c:pt idx="102">
                  <c:v>41792</c:v>
                </c:pt>
                <c:pt idx="103">
                  <c:v>41793</c:v>
                </c:pt>
                <c:pt idx="104">
                  <c:v>41794</c:v>
                </c:pt>
                <c:pt idx="105">
                  <c:v>41795</c:v>
                </c:pt>
                <c:pt idx="106">
                  <c:v>41796</c:v>
                </c:pt>
                <c:pt idx="107">
                  <c:v>41799</c:v>
                </c:pt>
                <c:pt idx="108">
                  <c:v>41800</c:v>
                </c:pt>
                <c:pt idx="109">
                  <c:v>41801</c:v>
                </c:pt>
                <c:pt idx="110">
                  <c:v>41802</c:v>
                </c:pt>
                <c:pt idx="111">
                  <c:v>41803</c:v>
                </c:pt>
                <c:pt idx="112">
                  <c:v>41806</c:v>
                </c:pt>
                <c:pt idx="113">
                  <c:v>41807</c:v>
                </c:pt>
                <c:pt idx="114">
                  <c:v>41808</c:v>
                </c:pt>
                <c:pt idx="115">
                  <c:v>41809</c:v>
                </c:pt>
                <c:pt idx="116">
                  <c:v>41810</c:v>
                </c:pt>
                <c:pt idx="117">
                  <c:v>41813</c:v>
                </c:pt>
                <c:pt idx="118">
                  <c:v>41814</c:v>
                </c:pt>
                <c:pt idx="119">
                  <c:v>41815</c:v>
                </c:pt>
                <c:pt idx="120">
                  <c:v>41816</c:v>
                </c:pt>
                <c:pt idx="121">
                  <c:v>41817</c:v>
                </c:pt>
                <c:pt idx="122">
                  <c:v>41820</c:v>
                </c:pt>
                <c:pt idx="123">
                  <c:v>41821</c:v>
                </c:pt>
                <c:pt idx="124">
                  <c:v>41822</c:v>
                </c:pt>
                <c:pt idx="125">
                  <c:v>41823</c:v>
                </c:pt>
                <c:pt idx="126">
                  <c:v>41824</c:v>
                </c:pt>
                <c:pt idx="127">
                  <c:v>41827</c:v>
                </c:pt>
                <c:pt idx="128">
                  <c:v>41828</c:v>
                </c:pt>
                <c:pt idx="129">
                  <c:v>41829</c:v>
                </c:pt>
                <c:pt idx="130">
                  <c:v>41830</c:v>
                </c:pt>
                <c:pt idx="131">
                  <c:v>41831</c:v>
                </c:pt>
                <c:pt idx="132">
                  <c:v>41834</c:v>
                </c:pt>
                <c:pt idx="133">
                  <c:v>41835</c:v>
                </c:pt>
                <c:pt idx="134">
                  <c:v>41836</c:v>
                </c:pt>
                <c:pt idx="135">
                  <c:v>41837</c:v>
                </c:pt>
                <c:pt idx="136">
                  <c:v>41838</c:v>
                </c:pt>
                <c:pt idx="137">
                  <c:v>41841</c:v>
                </c:pt>
                <c:pt idx="138">
                  <c:v>41842</c:v>
                </c:pt>
                <c:pt idx="139">
                  <c:v>41843</c:v>
                </c:pt>
                <c:pt idx="140">
                  <c:v>41844</c:v>
                </c:pt>
                <c:pt idx="141">
                  <c:v>41845</c:v>
                </c:pt>
                <c:pt idx="142">
                  <c:v>41848</c:v>
                </c:pt>
                <c:pt idx="143">
                  <c:v>41849</c:v>
                </c:pt>
                <c:pt idx="144">
                  <c:v>41850</c:v>
                </c:pt>
                <c:pt idx="145">
                  <c:v>41851</c:v>
                </c:pt>
                <c:pt idx="146">
                  <c:v>41852</c:v>
                </c:pt>
                <c:pt idx="147">
                  <c:v>41855</c:v>
                </c:pt>
                <c:pt idx="148">
                  <c:v>41856</c:v>
                </c:pt>
                <c:pt idx="149">
                  <c:v>41857</c:v>
                </c:pt>
                <c:pt idx="150">
                  <c:v>41858</c:v>
                </c:pt>
                <c:pt idx="151">
                  <c:v>41859</c:v>
                </c:pt>
                <c:pt idx="152">
                  <c:v>41862</c:v>
                </c:pt>
                <c:pt idx="153">
                  <c:v>41863</c:v>
                </c:pt>
                <c:pt idx="154">
                  <c:v>41864</c:v>
                </c:pt>
                <c:pt idx="155">
                  <c:v>41865</c:v>
                </c:pt>
                <c:pt idx="156">
                  <c:v>41866</c:v>
                </c:pt>
                <c:pt idx="157">
                  <c:v>41869</c:v>
                </c:pt>
                <c:pt idx="158">
                  <c:v>41870</c:v>
                </c:pt>
                <c:pt idx="159">
                  <c:v>41871</c:v>
                </c:pt>
                <c:pt idx="160">
                  <c:v>41872</c:v>
                </c:pt>
                <c:pt idx="161">
                  <c:v>41873</c:v>
                </c:pt>
                <c:pt idx="162">
                  <c:v>41876</c:v>
                </c:pt>
                <c:pt idx="163">
                  <c:v>41877</c:v>
                </c:pt>
                <c:pt idx="164">
                  <c:v>41878</c:v>
                </c:pt>
                <c:pt idx="165">
                  <c:v>41879</c:v>
                </c:pt>
                <c:pt idx="166">
                  <c:v>41884</c:v>
                </c:pt>
                <c:pt idx="167">
                  <c:v>41885</c:v>
                </c:pt>
                <c:pt idx="168">
                  <c:v>41886</c:v>
                </c:pt>
                <c:pt idx="169">
                  <c:v>41887</c:v>
                </c:pt>
                <c:pt idx="170">
                  <c:v>41890</c:v>
                </c:pt>
                <c:pt idx="171">
                  <c:v>41891</c:v>
                </c:pt>
                <c:pt idx="172">
                  <c:v>41892</c:v>
                </c:pt>
                <c:pt idx="173">
                  <c:v>41893</c:v>
                </c:pt>
                <c:pt idx="174">
                  <c:v>41894</c:v>
                </c:pt>
                <c:pt idx="175">
                  <c:v>41898</c:v>
                </c:pt>
                <c:pt idx="176">
                  <c:v>41899</c:v>
                </c:pt>
                <c:pt idx="177">
                  <c:v>41900</c:v>
                </c:pt>
                <c:pt idx="178">
                  <c:v>41901</c:v>
                </c:pt>
                <c:pt idx="179">
                  <c:v>41904</c:v>
                </c:pt>
                <c:pt idx="180">
                  <c:v>41905</c:v>
                </c:pt>
                <c:pt idx="181">
                  <c:v>41906</c:v>
                </c:pt>
                <c:pt idx="182">
                  <c:v>41907</c:v>
                </c:pt>
                <c:pt idx="183">
                  <c:v>41908</c:v>
                </c:pt>
                <c:pt idx="184">
                  <c:v>41911</c:v>
                </c:pt>
                <c:pt idx="185">
                  <c:v>41912</c:v>
                </c:pt>
                <c:pt idx="186">
                  <c:v>41913</c:v>
                </c:pt>
                <c:pt idx="187">
                  <c:v>41914</c:v>
                </c:pt>
                <c:pt idx="188">
                  <c:v>41915</c:v>
                </c:pt>
                <c:pt idx="189">
                  <c:v>41918</c:v>
                </c:pt>
                <c:pt idx="190">
                  <c:v>41919</c:v>
                </c:pt>
                <c:pt idx="191">
                  <c:v>41920</c:v>
                </c:pt>
                <c:pt idx="192">
                  <c:v>41921</c:v>
                </c:pt>
                <c:pt idx="193">
                  <c:v>41922</c:v>
                </c:pt>
                <c:pt idx="194">
                  <c:v>41925</c:v>
                </c:pt>
                <c:pt idx="195">
                  <c:v>41926</c:v>
                </c:pt>
                <c:pt idx="196">
                  <c:v>41927</c:v>
                </c:pt>
                <c:pt idx="197">
                  <c:v>41928</c:v>
                </c:pt>
                <c:pt idx="198">
                  <c:v>41929</c:v>
                </c:pt>
                <c:pt idx="199">
                  <c:v>41932</c:v>
                </c:pt>
                <c:pt idx="200">
                  <c:v>41933</c:v>
                </c:pt>
                <c:pt idx="201">
                  <c:v>41934</c:v>
                </c:pt>
                <c:pt idx="202">
                  <c:v>41935</c:v>
                </c:pt>
                <c:pt idx="203">
                  <c:v>41936</c:v>
                </c:pt>
                <c:pt idx="204">
                  <c:v>41939</c:v>
                </c:pt>
                <c:pt idx="205">
                  <c:v>41940</c:v>
                </c:pt>
                <c:pt idx="206">
                  <c:v>41941</c:v>
                </c:pt>
                <c:pt idx="207">
                  <c:v>41942</c:v>
                </c:pt>
                <c:pt idx="208">
                  <c:v>41943</c:v>
                </c:pt>
                <c:pt idx="209">
                  <c:v>41946</c:v>
                </c:pt>
                <c:pt idx="210">
                  <c:v>41947</c:v>
                </c:pt>
                <c:pt idx="211">
                  <c:v>41948</c:v>
                </c:pt>
                <c:pt idx="212">
                  <c:v>41949</c:v>
                </c:pt>
                <c:pt idx="213">
                  <c:v>41950</c:v>
                </c:pt>
                <c:pt idx="214">
                  <c:v>41953</c:v>
                </c:pt>
                <c:pt idx="215">
                  <c:v>41954</c:v>
                </c:pt>
                <c:pt idx="216">
                  <c:v>41955</c:v>
                </c:pt>
                <c:pt idx="217">
                  <c:v>41956</c:v>
                </c:pt>
                <c:pt idx="218">
                  <c:v>41957</c:v>
                </c:pt>
                <c:pt idx="219">
                  <c:v>41961</c:v>
                </c:pt>
                <c:pt idx="220">
                  <c:v>41962</c:v>
                </c:pt>
                <c:pt idx="221">
                  <c:v>41963</c:v>
                </c:pt>
                <c:pt idx="222">
                  <c:v>41964</c:v>
                </c:pt>
                <c:pt idx="223">
                  <c:v>41967</c:v>
                </c:pt>
                <c:pt idx="224">
                  <c:v>41968</c:v>
                </c:pt>
                <c:pt idx="225">
                  <c:v>41969</c:v>
                </c:pt>
                <c:pt idx="226">
                  <c:v>41970</c:v>
                </c:pt>
                <c:pt idx="227">
                  <c:v>41971</c:v>
                </c:pt>
                <c:pt idx="228">
                  <c:v>41974</c:v>
                </c:pt>
                <c:pt idx="229">
                  <c:v>41975</c:v>
                </c:pt>
                <c:pt idx="230">
                  <c:v>41976</c:v>
                </c:pt>
                <c:pt idx="231">
                  <c:v>41977</c:v>
                </c:pt>
                <c:pt idx="232">
                  <c:v>41978</c:v>
                </c:pt>
                <c:pt idx="233">
                  <c:v>41981</c:v>
                </c:pt>
                <c:pt idx="234">
                  <c:v>41982</c:v>
                </c:pt>
                <c:pt idx="235">
                  <c:v>41983</c:v>
                </c:pt>
                <c:pt idx="236">
                  <c:v>41984</c:v>
                </c:pt>
                <c:pt idx="237">
                  <c:v>41985</c:v>
                </c:pt>
                <c:pt idx="238">
                  <c:v>41988</c:v>
                </c:pt>
                <c:pt idx="239">
                  <c:v>41989</c:v>
                </c:pt>
                <c:pt idx="240">
                  <c:v>41990</c:v>
                </c:pt>
                <c:pt idx="241">
                  <c:v>41991</c:v>
                </c:pt>
                <c:pt idx="242">
                  <c:v>41992</c:v>
                </c:pt>
                <c:pt idx="243">
                  <c:v>41995</c:v>
                </c:pt>
                <c:pt idx="244">
                  <c:v>41996</c:v>
                </c:pt>
                <c:pt idx="245">
                  <c:v>42002</c:v>
                </c:pt>
                <c:pt idx="246">
                  <c:v>42003</c:v>
                </c:pt>
                <c:pt idx="247">
                  <c:v>42004</c:v>
                </c:pt>
              </c:numCache>
            </c:numRef>
          </c:cat>
          <c:val>
            <c:numRef>
              <c:f>'[Vyvoj AHDJ.xlsx]Sheet1'!$B$252:$B$499</c:f>
              <c:numCache>
                <c:formatCode>General</c:formatCode>
                <c:ptCount val="248"/>
                <c:pt idx="0">
                  <c:v>4.0791260901059313E-2</c:v>
                </c:pt>
                <c:pt idx="1">
                  <c:v>4.0809872473396847E-2</c:v>
                </c:pt>
                <c:pt idx="2">
                  <c:v>4.0848265004964766E-2</c:v>
                </c:pt>
                <c:pt idx="3">
                  <c:v>4.0828080109208104E-2</c:v>
                </c:pt>
                <c:pt idx="4">
                  <c:v>4.0827049460998487E-2</c:v>
                </c:pt>
                <c:pt idx="5">
                  <c:v>4.0862854713724472E-2</c:v>
                </c:pt>
                <c:pt idx="6">
                  <c:v>4.0890747820397914E-2</c:v>
                </c:pt>
                <c:pt idx="7">
                  <c:v>4.0879720923629334E-2</c:v>
                </c:pt>
                <c:pt idx="8">
                  <c:v>4.0876316414205999E-2</c:v>
                </c:pt>
                <c:pt idx="9">
                  <c:v>4.0907844469219475E-2</c:v>
                </c:pt>
                <c:pt idx="10">
                  <c:v>4.092936737340646E-2</c:v>
                </c:pt>
                <c:pt idx="11">
                  <c:v>4.0948363181459245E-2</c:v>
                </c:pt>
                <c:pt idx="12">
                  <c:v>4.0954256428966704E-2</c:v>
                </c:pt>
                <c:pt idx="13">
                  <c:v>4.0939383008963548E-2</c:v>
                </c:pt>
                <c:pt idx="14">
                  <c:v>4.0954256963076724E-2</c:v>
                </c:pt>
                <c:pt idx="15">
                  <c:v>4.0960342746658288E-2</c:v>
                </c:pt>
                <c:pt idx="16">
                  <c:v>4.0952210641572513E-2</c:v>
                </c:pt>
                <c:pt idx="17">
                  <c:v>4.0960332204631494E-2</c:v>
                </c:pt>
                <c:pt idx="18">
                  <c:v>4.0976946404680283E-2</c:v>
                </c:pt>
                <c:pt idx="19">
                  <c:v>4.0983370157611491E-2</c:v>
                </c:pt>
                <c:pt idx="20">
                  <c:v>4.1008024100979382E-2</c:v>
                </c:pt>
                <c:pt idx="21">
                  <c:v>4.1015804466986626E-2</c:v>
                </c:pt>
                <c:pt idx="22">
                  <c:v>4.1020604671674066E-2</c:v>
                </c:pt>
                <c:pt idx="23">
                  <c:v>4.1034190199814975E-2</c:v>
                </c:pt>
                <c:pt idx="24">
                  <c:v>4.1007122348804263E-2</c:v>
                </c:pt>
                <c:pt idx="25">
                  <c:v>4.1031106875947916E-2</c:v>
                </c:pt>
                <c:pt idx="26">
                  <c:v>4.102945758794322E-2</c:v>
                </c:pt>
                <c:pt idx="27">
                  <c:v>4.1034181221777585E-2</c:v>
                </c:pt>
                <c:pt idx="28">
                  <c:v>4.1028743757821957E-2</c:v>
                </c:pt>
                <c:pt idx="29">
                  <c:v>4.1054846484155257E-2</c:v>
                </c:pt>
                <c:pt idx="30">
                  <c:v>4.1051738247054145E-2</c:v>
                </c:pt>
                <c:pt idx="31">
                  <c:v>4.105598562370838E-2</c:v>
                </c:pt>
                <c:pt idx="32">
                  <c:v>4.1074274187919674E-2</c:v>
                </c:pt>
                <c:pt idx="33">
                  <c:v>4.1080883115519759E-2</c:v>
                </c:pt>
                <c:pt idx="34">
                  <c:v>4.1062331083387804E-2</c:v>
                </c:pt>
                <c:pt idx="35">
                  <c:v>4.1079101234074267E-2</c:v>
                </c:pt>
                <c:pt idx="36">
                  <c:v>4.1075646832892262E-2</c:v>
                </c:pt>
                <c:pt idx="37">
                  <c:v>4.1094015954474303E-2</c:v>
                </c:pt>
                <c:pt idx="38">
                  <c:v>4.1112067100728934E-2</c:v>
                </c:pt>
                <c:pt idx="39">
                  <c:v>4.1147289361578375E-2</c:v>
                </c:pt>
                <c:pt idx="40">
                  <c:v>4.1120884549834771E-2</c:v>
                </c:pt>
                <c:pt idx="41">
                  <c:v>4.1142498913231934E-2</c:v>
                </c:pt>
                <c:pt idx="42">
                  <c:v>4.1137558247363343E-2</c:v>
                </c:pt>
                <c:pt idx="43">
                  <c:v>4.1144233228322162E-2</c:v>
                </c:pt>
                <c:pt idx="44">
                  <c:v>4.1113514511791814E-2</c:v>
                </c:pt>
                <c:pt idx="45">
                  <c:v>4.1096935038052992E-2</c:v>
                </c:pt>
                <c:pt idx="46">
                  <c:v>4.1114691875042124E-2</c:v>
                </c:pt>
                <c:pt idx="47">
                  <c:v>4.1116499213806806E-2</c:v>
                </c:pt>
                <c:pt idx="48">
                  <c:v>4.1129951152711508E-2</c:v>
                </c:pt>
                <c:pt idx="49">
                  <c:v>4.1157747817181713E-2</c:v>
                </c:pt>
                <c:pt idx="50">
                  <c:v>4.1142382350928562E-2</c:v>
                </c:pt>
                <c:pt idx="51">
                  <c:v>4.1137653912828524E-2</c:v>
                </c:pt>
                <c:pt idx="52">
                  <c:v>4.114559852859398E-2</c:v>
                </c:pt>
                <c:pt idx="53">
                  <c:v>4.1137237246529533E-2</c:v>
                </c:pt>
                <c:pt idx="54">
                  <c:v>4.1101115320657439E-2</c:v>
                </c:pt>
                <c:pt idx="55">
                  <c:v>4.1109494281242304E-2</c:v>
                </c:pt>
                <c:pt idx="56">
                  <c:v>4.1135022916323413E-2</c:v>
                </c:pt>
                <c:pt idx="57">
                  <c:v>4.1151897637622496E-2</c:v>
                </c:pt>
                <c:pt idx="58">
                  <c:v>4.1174388294551355E-2</c:v>
                </c:pt>
                <c:pt idx="59">
                  <c:v>4.1195535141771017E-2</c:v>
                </c:pt>
                <c:pt idx="60">
                  <c:v>4.1193686494755154E-2</c:v>
                </c:pt>
                <c:pt idx="61">
                  <c:v>4.1196489554980432E-2</c:v>
                </c:pt>
                <c:pt idx="62">
                  <c:v>4.1199904128942394E-2</c:v>
                </c:pt>
                <c:pt idx="63">
                  <c:v>4.118540949631877E-2</c:v>
                </c:pt>
                <c:pt idx="64">
                  <c:v>4.1204757178616387E-2</c:v>
                </c:pt>
                <c:pt idx="65">
                  <c:v>4.1243952437563756E-2</c:v>
                </c:pt>
                <c:pt idx="66">
                  <c:v>4.1250041353268797E-2</c:v>
                </c:pt>
                <c:pt idx="67">
                  <c:v>4.1240354972666447E-2</c:v>
                </c:pt>
                <c:pt idx="68">
                  <c:v>4.1226274516945403E-2</c:v>
                </c:pt>
                <c:pt idx="69">
                  <c:v>4.1258926380435358E-2</c:v>
                </c:pt>
                <c:pt idx="70">
                  <c:v>4.1263113830560333E-2</c:v>
                </c:pt>
                <c:pt idx="71">
                  <c:v>4.1263032260736889E-2</c:v>
                </c:pt>
                <c:pt idx="72">
                  <c:v>4.1297990799821903E-2</c:v>
                </c:pt>
                <c:pt idx="73">
                  <c:v>4.1290841380491085E-2</c:v>
                </c:pt>
                <c:pt idx="74">
                  <c:v>4.126209850072262E-2</c:v>
                </c:pt>
                <c:pt idx="75">
                  <c:v>4.1274840693149767E-2</c:v>
                </c:pt>
                <c:pt idx="76">
                  <c:v>4.1272439823393132E-2</c:v>
                </c:pt>
                <c:pt idx="77">
                  <c:v>4.1276630659264221E-2</c:v>
                </c:pt>
                <c:pt idx="78">
                  <c:v>4.1287572670996357E-2</c:v>
                </c:pt>
                <c:pt idx="79">
                  <c:v>4.1282837474269057E-2</c:v>
                </c:pt>
                <c:pt idx="80">
                  <c:v>4.1301574117079153E-2</c:v>
                </c:pt>
                <c:pt idx="81">
                  <c:v>4.1315843902285876E-2</c:v>
                </c:pt>
                <c:pt idx="82">
                  <c:v>4.1333402943332841E-2</c:v>
                </c:pt>
                <c:pt idx="83">
                  <c:v>4.1323878841981722E-2</c:v>
                </c:pt>
                <c:pt idx="84">
                  <c:v>4.1326314392580853E-2</c:v>
                </c:pt>
                <c:pt idx="85">
                  <c:v>4.1332838287854716E-2</c:v>
                </c:pt>
                <c:pt idx="86">
                  <c:v>4.1373588084476082E-2</c:v>
                </c:pt>
                <c:pt idx="87">
                  <c:v>4.1381459040550177E-2</c:v>
                </c:pt>
                <c:pt idx="88">
                  <c:v>4.1415020949333005E-2</c:v>
                </c:pt>
                <c:pt idx="89">
                  <c:v>4.1443074035735813E-2</c:v>
                </c:pt>
                <c:pt idx="90">
                  <c:v>4.1460876836021357E-2</c:v>
                </c:pt>
                <c:pt idx="91">
                  <c:v>4.1439749250978986E-2</c:v>
                </c:pt>
                <c:pt idx="92">
                  <c:v>4.143483400226642E-2</c:v>
                </c:pt>
                <c:pt idx="93">
                  <c:v>4.1433571013813932E-2</c:v>
                </c:pt>
                <c:pt idx="94">
                  <c:v>4.1423827413815013E-2</c:v>
                </c:pt>
                <c:pt idx="95">
                  <c:v>4.1436183978388323E-2</c:v>
                </c:pt>
                <c:pt idx="96">
                  <c:v>4.144326728342116E-2</c:v>
                </c:pt>
                <c:pt idx="97">
                  <c:v>4.14546650479789E-2</c:v>
                </c:pt>
                <c:pt idx="98">
                  <c:v>4.1471431692798322E-2</c:v>
                </c:pt>
                <c:pt idx="99">
                  <c:v>4.1494001631555311E-2</c:v>
                </c:pt>
                <c:pt idx="100">
                  <c:v>4.1491120847598532E-2</c:v>
                </c:pt>
                <c:pt idx="101">
                  <c:v>4.1490020710041743E-2</c:v>
                </c:pt>
                <c:pt idx="102">
                  <c:v>4.1496757092735904E-2</c:v>
                </c:pt>
                <c:pt idx="103">
                  <c:v>4.1480798721514896E-2</c:v>
                </c:pt>
                <c:pt idx="104">
                  <c:v>4.1478558355376262E-2</c:v>
                </c:pt>
                <c:pt idx="105">
                  <c:v>4.150890200656307E-2</c:v>
                </c:pt>
                <c:pt idx="106">
                  <c:v>4.1549307868076757E-2</c:v>
                </c:pt>
                <c:pt idx="107">
                  <c:v>4.1552729733374795E-2</c:v>
                </c:pt>
                <c:pt idx="108">
                  <c:v>4.1543576236414165E-2</c:v>
                </c:pt>
                <c:pt idx="109">
                  <c:v>4.1555218897077396E-2</c:v>
                </c:pt>
                <c:pt idx="110">
                  <c:v>4.1565053371533565E-2</c:v>
                </c:pt>
                <c:pt idx="111">
                  <c:v>4.1573666137191032E-2</c:v>
                </c:pt>
                <c:pt idx="112">
                  <c:v>4.1580024484806563E-2</c:v>
                </c:pt>
                <c:pt idx="113">
                  <c:v>4.1560796406520509E-2</c:v>
                </c:pt>
                <c:pt idx="114">
                  <c:v>4.1570161620533272E-2</c:v>
                </c:pt>
                <c:pt idx="115">
                  <c:v>4.1593002815454312E-2</c:v>
                </c:pt>
                <c:pt idx="116">
                  <c:v>4.1584884221697697E-2</c:v>
                </c:pt>
                <c:pt idx="117">
                  <c:v>4.1597663509550506E-2</c:v>
                </c:pt>
                <c:pt idx="118">
                  <c:v>4.1600886174076146E-2</c:v>
                </c:pt>
                <c:pt idx="119">
                  <c:v>4.1616907442378913E-2</c:v>
                </c:pt>
                <c:pt idx="120">
                  <c:v>4.1624907442136184E-2</c:v>
                </c:pt>
                <c:pt idx="121">
                  <c:v>4.1611940685374639E-2</c:v>
                </c:pt>
                <c:pt idx="122">
                  <c:v>4.1622304084794677E-2</c:v>
                </c:pt>
                <c:pt idx="123">
                  <c:v>4.1625045951451847E-2</c:v>
                </c:pt>
                <c:pt idx="124">
                  <c:v>4.1610894528049711E-2</c:v>
                </c:pt>
                <c:pt idx="125">
                  <c:v>4.1613440100026822E-2</c:v>
                </c:pt>
                <c:pt idx="126">
                  <c:v>4.1627600414811713E-2</c:v>
                </c:pt>
                <c:pt idx="127">
                  <c:v>4.1633782277139077E-2</c:v>
                </c:pt>
                <c:pt idx="128">
                  <c:v>4.1648598606234245E-2</c:v>
                </c:pt>
                <c:pt idx="129">
                  <c:v>4.164219532971139E-2</c:v>
                </c:pt>
                <c:pt idx="130">
                  <c:v>4.1644931117546122E-2</c:v>
                </c:pt>
                <c:pt idx="131">
                  <c:v>4.1647849764773294E-2</c:v>
                </c:pt>
                <c:pt idx="132">
                  <c:v>4.1644117530636418E-2</c:v>
                </c:pt>
                <c:pt idx="133">
                  <c:v>4.1646949842089095E-2</c:v>
                </c:pt>
                <c:pt idx="134">
                  <c:v>4.1656060989351464E-2</c:v>
                </c:pt>
                <c:pt idx="135">
                  <c:v>4.1663398049531432E-2</c:v>
                </c:pt>
                <c:pt idx="136">
                  <c:v>4.1657985724542955E-2</c:v>
                </c:pt>
                <c:pt idx="137">
                  <c:v>4.166127718429237E-2</c:v>
                </c:pt>
                <c:pt idx="138">
                  <c:v>4.1658227793545673E-2</c:v>
                </c:pt>
                <c:pt idx="139">
                  <c:v>4.1671505092369006E-2</c:v>
                </c:pt>
                <c:pt idx="140">
                  <c:v>4.1661876389119647E-2</c:v>
                </c:pt>
                <c:pt idx="141">
                  <c:v>4.1686187201123784E-2</c:v>
                </c:pt>
                <c:pt idx="142">
                  <c:v>4.1688280161378967E-2</c:v>
                </c:pt>
                <c:pt idx="143">
                  <c:v>4.1695299903725093E-2</c:v>
                </c:pt>
                <c:pt idx="144">
                  <c:v>4.1684753981727496E-2</c:v>
                </c:pt>
                <c:pt idx="145">
                  <c:v>4.1687993466173807E-2</c:v>
                </c:pt>
                <c:pt idx="146">
                  <c:v>4.1683719334638492E-2</c:v>
                </c:pt>
                <c:pt idx="147">
                  <c:v>4.1690827507097815E-2</c:v>
                </c:pt>
                <c:pt idx="148">
                  <c:v>4.1679800336368346E-2</c:v>
                </c:pt>
                <c:pt idx="149">
                  <c:v>4.1696507737827154E-2</c:v>
                </c:pt>
                <c:pt idx="150">
                  <c:v>4.1700242334941511E-2</c:v>
                </c:pt>
                <c:pt idx="151">
                  <c:v>4.1687861726433628E-2</c:v>
                </c:pt>
                <c:pt idx="152">
                  <c:v>4.1701392524309495E-2</c:v>
                </c:pt>
                <c:pt idx="153">
                  <c:v>4.1711730879833486E-2</c:v>
                </c:pt>
                <c:pt idx="154">
                  <c:v>4.1730188097163896E-2</c:v>
                </c:pt>
                <c:pt idx="155">
                  <c:v>4.1737711978897134E-2</c:v>
                </c:pt>
                <c:pt idx="156">
                  <c:v>4.1752858389625259E-2</c:v>
                </c:pt>
                <c:pt idx="157">
                  <c:v>4.1745929747594557E-2</c:v>
                </c:pt>
                <c:pt idx="158">
                  <c:v>4.1759707975889397E-2</c:v>
                </c:pt>
                <c:pt idx="159">
                  <c:v>4.1770195091149397E-2</c:v>
                </c:pt>
                <c:pt idx="160">
                  <c:v>4.1774200340793571E-2</c:v>
                </c:pt>
                <c:pt idx="161">
                  <c:v>4.1783655173167955E-2</c:v>
                </c:pt>
                <c:pt idx="162">
                  <c:v>4.1817646706822774E-2</c:v>
                </c:pt>
                <c:pt idx="163">
                  <c:v>4.18229726386996E-2</c:v>
                </c:pt>
                <c:pt idx="164">
                  <c:v>4.1838817250650223E-2</c:v>
                </c:pt>
                <c:pt idx="165">
                  <c:v>4.1844553184833086E-2</c:v>
                </c:pt>
                <c:pt idx="166">
                  <c:v>4.1852130275163379E-2</c:v>
                </c:pt>
                <c:pt idx="167">
                  <c:v>4.1849998504997286E-2</c:v>
                </c:pt>
                <c:pt idx="168">
                  <c:v>4.1882832414025573E-2</c:v>
                </c:pt>
                <c:pt idx="169">
                  <c:v>4.1903406836687904E-2</c:v>
                </c:pt>
                <c:pt idx="170">
                  <c:v>4.1903160364503776E-2</c:v>
                </c:pt>
                <c:pt idx="171">
                  <c:v>4.1889312221097305E-2</c:v>
                </c:pt>
                <c:pt idx="172">
                  <c:v>4.1884749396124216E-2</c:v>
                </c:pt>
                <c:pt idx="173">
                  <c:v>4.1892146088659696E-2</c:v>
                </c:pt>
                <c:pt idx="174">
                  <c:v>4.1875008406821096E-2</c:v>
                </c:pt>
                <c:pt idx="175">
                  <c:v>4.1880044662758846E-2</c:v>
                </c:pt>
                <c:pt idx="176">
                  <c:v>4.1887993774176818E-2</c:v>
                </c:pt>
                <c:pt idx="177">
                  <c:v>4.1875801728744777E-2</c:v>
                </c:pt>
                <c:pt idx="178">
                  <c:v>4.1898100570173687E-2</c:v>
                </c:pt>
                <c:pt idx="179">
                  <c:v>4.1915762521153067E-2</c:v>
                </c:pt>
                <c:pt idx="180">
                  <c:v>4.190455904547661E-2</c:v>
                </c:pt>
                <c:pt idx="181">
                  <c:v>4.1917405515082863E-2</c:v>
                </c:pt>
                <c:pt idx="182">
                  <c:v>4.1931472899195597E-2</c:v>
                </c:pt>
                <c:pt idx="183">
                  <c:v>4.1931258561501365E-2</c:v>
                </c:pt>
                <c:pt idx="184">
                  <c:v>4.192732058749804E-2</c:v>
                </c:pt>
                <c:pt idx="185">
                  <c:v>4.1943626740613422E-2</c:v>
                </c:pt>
                <c:pt idx="186">
                  <c:v>4.1965368435713975E-2</c:v>
                </c:pt>
                <c:pt idx="187">
                  <c:v>4.1955105237938495E-2</c:v>
                </c:pt>
                <c:pt idx="188">
                  <c:v>4.1946175935522488E-2</c:v>
                </c:pt>
                <c:pt idx="189">
                  <c:v>4.1965408189657855E-2</c:v>
                </c:pt>
                <c:pt idx="190">
                  <c:v>4.1960490621185474E-2</c:v>
                </c:pt>
                <c:pt idx="191">
                  <c:v>4.1962287870858518E-2</c:v>
                </c:pt>
                <c:pt idx="192">
                  <c:v>4.1970960390148332E-2</c:v>
                </c:pt>
                <c:pt idx="193">
                  <c:v>4.1966954854557134E-2</c:v>
                </c:pt>
                <c:pt idx="194">
                  <c:v>4.1965202864389456E-2</c:v>
                </c:pt>
                <c:pt idx="195">
                  <c:v>4.1983937380617183E-2</c:v>
                </c:pt>
                <c:pt idx="196">
                  <c:v>4.2003523291693122E-2</c:v>
                </c:pt>
                <c:pt idx="197">
                  <c:v>4.1949652202216796E-2</c:v>
                </c:pt>
                <c:pt idx="198">
                  <c:v>4.1954111347970863E-2</c:v>
                </c:pt>
                <c:pt idx="199">
                  <c:v>4.196336589539159E-2</c:v>
                </c:pt>
                <c:pt idx="200">
                  <c:v>4.1959101766810745E-2</c:v>
                </c:pt>
                <c:pt idx="201">
                  <c:v>4.1981359727513955E-2</c:v>
                </c:pt>
                <c:pt idx="202">
                  <c:v>4.1970806359318567E-2</c:v>
                </c:pt>
                <c:pt idx="203">
                  <c:v>4.1973903020731992E-2</c:v>
                </c:pt>
                <c:pt idx="204">
                  <c:v>4.1980066666672665E-2</c:v>
                </c:pt>
                <c:pt idx="205">
                  <c:v>4.1976782036655516E-2</c:v>
                </c:pt>
                <c:pt idx="206">
                  <c:v>4.1978663372507698E-2</c:v>
                </c:pt>
                <c:pt idx="207">
                  <c:v>4.2005080326832013E-2</c:v>
                </c:pt>
                <c:pt idx="208">
                  <c:v>4.2023740763131784E-2</c:v>
                </c:pt>
                <c:pt idx="209">
                  <c:v>4.202477552526656E-2</c:v>
                </c:pt>
                <c:pt idx="210">
                  <c:v>4.2035741051091924E-2</c:v>
                </c:pt>
                <c:pt idx="211">
                  <c:v>4.2036279717547156E-2</c:v>
                </c:pt>
                <c:pt idx="212">
                  <c:v>4.2040804692775068E-2</c:v>
                </c:pt>
                <c:pt idx="213">
                  <c:v>4.2050758209980478E-2</c:v>
                </c:pt>
                <c:pt idx="214">
                  <c:v>4.2050769563088557E-2</c:v>
                </c:pt>
                <c:pt idx="215">
                  <c:v>4.2056054279796834E-2</c:v>
                </c:pt>
                <c:pt idx="216">
                  <c:v>4.2062413097450534E-2</c:v>
                </c:pt>
                <c:pt idx="217">
                  <c:v>4.2071419128677331E-2</c:v>
                </c:pt>
                <c:pt idx="218">
                  <c:v>4.2068182169990496E-2</c:v>
                </c:pt>
                <c:pt idx="219">
                  <c:v>4.2050999553230481E-2</c:v>
                </c:pt>
                <c:pt idx="220">
                  <c:v>4.2026558829419539E-2</c:v>
                </c:pt>
                <c:pt idx="221">
                  <c:v>4.2046585446966794E-2</c:v>
                </c:pt>
                <c:pt idx="222">
                  <c:v>4.2070577531087811E-2</c:v>
                </c:pt>
                <c:pt idx="223">
                  <c:v>4.2080562129671074E-2</c:v>
                </c:pt>
                <c:pt idx="224">
                  <c:v>4.2085417903800534E-2</c:v>
                </c:pt>
                <c:pt idx="225">
                  <c:v>4.2086235842175121E-2</c:v>
                </c:pt>
                <c:pt idx="226">
                  <c:v>4.2095010225213933E-2</c:v>
                </c:pt>
                <c:pt idx="227">
                  <c:v>4.2092946973166671E-2</c:v>
                </c:pt>
                <c:pt idx="228">
                  <c:v>4.2075251942129424E-2</c:v>
                </c:pt>
                <c:pt idx="229">
                  <c:v>4.2076142420765066E-2</c:v>
                </c:pt>
                <c:pt idx="230">
                  <c:v>4.2086955771382446E-2</c:v>
                </c:pt>
                <c:pt idx="231">
                  <c:v>4.2078191790903684E-2</c:v>
                </c:pt>
                <c:pt idx="232">
                  <c:v>4.2076338076788712E-2</c:v>
                </c:pt>
                <c:pt idx="233">
                  <c:v>4.2100283276494906E-2</c:v>
                </c:pt>
                <c:pt idx="234">
                  <c:v>4.2089233629483504E-2</c:v>
                </c:pt>
                <c:pt idx="235">
                  <c:v>4.2082496101704871E-2</c:v>
                </c:pt>
                <c:pt idx="236">
                  <c:v>4.2074199182677685E-2</c:v>
                </c:pt>
                <c:pt idx="237">
                  <c:v>4.2065689927908177E-2</c:v>
                </c:pt>
                <c:pt idx="238">
                  <c:v>4.2051442720237725E-2</c:v>
                </c:pt>
                <c:pt idx="239">
                  <c:v>4.2022425306899314E-2</c:v>
                </c:pt>
                <c:pt idx="240">
                  <c:v>4.2040113758931824E-2</c:v>
                </c:pt>
                <c:pt idx="241">
                  <c:v>4.2059225692005986E-2</c:v>
                </c:pt>
                <c:pt idx="242">
                  <c:v>4.2077512725817043E-2</c:v>
                </c:pt>
                <c:pt idx="243">
                  <c:v>4.2083703751682536E-2</c:v>
                </c:pt>
                <c:pt idx="244">
                  <c:v>4.2094616225584913E-2</c:v>
                </c:pt>
                <c:pt idx="245">
                  <c:v>4.2115035887744033E-2</c:v>
                </c:pt>
                <c:pt idx="246">
                  <c:v>4.2120783142962304E-2</c:v>
                </c:pt>
                <c:pt idx="247">
                  <c:v>4.2117595939309534E-2</c:v>
                </c:pt>
              </c:numCache>
            </c:numRef>
          </c:val>
          <c:smooth val="0"/>
        </c:ser>
        <c:ser>
          <c:idx val="2"/>
          <c:order val="1"/>
          <c:tx>
            <c:strRef>
              <c:f>'[Vyvoj AHDJ.xlsx]Sheet1'!$D$1</c:f>
              <c:strCache>
                <c:ptCount val="1"/>
                <c:pt idx="0">
                  <c:v>Zmiešané d.f.</c:v>
                </c:pt>
              </c:strCache>
            </c:strRef>
          </c:tx>
          <c:marker>
            <c:symbol val="none"/>
          </c:marker>
          <c:cat>
            <c:numRef>
              <c:f>'[Vyvoj AHDJ.xlsx]Sheet1'!$A$252:$A$499</c:f>
              <c:numCache>
                <c:formatCode>m/d/yyyy</c:formatCode>
                <c:ptCount val="248"/>
                <c:pt idx="0">
                  <c:v>41641</c:v>
                </c:pt>
                <c:pt idx="1">
                  <c:v>41642</c:v>
                </c:pt>
                <c:pt idx="2">
                  <c:v>41646</c:v>
                </c:pt>
                <c:pt idx="3">
                  <c:v>41647</c:v>
                </c:pt>
                <c:pt idx="4">
                  <c:v>41648</c:v>
                </c:pt>
                <c:pt idx="5">
                  <c:v>41649</c:v>
                </c:pt>
                <c:pt idx="6">
                  <c:v>41652</c:v>
                </c:pt>
                <c:pt idx="7">
                  <c:v>41653</c:v>
                </c:pt>
                <c:pt idx="8">
                  <c:v>41654</c:v>
                </c:pt>
                <c:pt idx="9">
                  <c:v>41655</c:v>
                </c:pt>
                <c:pt idx="10">
                  <c:v>41656</c:v>
                </c:pt>
                <c:pt idx="11">
                  <c:v>41659</c:v>
                </c:pt>
                <c:pt idx="12">
                  <c:v>41660</c:v>
                </c:pt>
                <c:pt idx="13">
                  <c:v>41661</c:v>
                </c:pt>
                <c:pt idx="14">
                  <c:v>41662</c:v>
                </c:pt>
                <c:pt idx="15">
                  <c:v>41663</c:v>
                </c:pt>
                <c:pt idx="16">
                  <c:v>41666</c:v>
                </c:pt>
                <c:pt idx="17">
                  <c:v>41667</c:v>
                </c:pt>
                <c:pt idx="18">
                  <c:v>41668</c:v>
                </c:pt>
                <c:pt idx="19">
                  <c:v>41669</c:v>
                </c:pt>
                <c:pt idx="20">
                  <c:v>41670</c:v>
                </c:pt>
                <c:pt idx="21">
                  <c:v>41673</c:v>
                </c:pt>
                <c:pt idx="22">
                  <c:v>41674</c:v>
                </c:pt>
                <c:pt idx="23">
                  <c:v>41675</c:v>
                </c:pt>
                <c:pt idx="24">
                  <c:v>41676</c:v>
                </c:pt>
                <c:pt idx="25">
                  <c:v>41677</c:v>
                </c:pt>
                <c:pt idx="26">
                  <c:v>41680</c:v>
                </c:pt>
                <c:pt idx="27">
                  <c:v>41681</c:v>
                </c:pt>
                <c:pt idx="28">
                  <c:v>41682</c:v>
                </c:pt>
                <c:pt idx="29">
                  <c:v>41683</c:v>
                </c:pt>
                <c:pt idx="30">
                  <c:v>41684</c:v>
                </c:pt>
                <c:pt idx="31">
                  <c:v>41687</c:v>
                </c:pt>
                <c:pt idx="32">
                  <c:v>41688</c:v>
                </c:pt>
                <c:pt idx="33">
                  <c:v>41689</c:v>
                </c:pt>
                <c:pt idx="34">
                  <c:v>41690</c:v>
                </c:pt>
                <c:pt idx="35">
                  <c:v>41691</c:v>
                </c:pt>
                <c:pt idx="36">
                  <c:v>41694</c:v>
                </c:pt>
                <c:pt idx="37">
                  <c:v>41695</c:v>
                </c:pt>
                <c:pt idx="38">
                  <c:v>41696</c:v>
                </c:pt>
                <c:pt idx="39">
                  <c:v>41697</c:v>
                </c:pt>
                <c:pt idx="40">
                  <c:v>41698</c:v>
                </c:pt>
                <c:pt idx="41">
                  <c:v>41701</c:v>
                </c:pt>
                <c:pt idx="42">
                  <c:v>41702</c:v>
                </c:pt>
                <c:pt idx="43">
                  <c:v>41703</c:v>
                </c:pt>
                <c:pt idx="44">
                  <c:v>41704</c:v>
                </c:pt>
                <c:pt idx="45">
                  <c:v>41705</c:v>
                </c:pt>
                <c:pt idx="46">
                  <c:v>41708</c:v>
                </c:pt>
                <c:pt idx="47">
                  <c:v>41709</c:v>
                </c:pt>
                <c:pt idx="48">
                  <c:v>41710</c:v>
                </c:pt>
                <c:pt idx="49">
                  <c:v>41711</c:v>
                </c:pt>
                <c:pt idx="50">
                  <c:v>41712</c:v>
                </c:pt>
                <c:pt idx="51">
                  <c:v>41715</c:v>
                </c:pt>
                <c:pt idx="52">
                  <c:v>41716</c:v>
                </c:pt>
                <c:pt idx="53">
                  <c:v>41717</c:v>
                </c:pt>
                <c:pt idx="54">
                  <c:v>41718</c:v>
                </c:pt>
                <c:pt idx="55">
                  <c:v>41719</c:v>
                </c:pt>
                <c:pt idx="56">
                  <c:v>41722</c:v>
                </c:pt>
                <c:pt idx="57">
                  <c:v>41723</c:v>
                </c:pt>
                <c:pt idx="58">
                  <c:v>41724</c:v>
                </c:pt>
                <c:pt idx="59">
                  <c:v>41725</c:v>
                </c:pt>
                <c:pt idx="60">
                  <c:v>41726</c:v>
                </c:pt>
                <c:pt idx="61">
                  <c:v>41729</c:v>
                </c:pt>
                <c:pt idx="62">
                  <c:v>41730</c:v>
                </c:pt>
                <c:pt idx="63">
                  <c:v>41731</c:v>
                </c:pt>
                <c:pt idx="64">
                  <c:v>41732</c:v>
                </c:pt>
                <c:pt idx="65">
                  <c:v>41733</c:v>
                </c:pt>
                <c:pt idx="66">
                  <c:v>41736</c:v>
                </c:pt>
                <c:pt idx="67">
                  <c:v>41737</c:v>
                </c:pt>
                <c:pt idx="68">
                  <c:v>41738</c:v>
                </c:pt>
                <c:pt idx="69">
                  <c:v>41739</c:v>
                </c:pt>
                <c:pt idx="70">
                  <c:v>41740</c:v>
                </c:pt>
                <c:pt idx="71">
                  <c:v>41743</c:v>
                </c:pt>
                <c:pt idx="72">
                  <c:v>41744</c:v>
                </c:pt>
                <c:pt idx="73">
                  <c:v>41745</c:v>
                </c:pt>
                <c:pt idx="74">
                  <c:v>41746</c:v>
                </c:pt>
                <c:pt idx="75">
                  <c:v>41751</c:v>
                </c:pt>
                <c:pt idx="76">
                  <c:v>41752</c:v>
                </c:pt>
                <c:pt idx="77">
                  <c:v>41753</c:v>
                </c:pt>
                <c:pt idx="78">
                  <c:v>41754</c:v>
                </c:pt>
                <c:pt idx="79">
                  <c:v>41757</c:v>
                </c:pt>
                <c:pt idx="80">
                  <c:v>41758</c:v>
                </c:pt>
                <c:pt idx="81">
                  <c:v>41759</c:v>
                </c:pt>
                <c:pt idx="82">
                  <c:v>41761</c:v>
                </c:pt>
                <c:pt idx="83">
                  <c:v>41764</c:v>
                </c:pt>
                <c:pt idx="84">
                  <c:v>41765</c:v>
                </c:pt>
                <c:pt idx="85">
                  <c:v>41766</c:v>
                </c:pt>
                <c:pt idx="86">
                  <c:v>41768</c:v>
                </c:pt>
                <c:pt idx="87">
                  <c:v>41771</c:v>
                </c:pt>
                <c:pt idx="88">
                  <c:v>41772</c:v>
                </c:pt>
                <c:pt idx="89">
                  <c:v>41773</c:v>
                </c:pt>
                <c:pt idx="90">
                  <c:v>41774</c:v>
                </c:pt>
                <c:pt idx="91">
                  <c:v>41775</c:v>
                </c:pt>
                <c:pt idx="92">
                  <c:v>41778</c:v>
                </c:pt>
                <c:pt idx="93">
                  <c:v>41779</c:v>
                </c:pt>
                <c:pt idx="94">
                  <c:v>41780</c:v>
                </c:pt>
                <c:pt idx="95">
                  <c:v>41781</c:v>
                </c:pt>
                <c:pt idx="96">
                  <c:v>41782</c:v>
                </c:pt>
                <c:pt idx="97">
                  <c:v>41785</c:v>
                </c:pt>
                <c:pt idx="98">
                  <c:v>41786</c:v>
                </c:pt>
                <c:pt idx="99">
                  <c:v>41787</c:v>
                </c:pt>
                <c:pt idx="100">
                  <c:v>41788</c:v>
                </c:pt>
                <c:pt idx="101">
                  <c:v>41789</c:v>
                </c:pt>
                <c:pt idx="102">
                  <c:v>41792</c:v>
                </c:pt>
                <c:pt idx="103">
                  <c:v>41793</c:v>
                </c:pt>
                <c:pt idx="104">
                  <c:v>41794</c:v>
                </c:pt>
                <c:pt idx="105">
                  <c:v>41795</c:v>
                </c:pt>
                <c:pt idx="106">
                  <c:v>41796</c:v>
                </c:pt>
                <c:pt idx="107">
                  <c:v>41799</c:v>
                </c:pt>
                <c:pt idx="108">
                  <c:v>41800</c:v>
                </c:pt>
                <c:pt idx="109">
                  <c:v>41801</c:v>
                </c:pt>
                <c:pt idx="110">
                  <c:v>41802</c:v>
                </c:pt>
                <c:pt idx="111">
                  <c:v>41803</c:v>
                </c:pt>
                <c:pt idx="112">
                  <c:v>41806</c:v>
                </c:pt>
                <c:pt idx="113">
                  <c:v>41807</c:v>
                </c:pt>
                <c:pt idx="114">
                  <c:v>41808</c:v>
                </c:pt>
                <c:pt idx="115">
                  <c:v>41809</c:v>
                </c:pt>
                <c:pt idx="116">
                  <c:v>41810</c:v>
                </c:pt>
                <c:pt idx="117">
                  <c:v>41813</c:v>
                </c:pt>
                <c:pt idx="118">
                  <c:v>41814</c:v>
                </c:pt>
                <c:pt idx="119">
                  <c:v>41815</c:v>
                </c:pt>
                <c:pt idx="120">
                  <c:v>41816</c:v>
                </c:pt>
                <c:pt idx="121">
                  <c:v>41817</c:v>
                </c:pt>
                <c:pt idx="122">
                  <c:v>41820</c:v>
                </c:pt>
                <c:pt idx="123">
                  <c:v>41821</c:v>
                </c:pt>
                <c:pt idx="124">
                  <c:v>41822</c:v>
                </c:pt>
                <c:pt idx="125">
                  <c:v>41823</c:v>
                </c:pt>
                <c:pt idx="126">
                  <c:v>41824</c:v>
                </c:pt>
                <c:pt idx="127">
                  <c:v>41827</c:v>
                </c:pt>
                <c:pt idx="128">
                  <c:v>41828</c:v>
                </c:pt>
                <c:pt idx="129">
                  <c:v>41829</c:v>
                </c:pt>
                <c:pt idx="130">
                  <c:v>41830</c:v>
                </c:pt>
                <c:pt idx="131">
                  <c:v>41831</c:v>
                </c:pt>
                <c:pt idx="132">
                  <c:v>41834</c:v>
                </c:pt>
                <c:pt idx="133">
                  <c:v>41835</c:v>
                </c:pt>
                <c:pt idx="134">
                  <c:v>41836</c:v>
                </c:pt>
                <c:pt idx="135">
                  <c:v>41837</c:v>
                </c:pt>
                <c:pt idx="136">
                  <c:v>41838</c:v>
                </c:pt>
                <c:pt idx="137">
                  <c:v>41841</c:v>
                </c:pt>
                <c:pt idx="138">
                  <c:v>41842</c:v>
                </c:pt>
                <c:pt idx="139">
                  <c:v>41843</c:v>
                </c:pt>
                <c:pt idx="140">
                  <c:v>41844</c:v>
                </c:pt>
                <c:pt idx="141">
                  <c:v>41845</c:v>
                </c:pt>
                <c:pt idx="142">
                  <c:v>41848</c:v>
                </c:pt>
                <c:pt idx="143">
                  <c:v>41849</c:v>
                </c:pt>
                <c:pt idx="144">
                  <c:v>41850</c:v>
                </c:pt>
                <c:pt idx="145">
                  <c:v>41851</c:v>
                </c:pt>
                <c:pt idx="146">
                  <c:v>41852</c:v>
                </c:pt>
                <c:pt idx="147">
                  <c:v>41855</c:v>
                </c:pt>
                <c:pt idx="148">
                  <c:v>41856</c:v>
                </c:pt>
                <c:pt idx="149">
                  <c:v>41857</c:v>
                </c:pt>
                <c:pt idx="150">
                  <c:v>41858</c:v>
                </c:pt>
                <c:pt idx="151">
                  <c:v>41859</c:v>
                </c:pt>
                <c:pt idx="152">
                  <c:v>41862</c:v>
                </c:pt>
                <c:pt idx="153">
                  <c:v>41863</c:v>
                </c:pt>
                <c:pt idx="154">
                  <c:v>41864</c:v>
                </c:pt>
                <c:pt idx="155">
                  <c:v>41865</c:v>
                </c:pt>
                <c:pt idx="156">
                  <c:v>41866</c:v>
                </c:pt>
                <c:pt idx="157">
                  <c:v>41869</c:v>
                </c:pt>
                <c:pt idx="158">
                  <c:v>41870</c:v>
                </c:pt>
                <c:pt idx="159">
                  <c:v>41871</c:v>
                </c:pt>
                <c:pt idx="160">
                  <c:v>41872</c:v>
                </c:pt>
                <c:pt idx="161">
                  <c:v>41873</c:v>
                </c:pt>
                <c:pt idx="162">
                  <c:v>41876</c:v>
                </c:pt>
                <c:pt idx="163">
                  <c:v>41877</c:v>
                </c:pt>
                <c:pt idx="164">
                  <c:v>41878</c:v>
                </c:pt>
                <c:pt idx="165">
                  <c:v>41879</c:v>
                </c:pt>
                <c:pt idx="166">
                  <c:v>41884</c:v>
                </c:pt>
                <c:pt idx="167">
                  <c:v>41885</c:v>
                </c:pt>
                <c:pt idx="168">
                  <c:v>41886</c:v>
                </c:pt>
                <c:pt idx="169">
                  <c:v>41887</c:v>
                </c:pt>
                <c:pt idx="170">
                  <c:v>41890</c:v>
                </c:pt>
                <c:pt idx="171">
                  <c:v>41891</c:v>
                </c:pt>
                <c:pt idx="172">
                  <c:v>41892</c:v>
                </c:pt>
                <c:pt idx="173">
                  <c:v>41893</c:v>
                </c:pt>
                <c:pt idx="174">
                  <c:v>41894</c:v>
                </c:pt>
                <c:pt idx="175">
                  <c:v>41898</c:v>
                </c:pt>
                <c:pt idx="176">
                  <c:v>41899</c:v>
                </c:pt>
                <c:pt idx="177">
                  <c:v>41900</c:v>
                </c:pt>
                <c:pt idx="178">
                  <c:v>41901</c:v>
                </c:pt>
                <c:pt idx="179">
                  <c:v>41904</c:v>
                </c:pt>
                <c:pt idx="180">
                  <c:v>41905</c:v>
                </c:pt>
                <c:pt idx="181">
                  <c:v>41906</c:v>
                </c:pt>
                <c:pt idx="182">
                  <c:v>41907</c:v>
                </c:pt>
                <c:pt idx="183">
                  <c:v>41908</c:v>
                </c:pt>
                <c:pt idx="184">
                  <c:v>41911</c:v>
                </c:pt>
                <c:pt idx="185">
                  <c:v>41912</c:v>
                </c:pt>
                <c:pt idx="186">
                  <c:v>41913</c:v>
                </c:pt>
                <c:pt idx="187">
                  <c:v>41914</c:v>
                </c:pt>
                <c:pt idx="188">
                  <c:v>41915</c:v>
                </c:pt>
                <c:pt idx="189">
                  <c:v>41918</c:v>
                </c:pt>
                <c:pt idx="190">
                  <c:v>41919</c:v>
                </c:pt>
                <c:pt idx="191">
                  <c:v>41920</c:v>
                </c:pt>
                <c:pt idx="192">
                  <c:v>41921</c:v>
                </c:pt>
                <c:pt idx="193">
                  <c:v>41922</c:v>
                </c:pt>
                <c:pt idx="194">
                  <c:v>41925</c:v>
                </c:pt>
                <c:pt idx="195">
                  <c:v>41926</c:v>
                </c:pt>
                <c:pt idx="196">
                  <c:v>41927</c:v>
                </c:pt>
                <c:pt idx="197">
                  <c:v>41928</c:v>
                </c:pt>
                <c:pt idx="198">
                  <c:v>41929</c:v>
                </c:pt>
                <c:pt idx="199">
                  <c:v>41932</c:v>
                </c:pt>
                <c:pt idx="200">
                  <c:v>41933</c:v>
                </c:pt>
                <c:pt idx="201">
                  <c:v>41934</c:v>
                </c:pt>
                <c:pt idx="202">
                  <c:v>41935</c:v>
                </c:pt>
                <c:pt idx="203">
                  <c:v>41936</c:v>
                </c:pt>
                <c:pt idx="204">
                  <c:v>41939</c:v>
                </c:pt>
                <c:pt idx="205">
                  <c:v>41940</c:v>
                </c:pt>
                <c:pt idx="206">
                  <c:v>41941</c:v>
                </c:pt>
                <c:pt idx="207">
                  <c:v>41942</c:v>
                </c:pt>
                <c:pt idx="208">
                  <c:v>41943</c:v>
                </c:pt>
                <c:pt idx="209">
                  <c:v>41946</c:v>
                </c:pt>
                <c:pt idx="210">
                  <c:v>41947</c:v>
                </c:pt>
                <c:pt idx="211">
                  <c:v>41948</c:v>
                </c:pt>
                <c:pt idx="212">
                  <c:v>41949</c:v>
                </c:pt>
                <c:pt idx="213">
                  <c:v>41950</c:v>
                </c:pt>
                <c:pt idx="214">
                  <c:v>41953</c:v>
                </c:pt>
                <c:pt idx="215">
                  <c:v>41954</c:v>
                </c:pt>
                <c:pt idx="216">
                  <c:v>41955</c:v>
                </c:pt>
                <c:pt idx="217">
                  <c:v>41956</c:v>
                </c:pt>
                <c:pt idx="218">
                  <c:v>41957</c:v>
                </c:pt>
                <c:pt idx="219">
                  <c:v>41961</c:v>
                </c:pt>
                <c:pt idx="220">
                  <c:v>41962</c:v>
                </c:pt>
                <c:pt idx="221">
                  <c:v>41963</c:v>
                </c:pt>
                <c:pt idx="222">
                  <c:v>41964</c:v>
                </c:pt>
                <c:pt idx="223">
                  <c:v>41967</c:v>
                </c:pt>
                <c:pt idx="224">
                  <c:v>41968</c:v>
                </c:pt>
                <c:pt idx="225">
                  <c:v>41969</c:v>
                </c:pt>
                <c:pt idx="226">
                  <c:v>41970</c:v>
                </c:pt>
                <c:pt idx="227">
                  <c:v>41971</c:v>
                </c:pt>
                <c:pt idx="228">
                  <c:v>41974</c:v>
                </c:pt>
                <c:pt idx="229">
                  <c:v>41975</c:v>
                </c:pt>
                <c:pt idx="230">
                  <c:v>41976</c:v>
                </c:pt>
                <c:pt idx="231">
                  <c:v>41977</c:v>
                </c:pt>
                <c:pt idx="232">
                  <c:v>41978</c:v>
                </c:pt>
                <c:pt idx="233">
                  <c:v>41981</c:v>
                </c:pt>
                <c:pt idx="234">
                  <c:v>41982</c:v>
                </c:pt>
                <c:pt idx="235">
                  <c:v>41983</c:v>
                </c:pt>
                <c:pt idx="236">
                  <c:v>41984</c:v>
                </c:pt>
                <c:pt idx="237">
                  <c:v>41985</c:v>
                </c:pt>
                <c:pt idx="238">
                  <c:v>41988</c:v>
                </c:pt>
                <c:pt idx="239">
                  <c:v>41989</c:v>
                </c:pt>
                <c:pt idx="240">
                  <c:v>41990</c:v>
                </c:pt>
                <c:pt idx="241">
                  <c:v>41991</c:v>
                </c:pt>
                <c:pt idx="242">
                  <c:v>41992</c:v>
                </c:pt>
                <c:pt idx="243">
                  <c:v>41995</c:v>
                </c:pt>
                <c:pt idx="244">
                  <c:v>41996</c:v>
                </c:pt>
                <c:pt idx="245">
                  <c:v>42002</c:v>
                </c:pt>
                <c:pt idx="246">
                  <c:v>42003</c:v>
                </c:pt>
                <c:pt idx="247">
                  <c:v>42004</c:v>
                </c:pt>
              </c:numCache>
            </c:numRef>
          </c:cat>
          <c:val>
            <c:numRef>
              <c:f>'[Vyvoj AHDJ.xlsx]Sheet1'!$D$252:$D$499</c:f>
              <c:numCache>
                <c:formatCode>General</c:formatCode>
                <c:ptCount val="248"/>
                <c:pt idx="0">
                  <c:v>3.8861645218275287E-2</c:v>
                </c:pt>
                <c:pt idx="1">
                  <c:v>3.8923307556103855E-2</c:v>
                </c:pt>
                <c:pt idx="2">
                  <c:v>3.8970997508000579E-2</c:v>
                </c:pt>
                <c:pt idx="3">
                  <c:v>3.8991529854534995E-2</c:v>
                </c:pt>
                <c:pt idx="4">
                  <c:v>3.8937542706605252E-2</c:v>
                </c:pt>
                <c:pt idx="5">
                  <c:v>3.8989255279062406E-2</c:v>
                </c:pt>
                <c:pt idx="6">
                  <c:v>3.900981354393665E-2</c:v>
                </c:pt>
                <c:pt idx="7">
                  <c:v>3.901485158496789E-2</c:v>
                </c:pt>
                <c:pt idx="8">
                  <c:v>3.9169377225130392E-2</c:v>
                </c:pt>
                <c:pt idx="9">
                  <c:v>3.9162829638106585E-2</c:v>
                </c:pt>
                <c:pt idx="10">
                  <c:v>3.9200595061099699E-2</c:v>
                </c:pt>
                <c:pt idx="11">
                  <c:v>3.9227086920120204E-2</c:v>
                </c:pt>
                <c:pt idx="12">
                  <c:v>3.9241208873667978E-2</c:v>
                </c:pt>
                <c:pt idx="13">
                  <c:v>3.9242180042937204E-2</c:v>
                </c:pt>
                <c:pt idx="14">
                  <c:v>3.9070007240507992E-2</c:v>
                </c:pt>
                <c:pt idx="15">
                  <c:v>3.8765824406269946E-2</c:v>
                </c:pt>
                <c:pt idx="16">
                  <c:v>3.8649238449217298E-2</c:v>
                </c:pt>
                <c:pt idx="17">
                  <c:v>3.8751109465254056E-2</c:v>
                </c:pt>
                <c:pt idx="18">
                  <c:v>3.8680551443475604E-2</c:v>
                </c:pt>
                <c:pt idx="19">
                  <c:v>3.8777297059305681E-2</c:v>
                </c:pt>
                <c:pt idx="20">
                  <c:v>3.875296496212955E-2</c:v>
                </c:pt>
                <c:pt idx="21">
                  <c:v>3.8565052466845932E-2</c:v>
                </c:pt>
                <c:pt idx="22">
                  <c:v>3.8610684174056685E-2</c:v>
                </c:pt>
                <c:pt idx="23">
                  <c:v>3.8606569877624002E-2</c:v>
                </c:pt>
                <c:pt idx="24">
                  <c:v>3.8783543695186815E-2</c:v>
                </c:pt>
                <c:pt idx="25">
                  <c:v>3.8893790505442512E-2</c:v>
                </c:pt>
                <c:pt idx="26">
                  <c:v>3.888391555494046E-2</c:v>
                </c:pt>
                <c:pt idx="27">
                  <c:v>3.9036255129316452E-2</c:v>
                </c:pt>
                <c:pt idx="28">
                  <c:v>3.9160669593296067E-2</c:v>
                </c:pt>
                <c:pt idx="29">
                  <c:v>3.914320277984025E-2</c:v>
                </c:pt>
                <c:pt idx="30">
                  <c:v>3.9214488199190878E-2</c:v>
                </c:pt>
                <c:pt idx="31">
                  <c:v>3.9238341621579499E-2</c:v>
                </c:pt>
                <c:pt idx="32">
                  <c:v>3.9250816158559812E-2</c:v>
                </c:pt>
                <c:pt idx="33">
                  <c:v>3.9222805299657139E-2</c:v>
                </c:pt>
                <c:pt idx="34">
                  <c:v>3.9238734940667805E-2</c:v>
                </c:pt>
                <c:pt idx="35">
                  <c:v>3.9297182713384872E-2</c:v>
                </c:pt>
                <c:pt idx="36">
                  <c:v>3.937717200887364E-2</c:v>
                </c:pt>
                <c:pt idx="37">
                  <c:v>3.9358652135869719E-2</c:v>
                </c:pt>
                <c:pt idx="38">
                  <c:v>3.9370959830814185E-2</c:v>
                </c:pt>
                <c:pt idx="39">
                  <c:v>3.94208525711746E-2</c:v>
                </c:pt>
                <c:pt idx="40">
                  <c:v>3.9374658841396765E-2</c:v>
                </c:pt>
                <c:pt idx="41">
                  <c:v>3.9145122823724503E-2</c:v>
                </c:pt>
                <c:pt idx="42">
                  <c:v>3.9410254455112891E-2</c:v>
                </c:pt>
                <c:pt idx="43">
                  <c:v>3.9423803243377832E-2</c:v>
                </c:pt>
                <c:pt idx="44">
                  <c:v>3.9442616149554618E-2</c:v>
                </c:pt>
                <c:pt idx="45">
                  <c:v>3.9265877762669883E-2</c:v>
                </c:pt>
                <c:pt idx="46">
                  <c:v>3.9216492739949198E-2</c:v>
                </c:pt>
                <c:pt idx="47">
                  <c:v>3.9199891211256152E-2</c:v>
                </c:pt>
                <c:pt idx="48">
                  <c:v>3.9097196132210271E-2</c:v>
                </c:pt>
                <c:pt idx="49">
                  <c:v>3.8955008949832372E-2</c:v>
                </c:pt>
                <c:pt idx="50">
                  <c:v>3.8915152812452017E-2</c:v>
                </c:pt>
                <c:pt idx="51">
                  <c:v>3.9042798856910955E-2</c:v>
                </c:pt>
                <c:pt idx="52">
                  <c:v>3.912733443390138E-2</c:v>
                </c:pt>
                <c:pt idx="53">
                  <c:v>3.9074165539766892E-2</c:v>
                </c:pt>
                <c:pt idx="54">
                  <c:v>3.9162823651698785E-2</c:v>
                </c:pt>
                <c:pt idx="55">
                  <c:v>3.9159105134166816E-2</c:v>
                </c:pt>
                <c:pt idx="56">
                  <c:v>3.9068096121001594E-2</c:v>
                </c:pt>
                <c:pt idx="57">
                  <c:v>3.9199682404497553E-2</c:v>
                </c:pt>
                <c:pt idx="58">
                  <c:v>3.9247040158394891E-2</c:v>
                </c:pt>
                <c:pt idx="59">
                  <c:v>3.9272778529305823E-2</c:v>
                </c:pt>
                <c:pt idx="60">
                  <c:v>3.9386185471497311E-2</c:v>
                </c:pt>
                <c:pt idx="61">
                  <c:v>3.9420451954799637E-2</c:v>
                </c:pt>
                <c:pt idx="62">
                  <c:v>3.9490784669053272E-2</c:v>
                </c:pt>
                <c:pt idx="63">
                  <c:v>3.956583886418559E-2</c:v>
                </c:pt>
                <c:pt idx="64">
                  <c:v>3.9594413758761521E-2</c:v>
                </c:pt>
                <c:pt idx="65">
                  <c:v>3.9645855717424502E-2</c:v>
                </c:pt>
                <c:pt idx="66">
                  <c:v>3.9474580900835672E-2</c:v>
                </c:pt>
                <c:pt idx="67">
                  <c:v>3.9427831573149642E-2</c:v>
                </c:pt>
                <c:pt idx="68">
                  <c:v>3.9489834952018216E-2</c:v>
                </c:pt>
                <c:pt idx="69">
                  <c:v>3.9348433873856552E-2</c:v>
                </c:pt>
                <c:pt idx="70">
                  <c:v>3.9214580654102084E-2</c:v>
                </c:pt>
                <c:pt idx="71">
                  <c:v>3.9299721741362953E-2</c:v>
                </c:pt>
                <c:pt idx="72">
                  <c:v>3.92719962155283E-2</c:v>
                </c:pt>
                <c:pt idx="73">
                  <c:v>3.939892986173555E-2</c:v>
                </c:pt>
                <c:pt idx="74">
                  <c:v>3.9447495694575486E-2</c:v>
                </c:pt>
                <c:pt idx="75">
                  <c:v>3.9613505495933891E-2</c:v>
                </c:pt>
                <c:pt idx="76">
                  <c:v>3.9547855289221896E-2</c:v>
                </c:pt>
                <c:pt idx="77">
                  <c:v>3.957029938355941E-2</c:v>
                </c:pt>
                <c:pt idx="78">
                  <c:v>3.9438584806502253E-2</c:v>
                </c:pt>
                <c:pt idx="79">
                  <c:v>3.9452421494960976E-2</c:v>
                </c:pt>
                <c:pt idx="80">
                  <c:v>3.9615027639219452E-2</c:v>
                </c:pt>
                <c:pt idx="81">
                  <c:v>3.9593829284306603E-2</c:v>
                </c:pt>
                <c:pt idx="82">
                  <c:v>3.9616416898891636E-2</c:v>
                </c:pt>
                <c:pt idx="83">
                  <c:v>3.9592717107971055E-2</c:v>
                </c:pt>
                <c:pt idx="84">
                  <c:v>3.9499227988561987E-2</c:v>
                </c:pt>
                <c:pt idx="85">
                  <c:v>3.9525600454595182E-2</c:v>
                </c:pt>
                <c:pt idx="86">
                  <c:v>3.9707476983532476E-2</c:v>
                </c:pt>
                <c:pt idx="87">
                  <c:v>3.982937675669395E-2</c:v>
                </c:pt>
                <c:pt idx="88">
                  <c:v>3.9906254720247121E-2</c:v>
                </c:pt>
                <c:pt idx="89">
                  <c:v>3.991835418283176E-2</c:v>
                </c:pt>
                <c:pt idx="90">
                  <c:v>3.9797571636942218E-2</c:v>
                </c:pt>
                <c:pt idx="91">
                  <c:v>3.9825843401379575E-2</c:v>
                </c:pt>
                <c:pt idx="92">
                  <c:v>3.9832406715651719E-2</c:v>
                </c:pt>
                <c:pt idx="93">
                  <c:v>3.9801486442663882E-2</c:v>
                </c:pt>
                <c:pt idx="94">
                  <c:v>3.9883799592936822E-2</c:v>
                </c:pt>
                <c:pt idx="95">
                  <c:v>3.997408187306857E-2</c:v>
                </c:pt>
                <c:pt idx="96">
                  <c:v>4.0035675092654405E-2</c:v>
                </c:pt>
                <c:pt idx="97">
                  <c:v>4.0102464813064106E-2</c:v>
                </c:pt>
                <c:pt idx="98">
                  <c:v>4.0130961686165895E-2</c:v>
                </c:pt>
                <c:pt idx="99">
                  <c:v>4.0172030171279155E-2</c:v>
                </c:pt>
                <c:pt idx="100">
                  <c:v>4.0204647551166831E-2</c:v>
                </c:pt>
                <c:pt idx="101">
                  <c:v>4.0203033623064467E-2</c:v>
                </c:pt>
                <c:pt idx="102">
                  <c:v>4.0248807660178645E-2</c:v>
                </c:pt>
                <c:pt idx="103">
                  <c:v>4.0186781921266672E-2</c:v>
                </c:pt>
                <c:pt idx="104">
                  <c:v>4.0215504229052478E-2</c:v>
                </c:pt>
                <c:pt idx="105">
                  <c:v>4.0337822463501302E-2</c:v>
                </c:pt>
                <c:pt idx="106">
                  <c:v>4.0428860441917694E-2</c:v>
                </c:pt>
                <c:pt idx="107">
                  <c:v>4.0487863929052292E-2</c:v>
                </c:pt>
                <c:pt idx="108">
                  <c:v>4.0523334244240934E-2</c:v>
                </c:pt>
                <c:pt idx="109">
                  <c:v>4.0499960754722723E-2</c:v>
                </c:pt>
                <c:pt idx="110">
                  <c:v>4.0468296585555764E-2</c:v>
                </c:pt>
                <c:pt idx="111">
                  <c:v>4.0465173381409557E-2</c:v>
                </c:pt>
                <c:pt idx="112">
                  <c:v>4.0407352671293695E-2</c:v>
                </c:pt>
                <c:pt idx="113">
                  <c:v>4.0430766565129887E-2</c:v>
                </c:pt>
                <c:pt idx="114">
                  <c:v>4.0467995699544013E-2</c:v>
                </c:pt>
                <c:pt idx="115">
                  <c:v>4.0541373793151265E-2</c:v>
                </c:pt>
                <c:pt idx="116">
                  <c:v>4.0550470417648914E-2</c:v>
                </c:pt>
                <c:pt idx="117">
                  <c:v>4.0533630395587814E-2</c:v>
                </c:pt>
                <c:pt idx="118">
                  <c:v>4.0524246706397767E-2</c:v>
                </c:pt>
                <c:pt idx="119">
                  <c:v>4.0448673426176494E-2</c:v>
                </c:pt>
                <c:pt idx="120">
                  <c:v>4.0453492561883186E-2</c:v>
                </c:pt>
                <c:pt idx="121">
                  <c:v>4.0451063992408484E-2</c:v>
                </c:pt>
                <c:pt idx="122">
                  <c:v>4.0422575394888603E-2</c:v>
                </c:pt>
                <c:pt idx="123">
                  <c:v>4.0498587348865522E-2</c:v>
                </c:pt>
                <c:pt idx="124">
                  <c:v>4.0521640694889845E-2</c:v>
                </c:pt>
                <c:pt idx="125">
                  <c:v>4.061216127842391E-2</c:v>
                </c:pt>
                <c:pt idx="126">
                  <c:v>4.0620576817924282E-2</c:v>
                </c:pt>
                <c:pt idx="127">
                  <c:v>4.0555676839877812E-2</c:v>
                </c:pt>
                <c:pt idx="128">
                  <c:v>4.0455512429686223E-2</c:v>
                </c:pt>
                <c:pt idx="129">
                  <c:v>4.0463237898818574E-2</c:v>
                </c:pt>
                <c:pt idx="130">
                  <c:v>4.0396758691785821E-2</c:v>
                </c:pt>
                <c:pt idx="131">
                  <c:v>4.0433449950223507E-2</c:v>
                </c:pt>
                <c:pt idx="132">
                  <c:v>4.0484959554308413E-2</c:v>
                </c:pt>
                <c:pt idx="133">
                  <c:v>4.0473906614241814E-2</c:v>
                </c:pt>
                <c:pt idx="134">
                  <c:v>4.0613663844889361E-2</c:v>
                </c:pt>
                <c:pt idx="135">
                  <c:v>4.0531840654894465E-2</c:v>
                </c:pt>
                <c:pt idx="136">
                  <c:v>4.0571494308399195E-2</c:v>
                </c:pt>
                <c:pt idx="137">
                  <c:v>4.0523774287255405E-2</c:v>
                </c:pt>
                <c:pt idx="138">
                  <c:v>4.0684078554489155E-2</c:v>
                </c:pt>
                <c:pt idx="139">
                  <c:v>4.0721091028857494E-2</c:v>
                </c:pt>
                <c:pt idx="140">
                  <c:v>4.0748237570932037E-2</c:v>
                </c:pt>
                <c:pt idx="141">
                  <c:v>4.0707494604602296E-2</c:v>
                </c:pt>
                <c:pt idx="142">
                  <c:v>4.0714913355807722E-2</c:v>
                </c:pt>
                <c:pt idx="143">
                  <c:v>4.0733588407082917E-2</c:v>
                </c:pt>
                <c:pt idx="144">
                  <c:v>4.0710109608099787E-2</c:v>
                </c:pt>
                <c:pt idx="145">
                  <c:v>4.0476402068358425E-2</c:v>
                </c:pt>
                <c:pt idx="146">
                  <c:v>4.0350911123552033E-2</c:v>
                </c:pt>
                <c:pt idx="147">
                  <c:v>4.0393866388079652E-2</c:v>
                </c:pt>
                <c:pt idx="148">
                  <c:v>4.0384042641952556E-2</c:v>
                </c:pt>
                <c:pt idx="149">
                  <c:v>4.0351890675840586E-2</c:v>
                </c:pt>
                <c:pt idx="150">
                  <c:v>4.0267122268743072E-2</c:v>
                </c:pt>
                <c:pt idx="151">
                  <c:v>4.0240456806277886E-2</c:v>
                </c:pt>
                <c:pt idx="152">
                  <c:v>4.0421530384136893E-2</c:v>
                </c:pt>
                <c:pt idx="153">
                  <c:v>4.0427730349824033E-2</c:v>
                </c:pt>
                <c:pt idx="154">
                  <c:v>4.0569813957276192E-2</c:v>
                </c:pt>
                <c:pt idx="155">
                  <c:v>4.0627933420294783E-2</c:v>
                </c:pt>
                <c:pt idx="156">
                  <c:v>4.0599078692349105E-2</c:v>
                </c:pt>
                <c:pt idx="157">
                  <c:v>4.077040648147371E-2</c:v>
                </c:pt>
                <c:pt idx="158">
                  <c:v>4.086068340988952E-2</c:v>
                </c:pt>
                <c:pt idx="159">
                  <c:v>4.0910461134409132E-2</c:v>
                </c:pt>
                <c:pt idx="160">
                  <c:v>4.0968634390575513E-2</c:v>
                </c:pt>
                <c:pt idx="161">
                  <c:v>4.0977047556584274E-2</c:v>
                </c:pt>
                <c:pt idx="162">
                  <c:v>4.1149372533070348E-2</c:v>
                </c:pt>
                <c:pt idx="163">
                  <c:v>4.1199603508908604E-2</c:v>
                </c:pt>
                <c:pt idx="164">
                  <c:v>4.1229478094866455E-2</c:v>
                </c:pt>
                <c:pt idx="165">
                  <c:v>4.1158757046159095E-2</c:v>
                </c:pt>
                <c:pt idx="166">
                  <c:v>4.1259669960878716E-2</c:v>
                </c:pt>
                <c:pt idx="167">
                  <c:v>4.1324443019073273E-2</c:v>
                </c:pt>
                <c:pt idx="168">
                  <c:v>4.1541791086905096E-2</c:v>
                </c:pt>
                <c:pt idx="169">
                  <c:v>4.1576858263323746E-2</c:v>
                </c:pt>
                <c:pt idx="170">
                  <c:v>4.1562155414146117E-2</c:v>
                </c:pt>
                <c:pt idx="171">
                  <c:v>4.1477863806343412E-2</c:v>
                </c:pt>
                <c:pt idx="172">
                  <c:v>4.1441581115436492E-2</c:v>
                </c:pt>
                <c:pt idx="173">
                  <c:v>4.1412793014750024E-2</c:v>
                </c:pt>
                <c:pt idx="174">
                  <c:v>4.1324266601024229E-2</c:v>
                </c:pt>
                <c:pt idx="175">
                  <c:v>4.1334343740195678E-2</c:v>
                </c:pt>
                <c:pt idx="176">
                  <c:v>4.1342483647240524E-2</c:v>
                </c:pt>
                <c:pt idx="177">
                  <c:v>4.1461594217539012E-2</c:v>
                </c:pt>
                <c:pt idx="178">
                  <c:v>4.1527468053503783E-2</c:v>
                </c:pt>
                <c:pt idx="179">
                  <c:v>4.1431499477524135E-2</c:v>
                </c:pt>
                <c:pt idx="180">
                  <c:v>4.1298478308129806E-2</c:v>
                </c:pt>
                <c:pt idx="181">
                  <c:v>4.1420700446326592E-2</c:v>
                </c:pt>
                <c:pt idx="182">
                  <c:v>4.1340823927154859E-2</c:v>
                </c:pt>
                <c:pt idx="183">
                  <c:v>4.1384519250921514E-2</c:v>
                </c:pt>
                <c:pt idx="184">
                  <c:v>4.1328897381807825E-2</c:v>
                </c:pt>
                <c:pt idx="185">
                  <c:v>4.1449677320857546E-2</c:v>
                </c:pt>
                <c:pt idx="186">
                  <c:v>4.1307939477095733E-2</c:v>
                </c:pt>
                <c:pt idx="187">
                  <c:v>4.1057836741349482E-2</c:v>
                </c:pt>
                <c:pt idx="188">
                  <c:v>4.1158290231611432E-2</c:v>
                </c:pt>
                <c:pt idx="189">
                  <c:v>4.1359914384069087E-2</c:v>
                </c:pt>
                <c:pt idx="190">
                  <c:v>4.1152078249410612E-2</c:v>
                </c:pt>
                <c:pt idx="191">
                  <c:v>4.1110450432570542E-2</c:v>
                </c:pt>
                <c:pt idx="192">
                  <c:v>4.1024974324981173E-2</c:v>
                </c:pt>
                <c:pt idx="193">
                  <c:v>4.0856848062944866E-2</c:v>
                </c:pt>
                <c:pt idx="194">
                  <c:v>4.0728928556464254E-2</c:v>
                </c:pt>
                <c:pt idx="195">
                  <c:v>4.0774093201018123E-2</c:v>
                </c:pt>
                <c:pt idx="196">
                  <c:v>4.0479226028041132E-2</c:v>
                </c:pt>
                <c:pt idx="197">
                  <c:v>4.0381502036959796E-2</c:v>
                </c:pt>
                <c:pt idx="198">
                  <c:v>4.0598229547848835E-2</c:v>
                </c:pt>
                <c:pt idx="199">
                  <c:v>4.0636913301462817E-2</c:v>
                </c:pt>
                <c:pt idx="200">
                  <c:v>4.0905374479713354E-2</c:v>
                </c:pt>
                <c:pt idx="201">
                  <c:v>4.1000054139862283E-2</c:v>
                </c:pt>
                <c:pt idx="202">
                  <c:v>4.1072996851549991E-2</c:v>
                </c:pt>
                <c:pt idx="203">
                  <c:v>4.1106885574886606E-2</c:v>
                </c:pt>
                <c:pt idx="204">
                  <c:v>4.106114593723733E-2</c:v>
                </c:pt>
                <c:pt idx="205">
                  <c:v>4.1149992568544673E-2</c:v>
                </c:pt>
                <c:pt idx="206">
                  <c:v>4.1148975958164705E-2</c:v>
                </c:pt>
                <c:pt idx="207">
                  <c:v>4.1344879088737095E-2</c:v>
                </c:pt>
                <c:pt idx="208">
                  <c:v>4.1622556363182246E-2</c:v>
                </c:pt>
                <c:pt idx="209">
                  <c:v>4.1652074649517333E-2</c:v>
                </c:pt>
                <c:pt idx="210">
                  <c:v>4.1494644815982043E-2</c:v>
                </c:pt>
                <c:pt idx="211">
                  <c:v>4.1596990490011934E-2</c:v>
                </c:pt>
                <c:pt idx="212">
                  <c:v>4.1617571267349905E-2</c:v>
                </c:pt>
                <c:pt idx="213">
                  <c:v>4.1694388468996875E-2</c:v>
                </c:pt>
                <c:pt idx="214">
                  <c:v>4.1703779846816703E-2</c:v>
                </c:pt>
                <c:pt idx="215">
                  <c:v>4.1756439046259433E-2</c:v>
                </c:pt>
                <c:pt idx="216">
                  <c:v>4.1686686294213404E-2</c:v>
                </c:pt>
                <c:pt idx="217">
                  <c:v>4.1689362209636455E-2</c:v>
                </c:pt>
                <c:pt idx="218">
                  <c:v>4.1730570523295783E-2</c:v>
                </c:pt>
                <c:pt idx="219">
                  <c:v>4.1756252720837828E-2</c:v>
                </c:pt>
                <c:pt idx="220">
                  <c:v>4.1650064096756485E-2</c:v>
                </c:pt>
                <c:pt idx="221">
                  <c:v>4.1676804495384745E-2</c:v>
                </c:pt>
                <c:pt idx="222">
                  <c:v>4.2012667677579434E-2</c:v>
                </c:pt>
                <c:pt idx="223">
                  <c:v>4.2017640377711642E-2</c:v>
                </c:pt>
                <c:pt idx="224">
                  <c:v>4.2016475610094514E-2</c:v>
                </c:pt>
                <c:pt idx="225">
                  <c:v>4.203677096203258E-2</c:v>
                </c:pt>
                <c:pt idx="226">
                  <c:v>4.2074322833897712E-2</c:v>
                </c:pt>
                <c:pt idx="227">
                  <c:v>4.2053855314551976E-2</c:v>
                </c:pt>
                <c:pt idx="228">
                  <c:v>4.1942109911485496E-2</c:v>
                </c:pt>
                <c:pt idx="229">
                  <c:v>4.2068884380425733E-2</c:v>
                </c:pt>
                <c:pt idx="230">
                  <c:v>4.2205052288446294E-2</c:v>
                </c:pt>
                <c:pt idx="231">
                  <c:v>4.2064629091884014E-2</c:v>
                </c:pt>
                <c:pt idx="232">
                  <c:v>4.2186637809592004E-2</c:v>
                </c:pt>
                <c:pt idx="233">
                  <c:v>4.2189127577141022E-2</c:v>
                </c:pt>
                <c:pt idx="234">
                  <c:v>4.1903540270244288E-2</c:v>
                </c:pt>
                <c:pt idx="235">
                  <c:v>4.1756580192903937E-2</c:v>
                </c:pt>
                <c:pt idx="236">
                  <c:v>4.1754857114237882E-2</c:v>
                </c:pt>
                <c:pt idx="237">
                  <c:v>4.1413711116249134E-2</c:v>
                </c:pt>
                <c:pt idx="238">
                  <c:v>4.1133878693463265E-2</c:v>
                </c:pt>
                <c:pt idx="239">
                  <c:v>4.1040737808816855E-2</c:v>
                </c:pt>
                <c:pt idx="240">
                  <c:v>4.1170389579027265E-2</c:v>
                </c:pt>
                <c:pt idx="241">
                  <c:v>4.1672535666737696E-2</c:v>
                </c:pt>
                <c:pt idx="242">
                  <c:v>4.1834853108122315E-2</c:v>
                </c:pt>
                <c:pt idx="243">
                  <c:v>4.1891209440503813E-2</c:v>
                </c:pt>
                <c:pt idx="244">
                  <c:v>4.2006302222350474E-2</c:v>
                </c:pt>
                <c:pt idx="245">
                  <c:v>4.2072016954796648E-2</c:v>
                </c:pt>
                <c:pt idx="246">
                  <c:v>4.2060580863687504E-2</c:v>
                </c:pt>
                <c:pt idx="247">
                  <c:v>4.2043928149034883E-2</c:v>
                </c:pt>
              </c:numCache>
            </c:numRef>
          </c:val>
          <c:smooth val="0"/>
        </c:ser>
        <c:ser>
          <c:idx val="1"/>
          <c:order val="2"/>
          <c:tx>
            <c:strRef>
              <c:f>'[Vyvoj AHDJ.xlsx]Sheet1'!$C$1</c:f>
              <c:strCache>
                <c:ptCount val="1"/>
                <c:pt idx="0">
                  <c:v>Akciové d.f.</c:v>
                </c:pt>
              </c:strCache>
            </c:strRef>
          </c:tx>
          <c:spPr>
            <a:ln>
              <a:solidFill>
                <a:schemeClr val="accent4">
                  <a:lumMod val="60000"/>
                  <a:lumOff val="40000"/>
                </a:schemeClr>
              </a:solidFill>
            </a:ln>
          </c:spPr>
          <c:marker>
            <c:symbol val="none"/>
          </c:marker>
          <c:cat>
            <c:numRef>
              <c:f>'[Vyvoj AHDJ.xlsx]Sheet1'!$A$252:$A$499</c:f>
              <c:numCache>
                <c:formatCode>m/d/yyyy</c:formatCode>
                <c:ptCount val="248"/>
                <c:pt idx="0">
                  <c:v>41641</c:v>
                </c:pt>
                <c:pt idx="1">
                  <c:v>41642</c:v>
                </c:pt>
                <c:pt idx="2">
                  <c:v>41646</c:v>
                </c:pt>
                <c:pt idx="3">
                  <c:v>41647</c:v>
                </c:pt>
                <c:pt idx="4">
                  <c:v>41648</c:v>
                </c:pt>
                <c:pt idx="5">
                  <c:v>41649</c:v>
                </c:pt>
                <c:pt idx="6">
                  <c:v>41652</c:v>
                </c:pt>
                <c:pt idx="7">
                  <c:v>41653</c:v>
                </c:pt>
                <c:pt idx="8">
                  <c:v>41654</c:v>
                </c:pt>
                <c:pt idx="9">
                  <c:v>41655</c:v>
                </c:pt>
                <c:pt idx="10">
                  <c:v>41656</c:v>
                </c:pt>
                <c:pt idx="11">
                  <c:v>41659</c:v>
                </c:pt>
                <c:pt idx="12">
                  <c:v>41660</c:v>
                </c:pt>
                <c:pt idx="13">
                  <c:v>41661</c:v>
                </c:pt>
                <c:pt idx="14">
                  <c:v>41662</c:v>
                </c:pt>
                <c:pt idx="15">
                  <c:v>41663</c:v>
                </c:pt>
                <c:pt idx="16">
                  <c:v>41666</c:v>
                </c:pt>
                <c:pt idx="17">
                  <c:v>41667</c:v>
                </c:pt>
                <c:pt idx="18">
                  <c:v>41668</c:v>
                </c:pt>
                <c:pt idx="19">
                  <c:v>41669</c:v>
                </c:pt>
                <c:pt idx="20">
                  <c:v>41670</c:v>
                </c:pt>
                <c:pt idx="21">
                  <c:v>41673</c:v>
                </c:pt>
                <c:pt idx="22">
                  <c:v>41674</c:v>
                </c:pt>
                <c:pt idx="23">
                  <c:v>41675</c:v>
                </c:pt>
                <c:pt idx="24">
                  <c:v>41676</c:v>
                </c:pt>
                <c:pt idx="25">
                  <c:v>41677</c:v>
                </c:pt>
                <c:pt idx="26">
                  <c:v>41680</c:v>
                </c:pt>
                <c:pt idx="27">
                  <c:v>41681</c:v>
                </c:pt>
                <c:pt idx="28">
                  <c:v>41682</c:v>
                </c:pt>
                <c:pt idx="29">
                  <c:v>41683</c:v>
                </c:pt>
                <c:pt idx="30">
                  <c:v>41684</c:v>
                </c:pt>
                <c:pt idx="31">
                  <c:v>41687</c:v>
                </c:pt>
                <c:pt idx="32">
                  <c:v>41688</c:v>
                </c:pt>
                <c:pt idx="33">
                  <c:v>41689</c:v>
                </c:pt>
                <c:pt idx="34">
                  <c:v>41690</c:v>
                </c:pt>
                <c:pt idx="35">
                  <c:v>41691</c:v>
                </c:pt>
                <c:pt idx="36">
                  <c:v>41694</c:v>
                </c:pt>
                <c:pt idx="37">
                  <c:v>41695</c:v>
                </c:pt>
                <c:pt idx="38">
                  <c:v>41696</c:v>
                </c:pt>
                <c:pt idx="39">
                  <c:v>41697</c:v>
                </c:pt>
                <c:pt idx="40">
                  <c:v>41698</c:v>
                </c:pt>
                <c:pt idx="41">
                  <c:v>41701</c:v>
                </c:pt>
                <c:pt idx="42">
                  <c:v>41702</c:v>
                </c:pt>
                <c:pt idx="43">
                  <c:v>41703</c:v>
                </c:pt>
                <c:pt idx="44">
                  <c:v>41704</c:v>
                </c:pt>
                <c:pt idx="45">
                  <c:v>41705</c:v>
                </c:pt>
                <c:pt idx="46">
                  <c:v>41708</c:v>
                </c:pt>
                <c:pt idx="47">
                  <c:v>41709</c:v>
                </c:pt>
                <c:pt idx="48">
                  <c:v>41710</c:v>
                </c:pt>
                <c:pt idx="49">
                  <c:v>41711</c:v>
                </c:pt>
                <c:pt idx="50">
                  <c:v>41712</c:v>
                </c:pt>
                <c:pt idx="51">
                  <c:v>41715</c:v>
                </c:pt>
                <c:pt idx="52">
                  <c:v>41716</c:v>
                </c:pt>
                <c:pt idx="53">
                  <c:v>41717</c:v>
                </c:pt>
                <c:pt idx="54">
                  <c:v>41718</c:v>
                </c:pt>
                <c:pt idx="55">
                  <c:v>41719</c:v>
                </c:pt>
                <c:pt idx="56">
                  <c:v>41722</c:v>
                </c:pt>
                <c:pt idx="57">
                  <c:v>41723</c:v>
                </c:pt>
                <c:pt idx="58">
                  <c:v>41724</c:v>
                </c:pt>
                <c:pt idx="59">
                  <c:v>41725</c:v>
                </c:pt>
                <c:pt idx="60">
                  <c:v>41726</c:v>
                </c:pt>
                <c:pt idx="61">
                  <c:v>41729</c:v>
                </c:pt>
                <c:pt idx="62">
                  <c:v>41730</c:v>
                </c:pt>
                <c:pt idx="63">
                  <c:v>41731</c:v>
                </c:pt>
                <c:pt idx="64">
                  <c:v>41732</c:v>
                </c:pt>
                <c:pt idx="65">
                  <c:v>41733</c:v>
                </c:pt>
                <c:pt idx="66">
                  <c:v>41736</c:v>
                </c:pt>
                <c:pt idx="67">
                  <c:v>41737</c:v>
                </c:pt>
                <c:pt idx="68">
                  <c:v>41738</c:v>
                </c:pt>
                <c:pt idx="69">
                  <c:v>41739</c:v>
                </c:pt>
                <c:pt idx="70">
                  <c:v>41740</c:v>
                </c:pt>
                <c:pt idx="71">
                  <c:v>41743</c:v>
                </c:pt>
                <c:pt idx="72">
                  <c:v>41744</c:v>
                </c:pt>
                <c:pt idx="73">
                  <c:v>41745</c:v>
                </c:pt>
                <c:pt idx="74">
                  <c:v>41746</c:v>
                </c:pt>
                <c:pt idx="75">
                  <c:v>41751</c:v>
                </c:pt>
                <c:pt idx="76">
                  <c:v>41752</c:v>
                </c:pt>
                <c:pt idx="77">
                  <c:v>41753</c:v>
                </c:pt>
                <c:pt idx="78">
                  <c:v>41754</c:v>
                </c:pt>
                <c:pt idx="79">
                  <c:v>41757</c:v>
                </c:pt>
                <c:pt idx="80">
                  <c:v>41758</c:v>
                </c:pt>
                <c:pt idx="81">
                  <c:v>41759</c:v>
                </c:pt>
                <c:pt idx="82">
                  <c:v>41761</c:v>
                </c:pt>
                <c:pt idx="83">
                  <c:v>41764</c:v>
                </c:pt>
                <c:pt idx="84">
                  <c:v>41765</c:v>
                </c:pt>
                <c:pt idx="85">
                  <c:v>41766</c:v>
                </c:pt>
                <c:pt idx="86">
                  <c:v>41768</c:v>
                </c:pt>
                <c:pt idx="87">
                  <c:v>41771</c:v>
                </c:pt>
                <c:pt idx="88">
                  <c:v>41772</c:v>
                </c:pt>
                <c:pt idx="89">
                  <c:v>41773</c:v>
                </c:pt>
                <c:pt idx="90">
                  <c:v>41774</c:v>
                </c:pt>
                <c:pt idx="91">
                  <c:v>41775</c:v>
                </c:pt>
                <c:pt idx="92">
                  <c:v>41778</c:v>
                </c:pt>
                <c:pt idx="93">
                  <c:v>41779</c:v>
                </c:pt>
                <c:pt idx="94">
                  <c:v>41780</c:v>
                </c:pt>
                <c:pt idx="95">
                  <c:v>41781</c:v>
                </c:pt>
                <c:pt idx="96">
                  <c:v>41782</c:v>
                </c:pt>
                <c:pt idx="97">
                  <c:v>41785</c:v>
                </c:pt>
                <c:pt idx="98">
                  <c:v>41786</c:v>
                </c:pt>
                <c:pt idx="99">
                  <c:v>41787</c:v>
                </c:pt>
                <c:pt idx="100">
                  <c:v>41788</c:v>
                </c:pt>
                <c:pt idx="101">
                  <c:v>41789</c:v>
                </c:pt>
                <c:pt idx="102">
                  <c:v>41792</c:v>
                </c:pt>
                <c:pt idx="103">
                  <c:v>41793</c:v>
                </c:pt>
                <c:pt idx="104">
                  <c:v>41794</c:v>
                </c:pt>
                <c:pt idx="105">
                  <c:v>41795</c:v>
                </c:pt>
                <c:pt idx="106">
                  <c:v>41796</c:v>
                </c:pt>
                <c:pt idx="107">
                  <c:v>41799</c:v>
                </c:pt>
                <c:pt idx="108">
                  <c:v>41800</c:v>
                </c:pt>
                <c:pt idx="109">
                  <c:v>41801</c:v>
                </c:pt>
                <c:pt idx="110">
                  <c:v>41802</c:v>
                </c:pt>
                <c:pt idx="111">
                  <c:v>41803</c:v>
                </c:pt>
                <c:pt idx="112">
                  <c:v>41806</c:v>
                </c:pt>
                <c:pt idx="113">
                  <c:v>41807</c:v>
                </c:pt>
                <c:pt idx="114">
                  <c:v>41808</c:v>
                </c:pt>
                <c:pt idx="115">
                  <c:v>41809</c:v>
                </c:pt>
                <c:pt idx="116">
                  <c:v>41810</c:v>
                </c:pt>
                <c:pt idx="117">
                  <c:v>41813</c:v>
                </c:pt>
                <c:pt idx="118">
                  <c:v>41814</c:v>
                </c:pt>
                <c:pt idx="119">
                  <c:v>41815</c:v>
                </c:pt>
                <c:pt idx="120">
                  <c:v>41816</c:v>
                </c:pt>
                <c:pt idx="121">
                  <c:v>41817</c:v>
                </c:pt>
                <c:pt idx="122">
                  <c:v>41820</c:v>
                </c:pt>
                <c:pt idx="123">
                  <c:v>41821</c:v>
                </c:pt>
                <c:pt idx="124">
                  <c:v>41822</c:v>
                </c:pt>
                <c:pt idx="125">
                  <c:v>41823</c:v>
                </c:pt>
                <c:pt idx="126">
                  <c:v>41824</c:v>
                </c:pt>
                <c:pt idx="127">
                  <c:v>41827</c:v>
                </c:pt>
                <c:pt idx="128">
                  <c:v>41828</c:v>
                </c:pt>
                <c:pt idx="129">
                  <c:v>41829</c:v>
                </c:pt>
                <c:pt idx="130">
                  <c:v>41830</c:v>
                </c:pt>
                <c:pt idx="131">
                  <c:v>41831</c:v>
                </c:pt>
                <c:pt idx="132">
                  <c:v>41834</c:v>
                </c:pt>
                <c:pt idx="133">
                  <c:v>41835</c:v>
                </c:pt>
                <c:pt idx="134">
                  <c:v>41836</c:v>
                </c:pt>
                <c:pt idx="135">
                  <c:v>41837</c:v>
                </c:pt>
                <c:pt idx="136">
                  <c:v>41838</c:v>
                </c:pt>
                <c:pt idx="137">
                  <c:v>41841</c:v>
                </c:pt>
                <c:pt idx="138">
                  <c:v>41842</c:v>
                </c:pt>
                <c:pt idx="139">
                  <c:v>41843</c:v>
                </c:pt>
                <c:pt idx="140">
                  <c:v>41844</c:v>
                </c:pt>
                <c:pt idx="141">
                  <c:v>41845</c:v>
                </c:pt>
                <c:pt idx="142">
                  <c:v>41848</c:v>
                </c:pt>
                <c:pt idx="143">
                  <c:v>41849</c:v>
                </c:pt>
                <c:pt idx="144">
                  <c:v>41850</c:v>
                </c:pt>
                <c:pt idx="145">
                  <c:v>41851</c:v>
                </c:pt>
                <c:pt idx="146">
                  <c:v>41852</c:v>
                </c:pt>
                <c:pt idx="147">
                  <c:v>41855</c:v>
                </c:pt>
                <c:pt idx="148">
                  <c:v>41856</c:v>
                </c:pt>
                <c:pt idx="149">
                  <c:v>41857</c:v>
                </c:pt>
                <c:pt idx="150">
                  <c:v>41858</c:v>
                </c:pt>
                <c:pt idx="151">
                  <c:v>41859</c:v>
                </c:pt>
                <c:pt idx="152">
                  <c:v>41862</c:v>
                </c:pt>
                <c:pt idx="153">
                  <c:v>41863</c:v>
                </c:pt>
                <c:pt idx="154">
                  <c:v>41864</c:v>
                </c:pt>
                <c:pt idx="155">
                  <c:v>41865</c:v>
                </c:pt>
                <c:pt idx="156">
                  <c:v>41866</c:v>
                </c:pt>
                <c:pt idx="157">
                  <c:v>41869</c:v>
                </c:pt>
                <c:pt idx="158">
                  <c:v>41870</c:v>
                </c:pt>
                <c:pt idx="159">
                  <c:v>41871</c:v>
                </c:pt>
                <c:pt idx="160">
                  <c:v>41872</c:v>
                </c:pt>
                <c:pt idx="161">
                  <c:v>41873</c:v>
                </c:pt>
                <c:pt idx="162">
                  <c:v>41876</c:v>
                </c:pt>
                <c:pt idx="163">
                  <c:v>41877</c:v>
                </c:pt>
                <c:pt idx="164">
                  <c:v>41878</c:v>
                </c:pt>
                <c:pt idx="165">
                  <c:v>41879</c:v>
                </c:pt>
                <c:pt idx="166">
                  <c:v>41884</c:v>
                </c:pt>
                <c:pt idx="167">
                  <c:v>41885</c:v>
                </c:pt>
                <c:pt idx="168">
                  <c:v>41886</c:v>
                </c:pt>
                <c:pt idx="169">
                  <c:v>41887</c:v>
                </c:pt>
                <c:pt idx="170">
                  <c:v>41890</c:v>
                </c:pt>
                <c:pt idx="171">
                  <c:v>41891</c:v>
                </c:pt>
                <c:pt idx="172">
                  <c:v>41892</c:v>
                </c:pt>
                <c:pt idx="173">
                  <c:v>41893</c:v>
                </c:pt>
                <c:pt idx="174">
                  <c:v>41894</c:v>
                </c:pt>
                <c:pt idx="175">
                  <c:v>41898</c:v>
                </c:pt>
                <c:pt idx="176">
                  <c:v>41899</c:v>
                </c:pt>
                <c:pt idx="177">
                  <c:v>41900</c:v>
                </c:pt>
                <c:pt idx="178">
                  <c:v>41901</c:v>
                </c:pt>
                <c:pt idx="179">
                  <c:v>41904</c:v>
                </c:pt>
                <c:pt idx="180">
                  <c:v>41905</c:v>
                </c:pt>
                <c:pt idx="181">
                  <c:v>41906</c:v>
                </c:pt>
                <c:pt idx="182">
                  <c:v>41907</c:v>
                </c:pt>
                <c:pt idx="183">
                  <c:v>41908</c:v>
                </c:pt>
                <c:pt idx="184">
                  <c:v>41911</c:v>
                </c:pt>
                <c:pt idx="185">
                  <c:v>41912</c:v>
                </c:pt>
                <c:pt idx="186">
                  <c:v>41913</c:v>
                </c:pt>
                <c:pt idx="187">
                  <c:v>41914</c:v>
                </c:pt>
                <c:pt idx="188">
                  <c:v>41915</c:v>
                </c:pt>
                <c:pt idx="189">
                  <c:v>41918</c:v>
                </c:pt>
                <c:pt idx="190">
                  <c:v>41919</c:v>
                </c:pt>
                <c:pt idx="191">
                  <c:v>41920</c:v>
                </c:pt>
                <c:pt idx="192">
                  <c:v>41921</c:v>
                </c:pt>
                <c:pt idx="193">
                  <c:v>41922</c:v>
                </c:pt>
                <c:pt idx="194">
                  <c:v>41925</c:v>
                </c:pt>
                <c:pt idx="195">
                  <c:v>41926</c:v>
                </c:pt>
                <c:pt idx="196">
                  <c:v>41927</c:v>
                </c:pt>
                <c:pt idx="197">
                  <c:v>41928</c:v>
                </c:pt>
                <c:pt idx="198">
                  <c:v>41929</c:v>
                </c:pt>
                <c:pt idx="199">
                  <c:v>41932</c:v>
                </c:pt>
                <c:pt idx="200">
                  <c:v>41933</c:v>
                </c:pt>
                <c:pt idx="201">
                  <c:v>41934</c:v>
                </c:pt>
                <c:pt idx="202">
                  <c:v>41935</c:v>
                </c:pt>
                <c:pt idx="203">
                  <c:v>41936</c:v>
                </c:pt>
                <c:pt idx="204">
                  <c:v>41939</c:v>
                </c:pt>
                <c:pt idx="205">
                  <c:v>41940</c:v>
                </c:pt>
                <c:pt idx="206">
                  <c:v>41941</c:v>
                </c:pt>
                <c:pt idx="207">
                  <c:v>41942</c:v>
                </c:pt>
                <c:pt idx="208">
                  <c:v>41943</c:v>
                </c:pt>
                <c:pt idx="209">
                  <c:v>41946</c:v>
                </c:pt>
                <c:pt idx="210">
                  <c:v>41947</c:v>
                </c:pt>
                <c:pt idx="211">
                  <c:v>41948</c:v>
                </c:pt>
                <c:pt idx="212">
                  <c:v>41949</c:v>
                </c:pt>
                <c:pt idx="213">
                  <c:v>41950</c:v>
                </c:pt>
                <c:pt idx="214">
                  <c:v>41953</c:v>
                </c:pt>
                <c:pt idx="215">
                  <c:v>41954</c:v>
                </c:pt>
                <c:pt idx="216">
                  <c:v>41955</c:v>
                </c:pt>
                <c:pt idx="217">
                  <c:v>41956</c:v>
                </c:pt>
                <c:pt idx="218">
                  <c:v>41957</c:v>
                </c:pt>
                <c:pt idx="219">
                  <c:v>41961</c:v>
                </c:pt>
                <c:pt idx="220">
                  <c:v>41962</c:v>
                </c:pt>
                <c:pt idx="221">
                  <c:v>41963</c:v>
                </c:pt>
                <c:pt idx="222">
                  <c:v>41964</c:v>
                </c:pt>
                <c:pt idx="223">
                  <c:v>41967</c:v>
                </c:pt>
                <c:pt idx="224">
                  <c:v>41968</c:v>
                </c:pt>
                <c:pt idx="225">
                  <c:v>41969</c:v>
                </c:pt>
                <c:pt idx="226">
                  <c:v>41970</c:v>
                </c:pt>
                <c:pt idx="227">
                  <c:v>41971</c:v>
                </c:pt>
                <c:pt idx="228">
                  <c:v>41974</c:v>
                </c:pt>
                <c:pt idx="229">
                  <c:v>41975</c:v>
                </c:pt>
                <c:pt idx="230">
                  <c:v>41976</c:v>
                </c:pt>
                <c:pt idx="231">
                  <c:v>41977</c:v>
                </c:pt>
                <c:pt idx="232">
                  <c:v>41978</c:v>
                </c:pt>
                <c:pt idx="233">
                  <c:v>41981</c:v>
                </c:pt>
                <c:pt idx="234">
                  <c:v>41982</c:v>
                </c:pt>
                <c:pt idx="235">
                  <c:v>41983</c:v>
                </c:pt>
                <c:pt idx="236">
                  <c:v>41984</c:v>
                </c:pt>
                <c:pt idx="237">
                  <c:v>41985</c:v>
                </c:pt>
                <c:pt idx="238">
                  <c:v>41988</c:v>
                </c:pt>
                <c:pt idx="239">
                  <c:v>41989</c:v>
                </c:pt>
                <c:pt idx="240">
                  <c:v>41990</c:v>
                </c:pt>
                <c:pt idx="241">
                  <c:v>41991</c:v>
                </c:pt>
                <c:pt idx="242">
                  <c:v>41992</c:v>
                </c:pt>
                <c:pt idx="243">
                  <c:v>41995</c:v>
                </c:pt>
                <c:pt idx="244">
                  <c:v>41996</c:v>
                </c:pt>
                <c:pt idx="245">
                  <c:v>42002</c:v>
                </c:pt>
                <c:pt idx="246">
                  <c:v>42003</c:v>
                </c:pt>
                <c:pt idx="247">
                  <c:v>42004</c:v>
                </c:pt>
              </c:numCache>
            </c:numRef>
          </c:cat>
          <c:val>
            <c:numRef>
              <c:f>'[Vyvoj AHDJ.xlsx]Sheet1'!$C$252:$C$499</c:f>
              <c:numCache>
                <c:formatCode>General</c:formatCode>
                <c:ptCount val="248"/>
                <c:pt idx="0">
                  <c:v>3.8141721305752975E-2</c:v>
                </c:pt>
                <c:pt idx="1">
                  <c:v>3.8206255996650659E-2</c:v>
                </c:pt>
                <c:pt idx="2">
                  <c:v>3.8246408677215446E-2</c:v>
                </c:pt>
                <c:pt idx="3">
                  <c:v>3.8303927018857681E-2</c:v>
                </c:pt>
                <c:pt idx="4">
                  <c:v>3.8238391449771446E-2</c:v>
                </c:pt>
                <c:pt idx="5">
                  <c:v>3.8350291186014546E-2</c:v>
                </c:pt>
                <c:pt idx="6">
                  <c:v>3.8279734633923611E-2</c:v>
                </c:pt>
                <c:pt idx="7">
                  <c:v>3.8323932202672141E-2</c:v>
                </c:pt>
                <c:pt idx="8">
                  <c:v>3.8487323117125292E-2</c:v>
                </c:pt>
                <c:pt idx="9">
                  <c:v>3.8474482096169098E-2</c:v>
                </c:pt>
                <c:pt idx="10">
                  <c:v>3.8526485400774683E-2</c:v>
                </c:pt>
                <c:pt idx="11">
                  <c:v>3.8551054702710301E-2</c:v>
                </c:pt>
                <c:pt idx="12">
                  <c:v>3.8581867612918132E-2</c:v>
                </c:pt>
                <c:pt idx="13">
                  <c:v>3.8589594201328105E-2</c:v>
                </c:pt>
                <c:pt idx="14">
                  <c:v>3.8330753927358054E-2</c:v>
                </c:pt>
                <c:pt idx="15">
                  <c:v>3.7932479658666841E-2</c:v>
                </c:pt>
                <c:pt idx="16">
                  <c:v>3.7803042367450905E-2</c:v>
                </c:pt>
                <c:pt idx="17">
                  <c:v>3.7914929315421439E-2</c:v>
                </c:pt>
                <c:pt idx="18">
                  <c:v>3.7831121108785642E-2</c:v>
                </c:pt>
                <c:pt idx="19">
                  <c:v>3.7970143274870985E-2</c:v>
                </c:pt>
                <c:pt idx="20">
                  <c:v>3.7955816718836882E-2</c:v>
                </c:pt>
                <c:pt idx="21">
                  <c:v>3.7665986362950481E-2</c:v>
                </c:pt>
                <c:pt idx="22">
                  <c:v>3.7705787654223812E-2</c:v>
                </c:pt>
                <c:pt idx="23">
                  <c:v>3.7675042885578706E-2</c:v>
                </c:pt>
                <c:pt idx="24">
                  <c:v>3.7933125356531552E-2</c:v>
                </c:pt>
                <c:pt idx="25">
                  <c:v>3.8062624232837898E-2</c:v>
                </c:pt>
                <c:pt idx="26">
                  <c:v>3.8039905486835231E-2</c:v>
                </c:pt>
                <c:pt idx="27">
                  <c:v>3.8231467822130202E-2</c:v>
                </c:pt>
                <c:pt idx="28">
                  <c:v>3.8391325987854295E-2</c:v>
                </c:pt>
                <c:pt idx="29">
                  <c:v>3.8373805847383882E-2</c:v>
                </c:pt>
                <c:pt idx="30">
                  <c:v>3.8452990028987638E-2</c:v>
                </c:pt>
                <c:pt idx="31">
                  <c:v>3.8491173829538004E-2</c:v>
                </c:pt>
                <c:pt idx="32">
                  <c:v>3.8516209488052205E-2</c:v>
                </c:pt>
                <c:pt idx="33">
                  <c:v>3.8483033516215036E-2</c:v>
                </c:pt>
                <c:pt idx="34">
                  <c:v>3.8515649752694246E-2</c:v>
                </c:pt>
                <c:pt idx="35">
                  <c:v>3.8587094538525081E-2</c:v>
                </c:pt>
                <c:pt idx="36">
                  <c:v>3.8688075138774251E-2</c:v>
                </c:pt>
                <c:pt idx="37">
                  <c:v>3.8670240038433855E-2</c:v>
                </c:pt>
                <c:pt idx="38">
                  <c:v>3.8684500375802698E-2</c:v>
                </c:pt>
                <c:pt idx="39">
                  <c:v>3.8763675355452248E-2</c:v>
                </c:pt>
                <c:pt idx="40">
                  <c:v>3.8665906204987631E-2</c:v>
                </c:pt>
                <c:pt idx="41">
                  <c:v>3.8425746683143656E-2</c:v>
                </c:pt>
                <c:pt idx="42">
                  <c:v>3.8745938703638905E-2</c:v>
                </c:pt>
                <c:pt idx="43">
                  <c:v>3.8783223615448309E-2</c:v>
                </c:pt>
                <c:pt idx="44">
                  <c:v>3.8820651943707568E-2</c:v>
                </c:pt>
                <c:pt idx="45">
                  <c:v>3.8581420059833005E-2</c:v>
                </c:pt>
                <c:pt idx="46">
                  <c:v>3.8517540766150056E-2</c:v>
                </c:pt>
                <c:pt idx="47">
                  <c:v>3.8484988193938578E-2</c:v>
                </c:pt>
                <c:pt idx="48">
                  <c:v>3.8379152864682547E-2</c:v>
                </c:pt>
                <c:pt idx="49">
                  <c:v>3.8174091421518792E-2</c:v>
                </c:pt>
                <c:pt idx="50">
                  <c:v>3.8132084646081428E-2</c:v>
                </c:pt>
                <c:pt idx="51">
                  <c:v>3.8293306079470103E-2</c:v>
                </c:pt>
                <c:pt idx="52">
                  <c:v>3.8434030574048289E-2</c:v>
                </c:pt>
                <c:pt idx="53">
                  <c:v>3.8349315103060402E-2</c:v>
                </c:pt>
                <c:pt idx="54">
                  <c:v>3.8488332528488801E-2</c:v>
                </c:pt>
                <c:pt idx="55">
                  <c:v>3.8479652662354896E-2</c:v>
                </c:pt>
                <c:pt idx="56">
                  <c:v>3.8366878028508453E-2</c:v>
                </c:pt>
                <c:pt idx="57">
                  <c:v>3.8514026978585102E-2</c:v>
                </c:pt>
                <c:pt idx="58">
                  <c:v>3.8563578715280732E-2</c:v>
                </c:pt>
                <c:pt idx="59">
                  <c:v>3.8595772193932898E-2</c:v>
                </c:pt>
                <c:pt idx="60">
                  <c:v>3.8728440997926078E-2</c:v>
                </c:pt>
                <c:pt idx="61">
                  <c:v>3.8786255257976431E-2</c:v>
                </c:pt>
                <c:pt idx="62">
                  <c:v>3.8906234878067589E-2</c:v>
                </c:pt>
                <c:pt idx="63">
                  <c:v>3.8961418686028849E-2</c:v>
                </c:pt>
                <c:pt idx="64">
                  <c:v>3.8976013176460801E-2</c:v>
                </c:pt>
                <c:pt idx="65">
                  <c:v>3.9021830922360091E-2</c:v>
                </c:pt>
                <c:pt idx="66">
                  <c:v>3.8772285987599651E-2</c:v>
                </c:pt>
                <c:pt idx="67">
                  <c:v>3.8732477248055612E-2</c:v>
                </c:pt>
                <c:pt idx="68">
                  <c:v>3.8831344006771837E-2</c:v>
                </c:pt>
                <c:pt idx="69">
                  <c:v>3.8580436839866179E-2</c:v>
                </c:pt>
                <c:pt idx="70">
                  <c:v>3.8391446816687318E-2</c:v>
                </c:pt>
                <c:pt idx="71">
                  <c:v>3.8503811035268114E-2</c:v>
                </c:pt>
                <c:pt idx="72">
                  <c:v>3.8485473804393405E-2</c:v>
                </c:pt>
                <c:pt idx="73">
                  <c:v>3.8674518668054852E-2</c:v>
                </c:pt>
                <c:pt idx="74">
                  <c:v>3.8726017310698017E-2</c:v>
                </c:pt>
                <c:pt idx="75">
                  <c:v>3.8947090647006286E-2</c:v>
                </c:pt>
                <c:pt idx="76">
                  <c:v>3.8859460185333351E-2</c:v>
                </c:pt>
                <c:pt idx="77">
                  <c:v>3.8884631478018655E-2</c:v>
                </c:pt>
                <c:pt idx="78">
                  <c:v>3.8731196897617372E-2</c:v>
                </c:pt>
                <c:pt idx="79">
                  <c:v>3.8736047155372641E-2</c:v>
                </c:pt>
                <c:pt idx="80">
                  <c:v>3.8916930257254269E-2</c:v>
                </c:pt>
                <c:pt idx="81">
                  <c:v>3.890751009860921E-2</c:v>
                </c:pt>
                <c:pt idx="82">
                  <c:v>3.8931229406667892E-2</c:v>
                </c:pt>
                <c:pt idx="83">
                  <c:v>3.8880135339095317E-2</c:v>
                </c:pt>
                <c:pt idx="84">
                  <c:v>3.8763585919728949E-2</c:v>
                </c:pt>
                <c:pt idx="85">
                  <c:v>3.8798366071788368E-2</c:v>
                </c:pt>
                <c:pt idx="86">
                  <c:v>3.9012055532940917E-2</c:v>
                </c:pt>
                <c:pt idx="87">
                  <c:v>3.9183231212338646E-2</c:v>
                </c:pt>
                <c:pt idx="88">
                  <c:v>3.9285531890938349E-2</c:v>
                </c:pt>
                <c:pt idx="89">
                  <c:v>3.9276394676283216E-2</c:v>
                </c:pt>
                <c:pt idx="90">
                  <c:v>3.9161099181383149E-2</c:v>
                </c:pt>
                <c:pt idx="91">
                  <c:v>3.9171713983293416E-2</c:v>
                </c:pt>
                <c:pt idx="92">
                  <c:v>3.9174064087867409E-2</c:v>
                </c:pt>
                <c:pt idx="93">
                  <c:v>3.9105788440078476E-2</c:v>
                </c:pt>
                <c:pt idx="94">
                  <c:v>3.9228856719189922E-2</c:v>
                </c:pt>
                <c:pt idx="95">
                  <c:v>3.9331677208602846E-2</c:v>
                </c:pt>
                <c:pt idx="96">
                  <c:v>3.9417554600928245E-2</c:v>
                </c:pt>
                <c:pt idx="97">
                  <c:v>3.9487708069469912E-2</c:v>
                </c:pt>
                <c:pt idx="98">
                  <c:v>3.9524077972801011E-2</c:v>
                </c:pt>
                <c:pt idx="99">
                  <c:v>3.957796515468049E-2</c:v>
                </c:pt>
                <c:pt idx="100">
                  <c:v>3.9617293801095001E-2</c:v>
                </c:pt>
                <c:pt idx="101">
                  <c:v>3.9597234653853841E-2</c:v>
                </c:pt>
                <c:pt idx="102">
                  <c:v>3.9653821207780611E-2</c:v>
                </c:pt>
                <c:pt idx="103">
                  <c:v>3.9587627765995642E-2</c:v>
                </c:pt>
                <c:pt idx="104">
                  <c:v>3.9627025895490831E-2</c:v>
                </c:pt>
                <c:pt idx="105">
                  <c:v>3.9792661907432428E-2</c:v>
                </c:pt>
                <c:pt idx="106">
                  <c:v>3.9879415991164492E-2</c:v>
                </c:pt>
                <c:pt idx="107">
                  <c:v>3.9959097609715652E-2</c:v>
                </c:pt>
                <c:pt idx="108">
                  <c:v>4.0000854786056625E-2</c:v>
                </c:pt>
                <c:pt idx="109">
                  <c:v>3.9947765134999341E-2</c:v>
                </c:pt>
                <c:pt idx="110">
                  <c:v>3.9924822828944502E-2</c:v>
                </c:pt>
                <c:pt idx="111">
                  <c:v>3.9943071464000092E-2</c:v>
                </c:pt>
                <c:pt idx="112">
                  <c:v>3.9901427483502491E-2</c:v>
                </c:pt>
                <c:pt idx="113">
                  <c:v>3.992377100091949E-2</c:v>
                </c:pt>
                <c:pt idx="114">
                  <c:v>3.9997698007219112E-2</c:v>
                </c:pt>
                <c:pt idx="115">
                  <c:v>4.0044870326500663E-2</c:v>
                </c:pt>
                <c:pt idx="116">
                  <c:v>4.0061183404928313E-2</c:v>
                </c:pt>
                <c:pt idx="117">
                  <c:v>4.0035091546095913E-2</c:v>
                </c:pt>
                <c:pt idx="118">
                  <c:v>3.9982292074940792E-2</c:v>
                </c:pt>
                <c:pt idx="119">
                  <c:v>3.9904956017824095E-2</c:v>
                </c:pt>
                <c:pt idx="120">
                  <c:v>3.9923526007497753E-2</c:v>
                </c:pt>
                <c:pt idx="121">
                  <c:v>3.9929452432332473E-2</c:v>
                </c:pt>
                <c:pt idx="122">
                  <c:v>3.9898416361905824E-2</c:v>
                </c:pt>
                <c:pt idx="123">
                  <c:v>4.0016142279499546E-2</c:v>
                </c:pt>
                <c:pt idx="124">
                  <c:v>4.0063506996001558E-2</c:v>
                </c:pt>
                <c:pt idx="125">
                  <c:v>4.0174240871464456E-2</c:v>
                </c:pt>
                <c:pt idx="126">
                  <c:v>4.0215549573419246E-2</c:v>
                </c:pt>
                <c:pt idx="127">
                  <c:v>4.0113391978250014E-2</c:v>
                </c:pt>
                <c:pt idx="128">
                  <c:v>3.9970978402299309E-2</c:v>
                </c:pt>
                <c:pt idx="129">
                  <c:v>3.9987411798088762E-2</c:v>
                </c:pt>
                <c:pt idx="130">
                  <c:v>3.9869826541427081E-2</c:v>
                </c:pt>
                <c:pt idx="131">
                  <c:v>3.9910338683822252E-2</c:v>
                </c:pt>
                <c:pt idx="132">
                  <c:v>3.9974867684976177E-2</c:v>
                </c:pt>
                <c:pt idx="133">
                  <c:v>3.9961499741143464E-2</c:v>
                </c:pt>
                <c:pt idx="134">
                  <c:v>4.0171745150254595E-2</c:v>
                </c:pt>
                <c:pt idx="135">
                  <c:v>4.0010631094594934E-2</c:v>
                </c:pt>
                <c:pt idx="136">
                  <c:v>4.0080934273524972E-2</c:v>
                </c:pt>
                <c:pt idx="137">
                  <c:v>4.0035795132253693E-2</c:v>
                </c:pt>
                <c:pt idx="138">
                  <c:v>4.0250012943571722E-2</c:v>
                </c:pt>
                <c:pt idx="139">
                  <c:v>4.0307494723225541E-2</c:v>
                </c:pt>
                <c:pt idx="140">
                  <c:v>4.0325422074961724E-2</c:v>
                </c:pt>
                <c:pt idx="141">
                  <c:v>4.0285178794148856E-2</c:v>
                </c:pt>
                <c:pt idx="142">
                  <c:v>4.0308856070744671E-2</c:v>
                </c:pt>
                <c:pt idx="143">
                  <c:v>4.0311164104564576E-2</c:v>
                </c:pt>
                <c:pt idx="144">
                  <c:v>4.0262876902664016E-2</c:v>
                </c:pt>
                <c:pt idx="145">
                  <c:v>3.9969114970723682E-2</c:v>
                </c:pt>
                <c:pt idx="146">
                  <c:v>3.9812288463275038E-2</c:v>
                </c:pt>
                <c:pt idx="147">
                  <c:v>3.9856596859722274E-2</c:v>
                </c:pt>
                <c:pt idx="148">
                  <c:v>3.9826245575618452E-2</c:v>
                </c:pt>
                <c:pt idx="149">
                  <c:v>3.9801843860185412E-2</c:v>
                </c:pt>
                <c:pt idx="150">
                  <c:v>3.9674132239810402E-2</c:v>
                </c:pt>
                <c:pt idx="151">
                  <c:v>3.9670235709782592E-2</c:v>
                </c:pt>
                <c:pt idx="152">
                  <c:v>3.988680308138795E-2</c:v>
                </c:pt>
                <c:pt idx="153">
                  <c:v>3.9888796600319812E-2</c:v>
                </c:pt>
                <c:pt idx="154">
                  <c:v>4.0023193442404792E-2</c:v>
                </c:pt>
                <c:pt idx="155">
                  <c:v>4.0094906596502312E-2</c:v>
                </c:pt>
                <c:pt idx="156">
                  <c:v>4.0061390686902273E-2</c:v>
                </c:pt>
                <c:pt idx="157">
                  <c:v>4.0263945374524268E-2</c:v>
                </c:pt>
                <c:pt idx="158">
                  <c:v>4.0396125659877324E-2</c:v>
                </c:pt>
                <c:pt idx="159">
                  <c:v>4.0469210327578192E-2</c:v>
                </c:pt>
                <c:pt idx="160">
                  <c:v>4.0542872992294095E-2</c:v>
                </c:pt>
                <c:pt idx="161">
                  <c:v>4.0528047795109746E-2</c:v>
                </c:pt>
                <c:pt idx="162">
                  <c:v>4.0759781173382102E-2</c:v>
                </c:pt>
                <c:pt idx="163">
                  <c:v>4.0815656146295433E-2</c:v>
                </c:pt>
                <c:pt idx="164">
                  <c:v>4.0857614807857108E-2</c:v>
                </c:pt>
                <c:pt idx="165">
                  <c:v>4.0774865729958865E-2</c:v>
                </c:pt>
                <c:pt idx="166">
                  <c:v>4.0872573586983311E-2</c:v>
                </c:pt>
                <c:pt idx="167">
                  <c:v>4.0925577982229018E-2</c:v>
                </c:pt>
                <c:pt idx="168">
                  <c:v>4.1159026865837271E-2</c:v>
                </c:pt>
                <c:pt idx="169">
                  <c:v>4.1235952927226732E-2</c:v>
                </c:pt>
                <c:pt idx="170">
                  <c:v>4.1172325640839218E-2</c:v>
                </c:pt>
                <c:pt idx="171">
                  <c:v>4.1060583930738533E-2</c:v>
                </c:pt>
                <c:pt idx="172">
                  <c:v>4.1034049448705485E-2</c:v>
                </c:pt>
                <c:pt idx="173">
                  <c:v>4.1005292105786489E-2</c:v>
                </c:pt>
                <c:pt idx="174">
                  <c:v>4.0887639413579112E-2</c:v>
                </c:pt>
                <c:pt idx="175">
                  <c:v>4.0901291254989113E-2</c:v>
                </c:pt>
                <c:pt idx="176">
                  <c:v>4.0929233535007083E-2</c:v>
                </c:pt>
                <c:pt idx="177">
                  <c:v>4.1097905687520073E-2</c:v>
                </c:pt>
                <c:pt idx="178">
                  <c:v>4.1143500894730969E-2</c:v>
                </c:pt>
                <c:pt idx="179">
                  <c:v>4.0996213976354022E-2</c:v>
                </c:pt>
                <c:pt idx="180">
                  <c:v>4.079903946877312E-2</c:v>
                </c:pt>
                <c:pt idx="181">
                  <c:v>4.0994642115709613E-2</c:v>
                </c:pt>
                <c:pt idx="182">
                  <c:v>4.0881396166911083E-2</c:v>
                </c:pt>
                <c:pt idx="183">
                  <c:v>4.0940100412673756E-2</c:v>
                </c:pt>
                <c:pt idx="184">
                  <c:v>4.0886588310384213E-2</c:v>
                </c:pt>
                <c:pt idx="185">
                  <c:v>4.1043984166614818E-2</c:v>
                </c:pt>
                <c:pt idx="186">
                  <c:v>4.0792392841892941E-2</c:v>
                </c:pt>
                <c:pt idx="187">
                  <c:v>4.0503938595588894E-2</c:v>
                </c:pt>
                <c:pt idx="188">
                  <c:v>4.0640058740570265E-2</c:v>
                </c:pt>
                <c:pt idx="189">
                  <c:v>4.0868682180151404E-2</c:v>
                </c:pt>
                <c:pt idx="190">
                  <c:v>4.0570414654292314E-2</c:v>
                </c:pt>
                <c:pt idx="191">
                  <c:v>4.0562914024192917E-2</c:v>
                </c:pt>
                <c:pt idx="192">
                  <c:v>4.0305855918361895E-2</c:v>
                </c:pt>
                <c:pt idx="193">
                  <c:v>4.0101725861853947E-2</c:v>
                </c:pt>
                <c:pt idx="194">
                  <c:v>3.9931876345556644E-2</c:v>
                </c:pt>
                <c:pt idx="195">
                  <c:v>3.9992421113151135E-2</c:v>
                </c:pt>
                <c:pt idx="196">
                  <c:v>3.9629078208320852E-2</c:v>
                </c:pt>
                <c:pt idx="197">
                  <c:v>3.948510253716582E-2</c:v>
                </c:pt>
                <c:pt idx="198">
                  <c:v>3.9721371601780006E-2</c:v>
                </c:pt>
                <c:pt idx="199">
                  <c:v>3.9839957352618895E-2</c:v>
                </c:pt>
                <c:pt idx="200">
                  <c:v>4.0205783425814282E-2</c:v>
                </c:pt>
                <c:pt idx="201">
                  <c:v>4.0332883099304592E-2</c:v>
                </c:pt>
                <c:pt idx="202">
                  <c:v>4.0475668106315067E-2</c:v>
                </c:pt>
                <c:pt idx="203">
                  <c:v>4.0542351160651025E-2</c:v>
                </c:pt>
                <c:pt idx="204">
                  <c:v>4.0469702088085015E-2</c:v>
                </c:pt>
                <c:pt idx="205">
                  <c:v>4.0609295798052655E-2</c:v>
                </c:pt>
                <c:pt idx="206">
                  <c:v>4.0632318479205967E-2</c:v>
                </c:pt>
                <c:pt idx="207">
                  <c:v>4.0911385816683403E-2</c:v>
                </c:pt>
                <c:pt idx="208">
                  <c:v>4.1287848518365013E-2</c:v>
                </c:pt>
                <c:pt idx="209">
                  <c:v>4.1262732902678192E-2</c:v>
                </c:pt>
                <c:pt idx="210">
                  <c:v>4.1101016040642452E-2</c:v>
                </c:pt>
                <c:pt idx="211">
                  <c:v>4.1262273525023804E-2</c:v>
                </c:pt>
                <c:pt idx="212">
                  <c:v>4.1269423368484277E-2</c:v>
                </c:pt>
                <c:pt idx="213">
                  <c:v>4.1399253829478823E-2</c:v>
                </c:pt>
                <c:pt idx="214">
                  <c:v>4.1406574251259314E-2</c:v>
                </c:pt>
                <c:pt idx="215">
                  <c:v>4.1472267224582152E-2</c:v>
                </c:pt>
                <c:pt idx="216">
                  <c:v>4.1383205747442704E-2</c:v>
                </c:pt>
                <c:pt idx="217">
                  <c:v>4.1386196217450162E-2</c:v>
                </c:pt>
                <c:pt idx="218">
                  <c:v>4.1435685238999105E-2</c:v>
                </c:pt>
                <c:pt idx="219">
                  <c:v>4.1474939845106994E-2</c:v>
                </c:pt>
                <c:pt idx="220">
                  <c:v>4.1349641085893715E-2</c:v>
                </c:pt>
                <c:pt idx="221">
                  <c:v>4.1382835591791713E-2</c:v>
                </c:pt>
                <c:pt idx="222">
                  <c:v>4.1800913832222134E-2</c:v>
                </c:pt>
                <c:pt idx="223">
                  <c:v>4.1814652378866987E-2</c:v>
                </c:pt>
                <c:pt idx="224">
                  <c:v>4.1795690135560934E-2</c:v>
                </c:pt>
                <c:pt idx="225">
                  <c:v>4.1787820169068526E-2</c:v>
                </c:pt>
                <c:pt idx="226">
                  <c:v>4.1812105425055764E-2</c:v>
                </c:pt>
                <c:pt idx="227">
                  <c:v>4.1734458270743381E-2</c:v>
                </c:pt>
                <c:pt idx="228">
                  <c:v>4.1558001104671304E-2</c:v>
                </c:pt>
                <c:pt idx="229">
                  <c:v>4.1727874192584606E-2</c:v>
                </c:pt>
                <c:pt idx="230">
                  <c:v>4.1949655402568745E-2</c:v>
                </c:pt>
                <c:pt idx="231">
                  <c:v>4.1791371326153584E-2</c:v>
                </c:pt>
                <c:pt idx="232">
                  <c:v>4.1908585783664472E-2</c:v>
                </c:pt>
                <c:pt idx="233">
                  <c:v>4.1887088502439052E-2</c:v>
                </c:pt>
                <c:pt idx="234">
                  <c:v>4.152526212687184E-2</c:v>
                </c:pt>
                <c:pt idx="235">
                  <c:v>4.1284596707407216E-2</c:v>
                </c:pt>
                <c:pt idx="236">
                  <c:v>4.1295686443099437E-2</c:v>
                </c:pt>
                <c:pt idx="237">
                  <c:v>4.0865118918689949E-2</c:v>
                </c:pt>
                <c:pt idx="238">
                  <c:v>4.0563019012134834E-2</c:v>
                </c:pt>
                <c:pt idx="239">
                  <c:v>4.0522592542884636E-2</c:v>
                </c:pt>
                <c:pt idx="240">
                  <c:v>4.0764665310198824E-2</c:v>
                </c:pt>
                <c:pt idx="241">
                  <c:v>4.1455699459988893E-2</c:v>
                </c:pt>
                <c:pt idx="242">
                  <c:v>4.1640531362987357E-2</c:v>
                </c:pt>
                <c:pt idx="243">
                  <c:v>4.173531742096323E-2</c:v>
                </c:pt>
                <c:pt idx="244">
                  <c:v>4.1874055511774456E-2</c:v>
                </c:pt>
                <c:pt idx="245">
                  <c:v>4.1972999920902032E-2</c:v>
                </c:pt>
                <c:pt idx="246">
                  <c:v>4.192385773195887E-2</c:v>
                </c:pt>
                <c:pt idx="247">
                  <c:v>4.1866961218575895E-2</c:v>
                </c:pt>
              </c:numCache>
            </c:numRef>
          </c:val>
          <c:smooth val="0"/>
        </c:ser>
        <c:ser>
          <c:idx val="3"/>
          <c:order val="3"/>
          <c:tx>
            <c:strRef>
              <c:f>'[Vyvoj AHDJ.xlsx]Sheet1'!$E$1</c:f>
              <c:strCache>
                <c:ptCount val="1"/>
                <c:pt idx="0">
                  <c:v>Indexové d.f.</c:v>
                </c:pt>
              </c:strCache>
            </c:strRef>
          </c:tx>
          <c:spPr>
            <a:ln>
              <a:solidFill>
                <a:schemeClr val="accent5"/>
              </a:solidFill>
            </a:ln>
          </c:spPr>
          <c:marker>
            <c:symbol val="none"/>
          </c:marker>
          <c:cat>
            <c:numRef>
              <c:f>'[Vyvoj AHDJ.xlsx]Sheet1'!$A$252:$A$499</c:f>
              <c:numCache>
                <c:formatCode>m/d/yyyy</c:formatCode>
                <c:ptCount val="248"/>
                <c:pt idx="0">
                  <c:v>41641</c:v>
                </c:pt>
                <c:pt idx="1">
                  <c:v>41642</c:v>
                </c:pt>
                <c:pt idx="2">
                  <c:v>41646</c:v>
                </c:pt>
                <c:pt idx="3">
                  <c:v>41647</c:v>
                </c:pt>
                <c:pt idx="4">
                  <c:v>41648</c:v>
                </c:pt>
                <c:pt idx="5">
                  <c:v>41649</c:v>
                </c:pt>
                <c:pt idx="6">
                  <c:v>41652</c:v>
                </c:pt>
                <c:pt idx="7">
                  <c:v>41653</c:v>
                </c:pt>
                <c:pt idx="8">
                  <c:v>41654</c:v>
                </c:pt>
                <c:pt idx="9">
                  <c:v>41655</c:v>
                </c:pt>
                <c:pt idx="10">
                  <c:v>41656</c:v>
                </c:pt>
                <c:pt idx="11">
                  <c:v>41659</c:v>
                </c:pt>
                <c:pt idx="12">
                  <c:v>41660</c:v>
                </c:pt>
                <c:pt idx="13">
                  <c:v>41661</c:v>
                </c:pt>
                <c:pt idx="14">
                  <c:v>41662</c:v>
                </c:pt>
                <c:pt idx="15">
                  <c:v>41663</c:v>
                </c:pt>
                <c:pt idx="16">
                  <c:v>41666</c:v>
                </c:pt>
                <c:pt idx="17">
                  <c:v>41667</c:v>
                </c:pt>
                <c:pt idx="18">
                  <c:v>41668</c:v>
                </c:pt>
                <c:pt idx="19">
                  <c:v>41669</c:v>
                </c:pt>
                <c:pt idx="20">
                  <c:v>41670</c:v>
                </c:pt>
                <c:pt idx="21">
                  <c:v>41673</c:v>
                </c:pt>
                <c:pt idx="22">
                  <c:v>41674</c:v>
                </c:pt>
                <c:pt idx="23">
                  <c:v>41675</c:v>
                </c:pt>
                <c:pt idx="24">
                  <c:v>41676</c:v>
                </c:pt>
                <c:pt idx="25">
                  <c:v>41677</c:v>
                </c:pt>
                <c:pt idx="26">
                  <c:v>41680</c:v>
                </c:pt>
                <c:pt idx="27">
                  <c:v>41681</c:v>
                </c:pt>
                <c:pt idx="28">
                  <c:v>41682</c:v>
                </c:pt>
                <c:pt idx="29">
                  <c:v>41683</c:v>
                </c:pt>
                <c:pt idx="30">
                  <c:v>41684</c:v>
                </c:pt>
                <c:pt idx="31">
                  <c:v>41687</c:v>
                </c:pt>
                <c:pt idx="32">
                  <c:v>41688</c:v>
                </c:pt>
                <c:pt idx="33">
                  <c:v>41689</c:v>
                </c:pt>
                <c:pt idx="34">
                  <c:v>41690</c:v>
                </c:pt>
                <c:pt idx="35">
                  <c:v>41691</c:v>
                </c:pt>
                <c:pt idx="36">
                  <c:v>41694</c:v>
                </c:pt>
                <c:pt idx="37">
                  <c:v>41695</c:v>
                </c:pt>
                <c:pt idx="38">
                  <c:v>41696</c:v>
                </c:pt>
                <c:pt idx="39">
                  <c:v>41697</c:v>
                </c:pt>
                <c:pt idx="40">
                  <c:v>41698</c:v>
                </c:pt>
                <c:pt idx="41">
                  <c:v>41701</c:v>
                </c:pt>
                <c:pt idx="42">
                  <c:v>41702</c:v>
                </c:pt>
                <c:pt idx="43">
                  <c:v>41703</c:v>
                </c:pt>
                <c:pt idx="44">
                  <c:v>41704</c:v>
                </c:pt>
                <c:pt idx="45">
                  <c:v>41705</c:v>
                </c:pt>
                <c:pt idx="46">
                  <c:v>41708</c:v>
                </c:pt>
                <c:pt idx="47">
                  <c:v>41709</c:v>
                </c:pt>
                <c:pt idx="48">
                  <c:v>41710</c:v>
                </c:pt>
                <c:pt idx="49">
                  <c:v>41711</c:v>
                </c:pt>
                <c:pt idx="50">
                  <c:v>41712</c:v>
                </c:pt>
                <c:pt idx="51">
                  <c:v>41715</c:v>
                </c:pt>
                <c:pt idx="52">
                  <c:v>41716</c:v>
                </c:pt>
                <c:pt idx="53">
                  <c:v>41717</c:v>
                </c:pt>
                <c:pt idx="54">
                  <c:v>41718</c:v>
                </c:pt>
                <c:pt idx="55">
                  <c:v>41719</c:v>
                </c:pt>
                <c:pt idx="56">
                  <c:v>41722</c:v>
                </c:pt>
                <c:pt idx="57">
                  <c:v>41723</c:v>
                </c:pt>
                <c:pt idx="58">
                  <c:v>41724</c:v>
                </c:pt>
                <c:pt idx="59">
                  <c:v>41725</c:v>
                </c:pt>
                <c:pt idx="60">
                  <c:v>41726</c:v>
                </c:pt>
                <c:pt idx="61">
                  <c:v>41729</c:v>
                </c:pt>
                <c:pt idx="62">
                  <c:v>41730</c:v>
                </c:pt>
                <c:pt idx="63">
                  <c:v>41731</c:v>
                </c:pt>
                <c:pt idx="64">
                  <c:v>41732</c:v>
                </c:pt>
                <c:pt idx="65">
                  <c:v>41733</c:v>
                </c:pt>
                <c:pt idx="66">
                  <c:v>41736</c:v>
                </c:pt>
                <c:pt idx="67">
                  <c:v>41737</c:v>
                </c:pt>
                <c:pt idx="68">
                  <c:v>41738</c:v>
                </c:pt>
                <c:pt idx="69">
                  <c:v>41739</c:v>
                </c:pt>
                <c:pt idx="70">
                  <c:v>41740</c:v>
                </c:pt>
                <c:pt idx="71">
                  <c:v>41743</c:v>
                </c:pt>
                <c:pt idx="72">
                  <c:v>41744</c:v>
                </c:pt>
                <c:pt idx="73">
                  <c:v>41745</c:v>
                </c:pt>
                <c:pt idx="74">
                  <c:v>41746</c:v>
                </c:pt>
                <c:pt idx="75">
                  <c:v>41751</c:v>
                </c:pt>
                <c:pt idx="76">
                  <c:v>41752</c:v>
                </c:pt>
                <c:pt idx="77">
                  <c:v>41753</c:v>
                </c:pt>
                <c:pt idx="78">
                  <c:v>41754</c:v>
                </c:pt>
                <c:pt idx="79">
                  <c:v>41757</c:v>
                </c:pt>
                <c:pt idx="80">
                  <c:v>41758</c:v>
                </c:pt>
                <c:pt idx="81">
                  <c:v>41759</c:v>
                </c:pt>
                <c:pt idx="82">
                  <c:v>41761</c:v>
                </c:pt>
                <c:pt idx="83">
                  <c:v>41764</c:v>
                </c:pt>
                <c:pt idx="84">
                  <c:v>41765</c:v>
                </c:pt>
                <c:pt idx="85">
                  <c:v>41766</c:v>
                </c:pt>
                <c:pt idx="86">
                  <c:v>41768</c:v>
                </c:pt>
                <c:pt idx="87">
                  <c:v>41771</c:v>
                </c:pt>
                <c:pt idx="88">
                  <c:v>41772</c:v>
                </c:pt>
                <c:pt idx="89">
                  <c:v>41773</c:v>
                </c:pt>
                <c:pt idx="90">
                  <c:v>41774</c:v>
                </c:pt>
                <c:pt idx="91">
                  <c:v>41775</c:v>
                </c:pt>
                <c:pt idx="92">
                  <c:v>41778</c:v>
                </c:pt>
                <c:pt idx="93">
                  <c:v>41779</c:v>
                </c:pt>
                <c:pt idx="94">
                  <c:v>41780</c:v>
                </c:pt>
                <c:pt idx="95">
                  <c:v>41781</c:v>
                </c:pt>
                <c:pt idx="96">
                  <c:v>41782</c:v>
                </c:pt>
                <c:pt idx="97">
                  <c:v>41785</c:v>
                </c:pt>
                <c:pt idx="98">
                  <c:v>41786</c:v>
                </c:pt>
                <c:pt idx="99">
                  <c:v>41787</c:v>
                </c:pt>
                <c:pt idx="100">
                  <c:v>41788</c:v>
                </c:pt>
                <c:pt idx="101">
                  <c:v>41789</c:v>
                </c:pt>
                <c:pt idx="102">
                  <c:v>41792</c:v>
                </c:pt>
                <c:pt idx="103">
                  <c:v>41793</c:v>
                </c:pt>
                <c:pt idx="104">
                  <c:v>41794</c:v>
                </c:pt>
                <c:pt idx="105">
                  <c:v>41795</c:v>
                </c:pt>
                <c:pt idx="106">
                  <c:v>41796</c:v>
                </c:pt>
                <c:pt idx="107">
                  <c:v>41799</c:v>
                </c:pt>
                <c:pt idx="108">
                  <c:v>41800</c:v>
                </c:pt>
                <c:pt idx="109">
                  <c:v>41801</c:v>
                </c:pt>
                <c:pt idx="110">
                  <c:v>41802</c:v>
                </c:pt>
                <c:pt idx="111">
                  <c:v>41803</c:v>
                </c:pt>
                <c:pt idx="112">
                  <c:v>41806</c:v>
                </c:pt>
                <c:pt idx="113">
                  <c:v>41807</c:v>
                </c:pt>
                <c:pt idx="114">
                  <c:v>41808</c:v>
                </c:pt>
                <c:pt idx="115">
                  <c:v>41809</c:v>
                </c:pt>
                <c:pt idx="116">
                  <c:v>41810</c:v>
                </c:pt>
                <c:pt idx="117">
                  <c:v>41813</c:v>
                </c:pt>
                <c:pt idx="118">
                  <c:v>41814</c:v>
                </c:pt>
                <c:pt idx="119">
                  <c:v>41815</c:v>
                </c:pt>
                <c:pt idx="120">
                  <c:v>41816</c:v>
                </c:pt>
                <c:pt idx="121">
                  <c:v>41817</c:v>
                </c:pt>
                <c:pt idx="122">
                  <c:v>41820</c:v>
                </c:pt>
                <c:pt idx="123">
                  <c:v>41821</c:v>
                </c:pt>
                <c:pt idx="124">
                  <c:v>41822</c:v>
                </c:pt>
                <c:pt idx="125">
                  <c:v>41823</c:v>
                </c:pt>
                <c:pt idx="126">
                  <c:v>41824</c:v>
                </c:pt>
                <c:pt idx="127">
                  <c:v>41827</c:v>
                </c:pt>
                <c:pt idx="128">
                  <c:v>41828</c:v>
                </c:pt>
                <c:pt idx="129">
                  <c:v>41829</c:v>
                </c:pt>
                <c:pt idx="130">
                  <c:v>41830</c:v>
                </c:pt>
                <c:pt idx="131">
                  <c:v>41831</c:v>
                </c:pt>
                <c:pt idx="132">
                  <c:v>41834</c:v>
                </c:pt>
                <c:pt idx="133">
                  <c:v>41835</c:v>
                </c:pt>
                <c:pt idx="134">
                  <c:v>41836</c:v>
                </c:pt>
                <c:pt idx="135">
                  <c:v>41837</c:v>
                </c:pt>
                <c:pt idx="136">
                  <c:v>41838</c:v>
                </c:pt>
                <c:pt idx="137">
                  <c:v>41841</c:v>
                </c:pt>
                <c:pt idx="138">
                  <c:v>41842</c:v>
                </c:pt>
                <c:pt idx="139">
                  <c:v>41843</c:v>
                </c:pt>
                <c:pt idx="140">
                  <c:v>41844</c:v>
                </c:pt>
                <c:pt idx="141">
                  <c:v>41845</c:v>
                </c:pt>
                <c:pt idx="142">
                  <c:v>41848</c:v>
                </c:pt>
                <c:pt idx="143">
                  <c:v>41849</c:v>
                </c:pt>
                <c:pt idx="144">
                  <c:v>41850</c:v>
                </c:pt>
                <c:pt idx="145">
                  <c:v>41851</c:v>
                </c:pt>
                <c:pt idx="146">
                  <c:v>41852</c:v>
                </c:pt>
                <c:pt idx="147">
                  <c:v>41855</c:v>
                </c:pt>
                <c:pt idx="148">
                  <c:v>41856</c:v>
                </c:pt>
                <c:pt idx="149">
                  <c:v>41857</c:v>
                </c:pt>
                <c:pt idx="150">
                  <c:v>41858</c:v>
                </c:pt>
                <c:pt idx="151">
                  <c:v>41859</c:v>
                </c:pt>
                <c:pt idx="152">
                  <c:v>41862</c:v>
                </c:pt>
                <c:pt idx="153">
                  <c:v>41863</c:v>
                </c:pt>
                <c:pt idx="154">
                  <c:v>41864</c:v>
                </c:pt>
                <c:pt idx="155">
                  <c:v>41865</c:v>
                </c:pt>
                <c:pt idx="156">
                  <c:v>41866</c:v>
                </c:pt>
                <c:pt idx="157">
                  <c:v>41869</c:v>
                </c:pt>
                <c:pt idx="158">
                  <c:v>41870</c:v>
                </c:pt>
                <c:pt idx="159">
                  <c:v>41871</c:v>
                </c:pt>
                <c:pt idx="160">
                  <c:v>41872</c:v>
                </c:pt>
                <c:pt idx="161">
                  <c:v>41873</c:v>
                </c:pt>
                <c:pt idx="162">
                  <c:v>41876</c:v>
                </c:pt>
                <c:pt idx="163">
                  <c:v>41877</c:v>
                </c:pt>
                <c:pt idx="164">
                  <c:v>41878</c:v>
                </c:pt>
                <c:pt idx="165">
                  <c:v>41879</c:v>
                </c:pt>
                <c:pt idx="166">
                  <c:v>41884</c:v>
                </c:pt>
                <c:pt idx="167">
                  <c:v>41885</c:v>
                </c:pt>
                <c:pt idx="168">
                  <c:v>41886</c:v>
                </c:pt>
                <c:pt idx="169">
                  <c:v>41887</c:v>
                </c:pt>
                <c:pt idx="170">
                  <c:v>41890</c:v>
                </c:pt>
                <c:pt idx="171">
                  <c:v>41891</c:v>
                </c:pt>
                <c:pt idx="172">
                  <c:v>41892</c:v>
                </c:pt>
                <c:pt idx="173">
                  <c:v>41893</c:v>
                </c:pt>
                <c:pt idx="174">
                  <c:v>41894</c:v>
                </c:pt>
                <c:pt idx="175">
                  <c:v>41898</c:v>
                </c:pt>
                <c:pt idx="176">
                  <c:v>41899</c:v>
                </c:pt>
                <c:pt idx="177">
                  <c:v>41900</c:v>
                </c:pt>
                <c:pt idx="178">
                  <c:v>41901</c:v>
                </c:pt>
                <c:pt idx="179">
                  <c:v>41904</c:v>
                </c:pt>
                <c:pt idx="180">
                  <c:v>41905</c:v>
                </c:pt>
                <c:pt idx="181">
                  <c:v>41906</c:v>
                </c:pt>
                <c:pt idx="182">
                  <c:v>41907</c:v>
                </c:pt>
                <c:pt idx="183">
                  <c:v>41908</c:v>
                </c:pt>
                <c:pt idx="184">
                  <c:v>41911</c:v>
                </c:pt>
                <c:pt idx="185">
                  <c:v>41912</c:v>
                </c:pt>
                <c:pt idx="186">
                  <c:v>41913</c:v>
                </c:pt>
                <c:pt idx="187">
                  <c:v>41914</c:v>
                </c:pt>
                <c:pt idx="188">
                  <c:v>41915</c:v>
                </c:pt>
                <c:pt idx="189">
                  <c:v>41918</c:v>
                </c:pt>
                <c:pt idx="190">
                  <c:v>41919</c:v>
                </c:pt>
                <c:pt idx="191">
                  <c:v>41920</c:v>
                </c:pt>
                <c:pt idx="192">
                  <c:v>41921</c:v>
                </c:pt>
                <c:pt idx="193">
                  <c:v>41922</c:v>
                </c:pt>
                <c:pt idx="194">
                  <c:v>41925</c:v>
                </c:pt>
                <c:pt idx="195">
                  <c:v>41926</c:v>
                </c:pt>
                <c:pt idx="196">
                  <c:v>41927</c:v>
                </c:pt>
                <c:pt idx="197">
                  <c:v>41928</c:v>
                </c:pt>
                <c:pt idx="198">
                  <c:v>41929</c:v>
                </c:pt>
                <c:pt idx="199">
                  <c:v>41932</c:v>
                </c:pt>
                <c:pt idx="200">
                  <c:v>41933</c:v>
                </c:pt>
                <c:pt idx="201">
                  <c:v>41934</c:v>
                </c:pt>
                <c:pt idx="202">
                  <c:v>41935</c:v>
                </c:pt>
                <c:pt idx="203">
                  <c:v>41936</c:v>
                </c:pt>
                <c:pt idx="204">
                  <c:v>41939</c:v>
                </c:pt>
                <c:pt idx="205">
                  <c:v>41940</c:v>
                </c:pt>
                <c:pt idx="206">
                  <c:v>41941</c:v>
                </c:pt>
                <c:pt idx="207">
                  <c:v>41942</c:v>
                </c:pt>
                <c:pt idx="208">
                  <c:v>41943</c:v>
                </c:pt>
                <c:pt idx="209">
                  <c:v>41946</c:v>
                </c:pt>
                <c:pt idx="210">
                  <c:v>41947</c:v>
                </c:pt>
                <c:pt idx="211">
                  <c:v>41948</c:v>
                </c:pt>
                <c:pt idx="212">
                  <c:v>41949</c:v>
                </c:pt>
                <c:pt idx="213">
                  <c:v>41950</c:v>
                </c:pt>
                <c:pt idx="214">
                  <c:v>41953</c:v>
                </c:pt>
                <c:pt idx="215">
                  <c:v>41954</c:v>
                </c:pt>
                <c:pt idx="216">
                  <c:v>41955</c:v>
                </c:pt>
                <c:pt idx="217">
                  <c:v>41956</c:v>
                </c:pt>
                <c:pt idx="218">
                  <c:v>41957</c:v>
                </c:pt>
                <c:pt idx="219">
                  <c:v>41961</c:v>
                </c:pt>
                <c:pt idx="220">
                  <c:v>41962</c:v>
                </c:pt>
                <c:pt idx="221">
                  <c:v>41963</c:v>
                </c:pt>
                <c:pt idx="222">
                  <c:v>41964</c:v>
                </c:pt>
                <c:pt idx="223">
                  <c:v>41967</c:v>
                </c:pt>
                <c:pt idx="224">
                  <c:v>41968</c:v>
                </c:pt>
                <c:pt idx="225">
                  <c:v>41969</c:v>
                </c:pt>
                <c:pt idx="226">
                  <c:v>41970</c:v>
                </c:pt>
                <c:pt idx="227">
                  <c:v>41971</c:v>
                </c:pt>
                <c:pt idx="228">
                  <c:v>41974</c:v>
                </c:pt>
                <c:pt idx="229">
                  <c:v>41975</c:v>
                </c:pt>
                <c:pt idx="230">
                  <c:v>41976</c:v>
                </c:pt>
                <c:pt idx="231">
                  <c:v>41977</c:v>
                </c:pt>
                <c:pt idx="232">
                  <c:v>41978</c:v>
                </c:pt>
                <c:pt idx="233">
                  <c:v>41981</c:v>
                </c:pt>
                <c:pt idx="234">
                  <c:v>41982</c:v>
                </c:pt>
                <c:pt idx="235">
                  <c:v>41983</c:v>
                </c:pt>
                <c:pt idx="236">
                  <c:v>41984</c:v>
                </c:pt>
                <c:pt idx="237">
                  <c:v>41985</c:v>
                </c:pt>
                <c:pt idx="238">
                  <c:v>41988</c:v>
                </c:pt>
                <c:pt idx="239">
                  <c:v>41989</c:v>
                </c:pt>
                <c:pt idx="240">
                  <c:v>41990</c:v>
                </c:pt>
                <c:pt idx="241">
                  <c:v>41991</c:v>
                </c:pt>
                <c:pt idx="242">
                  <c:v>41992</c:v>
                </c:pt>
                <c:pt idx="243">
                  <c:v>41995</c:v>
                </c:pt>
                <c:pt idx="244">
                  <c:v>41996</c:v>
                </c:pt>
                <c:pt idx="245">
                  <c:v>42002</c:v>
                </c:pt>
                <c:pt idx="246">
                  <c:v>42003</c:v>
                </c:pt>
                <c:pt idx="247">
                  <c:v>42004</c:v>
                </c:pt>
              </c:numCache>
            </c:numRef>
          </c:cat>
          <c:val>
            <c:numRef>
              <c:f>'[Vyvoj AHDJ.xlsx]Sheet1'!$E$252:$E$499</c:f>
              <c:numCache>
                <c:formatCode>General</c:formatCode>
                <c:ptCount val="248"/>
                <c:pt idx="0">
                  <c:v>4.1601774444185752E-2</c:v>
                </c:pt>
                <c:pt idx="1">
                  <c:v>4.1730660029976933E-2</c:v>
                </c:pt>
                <c:pt idx="2">
                  <c:v>4.1934347667844755E-2</c:v>
                </c:pt>
                <c:pt idx="3">
                  <c:v>4.1972603388283493E-2</c:v>
                </c:pt>
                <c:pt idx="4">
                  <c:v>4.1811846575876367E-2</c:v>
                </c:pt>
                <c:pt idx="5">
                  <c:v>4.1794932706495182E-2</c:v>
                </c:pt>
                <c:pt idx="6">
                  <c:v>4.1865318956786593E-2</c:v>
                </c:pt>
                <c:pt idx="7">
                  <c:v>4.1850299232147094E-2</c:v>
                </c:pt>
                <c:pt idx="8">
                  <c:v>4.2354020860377074E-2</c:v>
                </c:pt>
                <c:pt idx="9">
                  <c:v>4.2196139021062833E-2</c:v>
                </c:pt>
                <c:pt idx="10">
                  <c:v>4.2332397773782032E-2</c:v>
                </c:pt>
                <c:pt idx="11">
                  <c:v>4.2330645674563371E-2</c:v>
                </c:pt>
                <c:pt idx="12">
                  <c:v>4.2284398279258305E-2</c:v>
                </c:pt>
                <c:pt idx="13">
                  <c:v>4.2327514025353834E-2</c:v>
                </c:pt>
                <c:pt idx="14">
                  <c:v>4.1740123973997456E-2</c:v>
                </c:pt>
                <c:pt idx="15">
                  <c:v>4.0875428395075387E-2</c:v>
                </c:pt>
                <c:pt idx="16">
                  <c:v>4.0582454714336517E-2</c:v>
                </c:pt>
                <c:pt idx="17">
                  <c:v>4.0834432896601436E-2</c:v>
                </c:pt>
                <c:pt idx="18">
                  <c:v>4.0618217599864059E-2</c:v>
                </c:pt>
                <c:pt idx="19">
                  <c:v>4.0989973100957228E-2</c:v>
                </c:pt>
                <c:pt idx="20">
                  <c:v>4.0833826213540834E-2</c:v>
                </c:pt>
                <c:pt idx="21">
                  <c:v>4.0151896887776817E-2</c:v>
                </c:pt>
                <c:pt idx="22">
                  <c:v>4.0183121020084103E-2</c:v>
                </c:pt>
                <c:pt idx="23">
                  <c:v>4.0106772725052496E-2</c:v>
                </c:pt>
                <c:pt idx="24">
                  <c:v>4.0617218113439872E-2</c:v>
                </c:pt>
                <c:pt idx="25">
                  <c:v>4.0983811041972837E-2</c:v>
                </c:pt>
                <c:pt idx="26">
                  <c:v>4.0974322743035058E-2</c:v>
                </c:pt>
                <c:pt idx="27">
                  <c:v>4.1460253778630149E-2</c:v>
                </c:pt>
                <c:pt idx="28">
                  <c:v>4.1760669108755928E-2</c:v>
                </c:pt>
                <c:pt idx="29">
                  <c:v>4.1685291044224512E-2</c:v>
                </c:pt>
                <c:pt idx="30">
                  <c:v>4.1886385053747734E-2</c:v>
                </c:pt>
                <c:pt idx="31">
                  <c:v>4.1927602116845403E-2</c:v>
                </c:pt>
                <c:pt idx="32">
                  <c:v>4.1915990802297014E-2</c:v>
                </c:pt>
                <c:pt idx="33">
                  <c:v>4.192233878985064E-2</c:v>
                </c:pt>
                <c:pt idx="34">
                  <c:v>4.1932906701068542E-2</c:v>
                </c:pt>
                <c:pt idx="35">
                  <c:v>4.2056662319436708E-2</c:v>
                </c:pt>
                <c:pt idx="36">
                  <c:v>4.2331698598593592E-2</c:v>
                </c:pt>
                <c:pt idx="37">
                  <c:v>4.2278067614599485E-2</c:v>
                </c:pt>
                <c:pt idx="38">
                  <c:v>4.2305846646435198E-2</c:v>
                </c:pt>
                <c:pt idx="39">
                  <c:v>4.2196060163390593E-2</c:v>
                </c:pt>
                <c:pt idx="40">
                  <c:v>4.2201934742362314E-2</c:v>
                </c:pt>
                <c:pt idx="41">
                  <c:v>4.1477497766414025E-2</c:v>
                </c:pt>
                <c:pt idx="42">
                  <c:v>4.2317391196524119E-2</c:v>
                </c:pt>
                <c:pt idx="43">
                  <c:v>4.2311181181666914E-2</c:v>
                </c:pt>
                <c:pt idx="44">
                  <c:v>4.2357882872470304E-2</c:v>
                </c:pt>
                <c:pt idx="45">
                  <c:v>4.1983708095030263E-2</c:v>
                </c:pt>
                <c:pt idx="46">
                  <c:v>4.1839675079825507E-2</c:v>
                </c:pt>
                <c:pt idx="47">
                  <c:v>4.1775549197861785E-2</c:v>
                </c:pt>
                <c:pt idx="48">
                  <c:v>4.1476809194905706E-2</c:v>
                </c:pt>
                <c:pt idx="49">
                  <c:v>4.0970109877494457E-2</c:v>
                </c:pt>
                <c:pt idx="50">
                  <c:v>4.0790267825471106E-2</c:v>
                </c:pt>
                <c:pt idx="51">
                  <c:v>4.1230724665850066E-2</c:v>
                </c:pt>
                <c:pt idx="52">
                  <c:v>4.148577352670986E-2</c:v>
                </c:pt>
                <c:pt idx="53">
                  <c:v>4.1387197591756783E-2</c:v>
                </c:pt>
                <c:pt idx="54">
                  <c:v>4.1639421530367905E-2</c:v>
                </c:pt>
                <c:pt idx="55">
                  <c:v>4.1665122708894255E-2</c:v>
                </c:pt>
                <c:pt idx="56">
                  <c:v>4.1274247204780207E-2</c:v>
                </c:pt>
                <c:pt idx="57">
                  <c:v>4.1709452807896723E-2</c:v>
                </c:pt>
                <c:pt idx="58">
                  <c:v>4.1906083305915234E-2</c:v>
                </c:pt>
                <c:pt idx="59">
                  <c:v>4.1907624695003823E-2</c:v>
                </c:pt>
                <c:pt idx="60">
                  <c:v>4.2284333133086494E-2</c:v>
                </c:pt>
                <c:pt idx="61">
                  <c:v>4.2291742141921593E-2</c:v>
                </c:pt>
                <c:pt idx="62">
                  <c:v>4.2495355751413312E-2</c:v>
                </c:pt>
                <c:pt idx="63">
                  <c:v>4.2667163091813433E-2</c:v>
                </c:pt>
                <c:pt idx="64">
                  <c:v>4.2774391758489724E-2</c:v>
                </c:pt>
                <c:pt idx="65">
                  <c:v>4.2853878406522862E-2</c:v>
                </c:pt>
                <c:pt idx="66">
                  <c:v>4.2294232337402503E-2</c:v>
                </c:pt>
                <c:pt idx="67">
                  <c:v>4.2064821290425533E-2</c:v>
                </c:pt>
                <c:pt idx="68">
                  <c:v>4.2252127765161789E-2</c:v>
                </c:pt>
                <c:pt idx="69">
                  <c:v>4.1820614459709006E-2</c:v>
                </c:pt>
                <c:pt idx="70">
                  <c:v>4.1389640604488631E-2</c:v>
                </c:pt>
                <c:pt idx="71">
                  <c:v>4.1627012178893696E-2</c:v>
                </c:pt>
                <c:pt idx="72">
                  <c:v>4.1440334723550867E-2</c:v>
                </c:pt>
                <c:pt idx="73">
                  <c:v>4.1953221181827802E-2</c:v>
                </c:pt>
                <c:pt idx="74">
                  <c:v>4.2171566546619875E-2</c:v>
                </c:pt>
                <c:pt idx="75">
                  <c:v>4.2630724844623977E-2</c:v>
                </c:pt>
                <c:pt idx="76">
                  <c:v>4.2457750456652982E-2</c:v>
                </c:pt>
                <c:pt idx="77">
                  <c:v>4.24866058361014E-2</c:v>
                </c:pt>
                <c:pt idx="78">
                  <c:v>4.2140174313006783E-2</c:v>
                </c:pt>
                <c:pt idx="79">
                  <c:v>4.2209788110446483E-2</c:v>
                </c:pt>
                <c:pt idx="80">
                  <c:v>4.2636988259265103E-2</c:v>
                </c:pt>
                <c:pt idx="81">
                  <c:v>4.2571162531008545E-2</c:v>
                </c:pt>
                <c:pt idx="82">
                  <c:v>4.258375807748347E-2</c:v>
                </c:pt>
                <c:pt idx="83">
                  <c:v>4.2519037304579864E-2</c:v>
                </c:pt>
                <c:pt idx="84">
                  <c:v>4.2269029256426997E-2</c:v>
                </c:pt>
                <c:pt idx="85">
                  <c:v>4.2349843467602656E-2</c:v>
                </c:pt>
                <c:pt idx="86">
                  <c:v>4.2779866103111304E-2</c:v>
                </c:pt>
                <c:pt idx="87">
                  <c:v>4.3120469696530238E-2</c:v>
                </c:pt>
                <c:pt idx="88">
                  <c:v>4.3283042904238116E-2</c:v>
                </c:pt>
                <c:pt idx="89">
                  <c:v>4.3270481535139224E-2</c:v>
                </c:pt>
                <c:pt idx="90">
                  <c:v>4.2788903545110925E-2</c:v>
                </c:pt>
                <c:pt idx="91">
                  <c:v>4.2946263451224473E-2</c:v>
                </c:pt>
                <c:pt idx="92">
                  <c:v>4.2986578663557658E-2</c:v>
                </c:pt>
                <c:pt idx="93">
                  <c:v>4.2904388500544816E-2</c:v>
                </c:pt>
                <c:pt idx="94">
                  <c:v>4.3184934424314599E-2</c:v>
                </c:pt>
                <c:pt idx="95">
                  <c:v>4.3352871114198534E-2</c:v>
                </c:pt>
                <c:pt idx="96">
                  <c:v>4.3511397238963564E-2</c:v>
                </c:pt>
                <c:pt idx="97">
                  <c:v>4.3757786303121556E-2</c:v>
                </c:pt>
                <c:pt idx="98">
                  <c:v>4.3814566871951482E-2</c:v>
                </c:pt>
                <c:pt idx="99">
                  <c:v>4.3873721852507201E-2</c:v>
                </c:pt>
                <c:pt idx="100">
                  <c:v>4.3919827088441193E-2</c:v>
                </c:pt>
                <c:pt idx="101">
                  <c:v>4.3915663593096864E-2</c:v>
                </c:pt>
                <c:pt idx="102">
                  <c:v>4.4056198270763472E-2</c:v>
                </c:pt>
                <c:pt idx="103">
                  <c:v>4.3899605430262417E-2</c:v>
                </c:pt>
                <c:pt idx="104">
                  <c:v>4.3939210714520692E-2</c:v>
                </c:pt>
                <c:pt idx="105">
                  <c:v>4.4199708970708733E-2</c:v>
                </c:pt>
                <c:pt idx="106">
                  <c:v>4.4440774218802992E-2</c:v>
                </c:pt>
                <c:pt idx="107">
                  <c:v>4.4646447045151513E-2</c:v>
                </c:pt>
                <c:pt idx="108">
                  <c:v>4.4671321634366032E-2</c:v>
                </c:pt>
                <c:pt idx="109">
                  <c:v>4.452496479395146E-2</c:v>
                </c:pt>
                <c:pt idx="110">
                  <c:v>4.4422989063678524E-2</c:v>
                </c:pt>
                <c:pt idx="111">
                  <c:v>4.4397196699520587E-2</c:v>
                </c:pt>
                <c:pt idx="112">
                  <c:v>4.4241303643829076E-2</c:v>
                </c:pt>
                <c:pt idx="113">
                  <c:v>4.4427535583324393E-2</c:v>
                </c:pt>
                <c:pt idx="114">
                  <c:v>4.4516133043832277E-2</c:v>
                </c:pt>
                <c:pt idx="115">
                  <c:v>4.4722951039175729E-2</c:v>
                </c:pt>
                <c:pt idx="116">
                  <c:v>4.4743978790252777E-2</c:v>
                </c:pt>
                <c:pt idx="117">
                  <c:v>4.4596801445497297E-2</c:v>
                </c:pt>
                <c:pt idx="118">
                  <c:v>4.4609094884372084E-2</c:v>
                </c:pt>
                <c:pt idx="119">
                  <c:v>4.4255568513332316E-2</c:v>
                </c:pt>
                <c:pt idx="120">
                  <c:v>4.4260684225822702E-2</c:v>
                </c:pt>
                <c:pt idx="121">
                  <c:v>4.4227111020339722E-2</c:v>
                </c:pt>
                <c:pt idx="122">
                  <c:v>4.4163585190986183E-2</c:v>
                </c:pt>
                <c:pt idx="123">
                  <c:v>4.4510960001747008E-2</c:v>
                </c:pt>
                <c:pt idx="124">
                  <c:v>4.4571529591415505E-2</c:v>
                </c:pt>
                <c:pt idx="125">
                  <c:v>4.4905085257361539E-2</c:v>
                </c:pt>
                <c:pt idx="126">
                  <c:v>4.4874364885340891E-2</c:v>
                </c:pt>
                <c:pt idx="127">
                  <c:v>4.4520621777703433E-2</c:v>
                </c:pt>
                <c:pt idx="128">
                  <c:v>4.4065036936738126E-2</c:v>
                </c:pt>
                <c:pt idx="129">
                  <c:v>4.4175557171485295E-2</c:v>
                </c:pt>
                <c:pt idx="130">
                  <c:v>4.3859530042857996E-2</c:v>
                </c:pt>
                <c:pt idx="131">
                  <c:v>4.3883446033317022E-2</c:v>
                </c:pt>
                <c:pt idx="132">
                  <c:v>4.4164518159052694E-2</c:v>
                </c:pt>
                <c:pt idx="133">
                  <c:v>4.4078533791808004E-2</c:v>
                </c:pt>
                <c:pt idx="134">
                  <c:v>4.4501837648584563E-2</c:v>
                </c:pt>
                <c:pt idx="135">
                  <c:v>4.4140325709242798E-2</c:v>
                </c:pt>
                <c:pt idx="136">
                  <c:v>4.4287184149560503E-2</c:v>
                </c:pt>
                <c:pt idx="137">
                  <c:v>4.4079121250004002E-2</c:v>
                </c:pt>
                <c:pt idx="138">
                  <c:v>4.4598126197464796E-2</c:v>
                </c:pt>
                <c:pt idx="139">
                  <c:v>4.4689186196653165E-2</c:v>
                </c:pt>
                <c:pt idx="140">
                  <c:v>4.4846468309250709E-2</c:v>
                </c:pt>
                <c:pt idx="141">
                  <c:v>4.4555900237433534E-2</c:v>
                </c:pt>
                <c:pt idx="142">
                  <c:v>4.4533433298991364E-2</c:v>
                </c:pt>
                <c:pt idx="143">
                  <c:v>4.4598119068658577E-2</c:v>
                </c:pt>
                <c:pt idx="144">
                  <c:v>4.4549729406231482E-2</c:v>
                </c:pt>
                <c:pt idx="145">
                  <c:v>4.3894607148999988E-2</c:v>
                </c:pt>
                <c:pt idx="146">
                  <c:v>4.3363088278297393E-2</c:v>
                </c:pt>
                <c:pt idx="147">
                  <c:v>4.3436763934681981E-2</c:v>
                </c:pt>
                <c:pt idx="148">
                  <c:v>4.3353823937357733E-2</c:v>
                </c:pt>
                <c:pt idx="149">
                  <c:v>4.3246408727043051E-2</c:v>
                </c:pt>
                <c:pt idx="150">
                  <c:v>4.2931800171164755E-2</c:v>
                </c:pt>
                <c:pt idx="151">
                  <c:v>4.284053765317903E-2</c:v>
                </c:pt>
                <c:pt idx="152">
                  <c:v>4.3329998229016432E-2</c:v>
                </c:pt>
                <c:pt idx="153">
                  <c:v>4.3228471823310112E-2</c:v>
                </c:pt>
                <c:pt idx="154">
                  <c:v>4.3547006554427704E-2</c:v>
                </c:pt>
                <c:pt idx="155">
                  <c:v>4.3606107441265897E-2</c:v>
                </c:pt>
                <c:pt idx="156">
                  <c:v>4.3446479444867479E-2</c:v>
                </c:pt>
                <c:pt idx="157">
                  <c:v>4.3987312055301812E-2</c:v>
                </c:pt>
                <c:pt idx="158">
                  <c:v>4.4233758581794465E-2</c:v>
                </c:pt>
                <c:pt idx="159">
                  <c:v>4.4245019441062065E-2</c:v>
                </c:pt>
                <c:pt idx="160">
                  <c:v>4.4505433938916206E-2</c:v>
                </c:pt>
                <c:pt idx="161">
                  <c:v>4.4445309769749357E-2</c:v>
                </c:pt>
                <c:pt idx="162">
                  <c:v>4.497667681599006E-2</c:v>
                </c:pt>
                <c:pt idx="163">
                  <c:v>4.5128361957429093E-2</c:v>
                </c:pt>
                <c:pt idx="164">
                  <c:v>4.5082715874029414E-2</c:v>
                </c:pt>
                <c:pt idx="165">
                  <c:v>4.4932858279551763E-2</c:v>
                </c:pt>
                <c:pt idx="166">
                  <c:v>4.5174950463346228E-2</c:v>
                </c:pt>
                <c:pt idx="167">
                  <c:v>4.5358211111489903E-2</c:v>
                </c:pt>
                <c:pt idx="168">
                  <c:v>4.5936890492638133E-2</c:v>
                </c:pt>
                <c:pt idx="169">
                  <c:v>4.5857053013517529E-2</c:v>
                </c:pt>
                <c:pt idx="170">
                  <c:v>4.5823610470124773E-2</c:v>
                </c:pt>
                <c:pt idx="171">
                  <c:v>4.5620650630953719E-2</c:v>
                </c:pt>
                <c:pt idx="172">
                  <c:v>4.5645572497451645E-2</c:v>
                </c:pt>
                <c:pt idx="173">
                  <c:v>4.5607832186303397E-2</c:v>
                </c:pt>
                <c:pt idx="174">
                  <c:v>4.5467908070135094E-2</c:v>
                </c:pt>
                <c:pt idx="175">
                  <c:v>4.5480161789279376E-2</c:v>
                </c:pt>
                <c:pt idx="176">
                  <c:v>4.5567402879093832E-2</c:v>
                </c:pt>
                <c:pt idx="177">
                  <c:v>4.5937039396677967E-2</c:v>
                </c:pt>
                <c:pt idx="178">
                  <c:v>4.6076961745051714E-2</c:v>
                </c:pt>
                <c:pt idx="179">
                  <c:v>4.5792501688888924E-2</c:v>
                </c:pt>
                <c:pt idx="180">
                  <c:v>4.5368677620383692E-2</c:v>
                </c:pt>
                <c:pt idx="181">
                  <c:v>4.5752517388512007E-2</c:v>
                </c:pt>
                <c:pt idx="182">
                  <c:v>4.5389490126177913E-2</c:v>
                </c:pt>
                <c:pt idx="183">
                  <c:v>4.5591169740823195E-2</c:v>
                </c:pt>
                <c:pt idx="184">
                  <c:v>4.5393671109588335E-2</c:v>
                </c:pt>
                <c:pt idx="185">
                  <c:v>4.5766603739862514E-2</c:v>
                </c:pt>
                <c:pt idx="186">
                  <c:v>4.5328759922229074E-2</c:v>
                </c:pt>
                <c:pt idx="187">
                  <c:v>4.4365930277604104E-2</c:v>
                </c:pt>
                <c:pt idx="188">
                  <c:v>4.4418189739452905E-2</c:v>
                </c:pt>
                <c:pt idx="189">
                  <c:v>4.5097417335579523E-2</c:v>
                </c:pt>
                <c:pt idx="190">
                  <c:v>4.4387934146082539E-2</c:v>
                </c:pt>
                <c:pt idx="191">
                  <c:v>4.4176003118944034E-2</c:v>
                </c:pt>
                <c:pt idx="192">
                  <c:v>4.4044310864517731E-2</c:v>
                </c:pt>
                <c:pt idx="193">
                  <c:v>4.3439800727132015E-2</c:v>
                </c:pt>
                <c:pt idx="194">
                  <c:v>4.3104192411042262E-2</c:v>
                </c:pt>
                <c:pt idx="195">
                  <c:v>4.3094560293012354E-2</c:v>
                </c:pt>
                <c:pt idx="196">
                  <c:v>4.1890612100773182E-2</c:v>
                </c:pt>
                <c:pt idx="197">
                  <c:v>4.1822705647067075E-2</c:v>
                </c:pt>
                <c:pt idx="198">
                  <c:v>4.279264880646845E-2</c:v>
                </c:pt>
                <c:pt idx="199">
                  <c:v>4.2672805396451678E-2</c:v>
                </c:pt>
                <c:pt idx="200">
                  <c:v>4.3594728498196622E-2</c:v>
                </c:pt>
                <c:pt idx="201">
                  <c:v>4.3896448862913814E-2</c:v>
                </c:pt>
                <c:pt idx="202">
                  <c:v>4.4229237219844911E-2</c:v>
                </c:pt>
                <c:pt idx="203">
                  <c:v>4.4171581621745573E-2</c:v>
                </c:pt>
                <c:pt idx="204">
                  <c:v>4.3932546144192723E-2</c:v>
                </c:pt>
                <c:pt idx="205">
                  <c:v>4.4271666877403304E-2</c:v>
                </c:pt>
                <c:pt idx="206">
                  <c:v>4.4307337571753813E-2</c:v>
                </c:pt>
                <c:pt idx="207">
                  <c:v>4.4748574814253386E-2</c:v>
                </c:pt>
                <c:pt idx="208">
                  <c:v>4.5688865351923506E-2</c:v>
                </c:pt>
                <c:pt idx="209">
                  <c:v>4.5605338992011774E-2</c:v>
                </c:pt>
                <c:pt idx="210">
                  <c:v>4.5020732567067866E-2</c:v>
                </c:pt>
                <c:pt idx="211">
                  <c:v>4.5586980140580532E-2</c:v>
                </c:pt>
                <c:pt idx="212">
                  <c:v>4.5815107139567712E-2</c:v>
                </c:pt>
                <c:pt idx="213">
                  <c:v>4.5690088359047032E-2</c:v>
                </c:pt>
                <c:pt idx="214">
                  <c:v>4.5935650887927414E-2</c:v>
                </c:pt>
                <c:pt idx="215">
                  <c:v>4.5978063162449165E-2</c:v>
                </c:pt>
                <c:pt idx="216">
                  <c:v>4.5713204292084184E-2</c:v>
                </c:pt>
                <c:pt idx="217">
                  <c:v>4.5717635831536402E-2</c:v>
                </c:pt>
                <c:pt idx="218">
                  <c:v>4.5711201638670533E-2</c:v>
                </c:pt>
                <c:pt idx="219">
                  <c:v>4.6053024017852953E-2</c:v>
                </c:pt>
                <c:pt idx="220">
                  <c:v>4.5911491594312334E-2</c:v>
                </c:pt>
                <c:pt idx="221">
                  <c:v>4.5916404712846817E-2</c:v>
                </c:pt>
                <c:pt idx="222">
                  <c:v>4.6833428639591113E-2</c:v>
                </c:pt>
                <c:pt idx="223">
                  <c:v>4.6832238600171501E-2</c:v>
                </c:pt>
                <c:pt idx="224">
                  <c:v>4.6837487568277082E-2</c:v>
                </c:pt>
                <c:pt idx="225">
                  <c:v>4.6809570671733816E-2</c:v>
                </c:pt>
                <c:pt idx="226">
                  <c:v>4.6930523139601513E-2</c:v>
                </c:pt>
                <c:pt idx="227">
                  <c:v>4.6991627941109566E-2</c:v>
                </c:pt>
                <c:pt idx="228">
                  <c:v>4.6566410265993133E-2</c:v>
                </c:pt>
                <c:pt idx="229">
                  <c:v>4.6909403969199896E-2</c:v>
                </c:pt>
                <c:pt idx="230">
                  <c:v>4.7231509170751966E-2</c:v>
                </c:pt>
                <c:pt idx="231">
                  <c:v>4.6637018693161857E-2</c:v>
                </c:pt>
                <c:pt idx="232">
                  <c:v>4.7354869663409446E-2</c:v>
                </c:pt>
                <c:pt idx="233">
                  <c:v>4.7096838735439184E-2</c:v>
                </c:pt>
                <c:pt idx="234">
                  <c:v>4.611808296600739E-2</c:v>
                </c:pt>
                <c:pt idx="235">
                  <c:v>4.5825726432961733E-2</c:v>
                </c:pt>
                <c:pt idx="236">
                  <c:v>4.6060069968163843E-2</c:v>
                </c:pt>
                <c:pt idx="237">
                  <c:v>4.4873669677900484E-2</c:v>
                </c:pt>
                <c:pt idx="238">
                  <c:v>4.4116514979086315E-2</c:v>
                </c:pt>
                <c:pt idx="239">
                  <c:v>4.4654836510564157E-2</c:v>
                </c:pt>
                <c:pt idx="240">
                  <c:v>4.4852740607995413E-2</c:v>
                </c:pt>
                <c:pt idx="241">
                  <c:v>4.6205965657349767E-2</c:v>
                </c:pt>
                <c:pt idx="242">
                  <c:v>4.6663378347981177E-2</c:v>
                </c:pt>
                <c:pt idx="243">
                  <c:v>4.6748750383740871E-2</c:v>
                </c:pt>
                <c:pt idx="244">
                  <c:v>4.7152122685003892E-2</c:v>
                </c:pt>
                <c:pt idx="245">
                  <c:v>4.7238231242427091E-2</c:v>
                </c:pt>
                <c:pt idx="246">
                  <c:v>4.7012657196273004E-2</c:v>
                </c:pt>
                <c:pt idx="247">
                  <c:v>4.7038258395013563E-2</c:v>
                </c:pt>
              </c:numCache>
            </c:numRef>
          </c:val>
          <c:smooth val="0"/>
        </c:ser>
        <c:dLbls>
          <c:showLegendKey val="0"/>
          <c:showVal val="0"/>
          <c:showCatName val="0"/>
          <c:showSerName val="0"/>
          <c:showPercent val="0"/>
          <c:showBubbleSize val="0"/>
        </c:dLbls>
        <c:marker val="1"/>
        <c:smooth val="0"/>
        <c:axId val="233526400"/>
        <c:axId val="233527936"/>
      </c:lineChart>
      <c:dateAx>
        <c:axId val="233526400"/>
        <c:scaling>
          <c:orientation val="minMax"/>
        </c:scaling>
        <c:delete val="0"/>
        <c:axPos val="b"/>
        <c:numFmt formatCode="mm\/yyyy" sourceLinked="0"/>
        <c:majorTickMark val="none"/>
        <c:minorTickMark val="none"/>
        <c:tickLblPos val="nextTo"/>
        <c:txPr>
          <a:bodyPr rot="-60000000" vert="horz"/>
          <a:lstStyle/>
          <a:p>
            <a:pPr>
              <a:defRPr/>
            </a:pPr>
            <a:endParaRPr lang="sk-SK"/>
          </a:p>
        </c:txPr>
        <c:crossAx val="233527936"/>
        <c:crosses val="autoZero"/>
        <c:auto val="1"/>
        <c:lblOffset val="100"/>
        <c:baseTimeUnit val="days"/>
      </c:dateAx>
      <c:valAx>
        <c:axId val="233527936"/>
        <c:scaling>
          <c:orientation val="minMax"/>
          <c:max val="4.8000000000000022E-2"/>
          <c:min val="3.7000000000000012E-2"/>
        </c:scaling>
        <c:delete val="0"/>
        <c:axPos val="l"/>
        <c:majorGridlines/>
        <c:title>
          <c:tx>
            <c:rich>
              <a:bodyPr rot="-5400000" vert="horz"/>
              <a:lstStyle/>
              <a:p>
                <a:pPr>
                  <a:defRPr/>
                </a:pPr>
                <a:r>
                  <a:rPr lang="sk-SK"/>
                  <a:t>Hodnota dôchodkovej jednotky </a:t>
                </a:r>
                <a:br>
                  <a:rPr lang="sk-SK"/>
                </a:br>
                <a:r>
                  <a:rPr lang="sk-SK"/>
                  <a:t>v</a:t>
                </a:r>
                <a:r>
                  <a:rPr lang="sk-SK" baseline="0"/>
                  <a:t> </a:t>
                </a:r>
                <a:r>
                  <a:rPr lang="sk-SK"/>
                  <a:t>eur</a:t>
                </a:r>
              </a:p>
            </c:rich>
          </c:tx>
          <c:overlay val="0"/>
        </c:title>
        <c:numFmt formatCode="#,##0.000" sourceLinked="0"/>
        <c:majorTickMark val="none"/>
        <c:minorTickMark val="none"/>
        <c:tickLblPos val="nextTo"/>
        <c:txPr>
          <a:bodyPr rot="-60000000" vert="horz"/>
          <a:lstStyle/>
          <a:p>
            <a:pPr>
              <a:defRPr/>
            </a:pPr>
            <a:endParaRPr lang="sk-SK"/>
          </a:p>
        </c:txPr>
        <c:crossAx val="233526400"/>
        <c:crosses val="autoZero"/>
        <c:crossBetween val="between"/>
        <c:majorUnit val="1.0000000000000041E-3"/>
      </c:valAx>
    </c:plotArea>
    <c:legend>
      <c:legendPos val="b"/>
      <c:layout>
        <c:manualLayout>
          <c:xMode val="edge"/>
          <c:yMode val="edge"/>
          <c:x val="0.11363344051446946"/>
          <c:y val="0.91863705885685154"/>
          <c:w val="0.8113183279742765"/>
          <c:h val="8.1362941143148473E-2"/>
        </c:manualLayout>
      </c:layout>
      <c:overlay val="0"/>
      <c:txPr>
        <a:bodyPr rot="0" vert="horz"/>
        <a:lstStyle/>
        <a:p>
          <a:pPr>
            <a:defRPr/>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649876780794"/>
          <c:y val="5.0539857569492266E-2"/>
          <c:w val="0.84864743453874825"/>
          <c:h val="0.62848223972003503"/>
        </c:manualLayout>
      </c:layout>
      <c:lineChart>
        <c:grouping val="standard"/>
        <c:varyColors val="0"/>
        <c:ser>
          <c:idx val="0"/>
          <c:order val="0"/>
          <c:tx>
            <c:strRef>
              <c:f>'aspoň jeden deň'!$C$9</c:f>
              <c:strCache>
                <c:ptCount val="1"/>
                <c:pt idx="0">
                  <c:v>2013</c:v>
                </c:pt>
              </c:strCache>
            </c:strRef>
          </c:tx>
          <c:spPr>
            <a:ln>
              <a:solidFill>
                <a:schemeClr val="accent1"/>
              </a:solidFill>
            </a:ln>
          </c:spPr>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deň'!$C$10:$C$21</c:f>
              <c:numCache>
                <c:formatCode>#,##0</c:formatCode>
                <c:ptCount val="12"/>
                <c:pt idx="0">
                  <c:v>155220</c:v>
                </c:pt>
                <c:pt idx="1">
                  <c:v>154631</c:v>
                </c:pt>
                <c:pt idx="2">
                  <c:v>155674</c:v>
                </c:pt>
                <c:pt idx="3">
                  <c:v>156431</c:v>
                </c:pt>
                <c:pt idx="4">
                  <c:v>157615</c:v>
                </c:pt>
                <c:pt idx="5">
                  <c:v>158304</c:v>
                </c:pt>
                <c:pt idx="6">
                  <c:v>158489</c:v>
                </c:pt>
                <c:pt idx="7">
                  <c:v>158415</c:v>
                </c:pt>
                <c:pt idx="8">
                  <c:v>157974</c:v>
                </c:pt>
                <c:pt idx="9">
                  <c:v>158477</c:v>
                </c:pt>
                <c:pt idx="10">
                  <c:v>158939</c:v>
                </c:pt>
                <c:pt idx="11">
                  <c:v>159223</c:v>
                </c:pt>
              </c:numCache>
            </c:numRef>
          </c:val>
          <c:smooth val="0"/>
        </c:ser>
        <c:ser>
          <c:idx val="1"/>
          <c:order val="1"/>
          <c:tx>
            <c:strRef>
              <c:f>'aspoň jeden deň'!$D$9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deň'!$D$10:$D$21</c:f>
              <c:numCache>
                <c:formatCode>#,##0</c:formatCode>
                <c:ptCount val="12"/>
                <c:pt idx="0">
                  <c:v>158266</c:v>
                </c:pt>
                <c:pt idx="1">
                  <c:v>158758</c:v>
                </c:pt>
                <c:pt idx="2">
                  <c:v>159693</c:v>
                </c:pt>
                <c:pt idx="3">
                  <c:v>160818</c:v>
                </c:pt>
                <c:pt idx="4">
                  <c:v>161916</c:v>
                </c:pt>
                <c:pt idx="5">
                  <c:v>163006</c:v>
                </c:pt>
                <c:pt idx="6">
                  <c:v>163956</c:v>
                </c:pt>
                <c:pt idx="7">
                  <c:v>164356</c:v>
                </c:pt>
                <c:pt idx="8">
                  <c:v>164841</c:v>
                </c:pt>
                <c:pt idx="9">
                  <c:v>164553</c:v>
                </c:pt>
                <c:pt idx="10">
                  <c:v>164753</c:v>
                </c:pt>
                <c:pt idx="11">
                  <c:v>164547</c:v>
                </c:pt>
              </c:numCache>
            </c:numRef>
          </c:val>
          <c:smooth val="0"/>
        </c:ser>
        <c:dLbls>
          <c:showLegendKey val="0"/>
          <c:showVal val="0"/>
          <c:showCatName val="0"/>
          <c:showSerName val="0"/>
          <c:showPercent val="0"/>
          <c:showBubbleSize val="0"/>
        </c:dLbls>
        <c:marker val="1"/>
        <c:smooth val="0"/>
        <c:axId val="226136832"/>
        <c:axId val="226138368"/>
      </c:lineChart>
      <c:catAx>
        <c:axId val="226136832"/>
        <c:scaling>
          <c:orientation val="minMax"/>
        </c:scaling>
        <c:delete val="0"/>
        <c:axPos val="b"/>
        <c:numFmt formatCode="General" sourceLinked="1"/>
        <c:majorTickMark val="out"/>
        <c:minorTickMark val="none"/>
        <c:tickLblPos val="nextTo"/>
        <c:txPr>
          <a:bodyPr rot="-1440000" vert="horz"/>
          <a:lstStyle/>
          <a:p>
            <a:pPr>
              <a:defRPr/>
            </a:pPr>
            <a:endParaRPr lang="sk-SK"/>
          </a:p>
        </c:txPr>
        <c:crossAx val="226138368"/>
        <c:crosses val="autoZero"/>
        <c:auto val="1"/>
        <c:lblAlgn val="ctr"/>
        <c:lblOffset val="100"/>
        <c:noMultiLvlLbl val="0"/>
      </c:catAx>
      <c:valAx>
        <c:axId val="226138368"/>
        <c:scaling>
          <c:orientation val="minMax"/>
          <c:max val="165000"/>
          <c:min val="153000"/>
        </c:scaling>
        <c:delete val="0"/>
        <c:axPos val="l"/>
        <c:majorGridlines/>
        <c:numFmt formatCode="#,##0" sourceLinked="1"/>
        <c:majorTickMark val="out"/>
        <c:minorTickMark val="none"/>
        <c:tickLblPos val="nextTo"/>
        <c:crossAx val="226136832"/>
        <c:crosses val="autoZero"/>
        <c:crossBetween val="between"/>
      </c:valAx>
    </c:plotArea>
    <c:legend>
      <c:legendPos val="t"/>
      <c:layout>
        <c:manualLayout>
          <c:xMode val="edge"/>
          <c:yMode val="edge"/>
          <c:x val="0.13313565699392471"/>
          <c:y val="6.9144356955380598E-2"/>
          <c:w val="0.28284451586983039"/>
          <c:h val="8.3055927678563568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'nové+PnD financie okres'!$S$3</c:f>
              <c:strCache>
                <c:ptCount val="1"/>
                <c:pt idx="0">
                  <c:v>priemerný mesačný počet poberateľov</c:v>
                </c:pt>
              </c:strCache>
            </c:strRef>
          </c:tx>
          <c:invertIfNegative val="0"/>
          <c:cat>
            <c:strRef>
              <c:f>'nové+PnD financie okres'!$R$5:$R$12</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'nové+PnD financie okres'!$S$5:$S$12</c:f>
              <c:numCache>
                <c:formatCode>#,##0</c:formatCode>
                <c:ptCount val="8"/>
                <c:pt idx="0">
                  <c:v>80625.166666666672</c:v>
                </c:pt>
                <c:pt idx="1">
                  <c:v>69992.5</c:v>
                </c:pt>
                <c:pt idx="2">
                  <c:v>71206</c:v>
                </c:pt>
                <c:pt idx="3">
                  <c:v>83526.583333333328</c:v>
                </c:pt>
                <c:pt idx="4">
                  <c:v>90101.416666666337</c:v>
                </c:pt>
                <c:pt idx="5">
                  <c:v>77321.666666666672</c:v>
                </c:pt>
                <c:pt idx="6">
                  <c:v>102181.75</c:v>
                </c:pt>
                <c:pt idx="7">
                  <c:v>93557.666666666672</c:v>
                </c:pt>
              </c:numCache>
            </c:numRef>
          </c:val>
        </c:ser>
        <c:ser>
          <c:idx val="1"/>
          <c:order val="1"/>
          <c:tx>
            <c:strRef>
              <c:f>'nové+PnD financie okres'!$T$3</c:f>
              <c:strCache>
                <c:ptCount val="1"/>
                <c:pt idx="0">
                  <c:v>priemerný mesačný počet detí</c:v>
                </c:pt>
              </c:strCache>
            </c:strRef>
          </c:tx>
          <c:invertIfNegative val="0"/>
          <c:cat>
            <c:strRef>
              <c:f>'nové+PnD financie okres'!$R$5:$R$12</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'nové+PnD financie okres'!$T$5:$T$12</c:f>
              <c:numCache>
                <c:formatCode>#,##0</c:formatCode>
                <c:ptCount val="8"/>
                <c:pt idx="0">
                  <c:v>123246.83333333333</c:v>
                </c:pt>
                <c:pt idx="1">
                  <c:v>108709</c:v>
                </c:pt>
                <c:pt idx="2">
                  <c:v>113375</c:v>
                </c:pt>
                <c:pt idx="3">
                  <c:v>130328.5</c:v>
                </c:pt>
                <c:pt idx="4">
                  <c:v>155058.5</c:v>
                </c:pt>
                <c:pt idx="5">
                  <c:v>126618.75</c:v>
                </c:pt>
                <c:pt idx="6">
                  <c:v>193617.83333333328</c:v>
                </c:pt>
                <c:pt idx="7">
                  <c:v>165264.83333333328</c:v>
                </c:pt>
              </c:numCache>
            </c:numRef>
          </c:val>
        </c:ser>
        <c:dLbls>
          <c:showLegendKey val="0"/>
          <c:showVal val="0"/>
          <c:showCatName val="0"/>
          <c:showSerName val="0"/>
          <c:showPercent val="0"/>
          <c:showBubbleSize val="0"/>
        </c:dLbls>
        <c:gapWidth val="150"/>
        <c:axId val="238719744"/>
        <c:axId val="238721664"/>
      </c:barChart>
      <c:lineChart>
        <c:grouping val="standard"/>
        <c:varyColors val="0"/>
        <c:ser>
          <c:idx val="2"/>
          <c:order val="2"/>
          <c:tx>
            <c:strRef>
              <c:f>'nové+PnD financie okres'!$U$3</c:f>
              <c:strCache>
                <c:ptCount val="1"/>
                <c:pt idx="0">
                  <c:v>celková vyplatená suma</c:v>
                </c:pt>
              </c:strCache>
            </c:strRef>
          </c:tx>
          <c:spPr>
            <a:ln>
              <a:noFill/>
            </a:ln>
          </c:spPr>
          <c:marker>
            <c:symbol val="circle"/>
            <c:size val="7"/>
            <c:spPr>
              <a:solidFill>
                <a:schemeClr val="bg1"/>
              </a:solidFill>
              <a:ln w="25400"/>
            </c:spPr>
          </c:marker>
          <c:cat>
            <c:strRef>
              <c:f>'nové+PnD financie okres'!$R$5:$R$12</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'nové+PnD financie okres'!$U$5:$U$12</c:f>
              <c:numCache>
                <c:formatCode>#,##0.00</c:formatCode>
                <c:ptCount val="8"/>
                <c:pt idx="0">
                  <c:v>34619287.490000002</c:v>
                </c:pt>
                <c:pt idx="1">
                  <c:v>30621116.09</c:v>
                </c:pt>
                <c:pt idx="2">
                  <c:v>31962663.030000001</c:v>
                </c:pt>
                <c:pt idx="3">
                  <c:v>36769329.550000004</c:v>
                </c:pt>
                <c:pt idx="4">
                  <c:v>43691792.32</c:v>
                </c:pt>
                <c:pt idx="5">
                  <c:v>35723638.870000005</c:v>
                </c:pt>
                <c:pt idx="6">
                  <c:v>54688658.980000004</c:v>
                </c:pt>
                <c:pt idx="7">
                  <c:v>46583776.940000005</c:v>
                </c:pt>
              </c:numCache>
            </c:numRef>
          </c:val>
          <c:smooth val="0"/>
        </c:ser>
        <c:dLbls>
          <c:showLegendKey val="0"/>
          <c:showVal val="0"/>
          <c:showCatName val="0"/>
          <c:showSerName val="0"/>
          <c:showPercent val="0"/>
          <c:showBubbleSize val="0"/>
        </c:dLbls>
        <c:marker val="1"/>
        <c:smooth val="0"/>
        <c:axId val="238732032"/>
        <c:axId val="238733568"/>
      </c:lineChart>
      <c:catAx>
        <c:axId val="238719744"/>
        <c:scaling>
          <c:orientation val="minMax"/>
        </c:scaling>
        <c:delete val="0"/>
        <c:axPos val="b"/>
        <c:numFmt formatCode="#,##0" sourceLinked="1"/>
        <c:majorTickMark val="out"/>
        <c:minorTickMark val="none"/>
        <c:tickLblPos val="nextTo"/>
        <c:crossAx val="238721664"/>
        <c:crosses val="autoZero"/>
        <c:auto val="1"/>
        <c:lblAlgn val="ctr"/>
        <c:lblOffset val="100"/>
        <c:noMultiLvlLbl val="0"/>
      </c:catAx>
      <c:valAx>
        <c:axId val="238721664"/>
        <c:scaling>
          <c:orientation val="minMax"/>
          <c:max val="200000"/>
        </c:scaling>
        <c:delete val="0"/>
        <c:axPos val="l"/>
        <c:majorGridlines/>
        <c:title>
          <c:tx>
            <c:rich>
              <a:bodyPr rot="-5400000" vert="horz"/>
              <a:lstStyle/>
              <a:p>
                <a:pPr>
                  <a:defRPr/>
                </a:pPr>
                <a:r>
                  <a:rPr lang="en-US"/>
                  <a:t>počet detí/počet poberateľov</a:t>
                </a:r>
              </a:p>
            </c:rich>
          </c:tx>
          <c:overlay val="0"/>
        </c:title>
        <c:numFmt formatCode="#,##0" sourceLinked="0"/>
        <c:majorTickMark val="out"/>
        <c:minorTickMark val="none"/>
        <c:tickLblPos val="nextTo"/>
        <c:crossAx val="238719744"/>
        <c:crosses val="autoZero"/>
        <c:crossBetween val="between"/>
      </c:valAx>
      <c:catAx>
        <c:axId val="238732032"/>
        <c:scaling>
          <c:orientation val="minMax"/>
        </c:scaling>
        <c:delete val="1"/>
        <c:axPos val="b"/>
        <c:majorTickMark val="out"/>
        <c:minorTickMark val="none"/>
        <c:tickLblPos val="none"/>
        <c:crossAx val="238733568"/>
        <c:crosses val="autoZero"/>
        <c:auto val="1"/>
        <c:lblAlgn val="ctr"/>
        <c:lblOffset val="100"/>
        <c:noMultiLvlLbl val="0"/>
      </c:catAx>
      <c:valAx>
        <c:axId val="238733568"/>
        <c:scaling>
          <c:orientation val="minMax"/>
        </c:scaling>
        <c:delete val="0"/>
        <c:axPos val="r"/>
        <c:title>
          <c:tx>
            <c:rich>
              <a:bodyPr rot="-5400000" vert="horz"/>
              <a:lstStyle/>
              <a:p>
                <a:pPr>
                  <a:defRPr/>
                </a:pPr>
                <a:r>
                  <a:rPr lang="en-US"/>
                  <a:t>vyplatená suma v €</a:t>
                </a:r>
              </a:p>
            </c:rich>
          </c:tx>
          <c:overlay val="0"/>
        </c:title>
        <c:numFmt formatCode="#,##0" sourceLinked="0"/>
        <c:majorTickMark val="out"/>
        <c:minorTickMark val="none"/>
        <c:tickLblPos val="nextTo"/>
        <c:crossAx val="238732032"/>
        <c:crosses val="max"/>
        <c:crossBetween val="between"/>
      </c:valAx>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82138648293963257"/>
          <c:h val="0.72273746484552293"/>
        </c:manualLayout>
      </c:layout>
      <c:lineChart>
        <c:grouping val="standard"/>
        <c:varyColors val="0"/>
        <c:ser>
          <c:idx val="1"/>
          <c:order val="0"/>
          <c:tx>
            <c:strRef>
              <c:f>'RP poberatelia'!$A$4</c:f>
              <c:strCache>
                <c:ptCount val="1"/>
                <c:pt idx="0">
                  <c:v>rok 2013</c:v>
                </c:pt>
              </c:strCache>
            </c:strRef>
          </c:tx>
          <c:spPr>
            <a:ln>
              <a:solidFill>
                <a:schemeClr val="accent1"/>
              </a:solidFill>
            </a:ln>
          </c:spPr>
          <c:marker>
            <c:spPr>
              <a:solidFill>
                <a:schemeClr val="accent1"/>
              </a:solidFill>
              <a:ln>
                <a:solidFill>
                  <a:schemeClr val="accent1"/>
                </a:solidFill>
              </a:ln>
            </c:spPr>
          </c:marker>
          <c:cat>
            <c:strRef>
              <c:f>'RP poberatelia'!$B$3:$M$3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'RP poberatelia'!$B$4:$M$4</c:f>
              <c:numCache>
                <c:formatCode>#,##0</c:formatCode>
                <c:ptCount val="12"/>
                <c:pt idx="0">
                  <c:v>141705</c:v>
                </c:pt>
                <c:pt idx="1">
                  <c:v>142282</c:v>
                </c:pt>
                <c:pt idx="2">
                  <c:v>142309</c:v>
                </c:pt>
                <c:pt idx="3">
                  <c:v>142818</c:v>
                </c:pt>
                <c:pt idx="4">
                  <c:v>142813</c:v>
                </c:pt>
                <c:pt idx="5">
                  <c:v>143238</c:v>
                </c:pt>
                <c:pt idx="6">
                  <c:v>143149</c:v>
                </c:pt>
                <c:pt idx="7">
                  <c:v>143694</c:v>
                </c:pt>
                <c:pt idx="8">
                  <c:v>143511</c:v>
                </c:pt>
                <c:pt idx="9">
                  <c:v>143278</c:v>
                </c:pt>
                <c:pt idx="10">
                  <c:v>142945</c:v>
                </c:pt>
                <c:pt idx="11">
                  <c:v>143103</c:v>
                </c:pt>
              </c:numCache>
            </c:numRef>
          </c:val>
          <c:smooth val="0"/>
        </c:ser>
        <c:ser>
          <c:idx val="0"/>
          <c:order val="1"/>
          <c:tx>
            <c:strRef>
              <c:f>'RP poberatelia'!$A$5</c:f>
              <c:strCache>
                <c:ptCount val="1"/>
                <c:pt idx="0">
                  <c:v>rok 2014</c:v>
                </c:pt>
              </c:strCache>
            </c:strRef>
          </c:tx>
          <c:spPr>
            <a:ln>
              <a:solidFill>
                <a:schemeClr val="accent2"/>
              </a:solidFill>
            </a:ln>
          </c:spPr>
          <c:marker>
            <c:spPr>
              <a:solidFill>
                <a:schemeClr val="accent2"/>
              </a:solidFill>
              <a:ln>
                <a:solidFill>
                  <a:schemeClr val="accent2"/>
                </a:solidFill>
              </a:ln>
            </c:spPr>
          </c:marker>
          <c:cat>
            <c:strRef>
              <c:f>'RP poberatelia'!$B$3:$M$3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'RP poberatelia'!$B$5:$M$5</c:f>
              <c:numCache>
                <c:formatCode>#,##0</c:formatCode>
                <c:ptCount val="12"/>
                <c:pt idx="0">
                  <c:v>142836</c:v>
                </c:pt>
                <c:pt idx="1">
                  <c:v>143290</c:v>
                </c:pt>
                <c:pt idx="2">
                  <c:v>143241</c:v>
                </c:pt>
                <c:pt idx="3">
                  <c:v>143785</c:v>
                </c:pt>
                <c:pt idx="4">
                  <c:v>143700</c:v>
                </c:pt>
                <c:pt idx="5">
                  <c:v>143875</c:v>
                </c:pt>
                <c:pt idx="6">
                  <c:v>143723</c:v>
                </c:pt>
                <c:pt idx="7">
                  <c:v>143730</c:v>
                </c:pt>
                <c:pt idx="8">
                  <c:v>143097</c:v>
                </c:pt>
                <c:pt idx="9">
                  <c:v>142670</c:v>
                </c:pt>
                <c:pt idx="10">
                  <c:v>142030</c:v>
                </c:pt>
                <c:pt idx="11">
                  <c:v>142189</c:v>
                </c:pt>
              </c:numCache>
            </c:numRef>
          </c:val>
          <c:smooth val="0"/>
        </c:ser>
        <c:dLbls>
          <c:showLegendKey val="0"/>
          <c:showVal val="0"/>
          <c:showCatName val="0"/>
          <c:showSerName val="0"/>
          <c:showPercent val="0"/>
          <c:showBubbleSize val="0"/>
        </c:dLbls>
        <c:marker val="1"/>
        <c:smooth val="0"/>
        <c:axId val="238742144"/>
        <c:axId val="238818048"/>
      </c:lineChart>
      <c:catAx>
        <c:axId val="238742144"/>
        <c:scaling>
          <c:orientation val="minMax"/>
        </c:scaling>
        <c:delete val="0"/>
        <c:axPos val="b"/>
        <c:numFmt formatCode="General" sourceLinked="1"/>
        <c:majorTickMark val="out"/>
        <c:minorTickMark val="none"/>
        <c:tickLblPos val="nextTo"/>
        <c:txPr>
          <a:bodyPr rot="-1860000" vert="horz"/>
          <a:lstStyle/>
          <a:p>
            <a:pPr>
              <a:defRPr/>
            </a:pPr>
            <a:endParaRPr lang="sk-SK"/>
          </a:p>
        </c:txPr>
        <c:crossAx val="238818048"/>
        <c:crosses val="autoZero"/>
        <c:auto val="1"/>
        <c:lblAlgn val="ctr"/>
        <c:lblOffset val="100"/>
        <c:noMultiLvlLbl val="0"/>
      </c:catAx>
      <c:valAx>
        <c:axId val="238818048"/>
        <c:scaling>
          <c:orientation val="minMax"/>
          <c:min val="141500"/>
        </c:scaling>
        <c:delete val="0"/>
        <c:axPos val="l"/>
        <c:majorGridlines/>
        <c:numFmt formatCode="#,##0" sourceLinked="1"/>
        <c:majorTickMark val="out"/>
        <c:minorTickMark val="none"/>
        <c:tickLblPos val="nextTo"/>
        <c:txPr>
          <a:bodyPr rot="0" vert="horz"/>
          <a:lstStyle/>
          <a:p>
            <a:pPr>
              <a:defRPr/>
            </a:pPr>
            <a:endParaRPr lang="sk-SK"/>
          </a:p>
        </c:txPr>
        <c:crossAx val="238742144"/>
        <c:crosses val="autoZero"/>
        <c:crossBetween val="between"/>
      </c:valAx>
    </c:plotArea>
    <c:legend>
      <c:legendPos val="r"/>
      <c:layout>
        <c:manualLayout>
          <c:xMode val="edge"/>
          <c:yMode val="edge"/>
          <c:x val="0.48098600898028443"/>
          <c:y val="0.5366531787693205"/>
          <c:w val="0.14511303442441656"/>
          <c:h val="0.16743438320210069"/>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'mesiac výplaty'!$A$39</c:f>
              <c:strCache>
                <c:ptCount val="1"/>
                <c:pt idx="0">
                  <c:v>počet detí</c:v>
                </c:pt>
              </c:strCache>
            </c:strRef>
          </c:tx>
          <c:invertIfNegative val="0"/>
          <c:cat>
            <c:strRef>
              <c:f>'mesiac výplaty'!$C$38:$H$38</c:f>
              <c:strCache>
                <c:ptCount val="6"/>
                <c:pt idx="0">
                  <c:v>Iná fyzická osoba</c:v>
                </c:pt>
                <c:pt idx="1">
                  <c:v>Iná právnická osoba</c:v>
                </c:pt>
                <c:pt idx="2">
                  <c:v>Rodič</c:v>
                </c:pt>
                <c:pt idx="3">
                  <c:v>Zariadenie</c:v>
                </c:pt>
                <c:pt idx="4">
                  <c:v>Živnostník</c:v>
                </c:pt>
                <c:pt idx="5">
                  <c:v>Nezaradené</c:v>
                </c:pt>
              </c:strCache>
            </c:strRef>
          </c:cat>
          <c:val>
            <c:numRef>
              <c:f>'mesiac výplaty'!$C$39:$H$39</c:f>
              <c:numCache>
                <c:formatCode>#,##0.00</c:formatCode>
                <c:ptCount val="6"/>
                <c:pt idx="0">
                  <c:v>3</c:v>
                </c:pt>
                <c:pt idx="1">
                  <c:v>91.166666666666671</c:v>
                </c:pt>
                <c:pt idx="2">
                  <c:v>234.25</c:v>
                </c:pt>
                <c:pt idx="3">
                  <c:v>1430.8333333333273</c:v>
                </c:pt>
                <c:pt idx="4">
                  <c:v>225.5</c:v>
                </c:pt>
                <c:pt idx="5">
                  <c:v>2.1666666666666665</c:v>
                </c:pt>
              </c:numCache>
            </c:numRef>
          </c:val>
        </c:ser>
        <c:ser>
          <c:idx val="1"/>
          <c:order val="1"/>
          <c:tx>
            <c:strRef>
              <c:f>'mesiac výplaty'!$A$40</c:f>
              <c:strCache>
                <c:ptCount val="1"/>
                <c:pt idx="0">
                  <c:v>počet poberateľov</c:v>
                </c:pt>
              </c:strCache>
            </c:strRef>
          </c:tx>
          <c:invertIfNegative val="0"/>
          <c:cat>
            <c:strRef>
              <c:f>'mesiac výplaty'!$C$38:$H$38</c:f>
              <c:strCache>
                <c:ptCount val="6"/>
                <c:pt idx="0">
                  <c:v>Iná fyzická osoba</c:v>
                </c:pt>
                <c:pt idx="1">
                  <c:v>Iná právnická osoba</c:v>
                </c:pt>
                <c:pt idx="2">
                  <c:v>Rodič</c:v>
                </c:pt>
                <c:pt idx="3">
                  <c:v>Zariadenie</c:v>
                </c:pt>
                <c:pt idx="4">
                  <c:v>Živnostník</c:v>
                </c:pt>
                <c:pt idx="5">
                  <c:v>Nezaradené</c:v>
                </c:pt>
              </c:strCache>
            </c:strRef>
          </c:cat>
          <c:val>
            <c:numRef>
              <c:f>'mesiac výplaty'!$C$40:$H$40</c:f>
              <c:numCache>
                <c:formatCode>#,##0.00</c:formatCode>
                <c:ptCount val="6"/>
                <c:pt idx="0">
                  <c:v>3</c:v>
                </c:pt>
                <c:pt idx="1">
                  <c:v>85</c:v>
                </c:pt>
                <c:pt idx="2">
                  <c:v>233</c:v>
                </c:pt>
                <c:pt idx="3">
                  <c:v>1375.1666666666667</c:v>
                </c:pt>
                <c:pt idx="4">
                  <c:v>202.0833333333338</c:v>
                </c:pt>
                <c:pt idx="5">
                  <c:v>2.0833333333333401</c:v>
                </c:pt>
              </c:numCache>
            </c:numRef>
          </c:val>
        </c:ser>
        <c:dLbls>
          <c:showLegendKey val="0"/>
          <c:showVal val="0"/>
          <c:showCatName val="0"/>
          <c:showSerName val="0"/>
          <c:showPercent val="0"/>
          <c:showBubbleSize val="0"/>
        </c:dLbls>
        <c:gapWidth val="150"/>
        <c:axId val="238836352"/>
        <c:axId val="238850816"/>
      </c:barChart>
      <c:lineChart>
        <c:grouping val="standard"/>
        <c:varyColors val="0"/>
        <c:ser>
          <c:idx val="2"/>
          <c:order val="2"/>
          <c:tx>
            <c:strRef>
              <c:f>'mesiac výplaty'!$A$41</c:f>
              <c:strCache>
                <c:ptCount val="1"/>
                <c:pt idx="0">
                  <c:v>vyplatená suma</c:v>
                </c:pt>
              </c:strCache>
            </c:strRef>
          </c:tx>
          <c:spPr>
            <a:ln>
              <a:noFill/>
            </a:ln>
          </c:spPr>
          <c:marker>
            <c:symbol val="triangle"/>
            <c:size val="9"/>
            <c:spPr>
              <a:solidFill>
                <a:schemeClr val="bg1"/>
              </a:solidFill>
              <a:ln w="15875"/>
            </c:spPr>
          </c:marker>
          <c:cat>
            <c:strRef>
              <c:f>'mesiac výplaty'!$C$38:$H$38</c:f>
              <c:strCache>
                <c:ptCount val="6"/>
                <c:pt idx="0">
                  <c:v>Iná fyzická osoba</c:v>
                </c:pt>
                <c:pt idx="1">
                  <c:v>Iná právnická osoba</c:v>
                </c:pt>
                <c:pt idx="2">
                  <c:v>Rodič</c:v>
                </c:pt>
                <c:pt idx="3">
                  <c:v>Zariadenie</c:v>
                </c:pt>
                <c:pt idx="4">
                  <c:v>Živnostník</c:v>
                </c:pt>
                <c:pt idx="5">
                  <c:v>Nezaradené</c:v>
                </c:pt>
              </c:strCache>
            </c:strRef>
          </c:cat>
          <c:val>
            <c:numRef>
              <c:f>'mesiac výplaty'!$C$41:$H$41</c:f>
              <c:numCache>
                <c:formatCode>#,##0.00</c:formatCode>
                <c:ptCount val="6"/>
                <c:pt idx="0">
                  <c:v>123.3</c:v>
                </c:pt>
                <c:pt idx="1">
                  <c:v>20854.980000000021</c:v>
                </c:pt>
                <c:pt idx="2">
                  <c:v>9631.1</c:v>
                </c:pt>
                <c:pt idx="3">
                  <c:v>325552.85333333362</c:v>
                </c:pt>
                <c:pt idx="4">
                  <c:v>51729.794999999998</c:v>
                </c:pt>
                <c:pt idx="5">
                  <c:v>429.46999999999969</c:v>
                </c:pt>
              </c:numCache>
            </c:numRef>
          </c:val>
          <c:smooth val="0"/>
        </c:ser>
        <c:dLbls>
          <c:showLegendKey val="0"/>
          <c:showVal val="0"/>
          <c:showCatName val="0"/>
          <c:showSerName val="0"/>
          <c:showPercent val="0"/>
          <c:showBubbleSize val="0"/>
        </c:dLbls>
        <c:marker val="1"/>
        <c:smooth val="0"/>
        <c:axId val="238854912"/>
        <c:axId val="238852736"/>
      </c:lineChart>
      <c:catAx>
        <c:axId val="238836352"/>
        <c:scaling>
          <c:orientation val="minMax"/>
        </c:scaling>
        <c:delete val="0"/>
        <c:axPos val="b"/>
        <c:majorTickMark val="out"/>
        <c:minorTickMark val="none"/>
        <c:tickLblPos val="nextTo"/>
        <c:crossAx val="238850816"/>
        <c:crosses val="autoZero"/>
        <c:auto val="1"/>
        <c:lblAlgn val="ctr"/>
        <c:lblOffset val="100"/>
        <c:noMultiLvlLbl val="0"/>
      </c:catAx>
      <c:valAx>
        <c:axId val="238850816"/>
        <c:scaling>
          <c:orientation val="minMax"/>
        </c:scaling>
        <c:delete val="0"/>
        <c:axPos val="l"/>
        <c:majorGridlines/>
        <c:title>
          <c:tx>
            <c:rich>
              <a:bodyPr rot="-5400000" vert="horz"/>
              <a:lstStyle/>
              <a:p>
                <a:pPr>
                  <a:defRPr/>
                </a:pPr>
                <a:r>
                  <a:rPr lang="sk-SK"/>
                  <a:t>počet poberateľov/detí</a:t>
                </a:r>
              </a:p>
            </c:rich>
          </c:tx>
          <c:overlay val="0"/>
        </c:title>
        <c:numFmt formatCode="#,##0" sourceLinked="0"/>
        <c:majorTickMark val="out"/>
        <c:minorTickMark val="none"/>
        <c:tickLblPos val="nextTo"/>
        <c:crossAx val="238836352"/>
        <c:crosses val="autoZero"/>
        <c:crossBetween val="between"/>
      </c:valAx>
      <c:valAx>
        <c:axId val="238852736"/>
        <c:scaling>
          <c:orientation val="minMax"/>
        </c:scaling>
        <c:delete val="0"/>
        <c:axPos val="r"/>
        <c:title>
          <c:tx>
            <c:rich>
              <a:bodyPr rot="-5400000" vert="horz"/>
              <a:lstStyle/>
              <a:p>
                <a:pPr>
                  <a:defRPr/>
                </a:pPr>
                <a:r>
                  <a:rPr lang="sk-SK"/>
                  <a:t> finančné prostriedky</a:t>
                </a:r>
              </a:p>
            </c:rich>
          </c:tx>
          <c:overlay val="0"/>
        </c:title>
        <c:numFmt formatCode="#,##0" sourceLinked="0"/>
        <c:majorTickMark val="out"/>
        <c:minorTickMark val="none"/>
        <c:tickLblPos val="nextTo"/>
        <c:crossAx val="238854912"/>
        <c:crosses val="max"/>
        <c:crossBetween val="between"/>
      </c:valAx>
      <c:catAx>
        <c:axId val="238854912"/>
        <c:scaling>
          <c:orientation val="minMax"/>
        </c:scaling>
        <c:delete val="1"/>
        <c:axPos val="b"/>
        <c:majorTickMark val="out"/>
        <c:minorTickMark val="none"/>
        <c:tickLblPos val="none"/>
        <c:crossAx val="238852736"/>
        <c:crosses val="autoZero"/>
        <c:auto val="1"/>
        <c:lblAlgn val="ctr"/>
        <c:lblOffset val="100"/>
        <c:noMultiLvlLbl val="0"/>
      </c:catAx>
    </c:plotArea>
    <c:legend>
      <c:legendPos val="l"/>
      <c:layout>
        <c:manualLayout>
          <c:xMode val="edge"/>
          <c:yMode val="edge"/>
          <c:x val="0.14544953111044326"/>
          <c:y val="6.1602641815962804E-2"/>
          <c:w val="0.22674304639897541"/>
          <c:h val="0.2043665420086191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161078504"/>
          <c:y val="5.6230699627436556E-2"/>
          <c:w val="0.85547650575413747"/>
          <c:h val="0.71688440429081646"/>
        </c:manualLayout>
      </c:layout>
      <c:lineChart>
        <c:grouping val="standard"/>
        <c:varyColors val="0"/>
        <c:ser>
          <c:idx val="0"/>
          <c:order val="0"/>
          <c:tx>
            <c:strRef>
              <c:f>'-graf 3.5'!$C$1</c:f>
              <c:strCache>
                <c:ptCount val="1"/>
                <c:pt idx="0">
                  <c:v>2013</c:v>
                </c:pt>
              </c:strCache>
            </c:strRef>
          </c:tx>
          <c:cat>
            <c:strRef>
              <c:f>'-graf 3.5'!$B$2:$B$13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 3.5'!$C$2:$C$13</c:f>
              <c:numCache>
                <c:formatCode>#,##0</c:formatCode>
                <c:ptCount val="12"/>
                <c:pt idx="0">
                  <c:v>184039</c:v>
                </c:pt>
                <c:pt idx="1">
                  <c:v>180827</c:v>
                </c:pt>
                <c:pt idx="2">
                  <c:v>185220</c:v>
                </c:pt>
                <c:pt idx="3">
                  <c:v>187283</c:v>
                </c:pt>
                <c:pt idx="4">
                  <c:v>186895</c:v>
                </c:pt>
                <c:pt idx="5">
                  <c:v>185886</c:v>
                </c:pt>
                <c:pt idx="6">
                  <c:v>185437</c:v>
                </c:pt>
                <c:pt idx="7">
                  <c:v>185607</c:v>
                </c:pt>
                <c:pt idx="8">
                  <c:v>185529</c:v>
                </c:pt>
                <c:pt idx="9">
                  <c:v>184780</c:v>
                </c:pt>
                <c:pt idx="10">
                  <c:v>183661</c:v>
                </c:pt>
                <c:pt idx="11">
                  <c:v>183472</c:v>
                </c:pt>
              </c:numCache>
            </c:numRef>
          </c:val>
          <c:smooth val="0"/>
        </c:ser>
        <c:ser>
          <c:idx val="1"/>
          <c:order val="1"/>
          <c:tx>
            <c:strRef>
              <c:f>'-graf 3.5'!$D$1</c:f>
              <c:strCache>
                <c:ptCount val="1"/>
                <c:pt idx="0">
                  <c:v>2014</c:v>
                </c:pt>
              </c:strCache>
            </c:strRef>
          </c:tx>
          <c:cat>
            <c:strRef>
              <c:f>'-graf 3.5'!$B$2:$B$13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 3.5'!$D$2:$D$13</c:f>
              <c:numCache>
                <c:formatCode>#,##0</c:formatCode>
                <c:ptCount val="12"/>
                <c:pt idx="0">
                  <c:v>182345</c:v>
                </c:pt>
                <c:pt idx="1">
                  <c:v>172766</c:v>
                </c:pt>
                <c:pt idx="2">
                  <c:v>174191</c:v>
                </c:pt>
                <c:pt idx="3">
                  <c:v>173697</c:v>
                </c:pt>
                <c:pt idx="4">
                  <c:v>170989</c:v>
                </c:pt>
                <c:pt idx="5">
                  <c:v>168058</c:v>
                </c:pt>
                <c:pt idx="6">
                  <c:v>164198</c:v>
                </c:pt>
                <c:pt idx="7">
                  <c:v>156769</c:v>
                </c:pt>
                <c:pt idx="8">
                  <c:v>152190</c:v>
                </c:pt>
                <c:pt idx="9">
                  <c:v>148988</c:v>
                </c:pt>
                <c:pt idx="10">
                  <c:v>145934</c:v>
                </c:pt>
                <c:pt idx="11">
                  <c:v>144717</c:v>
                </c:pt>
              </c:numCache>
            </c:numRef>
          </c:val>
          <c:smooth val="0"/>
        </c:ser>
        <c:dLbls>
          <c:showLegendKey val="0"/>
          <c:showVal val="0"/>
          <c:showCatName val="0"/>
          <c:showSerName val="0"/>
          <c:showPercent val="0"/>
          <c:showBubbleSize val="0"/>
        </c:dLbls>
        <c:marker val="1"/>
        <c:smooth val="0"/>
        <c:axId val="238912640"/>
        <c:axId val="238914176"/>
      </c:lineChart>
      <c:catAx>
        <c:axId val="238912640"/>
        <c:scaling>
          <c:orientation val="minMax"/>
        </c:scaling>
        <c:delete val="0"/>
        <c:axPos val="b"/>
        <c:majorTickMark val="out"/>
        <c:minorTickMark val="none"/>
        <c:tickLblPos val="nextTo"/>
        <c:txPr>
          <a:bodyPr rot="-1380000" anchor="t" anchorCtr="1"/>
          <a:lstStyle/>
          <a:p>
            <a:pPr>
              <a:defRPr/>
            </a:pPr>
            <a:endParaRPr lang="sk-SK"/>
          </a:p>
        </c:txPr>
        <c:crossAx val="238914176"/>
        <c:crosses val="autoZero"/>
        <c:auto val="1"/>
        <c:lblAlgn val="ctr"/>
        <c:lblOffset val="100"/>
        <c:noMultiLvlLbl val="0"/>
      </c:catAx>
      <c:valAx>
        <c:axId val="238914176"/>
        <c:scaling>
          <c:orientation val="minMax"/>
          <c:min val="140000"/>
        </c:scaling>
        <c:delete val="0"/>
        <c:axPos val="l"/>
        <c:majorGridlines/>
        <c:numFmt formatCode="#,##0" sourceLinked="1"/>
        <c:majorTickMark val="out"/>
        <c:minorTickMark val="none"/>
        <c:tickLblPos val="nextTo"/>
        <c:crossAx val="238912640"/>
        <c:crosses val="autoZero"/>
        <c:crossBetween val="between"/>
      </c:valAx>
    </c:plotArea>
    <c:legend>
      <c:legendPos val="l"/>
      <c:layout>
        <c:manualLayout>
          <c:xMode val="edge"/>
          <c:yMode val="edge"/>
          <c:x val="0.14166957174653402"/>
          <c:y val="0.54444372849465827"/>
          <c:w val="0.16850318237411291"/>
          <c:h val="0.17349100076013688"/>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 3.6'!$B$2</c:f>
              <c:strCache>
                <c:ptCount val="1"/>
                <c:pt idx="0">
                  <c:v>Percentuálne zastúpenie jednotlivých skupín poberateľov dávky a príspevkov v roku 2014</c:v>
                </c:pt>
              </c:strCache>
            </c:strRef>
          </c:tx>
          <c:dPt>
            <c:idx val="0"/>
            <c:bubble3D val="0"/>
            <c:spPr>
              <a:pattFill prst="wave">
                <a:fgClr>
                  <a:schemeClr val="accent1"/>
                </a:fgClr>
                <a:bgClr>
                  <a:schemeClr val="bg1"/>
                </a:bgClr>
              </a:pattFill>
              <a:ln>
                <a:solidFill>
                  <a:schemeClr val="accent1"/>
                </a:solidFill>
              </a:ln>
            </c:spPr>
          </c:dPt>
          <c:dPt>
            <c:idx val="1"/>
            <c:bubble3D val="0"/>
            <c:spPr>
              <a:solidFill>
                <a:schemeClr val="accent1"/>
              </a:solidFill>
              <a:ln>
                <a:solidFill>
                  <a:schemeClr val="accent1"/>
                </a:solidFill>
              </a:ln>
            </c:spPr>
          </c:dPt>
          <c:dPt>
            <c:idx val="2"/>
            <c:bubble3D val="0"/>
            <c:explosion val="25"/>
            <c:spPr>
              <a:solidFill>
                <a:schemeClr val="accent2"/>
              </a:solidFill>
              <a:ln>
                <a:solidFill>
                  <a:schemeClr val="accent2"/>
                </a:solidFill>
              </a:ln>
            </c:spPr>
          </c:dPt>
          <c:dPt>
            <c:idx val="3"/>
            <c:bubble3D val="0"/>
            <c:spPr>
              <a:pattFill prst="dkUpDiag">
                <a:fgClr>
                  <a:schemeClr val="accent2"/>
                </a:fgClr>
                <a:bgClr>
                  <a:schemeClr val="bg1"/>
                </a:bgClr>
              </a:pattFill>
              <a:ln>
                <a:solidFill>
                  <a:schemeClr val="accent2"/>
                </a:solidFill>
              </a:ln>
            </c:spPr>
          </c:dPt>
          <c:dPt>
            <c:idx val="4"/>
            <c:bubble3D val="0"/>
            <c:spPr>
              <a:pattFill prst="smConfetti">
                <a:fgClr>
                  <a:schemeClr val="accent3">
                    <a:lumMod val="75000"/>
                  </a:schemeClr>
                </a:fgClr>
                <a:bgClr>
                  <a:schemeClr val="bg1"/>
                </a:bgClr>
              </a:pattFill>
              <a:ln>
                <a:solidFill>
                  <a:schemeClr val="accent3">
                    <a:lumMod val="75000"/>
                  </a:schemeClr>
                </a:solidFill>
              </a:ln>
            </c:spPr>
          </c:dPt>
          <c:dPt>
            <c:idx val="5"/>
            <c:bubble3D val="0"/>
            <c:spPr>
              <a:solidFill>
                <a:schemeClr val="accent3">
                  <a:lumMod val="75000"/>
                </a:schemeClr>
              </a:solidFill>
              <a:ln>
                <a:solidFill>
                  <a:schemeClr val="accent3">
                    <a:lumMod val="75000"/>
                  </a:schemeClr>
                </a:solidFill>
              </a:ln>
            </c:spPr>
          </c:dPt>
          <c:dLbls>
            <c:dLbl>
              <c:idx val="0"/>
              <c:layout>
                <c:manualLayout>
                  <c:x val="3.5842519685039292E-2"/>
                  <c:y val="-7.9639836687080787E-2"/>
                </c:manualLayout>
              </c:layout>
              <c:showLegendKey val="0"/>
              <c:showVal val="0"/>
              <c:showCatName val="1"/>
              <c:showSerName val="0"/>
              <c:showPercent val="1"/>
              <c:showBubbleSize val="0"/>
            </c:dLbl>
            <c:dLbl>
              <c:idx val="1"/>
              <c:layout>
                <c:manualLayout>
                  <c:x val="-2.8903105861767291E-2"/>
                  <c:y val="0.13780839895013144"/>
                </c:manualLayout>
              </c:layout>
              <c:showLegendKey val="0"/>
              <c:showVal val="0"/>
              <c:showCatName val="1"/>
              <c:showSerName val="0"/>
              <c:showPercent val="1"/>
              <c:showBubbleSize val="0"/>
            </c:dLbl>
            <c:dLbl>
              <c:idx val="2"/>
              <c:layout>
                <c:manualLayout>
                  <c:x val="-4.5348206474190716E-2"/>
                  <c:y val="-2.6034193642461411E-2"/>
                </c:manualLayout>
              </c:layout>
              <c:showLegendKey val="0"/>
              <c:showVal val="0"/>
              <c:showCatName val="1"/>
              <c:showSerName val="0"/>
              <c:showPercent val="1"/>
              <c:showBubbleSize val="0"/>
            </c:dLbl>
            <c:dLbl>
              <c:idx val="3"/>
              <c:layout>
                <c:manualLayout>
                  <c:x val="-4.2413604549431751E-2"/>
                  <c:y val="-0.14750473899095945"/>
                </c:manualLayout>
              </c:layout>
              <c:showLegendKey val="0"/>
              <c:showVal val="0"/>
              <c:showCatName val="1"/>
              <c:showSerName val="0"/>
              <c:showPercent val="1"/>
              <c:showBubbleSize val="0"/>
            </c:dLbl>
            <c:dLbl>
              <c:idx val="4"/>
              <c:layout>
                <c:manualLayout>
                  <c:x val="-7.652580927384077E-2"/>
                  <c:y val="-9.006270049577136E-3"/>
                </c:manualLayout>
              </c:layout>
              <c:showLegendKey val="0"/>
              <c:showVal val="0"/>
              <c:showCatName val="1"/>
              <c:showSerName val="0"/>
              <c:showPercent val="1"/>
              <c:showBubbleSize val="0"/>
            </c:dLbl>
            <c:dLbl>
              <c:idx val="5"/>
              <c:layout>
                <c:manualLayout>
                  <c:x val="0.30423184601924758"/>
                  <c:y val="1.3888888888888951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'-graf 3.6'!$A$3:$A$8</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'-graf 3.6'!$B$3:$B$8</c:f>
              <c:numCache>
                <c:formatCode>General</c:formatCode>
                <c:ptCount val="6"/>
                <c:pt idx="0">
                  <c:v>100477</c:v>
                </c:pt>
                <c:pt idx="1">
                  <c:v>18688</c:v>
                </c:pt>
                <c:pt idx="2">
                  <c:v>418</c:v>
                </c:pt>
                <c:pt idx="3">
                  <c:v>11734</c:v>
                </c:pt>
                <c:pt idx="4">
                  <c:v>26515</c:v>
                </c:pt>
                <c:pt idx="5">
                  <c:v>5058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 3.8'!$B$1</c:f>
              <c:strCache>
                <c:ptCount val="1"/>
                <c:pt idx="0">
                  <c:v>2013</c:v>
                </c:pt>
              </c:strCache>
            </c:strRef>
          </c:tx>
          <c:invertIfNegative val="0"/>
          <c:cat>
            <c:strRef>
              <c:f>'graf 3.8'!$A$2:$A$9</c:f>
              <c:strCache>
                <c:ptCount val="8"/>
                <c:pt idx="0">
                  <c:v>BA</c:v>
                </c:pt>
                <c:pt idx="1">
                  <c:v>TT</c:v>
                </c:pt>
                <c:pt idx="2">
                  <c:v>TN</c:v>
                </c:pt>
                <c:pt idx="3">
                  <c:v>NR</c:v>
                </c:pt>
                <c:pt idx="4">
                  <c:v>ZA</c:v>
                </c:pt>
                <c:pt idx="5">
                  <c:v>BB</c:v>
                </c:pt>
                <c:pt idx="6">
                  <c:v>PO</c:v>
                </c:pt>
                <c:pt idx="7">
                  <c:v>KE</c:v>
                </c:pt>
              </c:strCache>
            </c:strRef>
          </c:cat>
          <c:val>
            <c:numRef>
              <c:f>'graf 3.8'!$B$2:$B$9</c:f>
              <c:numCache>
                <c:formatCode>0.00%</c:formatCode>
                <c:ptCount val="8"/>
                <c:pt idx="0">
                  <c:v>1.0100000000000001E-2</c:v>
                </c:pt>
                <c:pt idx="1">
                  <c:v>3.4000000000000002E-2</c:v>
                </c:pt>
                <c:pt idx="2">
                  <c:v>2.8199999999999989E-2</c:v>
                </c:pt>
                <c:pt idx="3">
                  <c:v>5.8599999999999999E-2</c:v>
                </c:pt>
                <c:pt idx="4">
                  <c:v>3.5999999999999997E-2</c:v>
                </c:pt>
                <c:pt idx="5">
                  <c:v>0.10870000000000024</c:v>
                </c:pt>
                <c:pt idx="6">
                  <c:v>0.10829999999999999</c:v>
                </c:pt>
                <c:pt idx="7">
                  <c:v>0.10950000000000019</c:v>
                </c:pt>
              </c:numCache>
            </c:numRef>
          </c:val>
        </c:ser>
        <c:ser>
          <c:idx val="1"/>
          <c:order val="1"/>
          <c:tx>
            <c:strRef>
              <c:f>'graf 3.8'!$C$1</c:f>
              <c:strCache>
                <c:ptCount val="1"/>
                <c:pt idx="0">
                  <c:v>2014</c:v>
                </c:pt>
              </c:strCache>
            </c:strRef>
          </c:tx>
          <c:invertIfNegative val="0"/>
          <c:cat>
            <c:strRef>
              <c:f>'graf 3.8'!$A$2:$A$9</c:f>
              <c:strCache>
                <c:ptCount val="8"/>
                <c:pt idx="0">
                  <c:v>BA</c:v>
                </c:pt>
                <c:pt idx="1">
                  <c:v>TT</c:v>
                </c:pt>
                <c:pt idx="2">
                  <c:v>TN</c:v>
                </c:pt>
                <c:pt idx="3">
                  <c:v>NR</c:v>
                </c:pt>
                <c:pt idx="4">
                  <c:v>ZA</c:v>
                </c:pt>
                <c:pt idx="5">
                  <c:v>BB</c:v>
                </c:pt>
                <c:pt idx="6">
                  <c:v>PO</c:v>
                </c:pt>
                <c:pt idx="7">
                  <c:v>KE</c:v>
                </c:pt>
              </c:strCache>
            </c:strRef>
          </c:cat>
          <c:val>
            <c:numRef>
              <c:f>'graf 3.8'!$C$2:$C$9</c:f>
              <c:numCache>
                <c:formatCode>0.0%</c:formatCode>
                <c:ptCount val="8"/>
                <c:pt idx="0">
                  <c:v>7.1164984716084014E-3</c:v>
                </c:pt>
                <c:pt idx="1">
                  <c:v>2.4849779031533431E-2</c:v>
                </c:pt>
                <c:pt idx="2">
                  <c:v>2.028472700272145E-2</c:v>
                </c:pt>
                <c:pt idx="3">
                  <c:v>4.4968624164503639E-2</c:v>
                </c:pt>
                <c:pt idx="4">
                  <c:v>2.7007063519535954E-2</c:v>
                </c:pt>
                <c:pt idx="5">
                  <c:v>9.3762350101242897E-2</c:v>
                </c:pt>
                <c:pt idx="6">
                  <c:v>9.2818457103065091E-2</c:v>
                </c:pt>
                <c:pt idx="7">
                  <c:v>9.5637691451987028E-2</c:v>
                </c:pt>
              </c:numCache>
            </c:numRef>
          </c:val>
        </c:ser>
        <c:dLbls>
          <c:showLegendKey val="0"/>
          <c:showVal val="0"/>
          <c:showCatName val="0"/>
          <c:showSerName val="0"/>
          <c:showPercent val="0"/>
          <c:showBubbleSize val="0"/>
        </c:dLbls>
        <c:gapWidth val="150"/>
        <c:shape val="box"/>
        <c:axId val="239116288"/>
        <c:axId val="239117824"/>
        <c:axId val="0"/>
      </c:bar3DChart>
      <c:catAx>
        <c:axId val="239116288"/>
        <c:scaling>
          <c:orientation val="minMax"/>
        </c:scaling>
        <c:delete val="0"/>
        <c:axPos val="b"/>
        <c:majorTickMark val="out"/>
        <c:minorTickMark val="none"/>
        <c:tickLblPos val="nextTo"/>
        <c:crossAx val="239117824"/>
        <c:crosses val="autoZero"/>
        <c:auto val="1"/>
        <c:lblAlgn val="ctr"/>
        <c:lblOffset val="100"/>
        <c:noMultiLvlLbl val="0"/>
      </c:catAx>
      <c:valAx>
        <c:axId val="239117824"/>
        <c:scaling>
          <c:orientation val="minMax"/>
        </c:scaling>
        <c:delete val="0"/>
        <c:axPos val="l"/>
        <c:majorGridlines/>
        <c:numFmt formatCode="0.0%" sourceLinked="0"/>
        <c:majorTickMark val="out"/>
        <c:minorTickMark val="none"/>
        <c:tickLblPos val="nextTo"/>
        <c:crossAx val="239116288"/>
        <c:crosses val="autoZero"/>
        <c:crossBetween val="between"/>
      </c:valAx>
    </c:plotArea>
    <c:legend>
      <c:legendPos val="l"/>
      <c:layout>
        <c:manualLayout>
          <c:xMode val="edge"/>
          <c:yMode val="edge"/>
          <c:x val="0.21111111111111144"/>
          <c:y val="0.24553623505395206"/>
          <c:w val="9.9909667541557307E-2"/>
          <c:h val="0.15707567804024497"/>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Hárok1!$N$3</c:f>
              <c:strCache>
                <c:ptCount val="1"/>
                <c:pt idx="0">
                  <c:v>muži</c:v>
                </c:pt>
              </c:strCache>
            </c:strRef>
          </c:tx>
          <c:invertIfNegative val="0"/>
          <c:cat>
            <c:strRef>
              <c:f>Hárok1!$O$3:$O$15</c:f>
              <c:strCache>
                <c:ptCount val="13"/>
                <c:pt idx="0">
                  <c:v>0-4</c:v>
                </c:pt>
                <c:pt idx="1">
                  <c:v>5-9</c:v>
                </c:pt>
                <c:pt idx="2">
                  <c:v>10-14</c:v>
                </c:pt>
                <c:pt idx="3">
                  <c:v>15-19</c:v>
                </c:pt>
                <c:pt idx="4">
                  <c:v>20-24</c:v>
                </c:pt>
                <c:pt idx="5">
                  <c:v>25-29</c:v>
                </c:pt>
                <c:pt idx="6">
                  <c:v>30-34</c:v>
                </c:pt>
                <c:pt idx="7">
                  <c:v>35-39</c:v>
                </c:pt>
                <c:pt idx="8">
                  <c:v>40-44</c:v>
                </c:pt>
                <c:pt idx="9">
                  <c:v>45-49</c:v>
                </c:pt>
                <c:pt idx="10">
                  <c:v>50-54</c:v>
                </c:pt>
                <c:pt idx="11">
                  <c:v>55-59</c:v>
                </c:pt>
                <c:pt idx="12">
                  <c:v>60 a viac</c:v>
                </c:pt>
              </c:strCache>
            </c:strRef>
          </c:cat>
          <c:val>
            <c:numRef>
              <c:f>Hárok1!$AB$3:$AB$15</c:f>
              <c:numCache>
                <c:formatCode>General</c:formatCode>
                <c:ptCount val="13"/>
                <c:pt idx="0">
                  <c:v>8926.583333333323</c:v>
                </c:pt>
                <c:pt idx="1">
                  <c:v>16549.5</c:v>
                </c:pt>
                <c:pt idx="2">
                  <c:v>16880.5</c:v>
                </c:pt>
                <c:pt idx="3">
                  <c:v>14938.666666666661</c:v>
                </c:pt>
                <c:pt idx="4">
                  <c:v>8738.583333333323</c:v>
                </c:pt>
                <c:pt idx="5">
                  <c:v>13054.75</c:v>
                </c:pt>
                <c:pt idx="6">
                  <c:v>14136.916666666661</c:v>
                </c:pt>
                <c:pt idx="7">
                  <c:v>14933.916666666661</c:v>
                </c:pt>
                <c:pt idx="8">
                  <c:v>13574.25</c:v>
                </c:pt>
                <c:pt idx="9">
                  <c:v>13811.083333333327</c:v>
                </c:pt>
                <c:pt idx="10">
                  <c:v>14350.416666666661</c:v>
                </c:pt>
                <c:pt idx="11">
                  <c:v>13575.083333333327</c:v>
                </c:pt>
                <c:pt idx="12">
                  <c:v>5324.1666666667061</c:v>
                </c:pt>
              </c:numCache>
            </c:numRef>
          </c:val>
        </c:ser>
        <c:ser>
          <c:idx val="1"/>
          <c:order val="1"/>
          <c:tx>
            <c:strRef>
              <c:f>Hárok1!$N$16</c:f>
              <c:strCache>
                <c:ptCount val="1"/>
                <c:pt idx="0">
                  <c:v>ženy</c:v>
                </c:pt>
              </c:strCache>
            </c:strRef>
          </c:tx>
          <c:invertIfNegative val="0"/>
          <c:cat>
            <c:strRef>
              <c:f>Hárok1!$O$3:$O$15</c:f>
              <c:strCache>
                <c:ptCount val="13"/>
                <c:pt idx="0">
                  <c:v>0-4</c:v>
                </c:pt>
                <c:pt idx="1">
                  <c:v>5-9</c:v>
                </c:pt>
                <c:pt idx="2">
                  <c:v>10-14</c:v>
                </c:pt>
                <c:pt idx="3">
                  <c:v>15-19</c:v>
                </c:pt>
                <c:pt idx="4">
                  <c:v>20-24</c:v>
                </c:pt>
                <c:pt idx="5">
                  <c:v>25-29</c:v>
                </c:pt>
                <c:pt idx="6">
                  <c:v>30-34</c:v>
                </c:pt>
                <c:pt idx="7">
                  <c:v>35-39</c:v>
                </c:pt>
                <c:pt idx="8">
                  <c:v>40-44</c:v>
                </c:pt>
                <c:pt idx="9">
                  <c:v>45-49</c:v>
                </c:pt>
                <c:pt idx="10">
                  <c:v>50-54</c:v>
                </c:pt>
                <c:pt idx="11">
                  <c:v>55-59</c:v>
                </c:pt>
                <c:pt idx="12">
                  <c:v>60 a viac</c:v>
                </c:pt>
              </c:strCache>
            </c:strRef>
          </c:cat>
          <c:val>
            <c:numRef>
              <c:f>Hárok1!$AB$16:$AB$28</c:f>
              <c:numCache>
                <c:formatCode>General</c:formatCode>
                <c:ptCount val="13"/>
                <c:pt idx="0">
                  <c:v>8565.083333333323</c:v>
                </c:pt>
                <c:pt idx="1">
                  <c:v>15837</c:v>
                </c:pt>
                <c:pt idx="2">
                  <c:v>16122.333333333327</c:v>
                </c:pt>
                <c:pt idx="3">
                  <c:v>13058.333333333327</c:v>
                </c:pt>
                <c:pt idx="4">
                  <c:v>8386.1666666666333</c:v>
                </c:pt>
                <c:pt idx="5">
                  <c:v>13059.833333333327</c:v>
                </c:pt>
                <c:pt idx="6">
                  <c:v>13170.333333333327</c:v>
                </c:pt>
                <c:pt idx="7">
                  <c:v>13274.916666666661</c:v>
                </c:pt>
                <c:pt idx="8">
                  <c:v>12127.25</c:v>
                </c:pt>
                <c:pt idx="9">
                  <c:v>11448.5</c:v>
                </c:pt>
                <c:pt idx="10">
                  <c:v>10757</c:v>
                </c:pt>
                <c:pt idx="11">
                  <c:v>9302.083333333323</c:v>
                </c:pt>
                <c:pt idx="12">
                  <c:v>9313.4166666666333</c:v>
                </c:pt>
              </c:numCache>
            </c:numRef>
          </c:val>
        </c:ser>
        <c:dLbls>
          <c:showLegendKey val="0"/>
          <c:showVal val="0"/>
          <c:showCatName val="0"/>
          <c:showSerName val="0"/>
          <c:showPercent val="0"/>
          <c:showBubbleSize val="0"/>
        </c:dLbls>
        <c:gapWidth val="195"/>
        <c:overlap val="-26"/>
        <c:axId val="239155072"/>
        <c:axId val="239156608"/>
      </c:barChart>
      <c:catAx>
        <c:axId val="239155072"/>
        <c:scaling>
          <c:orientation val="minMax"/>
        </c:scaling>
        <c:delete val="0"/>
        <c:axPos val="b"/>
        <c:majorTickMark val="out"/>
        <c:minorTickMark val="none"/>
        <c:tickLblPos val="nextTo"/>
        <c:txPr>
          <a:bodyPr rot="-5400000" vert="horz"/>
          <a:lstStyle/>
          <a:p>
            <a:pPr>
              <a:defRPr/>
            </a:pPr>
            <a:endParaRPr lang="sk-SK"/>
          </a:p>
        </c:txPr>
        <c:crossAx val="239156608"/>
        <c:crosses val="autoZero"/>
        <c:auto val="1"/>
        <c:lblAlgn val="ctr"/>
        <c:lblOffset val="100"/>
        <c:noMultiLvlLbl val="0"/>
      </c:catAx>
      <c:valAx>
        <c:axId val="239156608"/>
        <c:scaling>
          <c:orientation val="minMax"/>
        </c:scaling>
        <c:delete val="0"/>
        <c:axPos val="l"/>
        <c:majorGridlines/>
        <c:numFmt formatCode="#,##0" sourceLinked="0"/>
        <c:majorTickMark val="out"/>
        <c:minorTickMark val="none"/>
        <c:tickLblPos val="nextTo"/>
        <c:crossAx val="239155072"/>
        <c:crosses val="autoZero"/>
        <c:crossBetween val="between"/>
      </c:valAx>
    </c:plotArea>
    <c:legend>
      <c:legendPos val="t"/>
      <c:layout>
        <c:manualLayout>
          <c:xMode val="edge"/>
          <c:yMode val="edge"/>
          <c:x val="0.80951625838436858"/>
          <c:y val="6.0185185185185147E-2"/>
          <c:w val="0.16337489063867017"/>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807633420822397"/>
          <c:y val="2.8758661724023006E-2"/>
          <c:w val="0.8513681102362205"/>
          <c:h val="0.87508429143059274"/>
        </c:manualLayout>
      </c:layout>
      <c:bar3DChart>
        <c:barDir val="col"/>
        <c:grouping val="clustered"/>
        <c:varyColors val="0"/>
        <c:ser>
          <c:idx val="0"/>
          <c:order val="0"/>
          <c:tx>
            <c:strRef>
              <c:f>'[export635677953516727517.xls]I.13a  - Dotácie na stravu ...'!$Z$14</c:f>
              <c:strCache>
                <c:ptCount val="1"/>
                <c:pt idx="0">
                  <c:v>Spolu</c:v>
                </c:pt>
              </c:strCache>
            </c:strRef>
          </c:tx>
          <c:invertIfNegative val="0"/>
          <c:cat>
            <c:strRef>
              <c:f>'[export635677953516727517.xls]I.13a  - Dotácie na stravu ...'!$O$15:$O$22</c:f>
              <c:strCache>
                <c:ptCount val="8"/>
                <c:pt idx="0">
                  <c:v>BA</c:v>
                </c:pt>
                <c:pt idx="1">
                  <c:v>TT</c:v>
                </c:pt>
                <c:pt idx="2">
                  <c:v>TN</c:v>
                </c:pt>
                <c:pt idx="3">
                  <c:v>NR</c:v>
                </c:pt>
                <c:pt idx="4">
                  <c:v>ZA</c:v>
                </c:pt>
                <c:pt idx="5">
                  <c:v>BB</c:v>
                </c:pt>
                <c:pt idx="6">
                  <c:v>PO</c:v>
                </c:pt>
                <c:pt idx="7">
                  <c:v>KE</c:v>
                </c:pt>
              </c:strCache>
            </c:strRef>
          </c:cat>
          <c:val>
            <c:numRef>
              <c:f>'[export635677953516727517.xls]I.13a  - Dotácie na stravu ...'!$Z$15:$Z$22</c:f>
              <c:numCache>
                <c:formatCode>#,##0.00</c:formatCode>
                <c:ptCount val="8"/>
                <c:pt idx="0">
                  <c:v>791.6</c:v>
                </c:pt>
                <c:pt idx="1">
                  <c:v>2471.9</c:v>
                </c:pt>
                <c:pt idx="2">
                  <c:v>2001.7</c:v>
                </c:pt>
                <c:pt idx="3">
                  <c:v>6945.9</c:v>
                </c:pt>
                <c:pt idx="4">
                  <c:v>4144.4000000000005</c:v>
                </c:pt>
                <c:pt idx="5">
                  <c:v>18247.400000000001</c:v>
                </c:pt>
                <c:pt idx="6">
                  <c:v>28327.5</c:v>
                </c:pt>
                <c:pt idx="7">
                  <c:v>25337.1</c:v>
                </c:pt>
              </c:numCache>
            </c:numRef>
          </c:val>
        </c:ser>
        <c:dLbls>
          <c:showLegendKey val="0"/>
          <c:showVal val="0"/>
          <c:showCatName val="0"/>
          <c:showSerName val="0"/>
          <c:showPercent val="0"/>
          <c:showBubbleSize val="0"/>
        </c:dLbls>
        <c:gapWidth val="150"/>
        <c:shape val="box"/>
        <c:axId val="239164800"/>
        <c:axId val="239174784"/>
        <c:axId val="0"/>
      </c:bar3DChart>
      <c:catAx>
        <c:axId val="239164800"/>
        <c:scaling>
          <c:orientation val="minMax"/>
        </c:scaling>
        <c:delete val="0"/>
        <c:axPos val="b"/>
        <c:majorTickMark val="out"/>
        <c:minorTickMark val="none"/>
        <c:tickLblPos val="nextTo"/>
        <c:crossAx val="239174784"/>
        <c:crosses val="autoZero"/>
        <c:auto val="1"/>
        <c:lblAlgn val="ctr"/>
        <c:lblOffset val="100"/>
        <c:noMultiLvlLbl val="0"/>
      </c:catAx>
      <c:valAx>
        <c:axId val="239174784"/>
        <c:scaling>
          <c:orientation val="minMax"/>
        </c:scaling>
        <c:delete val="0"/>
        <c:axPos val="l"/>
        <c:majorGridlines/>
        <c:numFmt formatCode="#,##0" sourceLinked="0"/>
        <c:majorTickMark val="out"/>
        <c:minorTickMark val="none"/>
        <c:tickLblPos val="nextTo"/>
        <c:crossAx val="239164800"/>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'M28 - Dotácie na školské po...'!$B$17</c:f>
              <c:strCache>
                <c:ptCount val="1"/>
                <c:pt idx="0">
                  <c:v>I. polrok</c:v>
                </c:pt>
              </c:strCache>
            </c:strRef>
          </c:tx>
          <c:invertIfNegative val="0"/>
          <c:cat>
            <c:strRef>
              <c:f>'M28 - Dotácie na školské po...'!$A$18:$A$25</c:f>
              <c:strCache>
                <c:ptCount val="8"/>
                <c:pt idx="0">
                  <c:v>BA</c:v>
                </c:pt>
                <c:pt idx="1">
                  <c:v>TT</c:v>
                </c:pt>
                <c:pt idx="2">
                  <c:v>TN</c:v>
                </c:pt>
                <c:pt idx="3">
                  <c:v>NR</c:v>
                </c:pt>
                <c:pt idx="4">
                  <c:v>ZA</c:v>
                </c:pt>
                <c:pt idx="5">
                  <c:v>BB</c:v>
                </c:pt>
                <c:pt idx="6">
                  <c:v>PO</c:v>
                </c:pt>
                <c:pt idx="7">
                  <c:v>KE</c:v>
                </c:pt>
              </c:strCache>
            </c:strRef>
          </c:cat>
          <c:val>
            <c:numRef>
              <c:f>'M28 - Dotácie na školské po...'!$B$18:$B$25</c:f>
              <c:numCache>
                <c:formatCode>#,##0.00</c:formatCode>
                <c:ptCount val="8"/>
                <c:pt idx="0">
                  <c:v>723</c:v>
                </c:pt>
                <c:pt idx="1">
                  <c:v>2157</c:v>
                </c:pt>
                <c:pt idx="2">
                  <c:v>1778</c:v>
                </c:pt>
                <c:pt idx="3">
                  <c:v>6329</c:v>
                </c:pt>
                <c:pt idx="4">
                  <c:v>3786</c:v>
                </c:pt>
                <c:pt idx="5">
                  <c:v>16792</c:v>
                </c:pt>
                <c:pt idx="6">
                  <c:v>26598</c:v>
                </c:pt>
                <c:pt idx="7">
                  <c:v>23647</c:v>
                </c:pt>
              </c:numCache>
            </c:numRef>
          </c:val>
        </c:ser>
        <c:ser>
          <c:idx val="1"/>
          <c:order val="1"/>
          <c:tx>
            <c:strRef>
              <c:f>'M28 - Dotácie na školské po...'!$C$17</c:f>
              <c:strCache>
                <c:ptCount val="1"/>
                <c:pt idx="0">
                  <c:v>II. polrok</c:v>
                </c:pt>
              </c:strCache>
            </c:strRef>
          </c:tx>
          <c:invertIfNegative val="0"/>
          <c:cat>
            <c:strRef>
              <c:f>'M28 - Dotácie na školské po...'!$A$18:$A$25</c:f>
              <c:strCache>
                <c:ptCount val="8"/>
                <c:pt idx="0">
                  <c:v>BA</c:v>
                </c:pt>
                <c:pt idx="1">
                  <c:v>TT</c:v>
                </c:pt>
                <c:pt idx="2">
                  <c:v>TN</c:v>
                </c:pt>
                <c:pt idx="3">
                  <c:v>NR</c:v>
                </c:pt>
                <c:pt idx="4">
                  <c:v>ZA</c:v>
                </c:pt>
                <c:pt idx="5">
                  <c:v>BB</c:v>
                </c:pt>
                <c:pt idx="6">
                  <c:v>PO</c:v>
                </c:pt>
                <c:pt idx="7">
                  <c:v>KE</c:v>
                </c:pt>
              </c:strCache>
            </c:strRef>
          </c:cat>
          <c:val>
            <c:numRef>
              <c:f>'M28 - Dotácie na školské po...'!$C$18:$C$25</c:f>
              <c:numCache>
                <c:formatCode>#,##0.00</c:formatCode>
                <c:ptCount val="8"/>
                <c:pt idx="0">
                  <c:v>626</c:v>
                </c:pt>
                <c:pt idx="1">
                  <c:v>1990</c:v>
                </c:pt>
                <c:pt idx="2">
                  <c:v>1629</c:v>
                </c:pt>
                <c:pt idx="3">
                  <c:v>5744</c:v>
                </c:pt>
                <c:pt idx="4">
                  <c:v>3460</c:v>
                </c:pt>
                <c:pt idx="5">
                  <c:v>14170</c:v>
                </c:pt>
                <c:pt idx="6">
                  <c:v>25985</c:v>
                </c:pt>
                <c:pt idx="7">
                  <c:v>23071</c:v>
                </c:pt>
              </c:numCache>
            </c:numRef>
          </c:val>
        </c:ser>
        <c:dLbls>
          <c:showLegendKey val="0"/>
          <c:showVal val="0"/>
          <c:showCatName val="0"/>
          <c:showSerName val="0"/>
          <c:showPercent val="0"/>
          <c:showBubbleSize val="0"/>
        </c:dLbls>
        <c:gapWidth val="150"/>
        <c:axId val="239203456"/>
        <c:axId val="239204992"/>
      </c:barChart>
      <c:catAx>
        <c:axId val="239203456"/>
        <c:scaling>
          <c:orientation val="minMax"/>
        </c:scaling>
        <c:delete val="0"/>
        <c:axPos val="b"/>
        <c:majorTickMark val="out"/>
        <c:minorTickMark val="none"/>
        <c:tickLblPos val="nextTo"/>
        <c:crossAx val="239204992"/>
        <c:crosses val="autoZero"/>
        <c:auto val="1"/>
        <c:lblAlgn val="ctr"/>
        <c:lblOffset val="100"/>
        <c:noMultiLvlLbl val="0"/>
      </c:catAx>
      <c:valAx>
        <c:axId val="239204992"/>
        <c:scaling>
          <c:orientation val="minMax"/>
        </c:scaling>
        <c:delete val="0"/>
        <c:axPos val="l"/>
        <c:majorGridlines/>
        <c:numFmt formatCode="#,##0" sourceLinked="0"/>
        <c:majorTickMark val="out"/>
        <c:minorTickMark val="none"/>
        <c:tickLblPos val="nextTo"/>
        <c:crossAx val="239203456"/>
        <c:crosses val="autoZero"/>
        <c:crossBetween val="between"/>
      </c:valAx>
    </c:plotArea>
    <c:legend>
      <c:legendPos val="t"/>
      <c:layout>
        <c:manualLayout>
          <c:xMode val="edge"/>
          <c:yMode val="edge"/>
          <c:x val="0.34642497812773565"/>
          <c:y val="5.0925925925925923E-2"/>
          <c:w val="0.30714982502187232"/>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3159865603118"/>
          <c:y val="6.0821604098354562E-2"/>
          <c:w val="0.78578070189579896"/>
          <c:h val="0.6442086043592401"/>
        </c:manualLayout>
      </c:layout>
      <c:lineChart>
        <c:grouping val="standard"/>
        <c:varyColors val="0"/>
        <c:ser>
          <c:idx val="1"/>
          <c:order val="0"/>
          <c:tx>
            <c:strRef>
              <c:f>'NV graf'!$A$3</c:f>
              <c:strCache>
                <c:ptCount val="1"/>
                <c:pt idx="0">
                  <c:v>- neplatené výživné (deti) 2013</c:v>
                </c:pt>
              </c:strCache>
            </c:strRef>
          </c:tx>
          <c:spPr>
            <a:ln>
              <a:solidFill>
                <a:schemeClr val="accent1"/>
              </a:solidFill>
            </a:ln>
          </c:spPr>
          <c:marker>
            <c:spPr>
              <a:solidFill>
                <a:schemeClr val="accent1"/>
              </a:solidFill>
              <a:ln>
                <a:solidFill>
                  <a:schemeClr val="accent1"/>
                </a:solidFill>
              </a:ln>
            </c:spPr>
          </c:marker>
          <c:cat>
            <c:strRef>
              <c:f>'NV graf'!$B$1:$M$1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 graf'!$B$3:$M$3</c:f>
              <c:numCache>
                <c:formatCode>#,##0</c:formatCode>
                <c:ptCount val="12"/>
                <c:pt idx="0">
                  <c:v>12684</c:v>
                </c:pt>
                <c:pt idx="1">
                  <c:v>12890</c:v>
                </c:pt>
                <c:pt idx="2">
                  <c:v>13103</c:v>
                </c:pt>
                <c:pt idx="3">
                  <c:v>13187</c:v>
                </c:pt>
                <c:pt idx="4">
                  <c:v>13240</c:v>
                </c:pt>
                <c:pt idx="5">
                  <c:v>13424</c:v>
                </c:pt>
                <c:pt idx="6">
                  <c:v>13457</c:v>
                </c:pt>
                <c:pt idx="7">
                  <c:v>13505</c:v>
                </c:pt>
                <c:pt idx="8">
                  <c:v>13535</c:v>
                </c:pt>
                <c:pt idx="9">
                  <c:v>13162</c:v>
                </c:pt>
                <c:pt idx="10">
                  <c:v>13198</c:v>
                </c:pt>
                <c:pt idx="11">
                  <c:v>13403</c:v>
                </c:pt>
              </c:numCache>
            </c:numRef>
          </c:val>
          <c:smooth val="0"/>
        </c:ser>
        <c:ser>
          <c:idx val="0"/>
          <c:order val="1"/>
          <c:tx>
            <c:strRef>
              <c:f>'NV graf'!$A$2</c:f>
              <c:strCache>
                <c:ptCount val="1"/>
                <c:pt idx="0">
                  <c:v>- neplatené výživné (deti) 2014</c:v>
                </c:pt>
              </c:strCache>
            </c:strRef>
          </c:tx>
          <c:spPr>
            <a:ln>
              <a:solidFill>
                <a:schemeClr val="accent2"/>
              </a:solidFill>
            </a:ln>
          </c:spPr>
          <c:marker>
            <c:symbol val="square"/>
            <c:size val="7"/>
            <c:spPr>
              <a:solidFill>
                <a:schemeClr val="accent2"/>
              </a:solidFill>
              <a:ln>
                <a:solidFill>
                  <a:schemeClr val="accent2"/>
                </a:solidFill>
              </a:ln>
            </c:spPr>
          </c:marker>
          <c:cat>
            <c:strRef>
              <c:f>'NV graf'!$B$1:$M$1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 graf'!$B$2:$M$2</c:f>
              <c:numCache>
                <c:formatCode>#,##0</c:formatCode>
                <c:ptCount val="12"/>
                <c:pt idx="0">
                  <c:v>13322</c:v>
                </c:pt>
                <c:pt idx="1">
                  <c:v>13412</c:v>
                </c:pt>
                <c:pt idx="2">
                  <c:v>13490</c:v>
                </c:pt>
                <c:pt idx="3">
                  <c:v>13443</c:v>
                </c:pt>
                <c:pt idx="4">
                  <c:v>13394</c:v>
                </c:pt>
                <c:pt idx="5">
                  <c:v>13617</c:v>
                </c:pt>
                <c:pt idx="6">
                  <c:v>13609</c:v>
                </c:pt>
                <c:pt idx="7">
                  <c:v>13526</c:v>
                </c:pt>
                <c:pt idx="8">
                  <c:v>13523</c:v>
                </c:pt>
                <c:pt idx="9">
                  <c:v>13182</c:v>
                </c:pt>
                <c:pt idx="10">
                  <c:v>13169</c:v>
                </c:pt>
                <c:pt idx="11">
                  <c:v>13229</c:v>
                </c:pt>
              </c:numCache>
            </c:numRef>
          </c:val>
          <c:smooth val="0"/>
        </c:ser>
        <c:dLbls>
          <c:showLegendKey val="0"/>
          <c:showVal val="0"/>
          <c:showCatName val="0"/>
          <c:showSerName val="0"/>
          <c:showPercent val="0"/>
          <c:showBubbleSize val="0"/>
        </c:dLbls>
        <c:marker val="1"/>
        <c:smooth val="0"/>
        <c:axId val="239318528"/>
        <c:axId val="239320448"/>
      </c:lineChart>
      <c:lineChart>
        <c:grouping val="standard"/>
        <c:varyColors val="0"/>
        <c:ser>
          <c:idx val="2"/>
          <c:order val="2"/>
          <c:tx>
            <c:strRef>
              <c:f>'NV graf'!$A$4</c:f>
              <c:strCache>
                <c:ptCount val="1"/>
                <c:pt idx="0">
                  <c:v>- sirotský dôchodok (deti)2013</c:v>
                </c:pt>
              </c:strCache>
            </c:strRef>
          </c:tx>
          <c:spPr>
            <a:ln>
              <a:solidFill>
                <a:schemeClr val="accent1"/>
              </a:solidFill>
            </a:ln>
          </c:spPr>
          <c:marker>
            <c:spPr>
              <a:solidFill>
                <a:schemeClr val="bg1"/>
              </a:solidFill>
              <a:ln w="19050">
                <a:solidFill>
                  <a:schemeClr val="accent1"/>
                </a:solidFill>
              </a:ln>
            </c:spPr>
          </c:marker>
          <c:cat>
            <c:strRef>
              <c:f>'NV graf'!$B$1:$M$1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 graf'!$B$4:$M$4</c:f>
              <c:numCache>
                <c:formatCode>#,##0</c:formatCode>
                <c:ptCount val="12"/>
                <c:pt idx="0">
                  <c:v>1127</c:v>
                </c:pt>
                <c:pt idx="1">
                  <c:v>1099</c:v>
                </c:pt>
                <c:pt idx="2">
                  <c:v>1101</c:v>
                </c:pt>
                <c:pt idx="3">
                  <c:v>1102</c:v>
                </c:pt>
                <c:pt idx="4">
                  <c:v>1100</c:v>
                </c:pt>
                <c:pt idx="5">
                  <c:v>1094</c:v>
                </c:pt>
                <c:pt idx="6">
                  <c:v>1105</c:v>
                </c:pt>
                <c:pt idx="7">
                  <c:v>1082</c:v>
                </c:pt>
                <c:pt idx="8">
                  <c:v>1075</c:v>
                </c:pt>
                <c:pt idx="9">
                  <c:v>1028</c:v>
                </c:pt>
                <c:pt idx="10">
                  <c:v>1031</c:v>
                </c:pt>
                <c:pt idx="11">
                  <c:v>1051</c:v>
                </c:pt>
              </c:numCache>
            </c:numRef>
          </c:val>
          <c:smooth val="0"/>
        </c:ser>
        <c:ser>
          <c:idx val="3"/>
          <c:order val="3"/>
          <c:tx>
            <c:strRef>
              <c:f>'NV graf'!$A$5</c:f>
              <c:strCache>
                <c:ptCount val="1"/>
                <c:pt idx="0">
                  <c:v>- sirotský dôchodok (deti)2014</c:v>
                </c:pt>
              </c:strCache>
            </c:strRef>
          </c:tx>
          <c:spPr>
            <a:ln>
              <a:solidFill>
                <a:schemeClr val="accent2"/>
              </a:solidFill>
            </a:ln>
          </c:spPr>
          <c:marker>
            <c:symbol val="triangle"/>
            <c:size val="7"/>
            <c:spPr>
              <a:solidFill>
                <a:schemeClr val="bg1"/>
              </a:solidFill>
              <a:ln w="15875">
                <a:solidFill>
                  <a:schemeClr val="accent2"/>
                </a:solidFill>
              </a:ln>
            </c:spPr>
          </c:marker>
          <c:cat>
            <c:strRef>
              <c:f>'NV graf'!$B$1:$M$1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'NV graf'!$B$5:$M$5</c:f>
              <c:numCache>
                <c:formatCode>#,##0</c:formatCode>
                <c:ptCount val="12"/>
                <c:pt idx="0">
                  <c:v>1029</c:v>
                </c:pt>
                <c:pt idx="1">
                  <c:v>1041</c:v>
                </c:pt>
                <c:pt idx="2">
                  <c:v>1034</c:v>
                </c:pt>
                <c:pt idx="3">
                  <c:v>1041</c:v>
                </c:pt>
                <c:pt idx="4">
                  <c:v>1043</c:v>
                </c:pt>
                <c:pt idx="5">
                  <c:v>1037</c:v>
                </c:pt>
                <c:pt idx="6">
                  <c:v>1048</c:v>
                </c:pt>
                <c:pt idx="7">
                  <c:v>1030</c:v>
                </c:pt>
                <c:pt idx="8">
                  <c:v>1027</c:v>
                </c:pt>
                <c:pt idx="9">
                  <c:v>998</c:v>
                </c:pt>
                <c:pt idx="10">
                  <c:v>1028</c:v>
                </c:pt>
                <c:pt idx="11">
                  <c:v>1012</c:v>
                </c:pt>
              </c:numCache>
            </c:numRef>
          </c:val>
          <c:smooth val="0"/>
        </c:ser>
        <c:dLbls>
          <c:showLegendKey val="0"/>
          <c:showVal val="0"/>
          <c:showCatName val="0"/>
          <c:showSerName val="0"/>
          <c:showPercent val="0"/>
          <c:showBubbleSize val="0"/>
        </c:dLbls>
        <c:marker val="1"/>
        <c:smooth val="0"/>
        <c:axId val="239322624"/>
        <c:axId val="239324160"/>
      </c:lineChart>
      <c:catAx>
        <c:axId val="239318528"/>
        <c:scaling>
          <c:orientation val="minMax"/>
        </c:scaling>
        <c:delete val="0"/>
        <c:axPos val="b"/>
        <c:numFmt formatCode="#,##0" sourceLinked="1"/>
        <c:majorTickMark val="out"/>
        <c:minorTickMark val="none"/>
        <c:tickLblPos val="nextTo"/>
        <c:txPr>
          <a:bodyPr rot="0" vert="horz"/>
          <a:lstStyle/>
          <a:p>
            <a:pPr>
              <a:defRPr/>
            </a:pPr>
            <a:endParaRPr lang="sk-SK"/>
          </a:p>
        </c:txPr>
        <c:crossAx val="239320448"/>
        <c:crosses val="autoZero"/>
        <c:auto val="1"/>
        <c:lblAlgn val="ctr"/>
        <c:lblOffset val="100"/>
        <c:noMultiLvlLbl val="0"/>
      </c:catAx>
      <c:valAx>
        <c:axId val="239320448"/>
        <c:scaling>
          <c:orientation val="minMax"/>
          <c:min val="12400"/>
        </c:scaling>
        <c:delete val="0"/>
        <c:axPos val="l"/>
        <c:majorGridlines/>
        <c:title>
          <c:tx>
            <c:rich>
              <a:bodyPr/>
              <a:lstStyle/>
              <a:p>
                <a:pPr>
                  <a:defRPr/>
                </a:pPr>
                <a:r>
                  <a:rPr lang="sk-SK"/>
                  <a:t>neplatené výživné</a:t>
                </a:r>
              </a:p>
            </c:rich>
          </c:tx>
          <c:layout>
            <c:manualLayout>
              <c:xMode val="edge"/>
              <c:yMode val="edge"/>
              <c:x val="5.7220715545516923E-3"/>
              <c:y val="0.20756101139531474"/>
            </c:manualLayout>
          </c:layout>
          <c:overlay val="0"/>
        </c:title>
        <c:numFmt formatCode="#,##0" sourceLinked="1"/>
        <c:majorTickMark val="out"/>
        <c:minorTickMark val="none"/>
        <c:tickLblPos val="nextTo"/>
        <c:txPr>
          <a:bodyPr rot="0" vert="horz"/>
          <a:lstStyle/>
          <a:p>
            <a:pPr>
              <a:defRPr/>
            </a:pPr>
            <a:endParaRPr lang="sk-SK"/>
          </a:p>
        </c:txPr>
        <c:crossAx val="239318528"/>
        <c:crosses val="autoZero"/>
        <c:crossBetween val="between"/>
        <c:majorUnit val="400"/>
      </c:valAx>
      <c:catAx>
        <c:axId val="239322624"/>
        <c:scaling>
          <c:orientation val="minMax"/>
        </c:scaling>
        <c:delete val="1"/>
        <c:axPos val="b"/>
        <c:majorTickMark val="out"/>
        <c:minorTickMark val="none"/>
        <c:tickLblPos val="none"/>
        <c:crossAx val="239324160"/>
        <c:crosses val="autoZero"/>
        <c:auto val="1"/>
        <c:lblAlgn val="ctr"/>
        <c:lblOffset val="100"/>
        <c:noMultiLvlLbl val="0"/>
      </c:catAx>
      <c:valAx>
        <c:axId val="239324160"/>
        <c:scaling>
          <c:orientation val="minMax"/>
          <c:max val="1140"/>
          <c:min val="980"/>
        </c:scaling>
        <c:delete val="0"/>
        <c:axPos val="r"/>
        <c:title>
          <c:tx>
            <c:rich>
              <a:bodyPr/>
              <a:lstStyle/>
              <a:p>
                <a:pPr>
                  <a:defRPr/>
                </a:pPr>
                <a:r>
                  <a:rPr lang="sk-SK"/>
                  <a:t>sirotský dôchodok</a:t>
                </a:r>
              </a:p>
            </c:rich>
          </c:tx>
          <c:layout>
            <c:manualLayout>
              <c:xMode val="edge"/>
              <c:yMode val="edge"/>
              <c:x val="0.96450999139414062"/>
              <c:y val="0.20923475702660921"/>
            </c:manualLayout>
          </c:layout>
          <c:overlay val="0"/>
        </c:title>
        <c:numFmt formatCode="#,##0" sourceLinked="1"/>
        <c:majorTickMark val="out"/>
        <c:minorTickMark val="none"/>
        <c:tickLblPos val="nextTo"/>
        <c:txPr>
          <a:bodyPr rot="0" vert="horz"/>
          <a:lstStyle/>
          <a:p>
            <a:pPr>
              <a:defRPr/>
            </a:pPr>
            <a:endParaRPr lang="sk-SK"/>
          </a:p>
        </c:txPr>
        <c:crossAx val="239322624"/>
        <c:crosses val="max"/>
        <c:crossBetween val="between"/>
        <c:majorUnit val="40"/>
      </c:valAx>
    </c:plotArea>
    <c:legend>
      <c:legendPos val="r"/>
      <c:layout>
        <c:manualLayout>
          <c:xMode val="edge"/>
          <c:yMode val="edge"/>
          <c:x val="0.11320882191776058"/>
          <c:y val="0.8540323763877341"/>
          <c:w val="0.73923988668083418"/>
          <c:h val="0.14383633680329846"/>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8543399080693"/>
          <c:y val="5.1802118713341803E-2"/>
          <c:w val="0.8403161476674712"/>
          <c:h val="0.70000385754987282"/>
        </c:manualLayout>
      </c:layout>
      <c:lineChart>
        <c:grouping val="standard"/>
        <c:varyColors val="0"/>
        <c:ser>
          <c:idx val="0"/>
          <c:order val="0"/>
          <c:tx>
            <c:strRef>
              <c:f>'aspoň jeden deň'!$F$9</c:f>
              <c:strCache>
                <c:ptCount val="1"/>
                <c:pt idx="0">
                  <c:v>2013</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deň'!$F$10:$F$21</c:f>
              <c:numCache>
                <c:formatCode>#,##0</c:formatCode>
                <c:ptCount val="12"/>
                <c:pt idx="0">
                  <c:v>1678302</c:v>
                </c:pt>
                <c:pt idx="1">
                  <c:v>1685085</c:v>
                </c:pt>
                <c:pt idx="2">
                  <c:v>1695050</c:v>
                </c:pt>
                <c:pt idx="3">
                  <c:v>1700855</c:v>
                </c:pt>
                <c:pt idx="4">
                  <c:v>1724858</c:v>
                </c:pt>
                <c:pt idx="5">
                  <c:v>1728049</c:v>
                </c:pt>
                <c:pt idx="6">
                  <c:v>1720293</c:v>
                </c:pt>
                <c:pt idx="7">
                  <c:v>1722358</c:v>
                </c:pt>
                <c:pt idx="8">
                  <c:v>1739279</c:v>
                </c:pt>
                <c:pt idx="9">
                  <c:v>1741895</c:v>
                </c:pt>
                <c:pt idx="10">
                  <c:v>1740356</c:v>
                </c:pt>
                <c:pt idx="11">
                  <c:v>1731449</c:v>
                </c:pt>
              </c:numCache>
            </c:numRef>
          </c:val>
          <c:smooth val="0"/>
        </c:ser>
        <c:ser>
          <c:idx val="1"/>
          <c:order val="1"/>
          <c:tx>
            <c:strRef>
              <c:f>'aspoň jeden deň'!$G$9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deň'!$G$10:$G$21</c:f>
              <c:numCache>
                <c:formatCode>#,##0</c:formatCode>
                <c:ptCount val="12"/>
                <c:pt idx="0">
                  <c:v>1722630</c:v>
                </c:pt>
                <c:pt idx="1">
                  <c:v>1725673</c:v>
                </c:pt>
                <c:pt idx="2">
                  <c:v>1735457</c:v>
                </c:pt>
                <c:pt idx="3">
                  <c:v>1742923</c:v>
                </c:pt>
                <c:pt idx="4">
                  <c:v>1747499</c:v>
                </c:pt>
                <c:pt idx="5">
                  <c:v>1754189</c:v>
                </c:pt>
                <c:pt idx="6">
                  <c:v>1746104</c:v>
                </c:pt>
                <c:pt idx="7">
                  <c:v>1748755</c:v>
                </c:pt>
                <c:pt idx="8">
                  <c:v>1768466</c:v>
                </c:pt>
                <c:pt idx="9">
                  <c:v>1773429</c:v>
                </c:pt>
                <c:pt idx="10">
                  <c:v>1773620</c:v>
                </c:pt>
                <c:pt idx="11">
                  <c:v>1769079</c:v>
                </c:pt>
              </c:numCache>
            </c:numRef>
          </c:val>
          <c:smooth val="0"/>
        </c:ser>
        <c:dLbls>
          <c:showLegendKey val="0"/>
          <c:showVal val="0"/>
          <c:showCatName val="0"/>
          <c:showSerName val="0"/>
          <c:showPercent val="0"/>
          <c:showBubbleSize val="0"/>
        </c:dLbls>
        <c:marker val="1"/>
        <c:smooth val="0"/>
        <c:axId val="231693312"/>
        <c:axId val="231699200"/>
      </c:lineChart>
      <c:catAx>
        <c:axId val="231693312"/>
        <c:scaling>
          <c:orientation val="minMax"/>
        </c:scaling>
        <c:delete val="0"/>
        <c:axPos val="b"/>
        <c:numFmt formatCode="General" sourceLinked="1"/>
        <c:majorTickMark val="out"/>
        <c:minorTickMark val="none"/>
        <c:tickLblPos val="nextTo"/>
        <c:crossAx val="231699200"/>
        <c:crosses val="autoZero"/>
        <c:auto val="1"/>
        <c:lblAlgn val="ctr"/>
        <c:lblOffset val="100"/>
        <c:noMultiLvlLbl val="0"/>
      </c:catAx>
      <c:valAx>
        <c:axId val="231699200"/>
        <c:scaling>
          <c:orientation val="minMax"/>
          <c:min val="1650000.0000000002"/>
        </c:scaling>
        <c:delete val="0"/>
        <c:axPos val="l"/>
        <c:majorGridlines/>
        <c:numFmt formatCode="#,##0" sourceLinked="1"/>
        <c:majorTickMark val="out"/>
        <c:minorTickMark val="none"/>
        <c:tickLblPos val="nextTo"/>
        <c:crossAx val="231693312"/>
        <c:crosses val="autoZero"/>
        <c:crossBetween val="between"/>
      </c:valAx>
    </c:plotArea>
    <c:legend>
      <c:legendPos val="t"/>
      <c:layout>
        <c:manualLayout>
          <c:xMode val="edge"/>
          <c:yMode val="edge"/>
          <c:x val="0.14845620186335379"/>
          <c:y val="5.6325986828183114E-2"/>
          <c:w val="0.26556016597510534"/>
          <c:h val="8.8102691396243021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7405538838549"/>
          <c:y val="5.9523809523809507E-2"/>
          <c:w val="0.86595296869355864"/>
          <c:h val="0.75179429494390126"/>
        </c:manualLayout>
      </c:layout>
      <c:barChart>
        <c:barDir val="col"/>
        <c:grouping val="clustered"/>
        <c:varyColors val="0"/>
        <c:ser>
          <c:idx val="0"/>
          <c:order val="0"/>
          <c:tx>
            <c:strRef>
              <c:f>'[export635670459068663781.xls]VI.03 - Opakovaný príspevok...'!$N$1</c:f>
              <c:strCache>
                <c:ptCount val="1"/>
                <c:pt idx="0">
                  <c:v>priemer</c:v>
                </c:pt>
              </c:strCache>
            </c:strRef>
          </c:tx>
          <c:spPr>
            <a:solidFill>
              <a:schemeClr val="accent2"/>
            </a:solidFill>
          </c:spPr>
          <c:invertIfNegative val="0"/>
          <c:cat>
            <c:numRef>
              <c:f>'[export635670459068663781.xls]VI.03 - Opakovaný príspevok...'!$A$2:$A$27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'[export635670459068663781.xls]VI.03 - Opakovaný príspevok...'!$N$2:$N$27</c:f>
              <c:numCache>
                <c:formatCode>#,##0.00</c:formatCode>
                <c:ptCount val="26"/>
                <c:pt idx="0">
                  <c:v>41.916666666666259</c:v>
                </c:pt>
                <c:pt idx="1">
                  <c:v>125.91666666666696</c:v>
                </c:pt>
                <c:pt idx="2">
                  <c:v>193.66666666666652</c:v>
                </c:pt>
                <c:pt idx="3">
                  <c:v>259.16666666666708</c:v>
                </c:pt>
                <c:pt idx="4">
                  <c:v>323.08333333333331</c:v>
                </c:pt>
                <c:pt idx="5">
                  <c:v>391.08333333333331</c:v>
                </c:pt>
                <c:pt idx="6">
                  <c:v>459.58333333333331</c:v>
                </c:pt>
                <c:pt idx="7">
                  <c:v>469.25</c:v>
                </c:pt>
                <c:pt idx="8">
                  <c:v>479.5</c:v>
                </c:pt>
                <c:pt idx="9">
                  <c:v>538.0833333333369</c:v>
                </c:pt>
                <c:pt idx="10">
                  <c:v>593.16666666666663</c:v>
                </c:pt>
                <c:pt idx="11">
                  <c:v>532.75</c:v>
                </c:pt>
                <c:pt idx="12">
                  <c:v>518.25</c:v>
                </c:pt>
                <c:pt idx="13">
                  <c:v>597</c:v>
                </c:pt>
                <c:pt idx="14">
                  <c:v>567</c:v>
                </c:pt>
                <c:pt idx="15">
                  <c:v>521.3333333333336</c:v>
                </c:pt>
                <c:pt idx="16">
                  <c:v>501.41666666666674</c:v>
                </c:pt>
                <c:pt idx="17">
                  <c:v>468.66666666666708</c:v>
                </c:pt>
                <c:pt idx="18">
                  <c:v>288.58333333333331</c:v>
                </c:pt>
                <c:pt idx="19">
                  <c:v>182.08333333333391</c:v>
                </c:pt>
                <c:pt idx="20">
                  <c:v>101.75</c:v>
                </c:pt>
                <c:pt idx="21">
                  <c:v>60.5</c:v>
                </c:pt>
                <c:pt idx="22">
                  <c:v>41.416666666666259</c:v>
                </c:pt>
                <c:pt idx="23">
                  <c:v>23.416666666666668</c:v>
                </c:pt>
                <c:pt idx="24">
                  <c:v>11.166666666666707</c:v>
                </c:pt>
                <c:pt idx="25">
                  <c:v>0.75000000000000233</c:v>
                </c:pt>
              </c:numCache>
            </c:numRef>
          </c:val>
        </c:ser>
        <c:dLbls>
          <c:showLegendKey val="0"/>
          <c:showVal val="0"/>
          <c:showCatName val="0"/>
          <c:showSerName val="0"/>
          <c:showPercent val="0"/>
          <c:showBubbleSize val="0"/>
        </c:dLbls>
        <c:gapWidth val="150"/>
        <c:axId val="239340544"/>
        <c:axId val="239350912"/>
      </c:barChart>
      <c:catAx>
        <c:axId val="239340544"/>
        <c:scaling>
          <c:orientation val="minMax"/>
        </c:scaling>
        <c:delete val="0"/>
        <c:axPos val="b"/>
        <c:title>
          <c:tx>
            <c:rich>
              <a:bodyPr/>
              <a:lstStyle/>
              <a:p>
                <a:pPr>
                  <a:defRPr/>
                </a:pPr>
                <a:r>
                  <a:rPr lang="sk-SK"/>
                  <a:t>vek</a:t>
                </a:r>
              </a:p>
            </c:rich>
          </c:tx>
          <c:overlay val="0"/>
        </c:title>
        <c:numFmt formatCode="General" sourceLinked="1"/>
        <c:majorTickMark val="out"/>
        <c:minorTickMark val="none"/>
        <c:tickLblPos val="nextTo"/>
        <c:crossAx val="239350912"/>
        <c:crosses val="autoZero"/>
        <c:auto val="1"/>
        <c:lblAlgn val="ctr"/>
        <c:lblOffset val="100"/>
        <c:noMultiLvlLbl val="0"/>
      </c:catAx>
      <c:valAx>
        <c:axId val="239350912"/>
        <c:scaling>
          <c:orientation val="minMax"/>
        </c:scaling>
        <c:delete val="0"/>
        <c:axPos val="l"/>
        <c:majorGridlines/>
        <c:title>
          <c:tx>
            <c:rich>
              <a:bodyPr rot="-5400000" vert="horz"/>
              <a:lstStyle/>
              <a:p>
                <a:pPr>
                  <a:defRPr/>
                </a:pPr>
                <a:r>
                  <a:rPr lang="sk-SK"/>
                  <a:t>počet detí</a:t>
                </a:r>
              </a:p>
            </c:rich>
          </c:tx>
          <c:overlay val="0"/>
        </c:title>
        <c:numFmt formatCode="#,##0" sourceLinked="0"/>
        <c:majorTickMark val="out"/>
        <c:minorTickMark val="none"/>
        <c:tickLblPos val="nextTo"/>
        <c:crossAx val="239340544"/>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Hárok1!$C$4</c:f>
              <c:strCache>
                <c:ptCount val="1"/>
                <c:pt idx="0">
                  <c:v>2013</c:v>
                </c:pt>
              </c:strCache>
            </c:strRef>
          </c:tx>
          <c:invertIfNegative val="0"/>
          <c:cat>
            <c:strRef>
              <c:f>Hárok1!$B$5:$B$16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Hárok1!$C$5:$C$16</c:f>
              <c:numCache>
                <c:formatCode>#,##0.00</c:formatCode>
                <c:ptCount val="12"/>
                <c:pt idx="0" formatCode="#,##0">
                  <c:v>168330</c:v>
                </c:pt>
                <c:pt idx="1">
                  <c:v>168949</c:v>
                </c:pt>
                <c:pt idx="2" formatCode="#,##0">
                  <c:v>169272</c:v>
                </c:pt>
                <c:pt idx="3" formatCode="#,##0">
                  <c:v>169488</c:v>
                </c:pt>
                <c:pt idx="4" formatCode="#,##0">
                  <c:v>169692</c:v>
                </c:pt>
                <c:pt idx="5" formatCode="#,##0">
                  <c:v>170022</c:v>
                </c:pt>
                <c:pt idx="6" formatCode="#,##0">
                  <c:v>170352</c:v>
                </c:pt>
                <c:pt idx="7" formatCode="#,##0">
                  <c:v>166205</c:v>
                </c:pt>
                <c:pt idx="8" formatCode="#,##0">
                  <c:v>168078</c:v>
                </c:pt>
                <c:pt idx="9" formatCode="#,##0">
                  <c:v>168903</c:v>
                </c:pt>
                <c:pt idx="10" formatCode="#,##0">
                  <c:v>169438</c:v>
                </c:pt>
                <c:pt idx="11" formatCode="#,##0">
                  <c:v>169898</c:v>
                </c:pt>
              </c:numCache>
            </c:numRef>
          </c:val>
        </c:ser>
        <c:ser>
          <c:idx val="1"/>
          <c:order val="1"/>
          <c:tx>
            <c:strRef>
              <c:f>Hárok1!$D$4</c:f>
              <c:strCache>
                <c:ptCount val="1"/>
                <c:pt idx="0">
                  <c:v>2014</c:v>
                </c:pt>
              </c:strCache>
            </c:strRef>
          </c:tx>
          <c:invertIfNegative val="0"/>
          <c:cat>
            <c:strRef>
              <c:f>Hárok1!$B$5:$B$16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Hárok1!$D$5:$D$16</c:f>
              <c:numCache>
                <c:formatCode>#,##0</c:formatCode>
                <c:ptCount val="12"/>
                <c:pt idx="0">
                  <c:v>169779</c:v>
                </c:pt>
                <c:pt idx="1">
                  <c:v>170564</c:v>
                </c:pt>
                <c:pt idx="2">
                  <c:v>171043</c:v>
                </c:pt>
                <c:pt idx="3">
                  <c:v>171363</c:v>
                </c:pt>
                <c:pt idx="4">
                  <c:v>171720</c:v>
                </c:pt>
                <c:pt idx="5">
                  <c:v>172114</c:v>
                </c:pt>
                <c:pt idx="6">
                  <c:v>172678</c:v>
                </c:pt>
                <c:pt idx="7">
                  <c:v>168713</c:v>
                </c:pt>
                <c:pt idx="8">
                  <c:v>169866</c:v>
                </c:pt>
                <c:pt idx="9">
                  <c:v>170402</c:v>
                </c:pt>
                <c:pt idx="10">
                  <c:v>170650</c:v>
                </c:pt>
                <c:pt idx="11">
                  <c:v>170777</c:v>
                </c:pt>
              </c:numCache>
            </c:numRef>
          </c:val>
        </c:ser>
        <c:dLbls>
          <c:showLegendKey val="0"/>
          <c:showVal val="0"/>
          <c:showCatName val="0"/>
          <c:showSerName val="0"/>
          <c:showPercent val="0"/>
          <c:showBubbleSize val="0"/>
        </c:dLbls>
        <c:gapWidth val="150"/>
        <c:axId val="239388160"/>
        <c:axId val="239389696"/>
      </c:barChart>
      <c:catAx>
        <c:axId val="239388160"/>
        <c:scaling>
          <c:orientation val="minMax"/>
        </c:scaling>
        <c:delete val="0"/>
        <c:axPos val="b"/>
        <c:majorTickMark val="out"/>
        <c:minorTickMark val="none"/>
        <c:tickLblPos val="nextTo"/>
        <c:crossAx val="239389696"/>
        <c:crosses val="autoZero"/>
        <c:auto val="1"/>
        <c:lblAlgn val="ctr"/>
        <c:lblOffset val="100"/>
        <c:noMultiLvlLbl val="0"/>
      </c:catAx>
      <c:valAx>
        <c:axId val="239389696"/>
        <c:scaling>
          <c:orientation val="minMax"/>
        </c:scaling>
        <c:delete val="0"/>
        <c:axPos val="l"/>
        <c:majorGridlines/>
        <c:numFmt formatCode="#,##0" sourceLinked="1"/>
        <c:majorTickMark val="out"/>
        <c:minorTickMark val="none"/>
        <c:tickLblPos val="nextTo"/>
        <c:crossAx val="239388160"/>
        <c:crosses val="autoZero"/>
        <c:crossBetween val="between"/>
      </c:valAx>
    </c:plotArea>
    <c:legend>
      <c:legendPos val="t"/>
      <c:layout>
        <c:manualLayout>
          <c:xMode val="edge"/>
          <c:yMode val="edge"/>
          <c:x val="0.1584418197725293"/>
          <c:y val="8.3333333333333343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Hárok1!$C$21</c:f>
              <c:strCache>
                <c:ptCount val="1"/>
                <c:pt idx="0">
                  <c:v>2013</c:v>
                </c:pt>
              </c:strCache>
            </c:strRef>
          </c:tx>
          <c:invertIfNegative val="0"/>
          <c:cat>
            <c:strRef>
              <c:f>Hárok1!$B$22:$B$33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Hárok1!$C$22:$C$33</c:f>
              <c:numCache>
                <c:formatCode>#,##0.00</c:formatCode>
                <c:ptCount val="12"/>
                <c:pt idx="0" formatCode="#,##0">
                  <c:v>165140</c:v>
                </c:pt>
                <c:pt idx="1">
                  <c:v>165460</c:v>
                </c:pt>
                <c:pt idx="2" formatCode="#,##0">
                  <c:v>165804</c:v>
                </c:pt>
                <c:pt idx="3" formatCode="#,##0">
                  <c:v>165980</c:v>
                </c:pt>
                <c:pt idx="4" formatCode="#,##0">
                  <c:v>166181</c:v>
                </c:pt>
                <c:pt idx="5" formatCode="#,##0">
                  <c:v>166545</c:v>
                </c:pt>
                <c:pt idx="6" formatCode="#,##0">
                  <c:v>166863</c:v>
                </c:pt>
                <c:pt idx="7" formatCode="#,##0">
                  <c:v>162643</c:v>
                </c:pt>
                <c:pt idx="8" formatCode="#,##0">
                  <c:v>164538</c:v>
                </c:pt>
                <c:pt idx="9" formatCode="#,##0">
                  <c:v>165337</c:v>
                </c:pt>
                <c:pt idx="10" formatCode="#,##0">
                  <c:v>165868</c:v>
                </c:pt>
                <c:pt idx="11" formatCode="#,##0">
                  <c:v>166315</c:v>
                </c:pt>
              </c:numCache>
            </c:numRef>
          </c:val>
        </c:ser>
        <c:ser>
          <c:idx val="1"/>
          <c:order val="1"/>
          <c:tx>
            <c:strRef>
              <c:f>Hárok1!$D$21</c:f>
              <c:strCache>
                <c:ptCount val="1"/>
                <c:pt idx="0">
                  <c:v>2014</c:v>
                </c:pt>
              </c:strCache>
            </c:strRef>
          </c:tx>
          <c:invertIfNegative val="0"/>
          <c:cat>
            <c:strRef>
              <c:f>Hárok1!$B$22:$B$33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Hárok1!$D$22:$D$33</c:f>
              <c:numCache>
                <c:formatCode>#,##0</c:formatCode>
                <c:ptCount val="12"/>
                <c:pt idx="0">
                  <c:v>166407</c:v>
                </c:pt>
                <c:pt idx="1">
                  <c:v>166834</c:v>
                </c:pt>
                <c:pt idx="2">
                  <c:v>167311</c:v>
                </c:pt>
                <c:pt idx="3">
                  <c:v>167652</c:v>
                </c:pt>
                <c:pt idx="4">
                  <c:v>167979</c:v>
                </c:pt>
                <c:pt idx="5">
                  <c:v>168354</c:v>
                </c:pt>
                <c:pt idx="6">
                  <c:v>168956</c:v>
                </c:pt>
                <c:pt idx="7">
                  <c:v>164915</c:v>
                </c:pt>
                <c:pt idx="8">
                  <c:v>166117</c:v>
                </c:pt>
                <c:pt idx="9">
                  <c:v>166602</c:v>
                </c:pt>
                <c:pt idx="10">
                  <c:v>166843</c:v>
                </c:pt>
                <c:pt idx="11">
                  <c:v>167051</c:v>
                </c:pt>
              </c:numCache>
            </c:numRef>
          </c:val>
        </c:ser>
        <c:dLbls>
          <c:showLegendKey val="0"/>
          <c:showVal val="0"/>
          <c:showCatName val="0"/>
          <c:showSerName val="0"/>
          <c:showPercent val="0"/>
          <c:showBubbleSize val="0"/>
        </c:dLbls>
        <c:gapWidth val="150"/>
        <c:axId val="239410560"/>
        <c:axId val="239420544"/>
      </c:barChart>
      <c:catAx>
        <c:axId val="239410560"/>
        <c:scaling>
          <c:orientation val="minMax"/>
        </c:scaling>
        <c:delete val="0"/>
        <c:axPos val="b"/>
        <c:majorTickMark val="out"/>
        <c:minorTickMark val="none"/>
        <c:tickLblPos val="nextTo"/>
        <c:crossAx val="239420544"/>
        <c:crosses val="autoZero"/>
        <c:auto val="1"/>
        <c:lblAlgn val="ctr"/>
        <c:lblOffset val="100"/>
        <c:noMultiLvlLbl val="0"/>
      </c:catAx>
      <c:valAx>
        <c:axId val="239420544"/>
        <c:scaling>
          <c:orientation val="minMax"/>
        </c:scaling>
        <c:delete val="0"/>
        <c:axPos val="l"/>
        <c:majorGridlines/>
        <c:numFmt formatCode="#,##0" sourceLinked="1"/>
        <c:majorTickMark val="out"/>
        <c:minorTickMark val="none"/>
        <c:tickLblPos val="nextTo"/>
        <c:crossAx val="239410560"/>
        <c:crosses val="autoZero"/>
        <c:crossBetween val="between"/>
      </c:valAx>
    </c:plotArea>
    <c:legend>
      <c:legendPos val="t"/>
      <c:layout>
        <c:manualLayout>
          <c:xMode val="edge"/>
          <c:yMode val="edge"/>
          <c:x val="0.13899737532808401"/>
          <c:y val="6.0185185185185147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Hárok1!$C$38</c:f>
              <c:strCache>
                <c:ptCount val="1"/>
                <c:pt idx="0">
                  <c:v>2013</c:v>
                </c:pt>
              </c:strCache>
            </c:strRef>
          </c:tx>
          <c:invertIfNegative val="0"/>
          <c:cat>
            <c:strRef>
              <c:f>Hárok1!$B$39:$B$50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Hárok1!$C$39:$C$50</c:f>
              <c:numCache>
                <c:formatCode>#,##0</c:formatCode>
                <c:ptCount val="12"/>
                <c:pt idx="0">
                  <c:v>7639</c:v>
                </c:pt>
                <c:pt idx="1">
                  <c:v>8477</c:v>
                </c:pt>
                <c:pt idx="2">
                  <c:v>8569</c:v>
                </c:pt>
                <c:pt idx="3">
                  <c:v>8613</c:v>
                </c:pt>
                <c:pt idx="4">
                  <c:v>8598</c:v>
                </c:pt>
                <c:pt idx="5">
                  <c:v>8611</c:v>
                </c:pt>
                <c:pt idx="6">
                  <c:v>8590</c:v>
                </c:pt>
                <c:pt idx="7">
                  <c:v>8497</c:v>
                </c:pt>
                <c:pt idx="8">
                  <c:v>8530</c:v>
                </c:pt>
                <c:pt idx="9">
                  <c:v>8563</c:v>
                </c:pt>
                <c:pt idx="10">
                  <c:v>8614</c:v>
                </c:pt>
                <c:pt idx="11">
                  <c:v>8579</c:v>
                </c:pt>
              </c:numCache>
            </c:numRef>
          </c:val>
        </c:ser>
        <c:ser>
          <c:idx val="1"/>
          <c:order val="1"/>
          <c:tx>
            <c:strRef>
              <c:f>Hárok1!$D$38</c:f>
              <c:strCache>
                <c:ptCount val="1"/>
                <c:pt idx="0">
                  <c:v>2014</c:v>
                </c:pt>
              </c:strCache>
            </c:strRef>
          </c:tx>
          <c:invertIfNegative val="0"/>
          <c:cat>
            <c:strRef>
              <c:f>Hárok1!$B$39:$B$50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Hárok1!$D$39:$D$50</c:f>
              <c:numCache>
                <c:formatCode>#,##0</c:formatCode>
                <c:ptCount val="12"/>
                <c:pt idx="0">
                  <c:v>8139</c:v>
                </c:pt>
                <c:pt idx="1">
                  <c:v>9011</c:v>
                </c:pt>
                <c:pt idx="2">
                  <c:v>9040</c:v>
                </c:pt>
                <c:pt idx="3">
                  <c:v>9064</c:v>
                </c:pt>
                <c:pt idx="4">
                  <c:v>9079</c:v>
                </c:pt>
                <c:pt idx="5">
                  <c:v>9124</c:v>
                </c:pt>
                <c:pt idx="6">
                  <c:v>9099</c:v>
                </c:pt>
                <c:pt idx="7">
                  <c:v>8972</c:v>
                </c:pt>
                <c:pt idx="8">
                  <c:v>8965</c:v>
                </c:pt>
                <c:pt idx="9">
                  <c:v>9059</c:v>
                </c:pt>
                <c:pt idx="10">
                  <c:v>9032</c:v>
                </c:pt>
                <c:pt idx="11">
                  <c:v>8890</c:v>
                </c:pt>
              </c:numCache>
            </c:numRef>
          </c:val>
        </c:ser>
        <c:dLbls>
          <c:showLegendKey val="0"/>
          <c:showVal val="0"/>
          <c:showCatName val="0"/>
          <c:showSerName val="0"/>
          <c:showPercent val="0"/>
          <c:showBubbleSize val="0"/>
        </c:dLbls>
        <c:gapWidth val="150"/>
        <c:axId val="239433216"/>
        <c:axId val="239434752"/>
      </c:barChart>
      <c:catAx>
        <c:axId val="239433216"/>
        <c:scaling>
          <c:orientation val="minMax"/>
        </c:scaling>
        <c:delete val="0"/>
        <c:axPos val="b"/>
        <c:majorTickMark val="out"/>
        <c:minorTickMark val="none"/>
        <c:tickLblPos val="nextTo"/>
        <c:crossAx val="239434752"/>
        <c:crosses val="autoZero"/>
        <c:auto val="1"/>
        <c:lblAlgn val="ctr"/>
        <c:lblOffset val="100"/>
        <c:noMultiLvlLbl val="0"/>
      </c:catAx>
      <c:valAx>
        <c:axId val="239434752"/>
        <c:scaling>
          <c:orientation val="minMax"/>
        </c:scaling>
        <c:delete val="0"/>
        <c:axPos val="l"/>
        <c:majorGridlines/>
        <c:numFmt formatCode="#,##0" sourceLinked="1"/>
        <c:majorTickMark val="out"/>
        <c:minorTickMark val="none"/>
        <c:tickLblPos val="nextTo"/>
        <c:crossAx val="239433216"/>
        <c:crosses val="autoZero"/>
        <c:crossBetween val="between"/>
      </c:valAx>
    </c:plotArea>
    <c:legend>
      <c:legendPos val="t"/>
      <c:layout>
        <c:manualLayout>
          <c:xMode val="edge"/>
          <c:yMode val="edge"/>
          <c:x val="0.113997375328084"/>
          <c:y val="5.5555555555555455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Hárok1!$C$1</c:f>
              <c:strCache>
                <c:ptCount val="1"/>
                <c:pt idx="0">
                  <c:v>2010</c:v>
                </c:pt>
              </c:strCache>
            </c:strRef>
          </c:tx>
          <c:spPr>
            <a:solidFill>
              <a:schemeClr val="accent1"/>
            </a:solidFill>
          </c:spPr>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3</c:v>
                </c:pt>
                <c:pt idx="1">
                  <c:v>11</c:v>
                </c:pt>
                <c:pt idx="2">
                  <c:v>6</c:v>
                </c:pt>
                <c:pt idx="3">
                  <c:v>7</c:v>
                </c:pt>
                <c:pt idx="4">
                  <c:v>5</c:v>
                </c:pt>
                <c:pt idx="5">
                  <c:v>3</c:v>
                </c:pt>
                <c:pt idx="6">
                  <c:v>5</c:v>
                </c:pt>
                <c:pt idx="7">
                  <c:v>7</c:v>
                </c:pt>
                <c:pt idx="8">
                  <c:v>3</c:v>
                </c:pt>
                <c:pt idx="9">
                  <c:v>4</c:v>
                </c:pt>
                <c:pt idx="10">
                  <c:v>10</c:v>
                </c:pt>
                <c:pt idx="11">
                  <c:v>6</c:v>
                </c:pt>
              </c:numCache>
            </c:numRef>
          </c:val>
        </c:ser>
        <c:ser>
          <c:idx val="2"/>
          <c:order val="1"/>
          <c:tx>
            <c:strRef>
              <c:f>Hárok1!$D$1</c:f>
              <c:strCache>
                <c:ptCount val="1"/>
                <c:pt idx="0">
                  <c:v>2011</c:v>
                </c:pt>
              </c:strCache>
            </c:strRef>
          </c:tx>
          <c:spPr>
            <a:solidFill>
              <a:schemeClr val="accent2"/>
            </a:solidFill>
          </c:spPr>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10</c:v>
                </c:pt>
                <c:pt idx="1">
                  <c:v>20</c:v>
                </c:pt>
                <c:pt idx="2">
                  <c:v>7</c:v>
                </c:pt>
                <c:pt idx="3">
                  <c:v>8</c:v>
                </c:pt>
                <c:pt idx="4">
                  <c:v>9</c:v>
                </c:pt>
                <c:pt idx="5">
                  <c:v>8</c:v>
                </c:pt>
                <c:pt idx="6">
                  <c:v>9</c:v>
                </c:pt>
                <c:pt idx="7">
                  <c:v>5</c:v>
                </c:pt>
                <c:pt idx="8">
                  <c:v>16</c:v>
                </c:pt>
                <c:pt idx="9">
                  <c:v>11</c:v>
                </c:pt>
                <c:pt idx="10">
                  <c:v>12</c:v>
                </c:pt>
                <c:pt idx="11">
                  <c:v>46</c:v>
                </c:pt>
              </c:numCache>
            </c:numRef>
          </c:val>
        </c:ser>
        <c:ser>
          <c:idx val="3"/>
          <c:order val="2"/>
          <c:tx>
            <c:strRef>
              <c:f>Hárok1!$E$1</c:f>
              <c:strCache>
                <c:ptCount val="1"/>
                <c:pt idx="0">
                  <c:v>2012</c:v>
                </c:pt>
              </c:strCache>
            </c:strRef>
          </c:tx>
          <c:spPr>
            <a:solidFill>
              <a:schemeClr val="accent3">
                <a:lumMod val="60000"/>
                <a:lumOff val="40000"/>
              </a:schemeClr>
            </a:solidFill>
          </c:spPr>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Hárok1!$E$2:$E$13</c:f>
              <c:numCache>
                <c:formatCode>General</c:formatCode>
                <c:ptCount val="12"/>
                <c:pt idx="0">
                  <c:v>15</c:v>
                </c:pt>
                <c:pt idx="1">
                  <c:v>19</c:v>
                </c:pt>
                <c:pt idx="2">
                  <c:v>19</c:v>
                </c:pt>
                <c:pt idx="3">
                  <c:v>11</c:v>
                </c:pt>
                <c:pt idx="4">
                  <c:v>13</c:v>
                </c:pt>
                <c:pt idx="5">
                  <c:v>30</c:v>
                </c:pt>
                <c:pt idx="6">
                  <c:v>6</c:v>
                </c:pt>
                <c:pt idx="7">
                  <c:v>22</c:v>
                </c:pt>
                <c:pt idx="8">
                  <c:v>31</c:v>
                </c:pt>
                <c:pt idx="9">
                  <c:v>19</c:v>
                </c:pt>
                <c:pt idx="10">
                  <c:v>36</c:v>
                </c:pt>
                <c:pt idx="11">
                  <c:v>7</c:v>
                </c:pt>
              </c:numCache>
            </c:numRef>
          </c:val>
        </c:ser>
        <c:ser>
          <c:idx val="4"/>
          <c:order val="3"/>
          <c:tx>
            <c:strRef>
              <c:f>Hárok1!$F$1</c:f>
              <c:strCache>
                <c:ptCount val="1"/>
                <c:pt idx="0">
                  <c:v>2013</c:v>
                </c:pt>
              </c:strCache>
            </c:strRef>
          </c:tx>
          <c:spPr>
            <a:solidFill>
              <a:schemeClr val="accent2">
                <a:lumMod val="40000"/>
                <a:lumOff val="60000"/>
              </a:schemeClr>
            </a:solidFill>
          </c:spPr>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Hárok1!$F$2:$F$13</c:f>
              <c:numCache>
                <c:formatCode>General</c:formatCode>
                <c:ptCount val="12"/>
                <c:pt idx="0">
                  <c:v>14</c:v>
                </c:pt>
                <c:pt idx="1">
                  <c:v>33</c:v>
                </c:pt>
                <c:pt idx="2">
                  <c:v>29</c:v>
                </c:pt>
                <c:pt idx="3">
                  <c:v>16</c:v>
                </c:pt>
                <c:pt idx="4">
                  <c:v>45</c:v>
                </c:pt>
                <c:pt idx="5">
                  <c:v>18</c:v>
                </c:pt>
                <c:pt idx="6">
                  <c:v>33</c:v>
                </c:pt>
                <c:pt idx="7">
                  <c:v>11</c:v>
                </c:pt>
                <c:pt idx="8">
                  <c:v>13</c:v>
                </c:pt>
                <c:pt idx="9">
                  <c:v>52</c:v>
                </c:pt>
                <c:pt idx="10">
                  <c:v>13</c:v>
                </c:pt>
                <c:pt idx="11">
                  <c:v>28</c:v>
                </c:pt>
              </c:numCache>
            </c:numRef>
          </c:val>
        </c:ser>
        <c:ser>
          <c:idx val="5"/>
          <c:order val="4"/>
          <c:tx>
            <c:strRef>
              <c:f>Hárok1!$G$1</c:f>
              <c:strCache>
                <c:ptCount val="1"/>
                <c:pt idx="0">
                  <c:v>2014</c:v>
                </c:pt>
              </c:strCache>
            </c:strRef>
          </c:tx>
          <c:spPr>
            <a:solidFill>
              <a:schemeClr val="accent5">
                <a:lumMod val="40000"/>
                <a:lumOff val="60000"/>
              </a:schemeClr>
            </a:solidFill>
          </c:spPr>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Hárok1!$G$2:$G$13</c:f>
              <c:numCache>
                <c:formatCode>General</c:formatCode>
                <c:ptCount val="12"/>
                <c:pt idx="0">
                  <c:v>84</c:v>
                </c:pt>
                <c:pt idx="1">
                  <c:v>26</c:v>
                </c:pt>
                <c:pt idx="2">
                  <c:v>10</c:v>
                </c:pt>
                <c:pt idx="3">
                  <c:v>6</c:v>
                </c:pt>
                <c:pt idx="4">
                  <c:v>27</c:v>
                </c:pt>
                <c:pt idx="5">
                  <c:v>21</c:v>
                </c:pt>
                <c:pt idx="6">
                  <c:v>20</c:v>
                </c:pt>
                <c:pt idx="7">
                  <c:v>28</c:v>
                </c:pt>
                <c:pt idx="8">
                  <c:v>7</c:v>
                </c:pt>
                <c:pt idx="9">
                  <c:v>14</c:v>
                </c:pt>
                <c:pt idx="10">
                  <c:v>6</c:v>
                </c:pt>
                <c:pt idx="11">
                  <c:v>71</c:v>
                </c:pt>
              </c:numCache>
            </c:numRef>
          </c:val>
        </c:ser>
        <c:dLbls>
          <c:showLegendKey val="0"/>
          <c:showVal val="0"/>
          <c:showCatName val="0"/>
          <c:showSerName val="0"/>
          <c:showPercent val="0"/>
          <c:showBubbleSize val="0"/>
        </c:dLbls>
        <c:gapWidth val="150"/>
        <c:axId val="239490944"/>
        <c:axId val="239492480"/>
      </c:barChart>
      <c:catAx>
        <c:axId val="239490944"/>
        <c:scaling>
          <c:orientation val="minMax"/>
        </c:scaling>
        <c:delete val="0"/>
        <c:axPos val="b"/>
        <c:majorTickMark val="out"/>
        <c:minorTickMark val="none"/>
        <c:tickLblPos val="nextTo"/>
        <c:crossAx val="239492480"/>
        <c:crosses val="autoZero"/>
        <c:auto val="1"/>
        <c:lblAlgn val="ctr"/>
        <c:lblOffset val="100"/>
        <c:noMultiLvlLbl val="0"/>
      </c:catAx>
      <c:valAx>
        <c:axId val="239492480"/>
        <c:scaling>
          <c:orientation val="minMax"/>
        </c:scaling>
        <c:delete val="0"/>
        <c:axPos val="l"/>
        <c:majorGridlines/>
        <c:numFmt formatCode="General" sourceLinked="1"/>
        <c:majorTickMark val="out"/>
        <c:minorTickMark val="none"/>
        <c:tickLblPos val="nextTo"/>
        <c:crossAx val="239490944"/>
        <c:crosses val="autoZero"/>
        <c:crossBetween val="between"/>
      </c:valAx>
    </c:plotArea>
    <c:legend>
      <c:legendPos val="t"/>
      <c:layout>
        <c:manualLayout>
          <c:xMode val="edge"/>
          <c:yMode val="edge"/>
          <c:x val="0.17001822688830645"/>
          <c:y val="5.5555555555555455E-2"/>
          <c:w val="0.41621500437445491"/>
          <c:h val="6.7318147731533592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99625997268527E-2"/>
          <c:y val="6.2059238363892807E-2"/>
          <c:w val="0.89125527812439864"/>
          <c:h val="0.66093310973645858"/>
        </c:manualLayout>
      </c:layout>
      <c:barChart>
        <c:barDir val="col"/>
        <c:grouping val="percentStacked"/>
        <c:varyColors val="0"/>
        <c:ser>
          <c:idx val="0"/>
          <c:order val="0"/>
          <c:tx>
            <c:strRef>
              <c:f>'graf 3.20'!$D$10</c:f>
              <c:strCache>
                <c:ptCount val="1"/>
                <c:pt idx="0">
                  <c:v>Sociálne príspevky zamestnávateľov</c:v>
                </c:pt>
              </c:strCache>
            </c:strRef>
          </c:tx>
          <c:invertIfNegative val="0"/>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3.20'!$D$11:$D$40</c:f>
              <c:numCache>
                <c:formatCode>#,##0.00</c:formatCode>
                <c:ptCount val="30"/>
                <c:pt idx="0">
                  <c:v>36.090000000000003</c:v>
                </c:pt>
                <c:pt idx="1">
                  <c:v>37.44</c:v>
                </c:pt>
                <c:pt idx="2">
                  <c:v>41.92</c:v>
                </c:pt>
                <c:pt idx="3">
                  <c:v>31.06</c:v>
                </c:pt>
                <c:pt idx="4">
                  <c:v>49.720000000000013</c:v>
                </c:pt>
                <c:pt idx="5">
                  <c:v>11.75</c:v>
                </c:pt>
                <c:pt idx="6">
                  <c:v>33.51</c:v>
                </c:pt>
                <c:pt idx="7">
                  <c:v>76.669999999999987</c:v>
                </c:pt>
                <c:pt idx="8">
                  <c:v>20.279999999999987</c:v>
                </c:pt>
                <c:pt idx="9">
                  <c:v>30.150000000000031</c:v>
                </c:pt>
                <c:pt idx="10">
                  <c:v>43.05</c:v>
                </c:pt>
                <c:pt idx="11">
                  <c:v>43.04</c:v>
                </c:pt>
                <c:pt idx="12">
                  <c:v>29.34</c:v>
                </c:pt>
                <c:pt idx="13">
                  <c:v>38.220000000000013</c:v>
                </c:pt>
                <c:pt idx="14">
                  <c:v>22.74</c:v>
                </c:pt>
                <c:pt idx="15">
                  <c:v>40.74</c:v>
                </c:pt>
                <c:pt idx="16">
                  <c:v>49.93</c:v>
                </c:pt>
                <c:pt idx="17">
                  <c:v>28.2</c:v>
                </c:pt>
                <c:pt idx="18">
                  <c:v>35.93</c:v>
                </c:pt>
                <c:pt idx="19">
                  <c:v>28.82</c:v>
                </c:pt>
                <c:pt idx="20">
                  <c:v>32.44</c:v>
                </c:pt>
                <c:pt idx="21">
                  <c:v>37.590000000000003</c:v>
                </c:pt>
                <c:pt idx="22">
                  <c:v>43.35</c:v>
                </c:pt>
                <c:pt idx="23">
                  <c:v>29.93</c:v>
                </c:pt>
                <c:pt idx="24">
                  <c:v>32.42</c:v>
                </c:pt>
                <c:pt idx="25">
                  <c:v>26.130000000000031</c:v>
                </c:pt>
                <c:pt idx="26">
                  <c:v>41.7</c:v>
                </c:pt>
                <c:pt idx="27">
                  <c:v>35.42</c:v>
                </c:pt>
                <c:pt idx="28">
                  <c:v>35.630000000000003</c:v>
                </c:pt>
                <c:pt idx="29">
                  <c:v>31.16</c:v>
                </c:pt>
              </c:numCache>
            </c:numRef>
          </c:val>
        </c:ser>
        <c:ser>
          <c:idx val="1"/>
          <c:order val="1"/>
          <c:tx>
            <c:strRef>
              <c:f>'graf 3.20'!$E$10</c:f>
              <c:strCache>
                <c:ptCount val="1"/>
                <c:pt idx="0">
                  <c:v>Sociálne príspevky chránených osôb</c:v>
                </c:pt>
              </c:strCache>
            </c:strRef>
          </c:tx>
          <c:invertIfNegative val="0"/>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3.20'!$E$11:$E$40</c:f>
              <c:numCache>
                <c:formatCode>#,##0.00</c:formatCode>
                <c:ptCount val="30"/>
                <c:pt idx="0">
                  <c:v>20.09</c:v>
                </c:pt>
                <c:pt idx="1">
                  <c:v>22.03</c:v>
                </c:pt>
                <c:pt idx="2">
                  <c:v>20.27</c:v>
                </c:pt>
                <c:pt idx="3">
                  <c:v>16.21</c:v>
                </c:pt>
                <c:pt idx="4">
                  <c:v>23.74</c:v>
                </c:pt>
                <c:pt idx="5">
                  <c:v>11.7</c:v>
                </c:pt>
                <c:pt idx="6">
                  <c:v>29.62</c:v>
                </c:pt>
                <c:pt idx="7">
                  <c:v>1.85</c:v>
                </c:pt>
                <c:pt idx="8">
                  <c:v>7.4</c:v>
                </c:pt>
                <c:pt idx="9">
                  <c:v>20.329999999999988</c:v>
                </c:pt>
                <c:pt idx="10">
                  <c:v>12.06</c:v>
                </c:pt>
                <c:pt idx="11">
                  <c:v>20.3</c:v>
                </c:pt>
                <c:pt idx="12">
                  <c:v>32.980000000000004</c:v>
                </c:pt>
                <c:pt idx="13">
                  <c:v>14.84</c:v>
                </c:pt>
                <c:pt idx="14">
                  <c:v>15.99</c:v>
                </c:pt>
                <c:pt idx="15">
                  <c:v>17.5</c:v>
                </c:pt>
                <c:pt idx="16">
                  <c:v>15.850000000000026</c:v>
                </c:pt>
                <c:pt idx="17">
                  <c:v>24.45</c:v>
                </c:pt>
                <c:pt idx="18">
                  <c:v>20.09</c:v>
                </c:pt>
                <c:pt idx="19">
                  <c:v>16.72</c:v>
                </c:pt>
                <c:pt idx="20">
                  <c:v>34.08</c:v>
                </c:pt>
                <c:pt idx="21">
                  <c:v>26.67</c:v>
                </c:pt>
                <c:pt idx="22">
                  <c:v>18.850000000000001</c:v>
                </c:pt>
                <c:pt idx="23">
                  <c:v>15.08</c:v>
                </c:pt>
                <c:pt idx="24">
                  <c:v>13.96</c:v>
                </c:pt>
                <c:pt idx="25">
                  <c:v>38.160000000000011</c:v>
                </c:pt>
                <c:pt idx="26">
                  <c:v>19.190000000000001</c:v>
                </c:pt>
                <c:pt idx="27">
                  <c:v>11.96</c:v>
                </c:pt>
                <c:pt idx="28">
                  <c:v>9.5500000000000007</c:v>
                </c:pt>
                <c:pt idx="29">
                  <c:v>12.84</c:v>
                </c:pt>
              </c:numCache>
            </c:numRef>
          </c:val>
        </c:ser>
        <c:ser>
          <c:idx val="2"/>
          <c:order val="2"/>
          <c:tx>
            <c:strRef>
              <c:f>'graf 3.20'!$I$10</c:f>
              <c:strCache>
                <c:ptCount val="1"/>
                <c:pt idx="0">
                  <c:v>Verejná správa</c:v>
                </c:pt>
              </c:strCache>
            </c:strRef>
          </c:tx>
          <c:spPr>
            <a:solidFill>
              <a:schemeClr val="accent2">
                <a:lumMod val="60000"/>
                <a:lumOff val="40000"/>
              </a:schemeClr>
            </a:solidFill>
          </c:spPr>
          <c:invertIfNegative val="0"/>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3.20'!$I$11:$I$40</c:f>
              <c:numCache>
                <c:formatCode>#,##0.00</c:formatCode>
                <c:ptCount val="30"/>
                <c:pt idx="0">
                  <c:v>40.15</c:v>
                </c:pt>
                <c:pt idx="1">
                  <c:v>37.83</c:v>
                </c:pt>
                <c:pt idx="2">
                  <c:v>35.550000000000004</c:v>
                </c:pt>
                <c:pt idx="3">
                  <c:v>50.87</c:v>
                </c:pt>
                <c:pt idx="4">
                  <c:v>24.959999999999987</c:v>
                </c:pt>
                <c:pt idx="5">
                  <c:v>74.2</c:v>
                </c:pt>
                <c:pt idx="6">
                  <c:v>35.21</c:v>
                </c:pt>
                <c:pt idx="7">
                  <c:v>21.32</c:v>
                </c:pt>
                <c:pt idx="8">
                  <c:v>69.3</c:v>
                </c:pt>
                <c:pt idx="9">
                  <c:v>39.020000000000003</c:v>
                </c:pt>
                <c:pt idx="10">
                  <c:v>43.87</c:v>
                </c:pt>
                <c:pt idx="11">
                  <c:v>34.71</c:v>
                </c:pt>
                <c:pt idx="12">
                  <c:v>34.880000000000003</c:v>
                </c:pt>
                <c:pt idx="13">
                  <c:v>45.34</c:v>
                </c:pt>
                <c:pt idx="14">
                  <c:v>52.68</c:v>
                </c:pt>
                <c:pt idx="15">
                  <c:v>40.1</c:v>
                </c:pt>
                <c:pt idx="16">
                  <c:v>33.1</c:v>
                </c:pt>
                <c:pt idx="17">
                  <c:v>45.54</c:v>
                </c:pt>
                <c:pt idx="18">
                  <c:v>40.770000000000003</c:v>
                </c:pt>
                <c:pt idx="19">
                  <c:v>52.18</c:v>
                </c:pt>
                <c:pt idx="20">
                  <c:v>24.34</c:v>
                </c:pt>
                <c:pt idx="21">
                  <c:v>34.03</c:v>
                </c:pt>
                <c:pt idx="22">
                  <c:v>18.82</c:v>
                </c:pt>
                <c:pt idx="23">
                  <c:v>43.44</c:v>
                </c:pt>
                <c:pt idx="24">
                  <c:v>52.59</c:v>
                </c:pt>
                <c:pt idx="25">
                  <c:v>34.6</c:v>
                </c:pt>
                <c:pt idx="26">
                  <c:v>36.980000000000004</c:v>
                </c:pt>
                <c:pt idx="27">
                  <c:v>46.07</c:v>
                </c:pt>
                <c:pt idx="28">
                  <c:v>52.64</c:v>
                </c:pt>
                <c:pt idx="29">
                  <c:v>47.87</c:v>
                </c:pt>
              </c:numCache>
            </c:numRef>
          </c:val>
        </c:ser>
        <c:ser>
          <c:idx val="3"/>
          <c:order val="3"/>
          <c:tx>
            <c:strRef>
              <c:f>'graf 3.20'!$J$10</c:f>
              <c:strCache>
                <c:ptCount val="1"/>
                <c:pt idx="0">
                  <c:v>Iné príjmy</c:v>
                </c:pt>
              </c:strCache>
            </c:strRef>
          </c:tx>
          <c:spPr>
            <a:solidFill>
              <a:schemeClr val="accent3"/>
            </a:solidFill>
          </c:spPr>
          <c:invertIfNegative val="0"/>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3.20'!$J$11:$J$40</c:f>
              <c:numCache>
                <c:formatCode>#,##0.00</c:formatCode>
                <c:ptCount val="30"/>
                <c:pt idx="0">
                  <c:v>3.67</c:v>
                </c:pt>
                <c:pt idx="1">
                  <c:v>2.7</c:v>
                </c:pt>
                <c:pt idx="2">
                  <c:v>2.2599999999999998</c:v>
                </c:pt>
                <c:pt idx="3">
                  <c:v>1.86</c:v>
                </c:pt>
                <c:pt idx="4">
                  <c:v>1.58</c:v>
                </c:pt>
                <c:pt idx="5">
                  <c:v>2.3499999999999988</c:v>
                </c:pt>
                <c:pt idx="6">
                  <c:v>1.6600000000000001</c:v>
                </c:pt>
                <c:pt idx="7">
                  <c:v>0.16</c:v>
                </c:pt>
                <c:pt idx="8">
                  <c:v>3.02</c:v>
                </c:pt>
                <c:pt idx="9">
                  <c:v>10.5</c:v>
                </c:pt>
                <c:pt idx="10">
                  <c:v>1.02</c:v>
                </c:pt>
                <c:pt idx="11">
                  <c:v>1.9500000000000093</c:v>
                </c:pt>
                <c:pt idx="12">
                  <c:v>2.8</c:v>
                </c:pt>
                <c:pt idx="13">
                  <c:v>1.61</c:v>
                </c:pt>
                <c:pt idx="14">
                  <c:v>8.59</c:v>
                </c:pt>
                <c:pt idx="15">
                  <c:v>1.6600000000000001</c:v>
                </c:pt>
                <c:pt idx="16">
                  <c:v>1.1100000000000001</c:v>
                </c:pt>
                <c:pt idx="17">
                  <c:v>1.81</c:v>
                </c:pt>
                <c:pt idx="18">
                  <c:v>3.2</c:v>
                </c:pt>
                <c:pt idx="19">
                  <c:v>2.2799999999999998</c:v>
                </c:pt>
                <c:pt idx="20">
                  <c:v>9.14</c:v>
                </c:pt>
                <c:pt idx="21">
                  <c:v>1.71</c:v>
                </c:pt>
                <c:pt idx="22">
                  <c:v>18.989999999999824</c:v>
                </c:pt>
                <c:pt idx="23">
                  <c:v>11.54</c:v>
                </c:pt>
                <c:pt idx="24">
                  <c:v>1.03</c:v>
                </c:pt>
                <c:pt idx="25">
                  <c:v>1.1100000000000001</c:v>
                </c:pt>
                <c:pt idx="26">
                  <c:v>2.13</c:v>
                </c:pt>
                <c:pt idx="27">
                  <c:v>6.55</c:v>
                </c:pt>
                <c:pt idx="28">
                  <c:v>2.1800000000000002</c:v>
                </c:pt>
                <c:pt idx="29">
                  <c:v>8.1300000000000008</c:v>
                </c:pt>
              </c:numCache>
            </c:numRef>
          </c:val>
        </c:ser>
        <c:dLbls>
          <c:showLegendKey val="0"/>
          <c:showVal val="0"/>
          <c:showCatName val="0"/>
          <c:showSerName val="0"/>
          <c:showPercent val="0"/>
          <c:showBubbleSize val="0"/>
        </c:dLbls>
        <c:gapWidth val="50"/>
        <c:overlap val="100"/>
        <c:axId val="239520768"/>
        <c:axId val="244589312"/>
      </c:barChart>
      <c:catAx>
        <c:axId val="23952076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44589312"/>
        <c:crosses val="autoZero"/>
        <c:auto val="1"/>
        <c:lblAlgn val="ctr"/>
        <c:lblOffset val="100"/>
        <c:noMultiLvlLbl val="0"/>
      </c:catAx>
      <c:valAx>
        <c:axId val="244589312"/>
        <c:scaling>
          <c:orientation val="minMax"/>
        </c:scaling>
        <c:delete val="0"/>
        <c:axPos val="l"/>
        <c:majorGridlines/>
        <c:numFmt formatCode="0%" sourceLinked="1"/>
        <c:majorTickMark val="out"/>
        <c:minorTickMark val="none"/>
        <c:tickLblPos val="nextTo"/>
        <c:crossAx val="239520768"/>
        <c:crosses val="autoZero"/>
        <c:crossBetween val="between"/>
        <c:majorUnit val="0.1"/>
      </c:valAx>
    </c:plotArea>
    <c:legend>
      <c:legendPos val="b"/>
      <c:layout>
        <c:manualLayout>
          <c:xMode val="edge"/>
          <c:yMode val="edge"/>
          <c:x val="8.8157023624520839E-3"/>
          <c:y val="0.89614073276101402"/>
          <c:w val="0.9874692896023034"/>
          <c:h val="0.10043521693938399"/>
        </c:manualLayout>
      </c:layout>
      <c:overlay val="0"/>
      <c:txPr>
        <a:bodyPr/>
        <a:lstStyle/>
        <a:p>
          <a:pPr>
            <a:defRPr sz="95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7.9142227618648378E-2"/>
          <c:w val="1"/>
          <c:h val="0.76437615381348578"/>
        </c:manualLayout>
      </c:layout>
      <c:ofPieChart>
        <c:ofPieType val="pie"/>
        <c:varyColors val="1"/>
        <c:ser>
          <c:idx val="0"/>
          <c:order val="0"/>
          <c:dPt>
            <c:idx val="0"/>
            <c:bubble3D val="0"/>
            <c:spPr>
              <a:solidFill>
                <a:srgbClr val="D83E2C"/>
              </a:solidFill>
            </c:spPr>
          </c:dPt>
          <c:dPt>
            <c:idx val="1"/>
            <c:bubble3D val="0"/>
            <c:explosion val="4"/>
            <c:spPr>
              <a:solidFill>
                <a:srgbClr val="C0504D">
                  <a:lumMod val="75000"/>
                </a:srgbClr>
              </a:solidFill>
            </c:spPr>
          </c:dPt>
          <c:dPt>
            <c:idx val="2"/>
            <c:bubble3D val="0"/>
            <c:spPr>
              <a:solidFill>
                <a:srgbClr val="C0504D">
                  <a:lumMod val="20000"/>
                  <a:lumOff val="80000"/>
                </a:srgbClr>
              </a:solidFill>
            </c:spPr>
          </c:dPt>
          <c:dPt>
            <c:idx val="3"/>
            <c:bubble3D val="0"/>
            <c:spPr>
              <a:solidFill>
                <a:schemeClr val="accent2">
                  <a:lumMod val="40000"/>
                  <a:lumOff val="60000"/>
                </a:schemeClr>
              </a:solidFill>
            </c:spPr>
          </c:dPt>
          <c:dPt>
            <c:idx val="4"/>
            <c:bubble3D val="0"/>
            <c:spPr>
              <a:solidFill>
                <a:srgbClr val="C00000"/>
              </a:solidFill>
            </c:spPr>
          </c:dPt>
          <c:dPt>
            <c:idx val="5"/>
            <c:bubble3D val="0"/>
            <c:explosion val="28"/>
            <c:spPr>
              <a:solidFill>
                <a:srgbClr val="C0504D">
                  <a:lumMod val="50000"/>
                </a:srgbClr>
              </a:solidFill>
            </c:spPr>
          </c:dPt>
          <c:dPt>
            <c:idx val="6"/>
            <c:bubble3D val="0"/>
            <c:spPr>
              <a:solidFill>
                <a:srgbClr val="C0504D">
                  <a:lumMod val="40000"/>
                  <a:lumOff val="60000"/>
                </a:srgbClr>
              </a:solidFill>
            </c:spPr>
          </c:dPt>
          <c:dLbls>
            <c:dLbl>
              <c:idx val="0"/>
              <c:layout>
                <c:manualLayout>
                  <c:x val="2.8905017921147034E-3"/>
                  <c:y val="0.32382611832611946"/>
                </c:manualLayout>
              </c:layout>
              <c:tx>
                <c:rich>
                  <a:bodyPr/>
                  <a:lstStyle/>
                  <a:p>
                    <a:r>
                      <a:rPr lang="en-US"/>
                      <a:t>Príspevky verejnej správy
37,</a:t>
                    </a:r>
                    <a:r>
                      <a:rPr lang="sk-SK"/>
                      <a:t>6</a:t>
                    </a:r>
                    <a:r>
                      <a:rPr lang="en-US"/>
                      <a:t>%</a:t>
                    </a:r>
                  </a:p>
                </c:rich>
              </c:tx>
              <c:dLblPos val="bestFit"/>
              <c:showLegendKey val="0"/>
              <c:showVal val="0"/>
              <c:showCatName val="0"/>
              <c:showSerName val="0"/>
              <c:showPercent val="0"/>
              <c:showBubbleSize val="0"/>
            </c:dLbl>
            <c:dLbl>
              <c:idx val="1"/>
              <c:layout>
                <c:manualLayout>
                  <c:x val="-1.3384229390681063E-2"/>
                  <c:y val="2.5086580086580088E-2"/>
                </c:manualLayout>
              </c:layout>
              <c:tx>
                <c:rich>
                  <a:bodyPr/>
                  <a:lstStyle/>
                  <a:p>
                    <a:r>
                      <a:rPr lang="en-US"/>
                      <a:t>Iné príjmy
2</a:t>
                    </a:r>
                    <a:r>
                      <a:rPr lang="sk-SK"/>
                      <a:t>,9</a:t>
                    </a:r>
                    <a:r>
                      <a:rPr lang="en-US"/>
                      <a:t>%</a:t>
                    </a:r>
                  </a:p>
                </c:rich>
              </c:tx>
              <c:dLblPos val="bestFit"/>
              <c:showLegendKey val="0"/>
              <c:showVal val="0"/>
              <c:showCatName val="0"/>
              <c:showSerName val="0"/>
              <c:showPercent val="0"/>
              <c:showBubbleSize val="0"/>
            </c:dLbl>
            <c:dLbl>
              <c:idx val="2"/>
              <c:layout>
                <c:manualLayout>
                  <c:x val="0.13899498207885341"/>
                  <c:y val="0.24152922077922143"/>
                </c:manualLayout>
              </c:layout>
              <c:tx>
                <c:rich>
                  <a:bodyPr/>
                  <a:lstStyle/>
                  <a:p>
                    <a:r>
                      <a:rPr lang="en-US"/>
                      <a:t>Zamestnávatelia/
40,8%</a:t>
                    </a:r>
                  </a:p>
                </c:rich>
              </c:tx>
              <c:dLblPos val="bestFit"/>
              <c:showLegendKey val="0"/>
              <c:showVal val="0"/>
              <c:showCatName val="0"/>
              <c:showSerName val="0"/>
              <c:showPercent val="0"/>
              <c:showBubbleSize val="0"/>
            </c:dLbl>
            <c:dLbl>
              <c:idx val="3"/>
              <c:layout>
                <c:manualLayout>
                  <c:x val="-8.0279569892473465E-3"/>
                  <c:y val="-9.4336219336219713E-4"/>
                </c:manualLayout>
              </c:layout>
              <c:tx>
                <c:rich>
                  <a:bodyPr/>
                  <a:lstStyle/>
                  <a:p>
                    <a:r>
                      <a:rPr lang="en-US"/>
                      <a:t>Zamestnanci
15,0%</a:t>
                    </a:r>
                  </a:p>
                </c:rich>
              </c:tx>
              <c:dLblPos val="bestFit"/>
              <c:showLegendKey val="0"/>
              <c:showVal val="0"/>
              <c:showCatName val="0"/>
              <c:showSerName val="0"/>
              <c:showPercent val="0"/>
              <c:showBubbleSize val="0"/>
            </c:dLbl>
            <c:dLbl>
              <c:idx val="4"/>
              <c:layout>
                <c:manualLayout>
                  <c:x val="4.6750716845878351E-2"/>
                  <c:y val="1.3763708513708567E-2"/>
                </c:manualLayout>
              </c:layout>
              <c:tx>
                <c:rich>
                  <a:bodyPr/>
                  <a:lstStyle/>
                  <a:p>
                    <a:r>
                      <a:rPr lang="en-US"/>
                      <a:t>SZČO
3,2%</a:t>
                    </a:r>
                  </a:p>
                </c:rich>
              </c:tx>
              <c:dLblPos val="bestFit"/>
              <c:showLegendKey val="0"/>
              <c:showVal val="0"/>
              <c:showCatName val="0"/>
              <c:showSerName val="0"/>
              <c:showPercent val="0"/>
              <c:showBubbleSize val="0"/>
            </c:dLbl>
            <c:dLbl>
              <c:idx val="5"/>
              <c:layout>
                <c:manualLayout>
                  <c:x val="-3.5104838709677441E-2"/>
                  <c:y val="-1.3744588744588842E-2"/>
                </c:manualLayout>
              </c:layout>
              <c:tx>
                <c:rich>
                  <a:bodyPr/>
                  <a:lstStyle/>
                  <a:p>
                    <a:r>
                      <a:rPr lang="en-US"/>
                      <a:t>Dobrovoľní platitelia
0,6%</a:t>
                    </a:r>
                  </a:p>
                </c:rich>
              </c:tx>
              <c:dLblPos val="bestFit"/>
              <c:showLegendKey val="0"/>
              <c:showVal val="0"/>
              <c:showCatName val="0"/>
              <c:showSerName val="0"/>
              <c:showPercent val="0"/>
              <c:showBubbleSize val="0"/>
            </c:dLbl>
            <c:dLbl>
              <c:idx val="6"/>
              <c:layout>
                <c:manualLayout>
                  <c:x val="-0.20027025089605741"/>
                  <c:y val="0.11459559884559886"/>
                </c:manualLayout>
              </c:layout>
              <c:tx>
                <c:rich>
                  <a:bodyPr/>
                  <a:lstStyle/>
                  <a:p>
                    <a:r>
                      <a:rPr lang="sk-SK"/>
                      <a:t>Sociálne</a:t>
                    </a:r>
                    <a:r>
                      <a:rPr lang="sk-SK" baseline="0"/>
                      <a:t> príspevky</a:t>
                    </a:r>
                    <a:r>
                      <a:rPr lang="en-US"/>
                      <a:t>
</a:t>
                    </a:r>
                    <a:r>
                      <a:rPr lang="sk-SK"/>
                      <a:t>59,6</a:t>
                    </a:r>
                    <a:r>
                      <a:rPr lang="en-US"/>
                      <a:t>%</a:t>
                    </a:r>
                  </a:p>
                </c:rich>
              </c:tx>
              <c:dLblPos val="bestFit"/>
              <c:showLegendKey val="0"/>
              <c:showVal val="0"/>
              <c:showCatName val="0"/>
              <c:showSerName val="0"/>
              <c:showPercent val="0"/>
              <c:showBubbleSize val="0"/>
            </c:dLbl>
            <c:numFmt formatCode="0.0%" sourceLinked="0"/>
            <c:showLegendKey val="0"/>
            <c:showVal val="0"/>
            <c:showCatName val="1"/>
            <c:showSerName val="0"/>
            <c:showPercent val="1"/>
            <c:showBubbleSize val="0"/>
            <c:showLeaderLines val="1"/>
          </c:dLbls>
          <c:cat>
            <c:strRef>
              <c:f>[1]prijmy!$A$33:$A$38</c:f>
              <c:strCache>
                <c:ptCount val="6"/>
                <c:pt idx="0">
                  <c:v>Príspevky verejnej správy/General government contributions</c:v>
                </c:pt>
                <c:pt idx="1">
                  <c:v>Iné príjmy/Other receipts</c:v>
                </c:pt>
                <c:pt idx="2">
                  <c:v>Zamestnávatelia/ Employers</c:v>
                </c:pt>
                <c:pt idx="3">
                  <c:v>Zamestnanci/ Employees</c:v>
                </c:pt>
                <c:pt idx="4">
                  <c:v>SZČO/ self employed</c:v>
                </c:pt>
                <c:pt idx="5">
                  <c:v>Dobrovoľní platitelia/ Volunter payers</c:v>
                </c:pt>
              </c:strCache>
            </c:strRef>
          </c:cat>
          <c:val>
            <c:numRef>
              <c:f>[1]prijmy!$B$33:$B$38</c:f>
              <c:numCache>
                <c:formatCode>General</c:formatCode>
                <c:ptCount val="6"/>
                <c:pt idx="0">
                  <c:v>5363.0140000000001</c:v>
                </c:pt>
                <c:pt idx="1">
                  <c:v>406.85900000000032</c:v>
                </c:pt>
                <c:pt idx="2">
                  <c:v>5821.8079999999991</c:v>
                </c:pt>
                <c:pt idx="3">
                  <c:v>2137.2370000000001</c:v>
                </c:pt>
                <c:pt idx="4">
                  <c:v>453.25399999999905</c:v>
                </c:pt>
                <c:pt idx="5">
                  <c:v>87.72699999999999</c:v>
                </c:pt>
              </c:numCache>
            </c:numRef>
          </c:val>
        </c:ser>
        <c:dLbls>
          <c:showLegendKey val="0"/>
          <c:showVal val="0"/>
          <c:showCatName val="0"/>
          <c:showSerName val="0"/>
          <c:showPercent val="0"/>
          <c:showBubbleSize val="0"/>
          <c:showLeaderLines val="1"/>
        </c:dLbls>
        <c:gapWidth val="64"/>
        <c:splitType val="pos"/>
        <c:splitPos val="4"/>
        <c:secondPieSize val="87"/>
        <c:serLines/>
      </c:ofPieChart>
      <c:spPr>
        <a:noFill/>
        <a:ln w="25400">
          <a:noFill/>
        </a:ln>
      </c:spPr>
    </c:plotArea>
    <c:plotVisOnly val="1"/>
    <c:dispBlanksAs val="zero"/>
    <c:showDLblsOverMax val="0"/>
  </c:chart>
  <c:spPr>
    <a:ln>
      <a:noFill/>
    </a:ln>
  </c:spPr>
  <c:txPr>
    <a:bodyPr/>
    <a:lstStyle/>
    <a:p>
      <a:pPr>
        <a:defRPr sz="950" baseline="0">
          <a:latin typeface="Times New Roman" panose="02020603050405020304" pitchFamily="18" charset="0"/>
        </a:defRPr>
      </a:pPr>
      <a:endParaRPr lang="sk-SK"/>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01388888888882E-2"/>
          <c:y val="6.100463375443891E-2"/>
          <c:w val="0.84854466134465134"/>
          <c:h val="0.76731680906044553"/>
        </c:manualLayout>
      </c:layout>
      <c:barChart>
        <c:barDir val="col"/>
        <c:grouping val="clustered"/>
        <c:varyColors val="0"/>
        <c:ser>
          <c:idx val="0"/>
          <c:order val="0"/>
          <c:tx>
            <c:strRef>
              <c:f>Hárok7!$N$29</c:f>
              <c:strCache>
                <c:ptCount val="1"/>
                <c:pt idx="0">
                  <c:v> v PPS na obyvateľa</c:v>
                </c:pt>
              </c:strCache>
            </c:strRef>
          </c:tx>
          <c:spPr>
            <a:solidFill>
              <a:schemeClr val="accent2"/>
            </a:solidFill>
          </c:spPr>
          <c:invertIfNegative val="0"/>
          <c:dPt>
            <c:idx val="7"/>
            <c:invertIfNegative val="0"/>
            <c:bubble3D val="0"/>
            <c:spPr>
              <a:pattFill prst="dkDnDiag">
                <a:fgClr>
                  <a:schemeClr val="accent2"/>
                </a:fgClr>
                <a:bgClr>
                  <a:schemeClr val="bg1"/>
                </a:bgClr>
              </a:pattFill>
              <a:ln>
                <a:solidFill>
                  <a:schemeClr val="accent2"/>
                </a:solidFill>
              </a:ln>
            </c:spPr>
          </c:dPt>
          <c:dPt>
            <c:idx val="17"/>
            <c:invertIfNegative val="0"/>
            <c:bubble3D val="0"/>
            <c:spPr>
              <a:solidFill>
                <a:schemeClr val="accent2">
                  <a:lumMod val="60000"/>
                  <a:lumOff val="40000"/>
                </a:schemeClr>
              </a:solidFill>
            </c:spPr>
          </c:dPt>
          <c:dPt>
            <c:idx val="19"/>
            <c:invertIfNegative val="0"/>
            <c:bubble3D val="0"/>
            <c:spPr>
              <a:solidFill>
                <a:schemeClr val="accent2">
                  <a:lumMod val="60000"/>
                  <a:lumOff val="40000"/>
                </a:schemeClr>
              </a:solidFill>
            </c:spPr>
          </c:dPt>
          <c:dPt>
            <c:idx val="20"/>
            <c:invertIfNegative val="0"/>
            <c:bubble3D val="0"/>
            <c:spPr>
              <a:solidFill>
                <a:schemeClr val="accent2">
                  <a:lumMod val="60000"/>
                  <a:lumOff val="40000"/>
                </a:schemeClr>
              </a:solidFill>
            </c:spPr>
          </c:dPt>
          <c:cat>
            <c:strRef>
              <c:f>Hárok7!$M$30:$M$60</c:f>
              <c:strCache>
                <c:ptCount val="31"/>
                <c:pt idx="0">
                  <c:v>RO</c:v>
                </c:pt>
                <c:pt idx="1">
                  <c:v>BG</c:v>
                </c:pt>
                <c:pt idx="2">
                  <c:v>LV</c:v>
                </c:pt>
                <c:pt idx="3">
                  <c:v>EE</c:v>
                </c:pt>
                <c:pt idx="4">
                  <c:v>LT</c:v>
                </c:pt>
                <c:pt idx="5">
                  <c:v>HR</c:v>
                </c:pt>
                <c:pt idx="6">
                  <c:v>PL</c:v>
                </c:pt>
                <c:pt idx="7">
                  <c:v>SK</c:v>
                </c:pt>
                <c:pt idx="8">
                  <c:v>HU</c:v>
                </c:pt>
                <c:pt idx="9">
                  <c:v>MT</c:v>
                </c:pt>
                <c:pt idx="10">
                  <c:v>CZ</c:v>
                </c:pt>
                <c:pt idx="11">
                  <c:v>PT</c:v>
                </c:pt>
                <c:pt idx="12">
                  <c:v>SI</c:v>
                </c:pt>
                <c:pt idx="13">
                  <c:v>CY</c:v>
                </c:pt>
                <c:pt idx="14">
                  <c:v>ES</c:v>
                </c:pt>
                <c:pt idx="15">
                  <c:v>GR</c:v>
                </c:pt>
                <c:pt idx="16">
                  <c:v>UK</c:v>
                </c:pt>
                <c:pt idx="17">
                  <c:v>EU28</c:v>
                </c:pt>
                <c:pt idx="18">
                  <c:v>IT</c:v>
                </c:pt>
                <c:pt idx="19">
                  <c:v>EA18</c:v>
                </c:pt>
                <c:pt idx="20">
                  <c:v>EU15</c:v>
                </c:pt>
                <c:pt idx="21">
                  <c:v>FI</c:v>
                </c:pt>
                <c:pt idx="22">
                  <c:v>BE</c:v>
                </c:pt>
                <c:pt idx="23">
                  <c:v>SE</c:v>
                </c:pt>
                <c:pt idx="24">
                  <c:v>IE</c:v>
                </c:pt>
                <c:pt idx="25">
                  <c:v>FR</c:v>
                </c:pt>
                <c:pt idx="26">
                  <c:v>DE</c:v>
                </c:pt>
                <c:pt idx="27">
                  <c:v>AT</c:v>
                </c:pt>
                <c:pt idx="28">
                  <c:v>DK</c:v>
                </c:pt>
                <c:pt idx="29">
                  <c:v>NL</c:v>
                </c:pt>
                <c:pt idx="30">
                  <c:v>LU</c:v>
                </c:pt>
              </c:strCache>
            </c:strRef>
          </c:cat>
          <c:val>
            <c:numRef>
              <c:f>Hárok7!$N$30:$N$60</c:f>
              <c:numCache>
                <c:formatCode>#,##0</c:formatCode>
                <c:ptCount val="31"/>
                <c:pt idx="0">
                  <c:v>2103</c:v>
                </c:pt>
                <c:pt idx="1">
                  <c:v>2202</c:v>
                </c:pt>
                <c:pt idx="2">
                  <c:v>2335</c:v>
                </c:pt>
                <c:pt idx="3">
                  <c:v>2878</c:v>
                </c:pt>
                <c:pt idx="4">
                  <c:v>3105</c:v>
                </c:pt>
                <c:pt idx="5">
                  <c:v>3250</c:v>
                </c:pt>
                <c:pt idx="6">
                  <c:v>3367</c:v>
                </c:pt>
                <c:pt idx="7">
                  <c:v>3732</c:v>
                </c:pt>
                <c:pt idx="8">
                  <c:v>3880</c:v>
                </c:pt>
                <c:pt idx="9">
                  <c:v>4247</c:v>
                </c:pt>
                <c:pt idx="10">
                  <c:v>4460</c:v>
                </c:pt>
                <c:pt idx="11">
                  <c:v>5071</c:v>
                </c:pt>
                <c:pt idx="12">
                  <c:v>5301</c:v>
                </c:pt>
                <c:pt idx="13">
                  <c:v>5323</c:v>
                </c:pt>
                <c:pt idx="14">
                  <c:v>6027</c:v>
                </c:pt>
                <c:pt idx="15">
                  <c:v>6123</c:v>
                </c:pt>
                <c:pt idx="16">
                  <c:v>7460</c:v>
                </c:pt>
                <c:pt idx="17">
                  <c:v>7558</c:v>
                </c:pt>
                <c:pt idx="18">
                  <c:v>7786</c:v>
                </c:pt>
                <c:pt idx="19">
                  <c:v>8474</c:v>
                </c:pt>
                <c:pt idx="20">
                  <c:v>8477</c:v>
                </c:pt>
                <c:pt idx="21">
                  <c:v>9036</c:v>
                </c:pt>
                <c:pt idx="22">
                  <c:v>9206</c:v>
                </c:pt>
                <c:pt idx="23">
                  <c:v>9598</c:v>
                </c:pt>
                <c:pt idx="24">
                  <c:v>9687</c:v>
                </c:pt>
                <c:pt idx="25">
                  <c:v>9707</c:v>
                </c:pt>
                <c:pt idx="26">
                  <c:v>9715</c:v>
                </c:pt>
                <c:pt idx="27">
                  <c:v>9980</c:v>
                </c:pt>
                <c:pt idx="28">
                  <c:v>10462</c:v>
                </c:pt>
                <c:pt idx="29">
                  <c:v>10698</c:v>
                </c:pt>
                <c:pt idx="30">
                  <c:v>13820</c:v>
                </c:pt>
              </c:numCache>
            </c:numRef>
          </c:val>
        </c:ser>
        <c:dLbls>
          <c:showLegendKey val="0"/>
          <c:showVal val="0"/>
          <c:showCatName val="0"/>
          <c:showSerName val="0"/>
          <c:showPercent val="0"/>
          <c:showBubbleSize val="0"/>
        </c:dLbls>
        <c:gapWidth val="42"/>
        <c:axId val="245367936"/>
        <c:axId val="245369472"/>
      </c:barChart>
      <c:lineChart>
        <c:grouping val="standard"/>
        <c:varyColors val="0"/>
        <c:ser>
          <c:idx val="1"/>
          <c:order val="1"/>
          <c:tx>
            <c:strRef>
              <c:f>Hárok7!$O$29</c:f>
              <c:strCache>
                <c:ptCount val="1"/>
                <c:pt idx="0">
                  <c:v> % z HDP</c:v>
                </c:pt>
              </c:strCache>
            </c:strRef>
          </c:tx>
          <c:spPr>
            <a:ln>
              <a:noFill/>
            </a:ln>
          </c:spPr>
          <c:marker>
            <c:symbol val="triangle"/>
            <c:size val="7"/>
            <c:spPr>
              <a:solidFill>
                <a:schemeClr val="accent2">
                  <a:lumMod val="40000"/>
                  <a:lumOff val="60000"/>
                </a:schemeClr>
              </a:solidFill>
              <a:ln w="15875">
                <a:solidFill>
                  <a:schemeClr val="tx2"/>
                </a:solidFill>
              </a:ln>
            </c:spPr>
          </c:marker>
          <c:dLbls>
            <c:dLbl>
              <c:idx val="28"/>
              <c:layout>
                <c:manualLayout>
                  <c:x val="-3.0376063053487962E-2"/>
                  <c:y val="6.5476205040051194E-2"/>
                </c:manualLayout>
              </c:layout>
              <c:dLblPos val="r"/>
              <c:showLegendKey val="0"/>
              <c:showVal val="1"/>
              <c:showCatName val="0"/>
              <c:showSerName val="0"/>
              <c:showPercent val="0"/>
              <c:showBubbleSize val="0"/>
            </c:dLbl>
            <c:dLbl>
              <c:idx val="29"/>
              <c:layout>
                <c:manualLayout>
                  <c:x val="-3.0376063053487962E-2"/>
                  <c:y val="6.1037140291573096E-2"/>
                </c:manualLayout>
              </c:layout>
              <c:dLblPos val="r"/>
              <c:showLegendKey val="0"/>
              <c:showVal val="1"/>
              <c:showCatName val="0"/>
              <c:showSerName val="0"/>
              <c:showPercent val="0"/>
              <c:showBubbleSize val="0"/>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Hárok7!$M$30:$M$60</c:f>
              <c:strCache>
                <c:ptCount val="31"/>
                <c:pt idx="0">
                  <c:v>RO</c:v>
                </c:pt>
                <c:pt idx="1">
                  <c:v>BG</c:v>
                </c:pt>
                <c:pt idx="2">
                  <c:v>LV</c:v>
                </c:pt>
                <c:pt idx="3">
                  <c:v>EE</c:v>
                </c:pt>
                <c:pt idx="4">
                  <c:v>LT</c:v>
                </c:pt>
                <c:pt idx="5">
                  <c:v>HR</c:v>
                </c:pt>
                <c:pt idx="6">
                  <c:v>PL</c:v>
                </c:pt>
                <c:pt idx="7">
                  <c:v>SK</c:v>
                </c:pt>
                <c:pt idx="8">
                  <c:v>HU</c:v>
                </c:pt>
                <c:pt idx="9">
                  <c:v>MT</c:v>
                </c:pt>
                <c:pt idx="10">
                  <c:v>CZ</c:v>
                </c:pt>
                <c:pt idx="11">
                  <c:v>PT</c:v>
                </c:pt>
                <c:pt idx="12">
                  <c:v>SI</c:v>
                </c:pt>
                <c:pt idx="13">
                  <c:v>CY</c:v>
                </c:pt>
                <c:pt idx="14">
                  <c:v>ES</c:v>
                </c:pt>
                <c:pt idx="15">
                  <c:v>GR</c:v>
                </c:pt>
                <c:pt idx="16">
                  <c:v>UK</c:v>
                </c:pt>
                <c:pt idx="17">
                  <c:v>EU28</c:v>
                </c:pt>
                <c:pt idx="18">
                  <c:v>IT</c:v>
                </c:pt>
                <c:pt idx="19">
                  <c:v>EA18</c:v>
                </c:pt>
                <c:pt idx="20">
                  <c:v>EU15</c:v>
                </c:pt>
                <c:pt idx="21">
                  <c:v>FI</c:v>
                </c:pt>
                <c:pt idx="22">
                  <c:v>BE</c:v>
                </c:pt>
                <c:pt idx="23">
                  <c:v>SE</c:v>
                </c:pt>
                <c:pt idx="24">
                  <c:v>IE</c:v>
                </c:pt>
                <c:pt idx="25">
                  <c:v>FR</c:v>
                </c:pt>
                <c:pt idx="26">
                  <c:v>DE</c:v>
                </c:pt>
                <c:pt idx="27">
                  <c:v>AT</c:v>
                </c:pt>
                <c:pt idx="28">
                  <c:v>DK</c:v>
                </c:pt>
                <c:pt idx="29">
                  <c:v>NL</c:v>
                </c:pt>
                <c:pt idx="30">
                  <c:v>LU</c:v>
                </c:pt>
              </c:strCache>
            </c:strRef>
          </c:cat>
          <c:val>
            <c:numRef>
              <c:f>Hárok7!$O$30:$O$60</c:f>
              <c:numCache>
                <c:formatCode>General</c:formatCode>
                <c:ptCount val="31"/>
                <c:pt idx="0">
                  <c:v>15.6</c:v>
                </c:pt>
                <c:pt idx="1">
                  <c:v>17.399999999999999</c:v>
                </c:pt>
                <c:pt idx="2">
                  <c:v>14</c:v>
                </c:pt>
                <c:pt idx="3">
                  <c:v>15.4</c:v>
                </c:pt>
                <c:pt idx="4">
                  <c:v>16.5</c:v>
                </c:pt>
                <c:pt idx="5">
                  <c:v>21.2</c:v>
                </c:pt>
                <c:pt idx="6">
                  <c:v>18.100000000000001</c:v>
                </c:pt>
                <c:pt idx="7">
                  <c:v>18.399999999999999</c:v>
                </c:pt>
                <c:pt idx="8">
                  <c:v>21.8</c:v>
                </c:pt>
                <c:pt idx="9">
                  <c:v>19.399999999999999</c:v>
                </c:pt>
                <c:pt idx="10">
                  <c:v>20.8</c:v>
                </c:pt>
                <c:pt idx="11">
                  <c:v>26.9</c:v>
                </c:pt>
                <c:pt idx="12">
                  <c:v>25.4</c:v>
                </c:pt>
                <c:pt idx="13">
                  <c:v>23.1</c:v>
                </c:pt>
                <c:pt idx="14">
                  <c:v>25.9</c:v>
                </c:pt>
                <c:pt idx="15">
                  <c:v>31.2</c:v>
                </c:pt>
                <c:pt idx="16">
                  <c:v>28.8</c:v>
                </c:pt>
                <c:pt idx="17">
                  <c:v>29.5</c:v>
                </c:pt>
                <c:pt idx="18">
                  <c:v>30.3</c:v>
                </c:pt>
                <c:pt idx="19">
                  <c:v>30.4</c:v>
                </c:pt>
                <c:pt idx="20">
                  <c:v>30.4</c:v>
                </c:pt>
                <c:pt idx="21">
                  <c:v>31.2</c:v>
                </c:pt>
                <c:pt idx="22">
                  <c:v>30.8</c:v>
                </c:pt>
                <c:pt idx="23">
                  <c:v>30.5</c:v>
                </c:pt>
                <c:pt idx="24">
                  <c:v>32.5</c:v>
                </c:pt>
                <c:pt idx="25">
                  <c:v>34.200000000000003</c:v>
                </c:pt>
                <c:pt idx="26">
                  <c:v>29.5</c:v>
                </c:pt>
                <c:pt idx="27">
                  <c:v>30.2</c:v>
                </c:pt>
                <c:pt idx="28">
                  <c:v>34.6</c:v>
                </c:pt>
                <c:pt idx="29">
                  <c:v>33.300000000000004</c:v>
                </c:pt>
                <c:pt idx="30">
                  <c:v>23.3</c:v>
                </c:pt>
              </c:numCache>
            </c:numRef>
          </c:val>
          <c:smooth val="0"/>
        </c:ser>
        <c:dLbls>
          <c:showLegendKey val="0"/>
          <c:showVal val="0"/>
          <c:showCatName val="0"/>
          <c:showSerName val="0"/>
          <c:showPercent val="0"/>
          <c:showBubbleSize val="0"/>
        </c:dLbls>
        <c:marker val="1"/>
        <c:smooth val="0"/>
        <c:axId val="245391744"/>
        <c:axId val="245393280"/>
      </c:lineChart>
      <c:catAx>
        <c:axId val="245367936"/>
        <c:scaling>
          <c:orientation val="minMax"/>
        </c:scaling>
        <c:delete val="0"/>
        <c:axPos val="b"/>
        <c:numFmt formatCode="General" sourceLinked="1"/>
        <c:majorTickMark val="out"/>
        <c:minorTickMark val="none"/>
        <c:tickLblPos val="nextTo"/>
        <c:crossAx val="245369472"/>
        <c:crosses val="autoZero"/>
        <c:auto val="1"/>
        <c:lblAlgn val="ctr"/>
        <c:lblOffset val="100"/>
        <c:noMultiLvlLbl val="0"/>
      </c:catAx>
      <c:valAx>
        <c:axId val="245369472"/>
        <c:scaling>
          <c:orientation val="minMax"/>
        </c:scaling>
        <c:delete val="0"/>
        <c:axPos val="l"/>
        <c:majorGridlines/>
        <c:numFmt formatCode="#,##0" sourceLinked="0"/>
        <c:majorTickMark val="out"/>
        <c:minorTickMark val="none"/>
        <c:tickLblPos val="nextTo"/>
        <c:crossAx val="245367936"/>
        <c:crosses val="autoZero"/>
        <c:crossBetween val="between"/>
      </c:valAx>
      <c:catAx>
        <c:axId val="245391744"/>
        <c:scaling>
          <c:orientation val="minMax"/>
        </c:scaling>
        <c:delete val="1"/>
        <c:axPos val="b"/>
        <c:majorTickMark val="out"/>
        <c:minorTickMark val="none"/>
        <c:tickLblPos val="none"/>
        <c:crossAx val="245393280"/>
        <c:crosses val="autoZero"/>
        <c:auto val="1"/>
        <c:lblAlgn val="ctr"/>
        <c:lblOffset val="100"/>
        <c:noMultiLvlLbl val="0"/>
      </c:catAx>
      <c:valAx>
        <c:axId val="245393280"/>
        <c:scaling>
          <c:orientation val="minMax"/>
        </c:scaling>
        <c:delete val="0"/>
        <c:axPos val="r"/>
        <c:title>
          <c:tx>
            <c:rich>
              <a:bodyPr rot="-5400000" vert="horz"/>
              <a:lstStyle/>
              <a:p>
                <a:pPr>
                  <a:defRPr/>
                </a:pPr>
                <a:r>
                  <a:rPr lang="sk-SK"/>
                  <a:t>% HDP</a:t>
                </a:r>
              </a:p>
            </c:rich>
          </c:tx>
          <c:overlay val="0"/>
        </c:title>
        <c:numFmt formatCode="General" sourceLinked="1"/>
        <c:majorTickMark val="out"/>
        <c:minorTickMark val="none"/>
        <c:tickLblPos val="nextTo"/>
        <c:crossAx val="245391744"/>
        <c:crosses val="max"/>
        <c:crossBetween val="between"/>
      </c:valAx>
    </c:plotArea>
    <c:legend>
      <c:legendPos val="r"/>
      <c:layout>
        <c:manualLayout>
          <c:xMode val="edge"/>
          <c:yMode val="edge"/>
          <c:x val="5.6230289261876877E-2"/>
          <c:y val="4.8994691647532944E-2"/>
          <c:w val="0.38181818181818361"/>
          <c:h val="0.10752725801747924"/>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7515122865159E-2"/>
          <c:y val="3.2935550713137994E-2"/>
          <c:w val="0.91237876040999399"/>
          <c:h val="0.66485240464345252"/>
        </c:manualLayout>
      </c:layout>
      <c:barChart>
        <c:barDir val="col"/>
        <c:grouping val="percentStacked"/>
        <c:varyColors val="0"/>
        <c:ser>
          <c:idx val="0"/>
          <c:order val="0"/>
          <c:tx>
            <c:strRef>
              <c:f>Hárok8!$B$2</c:f>
              <c:strCache>
                <c:ptCount val="1"/>
                <c:pt idx="0">
                  <c:v>Choroba-zdravotná starostlivosť</c:v>
                </c:pt>
              </c:strCache>
            </c:strRef>
          </c:tx>
          <c:spPr>
            <a:solidFill>
              <a:schemeClr val="accent1"/>
            </a:solidFill>
            <a:ln>
              <a:solidFill>
                <a:schemeClr val="accent1"/>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Hárok8!$B$3:$B$33</c:f>
              <c:numCache>
                <c:formatCode>#,##0.00</c:formatCode>
                <c:ptCount val="31"/>
                <c:pt idx="0">
                  <c:v>29.62</c:v>
                </c:pt>
                <c:pt idx="1">
                  <c:v>29.77</c:v>
                </c:pt>
                <c:pt idx="2">
                  <c:v>29.6</c:v>
                </c:pt>
                <c:pt idx="3">
                  <c:v>28.979999999999986</c:v>
                </c:pt>
                <c:pt idx="4">
                  <c:v>26.19</c:v>
                </c:pt>
                <c:pt idx="5">
                  <c:v>31.64</c:v>
                </c:pt>
                <c:pt idx="6">
                  <c:v>20.85</c:v>
                </c:pt>
                <c:pt idx="7">
                  <c:v>33.82</c:v>
                </c:pt>
                <c:pt idx="8">
                  <c:v>28.17</c:v>
                </c:pt>
                <c:pt idx="9">
                  <c:v>48.67</c:v>
                </c:pt>
                <c:pt idx="10">
                  <c:v>21.419999999999987</c:v>
                </c:pt>
                <c:pt idx="11">
                  <c:v>26.29</c:v>
                </c:pt>
                <c:pt idx="12">
                  <c:v>28.75</c:v>
                </c:pt>
                <c:pt idx="13">
                  <c:v>34.690000000000012</c:v>
                </c:pt>
                <c:pt idx="14">
                  <c:v>24.06</c:v>
                </c:pt>
                <c:pt idx="15">
                  <c:v>21.779999999999987</c:v>
                </c:pt>
                <c:pt idx="16">
                  <c:v>21.91</c:v>
                </c:pt>
                <c:pt idx="17">
                  <c:v>27.34</c:v>
                </c:pt>
                <c:pt idx="18">
                  <c:v>25.459999999999987</c:v>
                </c:pt>
                <c:pt idx="19">
                  <c:v>23.610000000000031</c:v>
                </c:pt>
                <c:pt idx="20">
                  <c:v>29.71</c:v>
                </c:pt>
                <c:pt idx="21">
                  <c:v>35.950000000000003</c:v>
                </c:pt>
                <c:pt idx="22">
                  <c:v>25.66</c:v>
                </c:pt>
                <c:pt idx="23">
                  <c:v>23.959999999999987</c:v>
                </c:pt>
                <c:pt idx="24">
                  <c:v>24.99</c:v>
                </c:pt>
                <c:pt idx="25">
                  <c:v>26.51</c:v>
                </c:pt>
                <c:pt idx="26">
                  <c:v>32.21</c:v>
                </c:pt>
                <c:pt idx="27">
                  <c:v>30.39</c:v>
                </c:pt>
                <c:pt idx="28">
                  <c:v>25.27</c:v>
                </c:pt>
                <c:pt idx="29">
                  <c:v>25.54</c:v>
                </c:pt>
                <c:pt idx="30">
                  <c:v>32.81</c:v>
                </c:pt>
              </c:numCache>
            </c:numRef>
          </c:val>
        </c:ser>
        <c:ser>
          <c:idx val="1"/>
          <c:order val="1"/>
          <c:tx>
            <c:strRef>
              <c:f>Hárok8!$C$2</c:f>
              <c:strCache>
                <c:ptCount val="1"/>
                <c:pt idx="0">
                  <c:v>Invalidita</c:v>
                </c:pt>
              </c:strCache>
            </c:strRef>
          </c:tx>
          <c:spPr>
            <a:pattFill prst="ltDnDiag">
              <a:fgClr>
                <a:schemeClr val="accent1"/>
              </a:fgClr>
              <a:bgClr>
                <a:schemeClr val="bg1"/>
              </a:bgClr>
            </a:pattFill>
            <a:ln>
              <a:solidFill>
                <a:schemeClr val="accent1"/>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Hárok8!$C$3:$C$33</c:f>
              <c:numCache>
                <c:formatCode>#,##0.00</c:formatCode>
                <c:ptCount val="31"/>
                <c:pt idx="0">
                  <c:v>7.4</c:v>
                </c:pt>
                <c:pt idx="1">
                  <c:v>7.34</c:v>
                </c:pt>
                <c:pt idx="2">
                  <c:v>7.06</c:v>
                </c:pt>
                <c:pt idx="3">
                  <c:v>7.76</c:v>
                </c:pt>
                <c:pt idx="4">
                  <c:v>8.01</c:v>
                </c:pt>
                <c:pt idx="5">
                  <c:v>7.08</c:v>
                </c:pt>
                <c:pt idx="6">
                  <c:v>12.33</c:v>
                </c:pt>
                <c:pt idx="7">
                  <c:v>7.96</c:v>
                </c:pt>
                <c:pt idx="8">
                  <c:v>11.78</c:v>
                </c:pt>
                <c:pt idx="9">
                  <c:v>4.1599999999999975</c:v>
                </c:pt>
                <c:pt idx="10">
                  <c:v>4.49</c:v>
                </c:pt>
                <c:pt idx="11">
                  <c:v>7.2</c:v>
                </c:pt>
                <c:pt idx="12">
                  <c:v>6.53</c:v>
                </c:pt>
                <c:pt idx="13">
                  <c:v>16.899999999999999</c:v>
                </c:pt>
                <c:pt idx="14">
                  <c:v>5.7700000000000014</c:v>
                </c:pt>
                <c:pt idx="15">
                  <c:v>3.4499999999999997</c:v>
                </c:pt>
                <c:pt idx="16">
                  <c:v>8.8600000000000048</c:v>
                </c:pt>
                <c:pt idx="17">
                  <c:v>9.7199999999999989</c:v>
                </c:pt>
                <c:pt idx="18">
                  <c:v>11.13</c:v>
                </c:pt>
                <c:pt idx="19">
                  <c:v>7.5</c:v>
                </c:pt>
                <c:pt idx="20">
                  <c:v>3.8899999999999997</c:v>
                </c:pt>
                <c:pt idx="21">
                  <c:v>7.37</c:v>
                </c:pt>
                <c:pt idx="22">
                  <c:v>7.39</c:v>
                </c:pt>
                <c:pt idx="23">
                  <c:v>8.41</c:v>
                </c:pt>
                <c:pt idx="24">
                  <c:v>7.4</c:v>
                </c:pt>
                <c:pt idx="25">
                  <c:v>8.3500000000000068</c:v>
                </c:pt>
                <c:pt idx="26">
                  <c:v>6.4</c:v>
                </c:pt>
                <c:pt idx="27">
                  <c:v>8.9500000000000028</c:v>
                </c:pt>
                <c:pt idx="28">
                  <c:v>11.56</c:v>
                </c:pt>
                <c:pt idx="29">
                  <c:v>12.96</c:v>
                </c:pt>
                <c:pt idx="30">
                  <c:v>6.81</c:v>
                </c:pt>
              </c:numCache>
            </c:numRef>
          </c:val>
        </c:ser>
        <c:ser>
          <c:idx val="2"/>
          <c:order val="2"/>
          <c:tx>
            <c:strRef>
              <c:f>Hárok8!$D$2</c:f>
              <c:strCache>
                <c:ptCount val="1"/>
                <c:pt idx="0">
                  <c:v>Staroba</c:v>
                </c:pt>
              </c:strCache>
            </c:strRef>
          </c:tx>
          <c:spPr>
            <a:solidFill>
              <a:schemeClr val="accent2"/>
            </a:solidFill>
            <a:ln>
              <a:solidFill>
                <a:schemeClr val="accent2"/>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Hárok8!$D$3:$D$33</c:f>
              <c:numCache>
                <c:formatCode>#,##0.00</c:formatCode>
                <c:ptCount val="31"/>
                <c:pt idx="0">
                  <c:v>40.620000000000012</c:v>
                </c:pt>
                <c:pt idx="1">
                  <c:v>40.32</c:v>
                </c:pt>
                <c:pt idx="2">
                  <c:v>39.340000000000003</c:v>
                </c:pt>
                <c:pt idx="3">
                  <c:v>32.75</c:v>
                </c:pt>
                <c:pt idx="4">
                  <c:v>44.43</c:v>
                </c:pt>
                <c:pt idx="5">
                  <c:v>46.07</c:v>
                </c:pt>
                <c:pt idx="6">
                  <c:v>43.660000000000011</c:v>
                </c:pt>
                <c:pt idx="7">
                  <c:v>33.050000000000004</c:v>
                </c:pt>
                <c:pt idx="8">
                  <c:v>43.96</c:v>
                </c:pt>
                <c:pt idx="9">
                  <c:v>20.58</c:v>
                </c:pt>
                <c:pt idx="10">
                  <c:v>51.28</c:v>
                </c:pt>
                <c:pt idx="11">
                  <c:v>36.25</c:v>
                </c:pt>
                <c:pt idx="12">
                  <c:v>40.050000000000004</c:v>
                </c:pt>
                <c:pt idx="13">
                  <c:v>27.959999999999987</c:v>
                </c:pt>
                <c:pt idx="14">
                  <c:v>52.68</c:v>
                </c:pt>
                <c:pt idx="15">
                  <c:v>46.290000000000013</c:v>
                </c:pt>
                <c:pt idx="16">
                  <c:v>54.31</c:v>
                </c:pt>
                <c:pt idx="17">
                  <c:v>43.68</c:v>
                </c:pt>
                <c:pt idx="18">
                  <c:v>29.38</c:v>
                </c:pt>
                <c:pt idx="19">
                  <c:v>45.85</c:v>
                </c:pt>
                <c:pt idx="20">
                  <c:v>45.54</c:v>
                </c:pt>
                <c:pt idx="21">
                  <c:v>35.870000000000005</c:v>
                </c:pt>
                <c:pt idx="22">
                  <c:v>44.230000000000011</c:v>
                </c:pt>
                <c:pt idx="23">
                  <c:v>49.190000000000012</c:v>
                </c:pt>
                <c:pt idx="24">
                  <c:v>47.24</c:v>
                </c:pt>
                <c:pt idx="25">
                  <c:v>49.41</c:v>
                </c:pt>
                <c:pt idx="26">
                  <c:v>40.450000000000003</c:v>
                </c:pt>
                <c:pt idx="27">
                  <c:v>38.81</c:v>
                </c:pt>
                <c:pt idx="28">
                  <c:v>37.71</c:v>
                </c:pt>
                <c:pt idx="29">
                  <c:v>41.4</c:v>
                </c:pt>
                <c:pt idx="30">
                  <c:v>44.68</c:v>
                </c:pt>
              </c:numCache>
            </c:numRef>
          </c:val>
        </c:ser>
        <c:ser>
          <c:idx val="3"/>
          <c:order val="3"/>
          <c:tx>
            <c:strRef>
              <c:f>Hárok8!$E$2</c:f>
              <c:strCache>
                <c:ptCount val="1"/>
                <c:pt idx="0">
                  <c:v>Pozostalí</c:v>
                </c:pt>
              </c:strCache>
            </c:strRef>
          </c:tx>
          <c:spPr>
            <a:pattFill prst="zigZag">
              <a:fgClr>
                <a:schemeClr val="accent2"/>
              </a:fgClr>
              <a:bgClr>
                <a:schemeClr val="bg1"/>
              </a:bgClr>
            </a:pattFill>
            <a:ln>
              <a:solidFill>
                <a:schemeClr val="accent2"/>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Hárok8!$E$3:$E$33</c:f>
              <c:numCache>
                <c:formatCode>#,##0.00</c:formatCode>
                <c:ptCount val="31"/>
                <c:pt idx="0">
                  <c:v>5.6199999999999966</c:v>
                </c:pt>
                <c:pt idx="1">
                  <c:v>5.54</c:v>
                </c:pt>
                <c:pt idx="2">
                  <c:v>6.89</c:v>
                </c:pt>
                <c:pt idx="3">
                  <c:v>7</c:v>
                </c:pt>
                <c:pt idx="4">
                  <c:v>5.67</c:v>
                </c:pt>
                <c:pt idx="5">
                  <c:v>3.7</c:v>
                </c:pt>
                <c:pt idx="6">
                  <c:v>2.0000000000000011E-2</c:v>
                </c:pt>
                <c:pt idx="7">
                  <c:v>7.1</c:v>
                </c:pt>
                <c:pt idx="8">
                  <c:v>0.5</c:v>
                </c:pt>
                <c:pt idx="9">
                  <c:v>1.6500000000000001</c:v>
                </c:pt>
                <c:pt idx="10">
                  <c:v>8.0300000000000011</c:v>
                </c:pt>
                <c:pt idx="11">
                  <c:v>9.3700000000000028</c:v>
                </c:pt>
                <c:pt idx="12">
                  <c:v>5.63</c:v>
                </c:pt>
                <c:pt idx="13">
                  <c:v>10.02</c:v>
                </c:pt>
                <c:pt idx="14">
                  <c:v>9.2199999999999989</c:v>
                </c:pt>
                <c:pt idx="15">
                  <c:v>6.03</c:v>
                </c:pt>
                <c:pt idx="16">
                  <c:v>1.6300000000000001</c:v>
                </c:pt>
                <c:pt idx="17">
                  <c:v>3.07</c:v>
                </c:pt>
                <c:pt idx="18">
                  <c:v>8.51</c:v>
                </c:pt>
                <c:pt idx="19">
                  <c:v>6.08</c:v>
                </c:pt>
                <c:pt idx="20">
                  <c:v>9.74</c:v>
                </c:pt>
                <c:pt idx="21">
                  <c:v>3.8699999999999997</c:v>
                </c:pt>
                <c:pt idx="22">
                  <c:v>6.4300000000000024</c:v>
                </c:pt>
                <c:pt idx="23">
                  <c:v>10.89</c:v>
                </c:pt>
                <c:pt idx="24">
                  <c:v>7.53</c:v>
                </c:pt>
                <c:pt idx="25">
                  <c:v>4.72</c:v>
                </c:pt>
                <c:pt idx="26">
                  <c:v>6.6899999999999995</c:v>
                </c:pt>
                <c:pt idx="27">
                  <c:v>5.18</c:v>
                </c:pt>
                <c:pt idx="28">
                  <c:v>2.98</c:v>
                </c:pt>
                <c:pt idx="29">
                  <c:v>1.52</c:v>
                </c:pt>
                <c:pt idx="30">
                  <c:v>0.39000000000000101</c:v>
                </c:pt>
              </c:numCache>
            </c:numRef>
          </c:val>
        </c:ser>
        <c:ser>
          <c:idx val="4"/>
          <c:order val="4"/>
          <c:tx>
            <c:strRef>
              <c:f>Hárok8!$F$2</c:f>
              <c:strCache>
                <c:ptCount val="1"/>
                <c:pt idx="0">
                  <c:v>Rodiny-deti</c:v>
                </c:pt>
              </c:strCache>
            </c:strRef>
          </c:tx>
          <c:spPr>
            <a:solidFill>
              <a:schemeClr val="accent2">
                <a:lumMod val="60000"/>
                <a:lumOff val="40000"/>
              </a:schemeClr>
            </a:solidFill>
            <a:ln>
              <a:solidFill>
                <a:schemeClr val="accent2">
                  <a:lumMod val="60000"/>
                  <a:lumOff val="40000"/>
                </a:schemeClr>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Hárok8!$F$3:$F$33</c:f>
              <c:numCache>
                <c:formatCode>#,##0.00</c:formatCode>
                <c:ptCount val="31"/>
                <c:pt idx="0">
                  <c:v>7.81</c:v>
                </c:pt>
                <c:pt idx="1">
                  <c:v>7.84</c:v>
                </c:pt>
                <c:pt idx="2">
                  <c:v>7.85</c:v>
                </c:pt>
                <c:pt idx="3">
                  <c:v>7.31</c:v>
                </c:pt>
                <c:pt idx="4">
                  <c:v>10.56</c:v>
                </c:pt>
                <c:pt idx="5">
                  <c:v>5.51</c:v>
                </c:pt>
                <c:pt idx="6">
                  <c:v>12.16</c:v>
                </c:pt>
                <c:pt idx="7">
                  <c:v>11.18</c:v>
                </c:pt>
                <c:pt idx="8">
                  <c:v>11.450000000000006</c:v>
                </c:pt>
                <c:pt idx="9">
                  <c:v>10.84</c:v>
                </c:pt>
                <c:pt idx="10">
                  <c:v>5.48</c:v>
                </c:pt>
                <c:pt idx="11">
                  <c:v>5.4300000000000024</c:v>
                </c:pt>
                <c:pt idx="12">
                  <c:v>7.94</c:v>
                </c:pt>
                <c:pt idx="13">
                  <c:v>7.89</c:v>
                </c:pt>
                <c:pt idx="14">
                  <c:v>4.76</c:v>
                </c:pt>
                <c:pt idx="15">
                  <c:v>7.14</c:v>
                </c:pt>
                <c:pt idx="16">
                  <c:v>7.22</c:v>
                </c:pt>
                <c:pt idx="17">
                  <c:v>8.75</c:v>
                </c:pt>
                <c:pt idx="18">
                  <c:v>16.18</c:v>
                </c:pt>
                <c:pt idx="19">
                  <c:v>12.33</c:v>
                </c:pt>
                <c:pt idx="20">
                  <c:v>6.24</c:v>
                </c:pt>
                <c:pt idx="21">
                  <c:v>3.5</c:v>
                </c:pt>
                <c:pt idx="22">
                  <c:v>9.4500000000000028</c:v>
                </c:pt>
                <c:pt idx="23">
                  <c:v>4.79</c:v>
                </c:pt>
                <c:pt idx="24">
                  <c:v>4.8899999999999997</c:v>
                </c:pt>
                <c:pt idx="25">
                  <c:v>8.59</c:v>
                </c:pt>
                <c:pt idx="26">
                  <c:v>8.48</c:v>
                </c:pt>
                <c:pt idx="27">
                  <c:v>9.93</c:v>
                </c:pt>
                <c:pt idx="28">
                  <c:v>11.04</c:v>
                </c:pt>
                <c:pt idx="29">
                  <c:v>10.56</c:v>
                </c:pt>
                <c:pt idx="30">
                  <c:v>6.64</c:v>
                </c:pt>
              </c:numCache>
            </c:numRef>
          </c:val>
        </c:ser>
        <c:ser>
          <c:idx val="5"/>
          <c:order val="5"/>
          <c:tx>
            <c:strRef>
              <c:f>Hárok8!$G$2</c:f>
              <c:strCache>
                <c:ptCount val="1"/>
                <c:pt idx="0">
                  <c:v>Nezamestnanosť</c:v>
                </c:pt>
              </c:strCache>
            </c:strRef>
          </c:tx>
          <c:spPr>
            <a:pattFill prst="pct30">
              <a:fgClr>
                <a:schemeClr val="accent2">
                  <a:lumMod val="60000"/>
                  <a:lumOff val="40000"/>
                </a:schemeClr>
              </a:fgClr>
              <a:bgClr>
                <a:schemeClr val="bg1"/>
              </a:bgClr>
            </a:pattFill>
            <a:ln>
              <a:solidFill>
                <a:schemeClr val="accent2">
                  <a:lumMod val="60000"/>
                  <a:lumOff val="40000"/>
                </a:schemeClr>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Hárok8!$G$3:$G$33</c:f>
              <c:numCache>
                <c:formatCode>#,##0.00</c:formatCode>
                <c:ptCount val="31"/>
                <c:pt idx="0">
                  <c:v>5.35</c:v>
                </c:pt>
                <c:pt idx="1">
                  <c:v>5.51</c:v>
                </c:pt>
                <c:pt idx="2">
                  <c:v>6.14</c:v>
                </c:pt>
                <c:pt idx="3">
                  <c:v>12.57</c:v>
                </c:pt>
                <c:pt idx="4">
                  <c:v>3.55</c:v>
                </c:pt>
                <c:pt idx="5">
                  <c:v>3.34</c:v>
                </c:pt>
                <c:pt idx="6">
                  <c:v>5.54</c:v>
                </c:pt>
                <c:pt idx="7">
                  <c:v>4.18</c:v>
                </c:pt>
                <c:pt idx="8">
                  <c:v>3.06</c:v>
                </c:pt>
                <c:pt idx="9">
                  <c:v>11.59</c:v>
                </c:pt>
                <c:pt idx="10">
                  <c:v>6.33</c:v>
                </c:pt>
                <c:pt idx="11">
                  <c:v>14.03</c:v>
                </c:pt>
                <c:pt idx="12">
                  <c:v>6.09</c:v>
                </c:pt>
                <c:pt idx="13">
                  <c:v>2.2200000000000002</c:v>
                </c:pt>
                <c:pt idx="14">
                  <c:v>3.17</c:v>
                </c:pt>
                <c:pt idx="15">
                  <c:v>6.75</c:v>
                </c:pt>
                <c:pt idx="16">
                  <c:v>3.71</c:v>
                </c:pt>
                <c:pt idx="17">
                  <c:v>2.72</c:v>
                </c:pt>
                <c:pt idx="18">
                  <c:v>5.8</c:v>
                </c:pt>
                <c:pt idx="19">
                  <c:v>2.63</c:v>
                </c:pt>
                <c:pt idx="20">
                  <c:v>2.9899999999999998</c:v>
                </c:pt>
                <c:pt idx="21">
                  <c:v>5.6099999999999985</c:v>
                </c:pt>
                <c:pt idx="22">
                  <c:v>5.1599999999999975</c:v>
                </c:pt>
                <c:pt idx="23">
                  <c:v>1.6600000000000001</c:v>
                </c:pt>
                <c:pt idx="24">
                  <c:v>6.81</c:v>
                </c:pt>
                <c:pt idx="25">
                  <c:v>1.1299999999999959</c:v>
                </c:pt>
                <c:pt idx="26">
                  <c:v>3.07</c:v>
                </c:pt>
                <c:pt idx="27">
                  <c:v>4.0199999999999996</c:v>
                </c:pt>
                <c:pt idx="28">
                  <c:v>6.9300000000000024</c:v>
                </c:pt>
                <c:pt idx="29">
                  <c:v>4.1199999999999966</c:v>
                </c:pt>
                <c:pt idx="30">
                  <c:v>2.5299999999999998</c:v>
                </c:pt>
              </c:numCache>
            </c:numRef>
          </c:val>
        </c:ser>
        <c:ser>
          <c:idx val="6"/>
          <c:order val="6"/>
          <c:tx>
            <c:strRef>
              <c:f>Hárok8!$H$2</c:f>
              <c:strCache>
                <c:ptCount val="1"/>
                <c:pt idx="0">
                  <c:v>Bývanie</c:v>
                </c:pt>
              </c:strCache>
            </c:strRef>
          </c:tx>
          <c:spPr>
            <a:solidFill>
              <a:schemeClr val="accent3"/>
            </a:solidFill>
            <a:ln>
              <a:solidFill>
                <a:schemeClr val="accent3"/>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Hárok8!$H$3:$H$33</c:f>
              <c:numCache>
                <c:formatCode>#,##0.00</c:formatCode>
                <c:ptCount val="31"/>
                <c:pt idx="0">
                  <c:v>2.08</c:v>
                </c:pt>
                <c:pt idx="1">
                  <c:v>2.16</c:v>
                </c:pt>
                <c:pt idx="2">
                  <c:v>1.5</c:v>
                </c:pt>
                <c:pt idx="3">
                  <c:v>0.87000000000000177</c:v>
                </c:pt>
                <c:pt idx="4">
                  <c:v>8.0000000000000043E-2</c:v>
                </c:pt>
                <c:pt idx="5">
                  <c:v>0.97000000000000064</c:v>
                </c:pt>
                <c:pt idx="6">
                  <c:v>2.1800000000000002</c:v>
                </c:pt>
                <c:pt idx="7">
                  <c:v>2.15</c:v>
                </c:pt>
                <c:pt idx="8">
                  <c:v>0.29000000000000031</c:v>
                </c:pt>
                <c:pt idx="9">
                  <c:v>1.6300000000000001</c:v>
                </c:pt>
                <c:pt idx="10">
                  <c:v>0.83000000000000063</c:v>
                </c:pt>
                <c:pt idx="11">
                  <c:v>0.58000000000000007</c:v>
                </c:pt>
                <c:pt idx="12">
                  <c:v>2.61</c:v>
                </c:pt>
                <c:pt idx="13">
                  <c:v>0.11</c:v>
                </c:pt>
                <c:pt idx="14">
                  <c:v>7.0000000000000021E-2</c:v>
                </c:pt>
                <c:pt idx="15">
                  <c:v>2.7800000000000002</c:v>
                </c:pt>
                <c:pt idx="16">
                  <c:v>0.96000000000000063</c:v>
                </c:pt>
                <c:pt idx="17">
                  <c:v>2.0000000000000011E-2</c:v>
                </c:pt>
                <c:pt idx="18">
                  <c:v>1.28</c:v>
                </c:pt>
                <c:pt idx="19">
                  <c:v>1.56</c:v>
                </c:pt>
                <c:pt idx="20">
                  <c:v>0.42000000000000032</c:v>
                </c:pt>
                <c:pt idx="21">
                  <c:v>1.23</c:v>
                </c:pt>
                <c:pt idx="22">
                  <c:v>0.44</c:v>
                </c:pt>
                <c:pt idx="23">
                  <c:v>0.33000000000000113</c:v>
                </c:pt>
                <c:pt idx="24">
                  <c:v>1.0000000000000005E-2</c:v>
                </c:pt>
                <c:pt idx="25">
                  <c:v>0.13</c:v>
                </c:pt>
                <c:pt idx="26">
                  <c:v>7.0000000000000021E-2</c:v>
                </c:pt>
                <c:pt idx="27">
                  <c:v>0.37000000000000038</c:v>
                </c:pt>
                <c:pt idx="28">
                  <c:v>1.79</c:v>
                </c:pt>
                <c:pt idx="29">
                  <c:v>1.59</c:v>
                </c:pt>
                <c:pt idx="30">
                  <c:v>5.55</c:v>
                </c:pt>
              </c:numCache>
            </c:numRef>
          </c:val>
        </c:ser>
        <c:ser>
          <c:idx val="7"/>
          <c:order val="7"/>
          <c:tx>
            <c:strRef>
              <c:f>Hárok8!$I$2</c:f>
              <c:strCache>
                <c:ptCount val="1"/>
                <c:pt idx="0">
                  <c:v>Sociálne vylúčenie</c:v>
                </c:pt>
              </c:strCache>
            </c:strRef>
          </c:tx>
          <c:spPr>
            <a:pattFill prst="dkUpDiag">
              <a:fgClr>
                <a:schemeClr val="accent3"/>
              </a:fgClr>
              <a:bgClr>
                <a:schemeClr val="bg1"/>
              </a:bgClr>
            </a:pattFill>
            <a:ln>
              <a:solidFill>
                <a:schemeClr val="accent3"/>
              </a:solidFill>
            </a:ln>
          </c:spPr>
          <c:invertIfNegative val="0"/>
          <c:cat>
            <c:strRef>
              <c:f>Hárok8!$A$3:$A$33</c:f>
              <c:strCache>
                <c:ptCount val="31"/>
                <c:pt idx="0">
                  <c:v>EU28</c:v>
                </c:pt>
                <c:pt idx="1">
                  <c:v>EU15</c:v>
                </c:pt>
                <c:pt idx="2">
                  <c:v>EA18</c:v>
                </c:pt>
                <c:pt idx="3">
                  <c:v>BE</c:v>
                </c:pt>
                <c:pt idx="4">
                  <c:v>BG</c:v>
                </c:pt>
                <c:pt idx="5">
                  <c:v>CZ</c:v>
                </c:pt>
                <c:pt idx="6">
                  <c:v>DK</c:v>
                </c:pt>
                <c:pt idx="7">
                  <c:v>DE</c:v>
                </c:pt>
                <c:pt idx="8">
                  <c:v>EE</c:v>
                </c:pt>
                <c:pt idx="9">
                  <c:v>IE</c:v>
                </c:pt>
                <c:pt idx="10">
                  <c:v>GR</c:v>
                </c:pt>
                <c:pt idx="11">
                  <c:v>ES</c:v>
                </c:pt>
                <c:pt idx="12">
                  <c:v>FR</c:v>
                </c:pt>
                <c:pt idx="13">
                  <c:v>HR</c:v>
                </c:pt>
                <c:pt idx="14">
                  <c:v>IT</c:v>
                </c:pt>
                <c:pt idx="15">
                  <c:v>CY</c:v>
                </c:pt>
                <c:pt idx="16">
                  <c:v>LV</c:v>
                </c:pt>
                <c:pt idx="17">
                  <c:v>LT</c:v>
                </c:pt>
                <c:pt idx="18">
                  <c:v>LU</c:v>
                </c:pt>
                <c:pt idx="19">
                  <c:v>HU</c:v>
                </c:pt>
                <c:pt idx="20">
                  <c:v>MT</c:v>
                </c:pt>
                <c:pt idx="21">
                  <c:v>NL</c:v>
                </c:pt>
                <c:pt idx="22">
                  <c:v>AT</c:v>
                </c:pt>
                <c:pt idx="23">
                  <c:v>PL</c:v>
                </c:pt>
                <c:pt idx="24">
                  <c:v>PT</c:v>
                </c:pt>
                <c:pt idx="25">
                  <c:v>RO</c:v>
                </c:pt>
                <c:pt idx="26">
                  <c:v>SI</c:v>
                </c:pt>
                <c:pt idx="27">
                  <c:v>SK</c:v>
                </c:pt>
                <c:pt idx="28">
                  <c:v>FI</c:v>
                </c:pt>
                <c:pt idx="29">
                  <c:v>SE</c:v>
                </c:pt>
                <c:pt idx="30">
                  <c:v>UK</c:v>
                </c:pt>
              </c:strCache>
            </c:strRef>
          </c:cat>
          <c:val>
            <c:numRef>
              <c:f>Hárok8!$I$3:$I$33</c:f>
              <c:numCache>
                <c:formatCode>#,##0.00</c:formatCode>
                <c:ptCount val="31"/>
                <c:pt idx="0">
                  <c:v>1.5</c:v>
                </c:pt>
                <c:pt idx="1">
                  <c:v>1.51</c:v>
                </c:pt>
                <c:pt idx="2">
                  <c:v>1.62</c:v>
                </c:pt>
                <c:pt idx="3">
                  <c:v>2.7600000000000002</c:v>
                </c:pt>
                <c:pt idx="4">
                  <c:v>1.51</c:v>
                </c:pt>
                <c:pt idx="5">
                  <c:v>1.6900000000000035</c:v>
                </c:pt>
                <c:pt idx="6">
                  <c:v>3.2600000000000002</c:v>
                </c:pt>
                <c:pt idx="7">
                  <c:v>0.56999999999999995</c:v>
                </c:pt>
                <c:pt idx="8">
                  <c:v>0.79</c:v>
                </c:pt>
                <c:pt idx="9">
                  <c:v>0.89</c:v>
                </c:pt>
                <c:pt idx="10">
                  <c:v>2.14</c:v>
                </c:pt>
                <c:pt idx="11">
                  <c:v>0.84000000000000064</c:v>
                </c:pt>
                <c:pt idx="12">
                  <c:v>2.4</c:v>
                </c:pt>
                <c:pt idx="13">
                  <c:v>0.22</c:v>
                </c:pt>
                <c:pt idx="14">
                  <c:v>0.26</c:v>
                </c:pt>
                <c:pt idx="15">
                  <c:v>5.7700000000000014</c:v>
                </c:pt>
                <c:pt idx="16">
                  <c:v>1.3900000000000001</c:v>
                </c:pt>
                <c:pt idx="17">
                  <c:v>4.7</c:v>
                </c:pt>
                <c:pt idx="18">
                  <c:v>2.2599999999999998</c:v>
                </c:pt>
                <c:pt idx="19">
                  <c:v>0.46</c:v>
                </c:pt>
                <c:pt idx="20">
                  <c:v>1.47</c:v>
                </c:pt>
                <c:pt idx="21">
                  <c:v>6.6</c:v>
                </c:pt>
                <c:pt idx="22">
                  <c:v>1.23</c:v>
                </c:pt>
                <c:pt idx="23">
                  <c:v>0.77000000000000202</c:v>
                </c:pt>
                <c:pt idx="24">
                  <c:v>1.1399999999999959</c:v>
                </c:pt>
                <c:pt idx="25">
                  <c:v>1.1700000000000021</c:v>
                </c:pt>
                <c:pt idx="26">
                  <c:v>2.62</c:v>
                </c:pt>
                <c:pt idx="27">
                  <c:v>2.36</c:v>
                </c:pt>
                <c:pt idx="28">
                  <c:v>2.72</c:v>
                </c:pt>
                <c:pt idx="29">
                  <c:v>2.3099999999999987</c:v>
                </c:pt>
                <c:pt idx="30">
                  <c:v>0.60000000000000064</c:v>
                </c:pt>
              </c:numCache>
            </c:numRef>
          </c:val>
        </c:ser>
        <c:dLbls>
          <c:showLegendKey val="0"/>
          <c:showVal val="0"/>
          <c:showCatName val="0"/>
          <c:showSerName val="0"/>
          <c:showPercent val="0"/>
          <c:showBubbleSize val="0"/>
        </c:dLbls>
        <c:gapWidth val="54"/>
        <c:overlap val="100"/>
        <c:axId val="245454720"/>
        <c:axId val="245456256"/>
      </c:barChart>
      <c:catAx>
        <c:axId val="245454720"/>
        <c:scaling>
          <c:orientation val="minMax"/>
        </c:scaling>
        <c:delete val="0"/>
        <c:axPos val="b"/>
        <c:numFmt formatCode="General" sourceLinked="1"/>
        <c:majorTickMark val="out"/>
        <c:minorTickMark val="none"/>
        <c:tickLblPos val="nextTo"/>
        <c:crossAx val="245456256"/>
        <c:crosses val="autoZero"/>
        <c:auto val="1"/>
        <c:lblAlgn val="ctr"/>
        <c:lblOffset val="100"/>
        <c:noMultiLvlLbl val="0"/>
      </c:catAx>
      <c:valAx>
        <c:axId val="245456256"/>
        <c:scaling>
          <c:orientation val="minMax"/>
        </c:scaling>
        <c:delete val="0"/>
        <c:axPos val="l"/>
        <c:majorGridlines/>
        <c:numFmt formatCode="0%" sourceLinked="1"/>
        <c:majorTickMark val="out"/>
        <c:minorTickMark val="none"/>
        <c:tickLblPos val="nextTo"/>
        <c:crossAx val="245454720"/>
        <c:crosses val="autoZero"/>
        <c:crossBetween val="between"/>
        <c:majorUnit val="0.1"/>
      </c:valAx>
    </c:plotArea>
    <c:legend>
      <c:legendPos val="b"/>
      <c:layout>
        <c:manualLayout>
          <c:xMode val="edge"/>
          <c:yMode val="edge"/>
          <c:x val="0.13775177029889218"/>
          <c:y val="0.84108503024799663"/>
          <c:w val="0.85840246631421213"/>
          <c:h val="0.15891513560804968"/>
        </c:manualLayout>
      </c:layout>
      <c:overlay val="0"/>
      <c:txPr>
        <a:bodyPr/>
        <a:lstStyle/>
        <a:p>
          <a:pPr>
            <a:defRPr sz="90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4"/>
            <c:invertIfNegative val="0"/>
            <c:bubble3D val="0"/>
            <c:spPr>
              <a:pattFill prst="dkUpDiag">
                <a:fgClr>
                  <a:schemeClr val="accent2"/>
                </a:fgClr>
                <a:bgClr>
                  <a:schemeClr val="bg1"/>
                </a:bgClr>
              </a:pattFill>
              <a:ln>
                <a:solidFill>
                  <a:schemeClr val="accent2"/>
                </a:solidFill>
              </a:ln>
            </c:spPr>
          </c:dPt>
          <c:dLbls>
            <c:txPr>
              <a:bodyPr rot="-5400000" vert="horz"/>
              <a:lstStyle/>
              <a:p>
                <a:pPr>
                  <a:defRPr/>
                </a:pPr>
                <a:endParaRPr lang="sk-SK"/>
              </a:p>
            </c:txPr>
            <c:showLegendKey val="0"/>
            <c:showVal val="1"/>
            <c:showCatName val="0"/>
            <c:showSerName val="0"/>
            <c:showPercent val="0"/>
            <c:showBubbleSize val="0"/>
            <c:showLeaderLines val="0"/>
          </c:dLbls>
          <c:cat>
            <c:strRef>
              <c:f>Hárok8!$D$46:$D$73</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Hárok8!$E$46:$E$73</c:f>
              <c:numCache>
                <c:formatCode>0.0</c:formatCode>
                <c:ptCount val="28"/>
                <c:pt idx="0">
                  <c:v>5.111907053898646</c:v>
                </c:pt>
                <c:pt idx="1">
                  <c:v>4.2442899928257178</c:v>
                </c:pt>
                <c:pt idx="2">
                  <c:v>2.2141045705696998</c:v>
                </c:pt>
                <c:pt idx="3">
                  <c:v>5.3162751569913294</c:v>
                </c:pt>
                <c:pt idx="4">
                  <c:v>11.945136351380231</c:v>
                </c:pt>
                <c:pt idx="5">
                  <c:v>0.83483305217519077</c:v>
                </c:pt>
                <c:pt idx="6">
                  <c:v>26.954774850950514</c:v>
                </c:pt>
                <c:pt idx="7">
                  <c:v>5.6563230380192415</c:v>
                </c:pt>
                <c:pt idx="8">
                  <c:v>14.610941872165629</c:v>
                </c:pt>
                <c:pt idx="9">
                  <c:v>10.868115305384805</c:v>
                </c:pt>
                <c:pt idx="10">
                  <c:v>6.6904335809741964</c:v>
                </c:pt>
                <c:pt idx="11">
                  <c:v>6.2879293152747424</c:v>
                </c:pt>
                <c:pt idx="12">
                  <c:v>14.295727395404873</c:v>
                </c:pt>
                <c:pt idx="13">
                  <c:v>2.8349601292678659</c:v>
                </c:pt>
                <c:pt idx="14">
                  <c:v>5.8372259003510321</c:v>
                </c:pt>
                <c:pt idx="15">
                  <c:v>3.6132114547462804</c:v>
                </c:pt>
                <c:pt idx="16">
                  <c:v>4.1677188829352758</c:v>
                </c:pt>
                <c:pt idx="17">
                  <c:v>12.856168535920016</c:v>
                </c:pt>
                <c:pt idx="18">
                  <c:v>15.315057152864044</c:v>
                </c:pt>
                <c:pt idx="19">
                  <c:v>7.7772806402046424</c:v>
                </c:pt>
                <c:pt idx="20">
                  <c:v>4.1803596506280325</c:v>
                </c:pt>
                <c:pt idx="21">
                  <c:v>8.8732127477133691</c:v>
                </c:pt>
                <c:pt idx="22">
                  <c:v>4.0591843779409409</c:v>
                </c:pt>
                <c:pt idx="23">
                  <c:v>7.6667564413322555</c:v>
                </c:pt>
                <c:pt idx="24">
                  <c:v>5.3036487089431281</c:v>
                </c:pt>
                <c:pt idx="25">
                  <c:v>5.0423826334308304</c:v>
                </c:pt>
                <c:pt idx="26">
                  <c:v>2.7104159811586976</c:v>
                </c:pt>
                <c:pt idx="27">
                  <c:v>14.58254342885159</c:v>
                </c:pt>
              </c:numCache>
            </c:numRef>
          </c:val>
        </c:ser>
        <c:dLbls>
          <c:showLegendKey val="0"/>
          <c:showVal val="0"/>
          <c:showCatName val="0"/>
          <c:showSerName val="0"/>
          <c:showPercent val="0"/>
          <c:showBubbleSize val="0"/>
        </c:dLbls>
        <c:gapWidth val="38"/>
        <c:axId val="245470336"/>
        <c:axId val="245471872"/>
      </c:barChart>
      <c:catAx>
        <c:axId val="245470336"/>
        <c:scaling>
          <c:orientation val="minMax"/>
        </c:scaling>
        <c:delete val="0"/>
        <c:axPos val="b"/>
        <c:numFmt formatCode="General" sourceLinked="1"/>
        <c:majorTickMark val="out"/>
        <c:minorTickMark val="none"/>
        <c:tickLblPos val="nextTo"/>
        <c:crossAx val="245471872"/>
        <c:crosses val="autoZero"/>
        <c:auto val="1"/>
        <c:lblAlgn val="ctr"/>
        <c:lblOffset val="100"/>
        <c:noMultiLvlLbl val="0"/>
      </c:catAx>
      <c:valAx>
        <c:axId val="245471872"/>
        <c:scaling>
          <c:orientation val="minMax"/>
        </c:scaling>
        <c:delete val="0"/>
        <c:axPos val="l"/>
        <c:majorGridlines/>
        <c:title>
          <c:tx>
            <c:rich>
              <a:bodyPr rot="0" vert="horz"/>
              <a:lstStyle/>
              <a:p>
                <a:pPr>
                  <a:defRPr/>
                </a:pPr>
                <a:r>
                  <a:rPr lang="sk-SK"/>
                  <a:t>%</a:t>
                </a:r>
              </a:p>
            </c:rich>
          </c:tx>
          <c:overlay val="0"/>
        </c:title>
        <c:numFmt formatCode="0.0" sourceLinked="1"/>
        <c:majorTickMark val="out"/>
        <c:minorTickMark val="none"/>
        <c:tickLblPos val="nextTo"/>
        <c:crossAx val="245470336"/>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2005272743501092E-2"/>
          <c:w val="0.84517825896762899"/>
          <c:h val="0.69882735305768262"/>
        </c:manualLayout>
      </c:layout>
      <c:lineChart>
        <c:grouping val="standard"/>
        <c:varyColors val="0"/>
        <c:ser>
          <c:idx val="0"/>
          <c:order val="0"/>
          <c:tx>
            <c:strRef>
              <c:f>'aspoň jeden deň'!$I$9</c:f>
              <c:strCache>
                <c:ptCount val="1"/>
                <c:pt idx="0">
                  <c:v>2013</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deň'!$I$10:$I$21</c:f>
              <c:numCache>
                <c:formatCode>#,##0</c:formatCode>
                <c:ptCount val="12"/>
                <c:pt idx="0">
                  <c:v>297422</c:v>
                </c:pt>
                <c:pt idx="1">
                  <c:v>339823</c:v>
                </c:pt>
                <c:pt idx="2">
                  <c:v>373419</c:v>
                </c:pt>
                <c:pt idx="3">
                  <c:v>404049</c:v>
                </c:pt>
                <c:pt idx="4">
                  <c:v>414848</c:v>
                </c:pt>
                <c:pt idx="5">
                  <c:v>423167</c:v>
                </c:pt>
                <c:pt idx="6">
                  <c:v>429771</c:v>
                </c:pt>
                <c:pt idx="7">
                  <c:v>434558</c:v>
                </c:pt>
                <c:pt idx="8">
                  <c:v>434899</c:v>
                </c:pt>
                <c:pt idx="9">
                  <c:v>446163</c:v>
                </c:pt>
                <c:pt idx="10">
                  <c:v>456482</c:v>
                </c:pt>
                <c:pt idx="11">
                  <c:v>440316</c:v>
                </c:pt>
              </c:numCache>
            </c:numRef>
          </c:val>
          <c:smooth val="0"/>
        </c:ser>
        <c:ser>
          <c:idx val="1"/>
          <c:order val="1"/>
          <c:tx>
            <c:strRef>
              <c:f>'aspoň jeden deň'!$J$9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deň'!$J$10:$J$21</c:f>
              <c:numCache>
                <c:formatCode>#,##0</c:formatCode>
                <c:ptCount val="12"/>
                <c:pt idx="0">
                  <c:v>369390</c:v>
                </c:pt>
                <c:pt idx="1">
                  <c:v>392731</c:v>
                </c:pt>
                <c:pt idx="2">
                  <c:v>416046</c:v>
                </c:pt>
                <c:pt idx="3">
                  <c:v>427702</c:v>
                </c:pt>
                <c:pt idx="4">
                  <c:v>445976</c:v>
                </c:pt>
                <c:pt idx="5">
                  <c:v>462241</c:v>
                </c:pt>
                <c:pt idx="6">
                  <c:v>459055</c:v>
                </c:pt>
                <c:pt idx="7">
                  <c:v>461065</c:v>
                </c:pt>
                <c:pt idx="8">
                  <c:v>458812</c:v>
                </c:pt>
                <c:pt idx="9">
                  <c:v>465965</c:v>
                </c:pt>
                <c:pt idx="10">
                  <c:v>466695</c:v>
                </c:pt>
                <c:pt idx="11">
                  <c:v>455211</c:v>
                </c:pt>
              </c:numCache>
            </c:numRef>
          </c:val>
          <c:smooth val="0"/>
        </c:ser>
        <c:dLbls>
          <c:showLegendKey val="0"/>
          <c:showVal val="0"/>
          <c:showCatName val="0"/>
          <c:showSerName val="0"/>
          <c:showPercent val="0"/>
          <c:showBubbleSize val="0"/>
        </c:dLbls>
        <c:marker val="1"/>
        <c:smooth val="0"/>
        <c:axId val="231716352"/>
        <c:axId val="231717888"/>
      </c:lineChart>
      <c:catAx>
        <c:axId val="231716352"/>
        <c:scaling>
          <c:orientation val="minMax"/>
        </c:scaling>
        <c:delete val="0"/>
        <c:axPos val="b"/>
        <c:numFmt formatCode="General" sourceLinked="1"/>
        <c:majorTickMark val="out"/>
        <c:minorTickMark val="none"/>
        <c:tickLblPos val="nextTo"/>
        <c:crossAx val="231717888"/>
        <c:crosses val="autoZero"/>
        <c:auto val="1"/>
        <c:lblAlgn val="ctr"/>
        <c:lblOffset val="100"/>
        <c:noMultiLvlLbl val="0"/>
      </c:catAx>
      <c:valAx>
        <c:axId val="231717888"/>
        <c:scaling>
          <c:orientation val="minMax"/>
          <c:min val="250000"/>
        </c:scaling>
        <c:delete val="0"/>
        <c:axPos val="l"/>
        <c:majorGridlines/>
        <c:numFmt formatCode="#,##0" sourceLinked="1"/>
        <c:majorTickMark val="out"/>
        <c:minorTickMark val="none"/>
        <c:tickLblPos val="nextTo"/>
        <c:crossAx val="231716352"/>
        <c:crosses val="autoZero"/>
        <c:crossBetween val="between"/>
      </c:valAx>
    </c:plotArea>
    <c:legend>
      <c:legendPos val="t"/>
      <c:layout>
        <c:manualLayout>
          <c:xMode val="edge"/>
          <c:yMode val="edge"/>
          <c:x val="0.15333333333333446"/>
          <c:y val="7.4994141082727908E-2"/>
          <c:w val="0.29333333333333333"/>
          <c:h val="7.9461793831232364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00437445319363E-2"/>
          <c:y val="5.0925925925925923E-2"/>
          <c:w val="0.84859645669291361"/>
          <c:h val="0.73738412698412692"/>
        </c:manualLayout>
      </c:layout>
      <c:barChart>
        <c:barDir val="col"/>
        <c:grouping val="clustered"/>
        <c:varyColors val="0"/>
        <c:ser>
          <c:idx val="0"/>
          <c:order val="0"/>
          <c:tx>
            <c:strRef>
              <c:f>Hárok1!$Q$13</c:f>
              <c:strCache>
                <c:ptCount val="1"/>
                <c:pt idx="0">
                  <c:v>v PPS na osobu</c:v>
                </c:pt>
              </c:strCache>
            </c:strRef>
          </c:tx>
          <c:spPr>
            <a:solidFill>
              <a:schemeClr val="accent2"/>
            </a:solidFill>
          </c:spPr>
          <c:invertIfNegative val="0"/>
          <c:dPt>
            <c:idx val="7"/>
            <c:invertIfNegative val="0"/>
            <c:bubble3D val="0"/>
            <c:spPr>
              <a:pattFill prst="pct30">
                <a:fgClr>
                  <a:schemeClr val="accent2"/>
                </a:fgClr>
                <a:bgClr>
                  <a:schemeClr val="bg1"/>
                </a:bgClr>
              </a:pattFill>
              <a:ln>
                <a:solidFill>
                  <a:schemeClr val="accent2"/>
                </a:solidFill>
              </a:ln>
            </c:spPr>
          </c:dPt>
          <c:cat>
            <c:strRef>
              <c:f>Hárok1!$P$14:$P$44</c:f>
              <c:strCache>
                <c:ptCount val="31"/>
                <c:pt idx="0">
                  <c:v>BG</c:v>
                </c:pt>
                <c:pt idx="1">
                  <c:v>RO</c:v>
                </c:pt>
                <c:pt idx="2">
                  <c:v>LV</c:v>
                </c:pt>
                <c:pt idx="3">
                  <c:v>LT</c:v>
                </c:pt>
                <c:pt idx="4">
                  <c:v>EE</c:v>
                </c:pt>
                <c:pt idx="5">
                  <c:v>HR</c:v>
                </c:pt>
                <c:pt idx="6">
                  <c:v>HU</c:v>
                </c:pt>
                <c:pt idx="7">
                  <c:v>SK</c:v>
                </c:pt>
                <c:pt idx="8">
                  <c:v>PL</c:v>
                </c:pt>
                <c:pt idx="9">
                  <c:v>MT</c:v>
                </c:pt>
                <c:pt idx="10">
                  <c:v>CZ</c:v>
                </c:pt>
                <c:pt idx="11">
                  <c:v>IE</c:v>
                </c:pt>
                <c:pt idx="12">
                  <c:v>CY</c:v>
                </c:pt>
                <c:pt idx="13">
                  <c:v>SI</c:v>
                </c:pt>
                <c:pt idx="14">
                  <c:v>ES</c:v>
                </c:pt>
                <c:pt idx="15">
                  <c:v>PT</c:v>
                </c:pt>
                <c:pt idx="16">
                  <c:v>UK</c:v>
                </c:pt>
                <c:pt idx="17">
                  <c:v>EU28</c:v>
                </c:pt>
                <c:pt idx="18">
                  <c:v>GR</c:v>
                </c:pt>
                <c:pt idx="19">
                  <c:v>BE</c:v>
                </c:pt>
                <c:pt idx="20">
                  <c:v>SE</c:v>
                </c:pt>
                <c:pt idx="21">
                  <c:v>FI</c:v>
                </c:pt>
                <c:pt idx="22">
                  <c:v>EU15</c:v>
                </c:pt>
                <c:pt idx="23">
                  <c:v>EA18</c:v>
                </c:pt>
                <c:pt idx="24">
                  <c:v>DE</c:v>
                </c:pt>
                <c:pt idx="25">
                  <c:v>IT</c:v>
                </c:pt>
                <c:pt idx="26">
                  <c:v>NL</c:v>
                </c:pt>
                <c:pt idx="27">
                  <c:v>FR</c:v>
                </c:pt>
                <c:pt idx="28">
                  <c:v>DK</c:v>
                </c:pt>
                <c:pt idx="29">
                  <c:v>AT</c:v>
                </c:pt>
                <c:pt idx="30">
                  <c:v>LU</c:v>
                </c:pt>
              </c:strCache>
            </c:strRef>
          </c:cat>
          <c:val>
            <c:numRef>
              <c:f>Hárok1!$Q$14:$Q$44</c:f>
              <c:numCache>
                <c:formatCode>#,##0.00</c:formatCode>
                <c:ptCount val="31"/>
                <c:pt idx="0">
                  <c:v>1073</c:v>
                </c:pt>
                <c:pt idx="1">
                  <c:v>1183.6499999999999</c:v>
                </c:pt>
                <c:pt idx="2">
                  <c:v>1363.05</c:v>
                </c:pt>
                <c:pt idx="3">
                  <c:v>1444.23</c:v>
                </c:pt>
                <c:pt idx="4">
                  <c:v>1456.79</c:v>
                </c:pt>
                <c:pt idx="5">
                  <c:v>1648.81</c:v>
                </c:pt>
                <c:pt idx="6">
                  <c:v>1700.09</c:v>
                </c:pt>
                <c:pt idx="7">
                  <c:v>1707.71</c:v>
                </c:pt>
                <c:pt idx="8">
                  <c:v>2066.16</c:v>
                </c:pt>
                <c:pt idx="9">
                  <c:v>2103.5700000000002</c:v>
                </c:pt>
                <c:pt idx="10">
                  <c:v>2112.7599999999998</c:v>
                </c:pt>
                <c:pt idx="11">
                  <c:v>2174.58</c:v>
                </c:pt>
                <c:pt idx="12">
                  <c:v>2181.61</c:v>
                </c:pt>
                <c:pt idx="13">
                  <c:v>2416.65</c:v>
                </c:pt>
                <c:pt idx="14">
                  <c:v>2792.4300000000012</c:v>
                </c:pt>
                <c:pt idx="15">
                  <c:v>2792.9300000000012</c:v>
                </c:pt>
                <c:pt idx="16">
                  <c:v>3172.72</c:v>
                </c:pt>
                <c:pt idx="17">
                  <c:v>3398.8500000000022</c:v>
                </c:pt>
                <c:pt idx="18">
                  <c:v>3425.9300000000012</c:v>
                </c:pt>
                <c:pt idx="19">
                  <c:v>3707.9300000000012</c:v>
                </c:pt>
                <c:pt idx="20">
                  <c:v>3749.2799999999997</c:v>
                </c:pt>
                <c:pt idx="21">
                  <c:v>3766.9900000000002</c:v>
                </c:pt>
                <c:pt idx="22">
                  <c:v>3775.59</c:v>
                </c:pt>
                <c:pt idx="23">
                  <c:v>3835.5</c:v>
                </c:pt>
                <c:pt idx="24">
                  <c:v>4062.7799999999997</c:v>
                </c:pt>
                <c:pt idx="25">
                  <c:v>4266.43</c:v>
                </c:pt>
                <c:pt idx="26">
                  <c:v>4301.29</c:v>
                </c:pt>
                <c:pt idx="27">
                  <c:v>4309.03</c:v>
                </c:pt>
                <c:pt idx="28">
                  <c:v>4382.68</c:v>
                </c:pt>
                <c:pt idx="29">
                  <c:v>4961.3200000000024</c:v>
                </c:pt>
                <c:pt idx="30">
                  <c:v>5824.63</c:v>
                </c:pt>
              </c:numCache>
            </c:numRef>
          </c:val>
        </c:ser>
        <c:ser>
          <c:idx val="2"/>
          <c:order val="2"/>
          <c:tx>
            <c:strRef>
              <c:f>Hárok1!$S$13</c:f>
              <c:strCache>
                <c:ptCount val="1"/>
                <c:pt idx="0">
                  <c:v>Euro per inhabitant (at constant 2005 prices)</c:v>
                </c:pt>
              </c:strCache>
            </c:strRef>
          </c:tx>
          <c:spPr>
            <a:solidFill>
              <a:schemeClr val="accent3">
                <a:lumMod val="40000"/>
                <a:lumOff val="60000"/>
              </a:schemeClr>
            </a:solidFill>
            <a:ln w="28575">
              <a:noFill/>
            </a:ln>
          </c:spPr>
          <c:invertIfNegative val="0"/>
          <c:dPt>
            <c:idx val="7"/>
            <c:invertIfNegative val="0"/>
            <c:bubble3D val="0"/>
            <c:spPr>
              <a:pattFill prst="pct30">
                <a:fgClr>
                  <a:schemeClr val="accent3">
                    <a:lumMod val="40000"/>
                    <a:lumOff val="60000"/>
                  </a:schemeClr>
                </a:fgClr>
                <a:bgClr>
                  <a:schemeClr val="bg1"/>
                </a:bgClr>
              </a:pattFill>
              <a:ln w="9525">
                <a:solidFill>
                  <a:schemeClr val="accent3">
                    <a:lumMod val="40000"/>
                    <a:lumOff val="60000"/>
                  </a:schemeClr>
                </a:solidFill>
              </a:ln>
            </c:spPr>
          </c:dPt>
          <c:cat>
            <c:strRef>
              <c:f>Hárok1!$P$14:$P$44</c:f>
              <c:strCache>
                <c:ptCount val="31"/>
                <c:pt idx="0">
                  <c:v>BG</c:v>
                </c:pt>
                <c:pt idx="1">
                  <c:v>RO</c:v>
                </c:pt>
                <c:pt idx="2">
                  <c:v>LV</c:v>
                </c:pt>
                <c:pt idx="3">
                  <c:v>LT</c:v>
                </c:pt>
                <c:pt idx="4">
                  <c:v>EE</c:v>
                </c:pt>
                <c:pt idx="5">
                  <c:v>HR</c:v>
                </c:pt>
                <c:pt idx="6">
                  <c:v>HU</c:v>
                </c:pt>
                <c:pt idx="7">
                  <c:v>SK</c:v>
                </c:pt>
                <c:pt idx="8">
                  <c:v>PL</c:v>
                </c:pt>
                <c:pt idx="9">
                  <c:v>MT</c:v>
                </c:pt>
                <c:pt idx="10">
                  <c:v>CZ</c:v>
                </c:pt>
                <c:pt idx="11">
                  <c:v>IE</c:v>
                </c:pt>
                <c:pt idx="12">
                  <c:v>CY</c:v>
                </c:pt>
                <c:pt idx="13">
                  <c:v>SI</c:v>
                </c:pt>
                <c:pt idx="14">
                  <c:v>ES</c:v>
                </c:pt>
                <c:pt idx="15">
                  <c:v>PT</c:v>
                </c:pt>
                <c:pt idx="16">
                  <c:v>UK</c:v>
                </c:pt>
                <c:pt idx="17">
                  <c:v>EU28</c:v>
                </c:pt>
                <c:pt idx="18">
                  <c:v>GR</c:v>
                </c:pt>
                <c:pt idx="19">
                  <c:v>BE</c:v>
                </c:pt>
                <c:pt idx="20">
                  <c:v>SE</c:v>
                </c:pt>
                <c:pt idx="21">
                  <c:v>FI</c:v>
                </c:pt>
                <c:pt idx="22">
                  <c:v>EU15</c:v>
                </c:pt>
                <c:pt idx="23">
                  <c:v>EA18</c:v>
                </c:pt>
                <c:pt idx="24">
                  <c:v>DE</c:v>
                </c:pt>
                <c:pt idx="25">
                  <c:v>IT</c:v>
                </c:pt>
                <c:pt idx="26">
                  <c:v>NL</c:v>
                </c:pt>
                <c:pt idx="27">
                  <c:v>FR</c:v>
                </c:pt>
                <c:pt idx="28">
                  <c:v>DK</c:v>
                </c:pt>
                <c:pt idx="29">
                  <c:v>AT</c:v>
                </c:pt>
                <c:pt idx="30">
                  <c:v>LU</c:v>
                </c:pt>
              </c:strCache>
            </c:strRef>
          </c:cat>
          <c:val>
            <c:numRef>
              <c:f>Hárok1!$S$14:$S$44</c:f>
              <c:numCache>
                <c:formatCode>#,##0.00</c:formatCode>
                <c:ptCount val="31"/>
                <c:pt idx="0">
                  <c:v>338.92999999999898</c:v>
                </c:pt>
                <c:pt idx="1">
                  <c:v>484.82</c:v>
                </c:pt>
                <c:pt idx="2">
                  <c:v>601.1</c:v>
                </c:pt>
                <c:pt idx="3">
                  <c:v>605.16</c:v>
                </c:pt>
                <c:pt idx="4">
                  <c:v>757.28000000000054</c:v>
                </c:pt>
                <c:pt idx="5">
                  <c:v>892.3</c:v>
                </c:pt>
                <c:pt idx="6">
                  <c:v>784.49</c:v>
                </c:pt>
                <c:pt idx="7">
                  <c:v>708.93</c:v>
                </c:pt>
                <c:pt idx="8">
                  <c:v>924.69</c:v>
                </c:pt>
                <c:pt idx="9">
                  <c:v>1349.45</c:v>
                </c:pt>
                <c:pt idx="10">
                  <c:v>1065.93</c:v>
                </c:pt>
                <c:pt idx="11">
                  <c:v>2612.94</c:v>
                </c:pt>
                <c:pt idx="12">
                  <c:v>1626.6</c:v>
                </c:pt>
                <c:pt idx="13">
                  <c:v>1676.85</c:v>
                </c:pt>
                <c:pt idx="14">
                  <c:v>2248.1999999999998</c:v>
                </c:pt>
                <c:pt idx="15">
                  <c:v>2075.64</c:v>
                </c:pt>
                <c:pt idx="16">
                  <c:v>3600.4900000000002</c:v>
                </c:pt>
                <c:pt idx="17">
                  <c:v>3023.8900000000012</c:v>
                </c:pt>
                <c:pt idx="18">
                  <c:v>2509.15</c:v>
                </c:pt>
                <c:pt idx="19">
                  <c:v>3579.66</c:v>
                </c:pt>
                <c:pt idx="20">
                  <c:v>4240.3600000000024</c:v>
                </c:pt>
                <c:pt idx="21">
                  <c:v>3916.74</c:v>
                </c:pt>
                <c:pt idx="22">
                  <c:v>3623.8900000000012</c:v>
                </c:pt>
                <c:pt idx="23">
                  <c:v>3461.24</c:v>
                </c:pt>
                <c:pt idx="24">
                  <c:v>3706.27</c:v>
                </c:pt>
                <c:pt idx="25">
                  <c:v>3772.29</c:v>
                </c:pt>
                <c:pt idx="26">
                  <c:v>4303.3</c:v>
                </c:pt>
                <c:pt idx="27">
                  <c:v>4209.6900000000014</c:v>
                </c:pt>
                <c:pt idx="28">
                  <c:v>5443.8200000000024</c:v>
                </c:pt>
                <c:pt idx="29">
                  <c:v>4704.79</c:v>
                </c:pt>
                <c:pt idx="30">
                  <c:v>6876.6900000000014</c:v>
                </c:pt>
              </c:numCache>
            </c:numRef>
          </c:val>
        </c:ser>
        <c:dLbls>
          <c:showLegendKey val="0"/>
          <c:showVal val="0"/>
          <c:showCatName val="0"/>
          <c:showSerName val="0"/>
          <c:showPercent val="0"/>
          <c:showBubbleSize val="0"/>
        </c:dLbls>
        <c:gapWidth val="60"/>
        <c:axId val="245525888"/>
        <c:axId val="245531776"/>
      </c:barChart>
      <c:lineChart>
        <c:grouping val="standard"/>
        <c:varyColors val="0"/>
        <c:ser>
          <c:idx val="1"/>
          <c:order val="1"/>
          <c:tx>
            <c:strRef>
              <c:f>Hárok1!$R$13</c:f>
              <c:strCache>
                <c:ptCount val="1"/>
                <c:pt idx="0">
                  <c:v>% HDP</c:v>
                </c:pt>
              </c:strCache>
            </c:strRef>
          </c:tx>
          <c:spPr>
            <a:ln>
              <a:noFill/>
            </a:ln>
          </c:spPr>
          <c:marker>
            <c:symbol val="triangle"/>
            <c:size val="7"/>
            <c:spPr>
              <a:solidFill>
                <a:schemeClr val="accent2">
                  <a:lumMod val="20000"/>
                  <a:lumOff val="80000"/>
                </a:schemeClr>
              </a:solidFill>
              <a:ln w="15875">
                <a:solidFill>
                  <a:schemeClr val="accent1"/>
                </a:solidFill>
              </a:ln>
            </c:spPr>
          </c:marker>
          <c:dLbls>
            <c:dLbl>
              <c:idx val="18"/>
              <c:layout>
                <c:manualLayout>
                  <c:x val="-3.1226328407472959E-2"/>
                  <c:y val="-5.6835981933393787E-2"/>
                </c:manualLayout>
              </c:layout>
              <c:dLblPos val="r"/>
              <c:showLegendKey val="0"/>
              <c:showVal val="1"/>
              <c:showCatName val="0"/>
              <c:showSerName val="0"/>
              <c:showPercent val="0"/>
              <c:showBubbleSize val="0"/>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dLbl>
              <c:idx val="32"/>
              <c:layout>
                <c:manualLayout>
                  <c:x val="-2.9021527777777802E-2"/>
                  <c:y val="-0.16948452380952381"/>
                </c:manualLayout>
              </c:layout>
              <c:dLblPos val="r"/>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Hárok1!$P$14:$P$44</c:f>
              <c:strCache>
                <c:ptCount val="31"/>
                <c:pt idx="0">
                  <c:v>BG</c:v>
                </c:pt>
                <c:pt idx="1">
                  <c:v>RO</c:v>
                </c:pt>
                <c:pt idx="2">
                  <c:v>LV</c:v>
                </c:pt>
                <c:pt idx="3">
                  <c:v>LT</c:v>
                </c:pt>
                <c:pt idx="4">
                  <c:v>EE</c:v>
                </c:pt>
                <c:pt idx="5">
                  <c:v>HR</c:v>
                </c:pt>
                <c:pt idx="6">
                  <c:v>HU</c:v>
                </c:pt>
                <c:pt idx="7">
                  <c:v>SK</c:v>
                </c:pt>
                <c:pt idx="8">
                  <c:v>PL</c:v>
                </c:pt>
                <c:pt idx="9">
                  <c:v>MT</c:v>
                </c:pt>
                <c:pt idx="10">
                  <c:v>CZ</c:v>
                </c:pt>
                <c:pt idx="11">
                  <c:v>IE</c:v>
                </c:pt>
                <c:pt idx="12">
                  <c:v>CY</c:v>
                </c:pt>
                <c:pt idx="13">
                  <c:v>SI</c:v>
                </c:pt>
                <c:pt idx="14">
                  <c:v>ES</c:v>
                </c:pt>
                <c:pt idx="15">
                  <c:v>PT</c:v>
                </c:pt>
                <c:pt idx="16">
                  <c:v>UK</c:v>
                </c:pt>
                <c:pt idx="17">
                  <c:v>EU28</c:v>
                </c:pt>
                <c:pt idx="18">
                  <c:v>GR</c:v>
                </c:pt>
                <c:pt idx="19">
                  <c:v>BE</c:v>
                </c:pt>
                <c:pt idx="20">
                  <c:v>SE</c:v>
                </c:pt>
                <c:pt idx="21">
                  <c:v>FI</c:v>
                </c:pt>
                <c:pt idx="22">
                  <c:v>EU15</c:v>
                </c:pt>
                <c:pt idx="23">
                  <c:v>EA18</c:v>
                </c:pt>
                <c:pt idx="24">
                  <c:v>DE</c:v>
                </c:pt>
                <c:pt idx="25">
                  <c:v>IT</c:v>
                </c:pt>
                <c:pt idx="26">
                  <c:v>NL</c:v>
                </c:pt>
                <c:pt idx="27">
                  <c:v>FR</c:v>
                </c:pt>
                <c:pt idx="28">
                  <c:v>DK</c:v>
                </c:pt>
                <c:pt idx="29">
                  <c:v>AT</c:v>
                </c:pt>
                <c:pt idx="30">
                  <c:v>LU</c:v>
                </c:pt>
              </c:strCache>
            </c:strRef>
          </c:cat>
          <c:val>
            <c:numRef>
              <c:f>Hárok1!$R$14:$R$44</c:f>
              <c:numCache>
                <c:formatCode>#,##0.0</c:formatCode>
                <c:ptCount val="31"/>
                <c:pt idx="0">
                  <c:v>8.5</c:v>
                </c:pt>
                <c:pt idx="1">
                  <c:v>8.8000000000000007</c:v>
                </c:pt>
                <c:pt idx="2">
                  <c:v>8.2000000000000011</c:v>
                </c:pt>
                <c:pt idx="3">
                  <c:v>7.7</c:v>
                </c:pt>
                <c:pt idx="4">
                  <c:v>7.8</c:v>
                </c:pt>
                <c:pt idx="5">
                  <c:v>10.7</c:v>
                </c:pt>
                <c:pt idx="6">
                  <c:v>9.6</c:v>
                </c:pt>
                <c:pt idx="7">
                  <c:v>8.4</c:v>
                </c:pt>
                <c:pt idx="8">
                  <c:v>11.1</c:v>
                </c:pt>
                <c:pt idx="9">
                  <c:v>9.6</c:v>
                </c:pt>
                <c:pt idx="10">
                  <c:v>9.9</c:v>
                </c:pt>
                <c:pt idx="11">
                  <c:v>7.3</c:v>
                </c:pt>
                <c:pt idx="12">
                  <c:v>9.5</c:v>
                </c:pt>
                <c:pt idx="13">
                  <c:v>11.6</c:v>
                </c:pt>
                <c:pt idx="14">
                  <c:v>12</c:v>
                </c:pt>
                <c:pt idx="15">
                  <c:v>14.8</c:v>
                </c:pt>
                <c:pt idx="16">
                  <c:v>12.3</c:v>
                </c:pt>
                <c:pt idx="17">
                  <c:v>13.2</c:v>
                </c:pt>
                <c:pt idx="18">
                  <c:v>17.5</c:v>
                </c:pt>
                <c:pt idx="19">
                  <c:v>12.4</c:v>
                </c:pt>
                <c:pt idx="20">
                  <c:v>11.9</c:v>
                </c:pt>
                <c:pt idx="21">
                  <c:v>13</c:v>
                </c:pt>
                <c:pt idx="22">
                  <c:v>13.5</c:v>
                </c:pt>
                <c:pt idx="23">
                  <c:v>13.8</c:v>
                </c:pt>
                <c:pt idx="24">
                  <c:v>12.3</c:v>
                </c:pt>
                <c:pt idx="25">
                  <c:v>16.600000000000001</c:v>
                </c:pt>
                <c:pt idx="26">
                  <c:v>13.4</c:v>
                </c:pt>
                <c:pt idx="27">
                  <c:v>15.2</c:v>
                </c:pt>
                <c:pt idx="28">
                  <c:v>14.5</c:v>
                </c:pt>
                <c:pt idx="29">
                  <c:v>15</c:v>
                </c:pt>
                <c:pt idx="30">
                  <c:v>9.8000000000000007</c:v>
                </c:pt>
              </c:numCache>
            </c:numRef>
          </c:val>
          <c:smooth val="0"/>
        </c:ser>
        <c:dLbls>
          <c:showLegendKey val="0"/>
          <c:showVal val="0"/>
          <c:showCatName val="0"/>
          <c:showSerName val="0"/>
          <c:showPercent val="0"/>
          <c:showBubbleSize val="0"/>
        </c:dLbls>
        <c:marker val="1"/>
        <c:smooth val="0"/>
        <c:axId val="245533312"/>
        <c:axId val="245547392"/>
      </c:lineChart>
      <c:catAx>
        <c:axId val="245525888"/>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245531776"/>
        <c:crosses val="autoZero"/>
        <c:auto val="1"/>
        <c:lblAlgn val="ctr"/>
        <c:lblOffset val="100"/>
        <c:noMultiLvlLbl val="0"/>
      </c:catAx>
      <c:valAx>
        <c:axId val="245531776"/>
        <c:scaling>
          <c:orientation val="minMax"/>
        </c:scaling>
        <c:delete val="0"/>
        <c:axPos val="l"/>
        <c:majorGridlines/>
        <c:numFmt formatCode="#,##0" sourceLinked="0"/>
        <c:majorTickMark val="out"/>
        <c:minorTickMark val="none"/>
        <c:tickLblPos val="nextTo"/>
        <c:crossAx val="245525888"/>
        <c:crosses val="autoZero"/>
        <c:crossBetween val="between"/>
      </c:valAx>
      <c:catAx>
        <c:axId val="245533312"/>
        <c:scaling>
          <c:orientation val="minMax"/>
        </c:scaling>
        <c:delete val="1"/>
        <c:axPos val="b"/>
        <c:majorTickMark val="out"/>
        <c:minorTickMark val="none"/>
        <c:tickLblPos val="none"/>
        <c:crossAx val="245547392"/>
        <c:crosses val="autoZero"/>
        <c:auto val="1"/>
        <c:lblAlgn val="ctr"/>
        <c:lblOffset val="100"/>
        <c:noMultiLvlLbl val="0"/>
      </c:catAx>
      <c:valAx>
        <c:axId val="245547392"/>
        <c:scaling>
          <c:orientation val="minMax"/>
          <c:max val="20"/>
        </c:scaling>
        <c:delete val="0"/>
        <c:axPos val="r"/>
        <c:numFmt formatCode="#,##0.0" sourceLinked="1"/>
        <c:majorTickMark val="out"/>
        <c:minorTickMark val="none"/>
        <c:tickLblPos val="nextTo"/>
        <c:crossAx val="245533312"/>
        <c:crosses val="max"/>
        <c:crossBetween val="between"/>
      </c:valAx>
    </c:plotArea>
    <c:legend>
      <c:legendPos val="b"/>
      <c:layout>
        <c:manualLayout>
          <c:xMode val="edge"/>
          <c:yMode val="edge"/>
          <c:x val="0.10288190379965956"/>
          <c:y val="0.9167936459077185"/>
          <c:w val="0.79423601957183032"/>
          <c:h val="7.8574559851899289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02405949256919E-2"/>
          <c:y val="5.1400554097404488E-2"/>
          <c:w val="0.88091447944006951"/>
          <c:h val="0.71285104986876635"/>
        </c:manualLayout>
      </c:layout>
      <c:barChart>
        <c:barDir val="col"/>
        <c:grouping val="clustered"/>
        <c:varyColors val="0"/>
        <c:ser>
          <c:idx val="0"/>
          <c:order val="0"/>
          <c:tx>
            <c:strRef>
              <c:f>Hárok3!$T$10</c:f>
              <c:strCache>
                <c:ptCount val="1"/>
                <c:pt idx="0">
                  <c:v>Hrubé výdavky (% HDP)</c:v>
                </c:pt>
              </c:strCache>
            </c:strRef>
          </c:tx>
          <c:spPr>
            <a:solidFill>
              <a:schemeClr val="accent2">
                <a:lumMod val="40000"/>
                <a:lumOff val="60000"/>
              </a:schemeClr>
            </a:solidFill>
          </c:spPr>
          <c:invertIfNegative val="0"/>
          <c:cat>
            <c:strRef>
              <c:f>Hárok3!$S$11:$S$37</c:f>
              <c:strCache>
                <c:ptCount val="27"/>
                <c:pt idx="0">
                  <c:v>LV</c:v>
                </c:pt>
                <c:pt idx="1">
                  <c:v>EE</c:v>
                </c:pt>
                <c:pt idx="2">
                  <c:v>RO</c:v>
                </c:pt>
                <c:pt idx="3">
                  <c:v>LT</c:v>
                </c:pt>
                <c:pt idx="4">
                  <c:v>BG</c:v>
                </c:pt>
                <c:pt idx="5">
                  <c:v>SK</c:v>
                </c:pt>
                <c:pt idx="6">
                  <c:v>MT</c:v>
                </c:pt>
                <c:pt idx="7">
                  <c:v>CZ</c:v>
                </c:pt>
                <c:pt idx="8">
                  <c:v>HR</c:v>
                </c:pt>
                <c:pt idx="9">
                  <c:v>LU</c:v>
                </c:pt>
                <c:pt idx="10">
                  <c:v>CY</c:v>
                </c:pt>
                <c:pt idx="11">
                  <c:v>HU</c:v>
                </c:pt>
                <c:pt idx="12">
                  <c:v>SI</c:v>
                </c:pt>
                <c:pt idx="13">
                  <c:v>PT</c:v>
                </c:pt>
                <c:pt idx="14">
                  <c:v>ES</c:v>
                </c:pt>
                <c:pt idx="15">
                  <c:v>UK</c:v>
                </c:pt>
                <c:pt idx="16">
                  <c:v>DE</c:v>
                </c:pt>
                <c:pt idx="17">
                  <c:v>IE</c:v>
                </c:pt>
                <c:pt idx="18">
                  <c:v>IT</c:v>
                </c:pt>
                <c:pt idx="19">
                  <c:v>GR</c:v>
                </c:pt>
                <c:pt idx="20">
                  <c:v>AT</c:v>
                </c:pt>
                <c:pt idx="21">
                  <c:v>BE</c:v>
                </c:pt>
                <c:pt idx="22">
                  <c:v>SE</c:v>
                </c:pt>
                <c:pt idx="23">
                  <c:v>FI</c:v>
                </c:pt>
                <c:pt idx="24">
                  <c:v>NL</c:v>
                </c:pt>
                <c:pt idx="25">
                  <c:v>FR</c:v>
                </c:pt>
                <c:pt idx="26">
                  <c:v>DK</c:v>
                </c:pt>
              </c:strCache>
            </c:strRef>
          </c:cat>
          <c:val>
            <c:numRef>
              <c:f>Hárok3!$T$11:$T$37</c:f>
              <c:numCache>
                <c:formatCode>General</c:formatCode>
                <c:ptCount val="27"/>
                <c:pt idx="0">
                  <c:v>14.81</c:v>
                </c:pt>
                <c:pt idx="1">
                  <c:v>15.89</c:v>
                </c:pt>
                <c:pt idx="2">
                  <c:v>16.110000000000031</c:v>
                </c:pt>
                <c:pt idx="3">
                  <c:v>16.350000000000001</c:v>
                </c:pt>
                <c:pt idx="4">
                  <c:v>17.16</c:v>
                </c:pt>
                <c:pt idx="5">
                  <c:v>17.71</c:v>
                </c:pt>
                <c:pt idx="6">
                  <c:v>18.53</c:v>
                </c:pt>
                <c:pt idx="7">
                  <c:v>19.779999999999987</c:v>
                </c:pt>
                <c:pt idx="8">
                  <c:v>20.279999999999987</c:v>
                </c:pt>
                <c:pt idx="9">
                  <c:v>22.16</c:v>
                </c:pt>
                <c:pt idx="10">
                  <c:v>22.37</c:v>
                </c:pt>
                <c:pt idx="11">
                  <c:v>22.77</c:v>
                </c:pt>
                <c:pt idx="12">
                  <c:v>24.57</c:v>
                </c:pt>
                <c:pt idx="13">
                  <c:v>24.959999999999987</c:v>
                </c:pt>
                <c:pt idx="14">
                  <c:v>25.630000000000031</c:v>
                </c:pt>
                <c:pt idx="15">
                  <c:v>26.259999999999987</c:v>
                </c:pt>
                <c:pt idx="16">
                  <c:v>28.25</c:v>
                </c:pt>
                <c:pt idx="17">
                  <c:v>28.310000000000031</c:v>
                </c:pt>
                <c:pt idx="18">
                  <c:v>28.43</c:v>
                </c:pt>
                <c:pt idx="19">
                  <c:v>28.85</c:v>
                </c:pt>
                <c:pt idx="20">
                  <c:v>28.99</c:v>
                </c:pt>
                <c:pt idx="21">
                  <c:v>29</c:v>
                </c:pt>
                <c:pt idx="22">
                  <c:v>29.05</c:v>
                </c:pt>
                <c:pt idx="23">
                  <c:v>29.24</c:v>
                </c:pt>
                <c:pt idx="24">
                  <c:v>30.45</c:v>
                </c:pt>
                <c:pt idx="25">
                  <c:v>31.919999999999987</c:v>
                </c:pt>
                <c:pt idx="26">
                  <c:v>32.790000000000013</c:v>
                </c:pt>
              </c:numCache>
            </c:numRef>
          </c:val>
        </c:ser>
        <c:ser>
          <c:idx val="1"/>
          <c:order val="1"/>
          <c:tx>
            <c:strRef>
              <c:f>Hárok3!$U$10</c:f>
              <c:strCache>
                <c:ptCount val="1"/>
                <c:pt idx="0">
                  <c:v>Netto výdavky (% HDP)</c:v>
                </c:pt>
              </c:strCache>
            </c:strRef>
          </c:tx>
          <c:invertIfNegative val="0"/>
          <c:cat>
            <c:strRef>
              <c:f>Hárok3!$S$11:$S$37</c:f>
              <c:strCache>
                <c:ptCount val="27"/>
                <c:pt idx="0">
                  <c:v>LV</c:v>
                </c:pt>
                <c:pt idx="1">
                  <c:v>EE</c:v>
                </c:pt>
                <c:pt idx="2">
                  <c:v>RO</c:v>
                </c:pt>
                <c:pt idx="3">
                  <c:v>LT</c:v>
                </c:pt>
                <c:pt idx="4">
                  <c:v>BG</c:v>
                </c:pt>
                <c:pt idx="5">
                  <c:v>SK</c:v>
                </c:pt>
                <c:pt idx="6">
                  <c:v>MT</c:v>
                </c:pt>
                <c:pt idx="7">
                  <c:v>CZ</c:v>
                </c:pt>
                <c:pt idx="8">
                  <c:v>HR</c:v>
                </c:pt>
                <c:pt idx="9">
                  <c:v>LU</c:v>
                </c:pt>
                <c:pt idx="10">
                  <c:v>CY</c:v>
                </c:pt>
                <c:pt idx="11">
                  <c:v>HU</c:v>
                </c:pt>
                <c:pt idx="12">
                  <c:v>SI</c:v>
                </c:pt>
                <c:pt idx="13">
                  <c:v>PT</c:v>
                </c:pt>
                <c:pt idx="14">
                  <c:v>ES</c:v>
                </c:pt>
                <c:pt idx="15">
                  <c:v>UK</c:v>
                </c:pt>
                <c:pt idx="16">
                  <c:v>DE</c:v>
                </c:pt>
                <c:pt idx="17">
                  <c:v>IE</c:v>
                </c:pt>
                <c:pt idx="18">
                  <c:v>IT</c:v>
                </c:pt>
                <c:pt idx="19">
                  <c:v>GR</c:v>
                </c:pt>
                <c:pt idx="20">
                  <c:v>AT</c:v>
                </c:pt>
                <c:pt idx="21">
                  <c:v>BE</c:v>
                </c:pt>
                <c:pt idx="22">
                  <c:v>SE</c:v>
                </c:pt>
                <c:pt idx="23">
                  <c:v>FI</c:v>
                </c:pt>
                <c:pt idx="24">
                  <c:v>NL</c:v>
                </c:pt>
                <c:pt idx="25">
                  <c:v>FR</c:v>
                </c:pt>
                <c:pt idx="26">
                  <c:v>DK</c:v>
                </c:pt>
              </c:strCache>
            </c:strRef>
          </c:cat>
          <c:val>
            <c:numRef>
              <c:f>Hárok3!$U$11:$U$37</c:f>
              <c:numCache>
                <c:formatCode>General</c:formatCode>
                <c:ptCount val="27"/>
                <c:pt idx="0">
                  <c:v>14.39</c:v>
                </c:pt>
                <c:pt idx="1">
                  <c:v>15.58</c:v>
                </c:pt>
                <c:pt idx="2">
                  <c:v>15.94</c:v>
                </c:pt>
                <c:pt idx="3">
                  <c:v>16.07</c:v>
                </c:pt>
                <c:pt idx="4">
                  <c:v>17.149999999999999</c:v>
                </c:pt>
                <c:pt idx="5">
                  <c:v>17.64</c:v>
                </c:pt>
                <c:pt idx="6">
                  <c:v>18.2</c:v>
                </c:pt>
                <c:pt idx="7">
                  <c:v>19.739999999999988</c:v>
                </c:pt>
                <c:pt idx="8">
                  <c:v>19.84</c:v>
                </c:pt>
                <c:pt idx="9">
                  <c:v>20.34</c:v>
                </c:pt>
                <c:pt idx="10">
                  <c:v>21.56</c:v>
                </c:pt>
                <c:pt idx="11">
                  <c:v>22.479999999999986</c:v>
                </c:pt>
                <c:pt idx="12">
                  <c:v>24.24</c:v>
                </c:pt>
                <c:pt idx="13">
                  <c:v>23.66</c:v>
                </c:pt>
                <c:pt idx="14">
                  <c:v>24.38</c:v>
                </c:pt>
                <c:pt idx="15">
                  <c:v>25.29</c:v>
                </c:pt>
                <c:pt idx="16">
                  <c:v>26.02</c:v>
                </c:pt>
                <c:pt idx="17">
                  <c:v>28.1</c:v>
                </c:pt>
                <c:pt idx="18">
                  <c:v>25.130000000000031</c:v>
                </c:pt>
                <c:pt idx="19">
                  <c:v>27.45</c:v>
                </c:pt>
                <c:pt idx="20">
                  <c:v>26.05</c:v>
                </c:pt>
                <c:pt idx="21">
                  <c:v>26.810000000000031</c:v>
                </c:pt>
                <c:pt idx="22">
                  <c:v>25.68</c:v>
                </c:pt>
                <c:pt idx="23">
                  <c:v>26.27</c:v>
                </c:pt>
                <c:pt idx="24">
                  <c:v>24.8</c:v>
                </c:pt>
                <c:pt idx="25">
                  <c:v>30.23</c:v>
                </c:pt>
                <c:pt idx="26">
                  <c:v>27.58</c:v>
                </c:pt>
              </c:numCache>
            </c:numRef>
          </c:val>
        </c:ser>
        <c:dLbls>
          <c:showLegendKey val="0"/>
          <c:showVal val="0"/>
          <c:showCatName val="0"/>
          <c:showSerName val="0"/>
          <c:showPercent val="0"/>
          <c:showBubbleSize val="0"/>
        </c:dLbls>
        <c:gapWidth val="35"/>
        <c:axId val="245555584"/>
        <c:axId val="245557120"/>
      </c:barChart>
      <c:catAx>
        <c:axId val="24555558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45557120"/>
        <c:crosses val="autoZero"/>
        <c:auto val="1"/>
        <c:lblAlgn val="ctr"/>
        <c:lblOffset val="100"/>
        <c:noMultiLvlLbl val="0"/>
      </c:catAx>
      <c:valAx>
        <c:axId val="245557120"/>
        <c:scaling>
          <c:orientation val="minMax"/>
        </c:scaling>
        <c:delete val="0"/>
        <c:axPos val="l"/>
        <c:majorGridlines/>
        <c:title>
          <c:tx>
            <c:rich>
              <a:bodyPr rot="0" vert="horz"/>
              <a:lstStyle/>
              <a:p>
                <a:pPr>
                  <a:defRPr/>
                </a:pPr>
                <a:r>
                  <a:rPr lang="sk-SK"/>
                  <a:t>%</a:t>
                </a:r>
              </a:p>
            </c:rich>
          </c:tx>
          <c:overlay val="0"/>
        </c:title>
        <c:numFmt formatCode="#,##0.0" sourceLinked="0"/>
        <c:majorTickMark val="out"/>
        <c:minorTickMark val="none"/>
        <c:tickLblPos val="nextTo"/>
        <c:crossAx val="245555584"/>
        <c:crosses val="autoZero"/>
        <c:crossBetween val="between"/>
      </c:valAx>
    </c:plotArea>
    <c:legend>
      <c:legendPos val="t"/>
      <c:layout>
        <c:manualLayout>
          <c:xMode val="edge"/>
          <c:yMode val="edge"/>
          <c:x val="0.10118330645656219"/>
          <c:y val="8.357857329689504E-2"/>
          <c:w val="0.26914333941856217"/>
          <c:h val="0.14932488224897764"/>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1"/>
        <c:ser>
          <c:idx val="0"/>
          <c:order val="0"/>
          <c:invertIfNegative val="0"/>
          <c:dLbls>
            <c:dLbl>
              <c:idx val="0"/>
              <c:layout>
                <c:manualLayout>
                  <c:x val="5.9920387149334977E-3"/>
                  <c:y val="0.36600350361629691"/>
                </c:manualLayout>
              </c:layout>
              <c:showLegendKey val="0"/>
              <c:showVal val="1"/>
              <c:showCatName val="0"/>
              <c:showSerName val="0"/>
              <c:showPercent val="0"/>
              <c:showBubbleSize val="0"/>
            </c:dLbl>
            <c:dLbl>
              <c:idx val="1"/>
              <c:layout>
                <c:manualLayout>
                  <c:x val="1.5608019162445161E-3"/>
                  <c:y val="0.37017809548706815"/>
                </c:manualLayout>
              </c:layout>
              <c:showLegendKey val="0"/>
              <c:showVal val="1"/>
              <c:showCatName val="0"/>
              <c:showSerName val="0"/>
              <c:showPercent val="0"/>
              <c:showBubbleSize val="0"/>
            </c:dLbl>
            <c:dLbl>
              <c:idx val="2"/>
              <c:layout>
                <c:manualLayout>
                  <c:x val="0"/>
                  <c:y val="0.35489890294141685"/>
                </c:manualLayout>
              </c:layout>
              <c:showLegendKey val="0"/>
              <c:showVal val="1"/>
              <c:showCatName val="0"/>
              <c:showSerName val="0"/>
              <c:showPercent val="0"/>
              <c:showBubbleSize val="0"/>
            </c:dLbl>
            <c:dLbl>
              <c:idx val="3"/>
              <c:layout>
                <c:manualLayout>
                  <c:x val="0"/>
                  <c:y val="0.32818608228991386"/>
                </c:manualLayout>
              </c:layout>
              <c:showLegendKey val="0"/>
              <c:showVal val="1"/>
              <c:showCatName val="0"/>
              <c:showSerName val="0"/>
              <c:showPercent val="0"/>
              <c:showBubbleSize val="0"/>
            </c:dLbl>
            <c:dLbl>
              <c:idx val="4"/>
              <c:layout>
                <c:manualLayout>
                  <c:x val="0"/>
                  <c:y val="0.31673773058212279"/>
                </c:manualLayout>
              </c:layout>
              <c:showLegendKey val="0"/>
              <c:showVal val="1"/>
              <c:showCatName val="0"/>
              <c:showSerName val="0"/>
              <c:showPercent val="0"/>
              <c:showBubbleSize val="0"/>
            </c:dLbl>
            <c:dLbl>
              <c:idx val="5"/>
              <c:layout>
                <c:manualLayout>
                  <c:x val="0"/>
                  <c:y val="0.30528937887433588"/>
                </c:manualLayout>
              </c:layout>
              <c:showLegendKey val="0"/>
              <c:showVal val="1"/>
              <c:showCatName val="0"/>
              <c:showSerName val="0"/>
              <c:showPercent val="0"/>
              <c:showBubbleSize val="0"/>
            </c:dLbl>
            <c:dLbl>
              <c:idx val="6"/>
              <c:layout>
                <c:manualLayout>
                  <c:x val="0"/>
                  <c:y val="0.29352161514908598"/>
                </c:manualLayout>
              </c:layout>
              <c:spPr/>
              <c:txPr>
                <a:bodyPr rot="-5400000" vert="horz"/>
                <a:lstStyle/>
                <a:p>
                  <a:pPr>
                    <a:defRPr>
                      <a:solidFill>
                        <a:sysClr val="windowText" lastClr="000000"/>
                      </a:solidFill>
                    </a:defRPr>
                  </a:pPr>
                  <a:endParaRPr lang="sk-SK"/>
                </a:p>
              </c:txPr>
              <c:showLegendKey val="0"/>
              <c:showVal val="1"/>
              <c:showCatName val="0"/>
              <c:showSerName val="0"/>
              <c:showPercent val="0"/>
              <c:showBubbleSize val="0"/>
            </c:dLbl>
            <c:dLbl>
              <c:idx val="7"/>
              <c:layout>
                <c:manualLayout>
                  <c:x val="1.9973986634729281E-3"/>
                  <c:y val="0.28588938067722736"/>
                </c:manualLayout>
              </c:layout>
              <c:spPr/>
              <c:txPr>
                <a:bodyPr rot="-5400000" vert="horz"/>
                <a:lstStyle/>
                <a:p>
                  <a:pPr>
                    <a:defRPr>
                      <a:solidFill>
                        <a:sysClr val="windowText" lastClr="000000"/>
                      </a:solidFill>
                    </a:defRPr>
                  </a:pPr>
                  <a:endParaRPr lang="sk-SK"/>
                </a:p>
              </c:txPr>
              <c:showLegendKey val="0"/>
              <c:showVal val="1"/>
              <c:showCatName val="0"/>
              <c:showSerName val="0"/>
              <c:showPercent val="0"/>
              <c:showBubbleSize val="0"/>
            </c:dLbl>
            <c:dLbl>
              <c:idx val="8"/>
              <c:layout>
                <c:manualLayout>
                  <c:x val="0"/>
                  <c:y val="0.2927445695449824"/>
                </c:manualLayout>
              </c:layout>
              <c:spPr/>
              <c:txPr>
                <a:bodyPr rot="-5400000" vert="horz"/>
                <a:lstStyle/>
                <a:p>
                  <a:pPr>
                    <a:defRPr>
                      <a:solidFill>
                        <a:sysClr val="windowText" lastClr="000000"/>
                      </a:solidFill>
                    </a:defRPr>
                  </a:pPr>
                  <a:endParaRPr lang="sk-SK"/>
                </a:p>
              </c:txPr>
              <c:showLegendKey val="0"/>
              <c:showVal val="1"/>
              <c:showCatName val="0"/>
              <c:showSerName val="0"/>
              <c:showPercent val="0"/>
              <c:showBubbleSize val="0"/>
            </c:dLbl>
            <c:dLbl>
              <c:idx val="9"/>
              <c:layout>
                <c:manualLayout>
                  <c:x val="1.9973986634729281E-3"/>
                  <c:y val="0.26189621964008308"/>
                </c:manualLayout>
              </c:layout>
              <c:spPr/>
              <c:txPr>
                <a:bodyPr rot="-5400000" vert="horz"/>
                <a:lstStyle/>
                <a:p>
                  <a:pPr>
                    <a:defRPr>
                      <a:solidFill>
                        <a:sysClr val="windowText" lastClr="000000"/>
                      </a:solidFill>
                    </a:defRPr>
                  </a:pPr>
                  <a:endParaRPr lang="sk-SK"/>
                </a:p>
              </c:txPr>
              <c:showLegendKey val="0"/>
              <c:showVal val="1"/>
              <c:showCatName val="0"/>
              <c:showSerName val="0"/>
              <c:showPercent val="0"/>
              <c:showBubbleSize val="0"/>
            </c:dLbl>
            <c:dLbl>
              <c:idx val="10"/>
              <c:layout>
                <c:manualLayout>
                  <c:x val="1.9972413879876141E-3"/>
                  <c:y val="0.25426398516822468"/>
                </c:manualLayout>
              </c:layout>
              <c:spPr/>
              <c:txPr>
                <a:bodyPr rot="-5400000" vert="horz"/>
                <a:lstStyle/>
                <a:p>
                  <a:pPr>
                    <a:defRPr>
                      <a:solidFill>
                        <a:sysClr val="windowText" lastClr="000000"/>
                      </a:solidFill>
                    </a:defRPr>
                  </a:pPr>
                  <a:endParaRPr lang="sk-SK"/>
                </a:p>
              </c:txPr>
              <c:showLegendKey val="0"/>
              <c:showVal val="1"/>
              <c:showCatName val="0"/>
              <c:showSerName val="0"/>
              <c:showPercent val="0"/>
              <c:showBubbleSize val="0"/>
            </c:dLbl>
            <c:txPr>
              <a:bodyPr rot="-5400000" vert="horz"/>
              <a:lstStyle/>
              <a:p>
                <a:pPr>
                  <a:defRPr>
                    <a:solidFill>
                      <a:schemeClr val="bg1"/>
                    </a:solidFill>
                  </a:defRPr>
                </a:pPr>
                <a:endParaRPr lang="sk-SK"/>
              </a:p>
            </c:txPr>
            <c:showLegendKey val="0"/>
            <c:showVal val="1"/>
            <c:showCatName val="0"/>
            <c:showSerName val="0"/>
            <c:showPercent val="0"/>
            <c:showBubbleSize val="0"/>
            <c:showLeaderLines val="0"/>
          </c:dLbls>
          <c:cat>
            <c:strRef>
              <c:f>Hárok1!$P$3:$P$13</c:f>
              <c:strCache>
                <c:ptCount val="11"/>
                <c:pt idx="0">
                  <c:v>OP Zdravotníctvo</c:v>
                </c:pt>
                <c:pt idx="1">
                  <c:v>Regionálny OP</c:v>
                </c:pt>
                <c:pt idx="2">
                  <c:v>OP Zamestnanosť a sociálna inklúzia</c:v>
                </c:pt>
                <c:pt idx="3">
                  <c:v>OP Informatizácia spoločnosti</c:v>
                </c:pt>
                <c:pt idx="4">
                  <c:v>OP Technická pomoc</c:v>
                </c:pt>
                <c:pt idx="5">
                  <c:v>OP Doprava</c:v>
                </c:pt>
                <c:pt idx="6">
                  <c:v>OP Výskum a vývoj</c:v>
                </c:pt>
                <c:pt idx="7">
                  <c:v>OP Bratislavský kraj</c:v>
                </c:pt>
                <c:pt idx="8">
                  <c:v>OP Vzdelávanie</c:v>
                </c:pt>
                <c:pt idx="9">
                  <c:v>OP Konkurencieschopnosť a Hospodársky rast</c:v>
                </c:pt>
                <c:pt idx="10">
                  <c:v>OP Životné prostredie</c:v>
                </c:pt>
              </c:strCache>
            </c:strRef>
          </c:cat>
          <c:val>
            <c:numRef>
              <c:f>Hárok1!$Q$3:$Q$13</c:f>
              <c:numCache>
                <c:formatCode>0.00%</c:formatCode>
                <c:ptCount val="11"/>
                <c:pt idx="0">
                  <c:v>0.82600000000000062</c:v>
                </c:pt>
                <c:pt idx="1">
                  <c:v>0.76680000000000448</c:v>
                </c:pt>
                <c:pt idx="2">
                  <c:v>0.73950000000000005</c:v>
                </c:pt>
                <c:pt idx="3">
                  <c:v>0.6682000000000039</c:v>
                </c:pt>
                <c:pt idx="4">
                  <c:v>0.64890000000000436</c:v>
                </c:pt>
                <c:pt idx="5">
                  <c:v>0.62410000000000065</c:v>
                </c:pt>
                <c:pt idx="6">
                  <c:v>0.60100000000000064</c:v>
                </c:pt>
                <c:pt idx="7">
                  <c:v>0.59599999999999997</c:v>
                </c:pt>
                <c:pt idx="8">
                  <c:v>0.5952999999999995</c:v>
                </c:pt>
                <c:pt idx="9">
                  <c:v>0.52480000000000004</c:v>
                </c:pt>
                <c:pt idx="10">
                  <c:v>0.52229999999999999</c:v>
                </c:pt>
              </c:numCache>
            </c:numRef>
          </c:val>
        </c:ser>
        <c:dLbls>
          <c:showLegendKey val="0"/>
          <c:showVal val="1"/>
          <c:showCatName val="0"/>
          <c:showSerName val="0"/>
          <c:showPercent val="0"/>
          <c:showBubbleSize val="0"/>
        </c:dLbls>
        <c:gapWidth val="150"/>
        <c:shape val="box"/>
        <c:axId val="245686272"/>
        <c:axId val="245687808"/>
        <c:axId val="0"/>
      </c:bar3DChart>
      <c:catAx>
        <c:axId val="245686272"/>
        <c:scaling>
          <c:orientation val="minMax"/>
        </c:scaling>
        <c:delete val="0"/>
        <c:axPos val="b"/>
        <c:majorTickMark val="out"/>
        <c:minorTickMark val="none"/>
        <c:tickLblPos val="nextTo"/>
        <c:crossAx val="245687808"/>
        <c:crosses val="autoZero"/>
        <c:auto val="1"/>
        <c:lblAlgn val="ctr"/>
        <c:lblOffset val="100"/>
        <c:noMultiLvlLbl val="0"/>
      </c:catAx>
      <c:valAx>
        <c:axId val="245687808"/>
        <c:scaling>
          <c:orientation val="minMax"/>
        </c:scaling>
        <c:delete val="0"/>
        <c:axPos val="l"/>
        <c:majorGridlines/>
        <c:numFmt formatCode="0%" sourceLinked="0"/>
        <c:majorTickMark val="out"/>
        <c:minorTickMark val="none"/>
        <c:tickLblPos val="nextTo"/>
        <c:crossAx val="245686272"/>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8.8031035594234933E-2"/>
          <c:y val="3.1230769230769232E-2"/>
          <c:w val="0.91129852189528937"/>
          <c:h val="0.78864134015120624"/>
        </c:manualLayout>
      </c:layout>
      <c:bar3DChart>
        <c:barDir val="col"/>
        <c:grouping val="clustered"/>
        <c:varyColors val="0"/>
        <c:ser>
          <c:idx val="0"/>
          <c:order val="0"/>
          <c:tx>
            <c:strRef>
              <c:f>'zdrojove data'!$B$2</c:f>
              <c:strCache>
                <c:ptCount val="1"/>
                <c:pt idx="0">
                  <c:v>AROP</c:v>
                </c:pt>
              </c:strCache>
            </c:strRef>
          </c:tx>
          <c:spPr>
            <a:solidFill>
              <a:schemeClr val="accent3">
                <a:lumMod val="75000"/>
              </a:schemeClr>
            </a:solidFill>
            <a:ln>
              <a:noFill/>
            </a:ln>
            <a:effectLst/>
            <a:sp3d/>
          </c:spPr>
          <c:invertIfNegative val="0"/>
          <c:dPt>
            <c:idx val="4"/>
            <c:invertIfNegative val="0"/>
            <c:bubble3D val="0"/>
            <c:spPr>
              <a:pattFill prst="dkUpDiag">
                <a:fgClr>
                  <a:schemeClr val="accent3">
                    <a:lumMod val="75000"/>
                  </a:schemeClr>
                </a:fgClr>
                <a:bgClr>
                  <a:schemeClr val="bg1"/>
                </a:bgClr>
              </a:pattFill>
              <a:ln w="3175">
                <a:solidFill>
                  <a:schemeClr val="accent3">
                    <a:lumMod val="75000"/>
                  </a:schemeClr>
                </a:solidFill>
              </a:ln>
              <a:effectLst/>
              <a:sp3d/>
            </c:spPr>
          </c:dPt>
          <c:cat>
            <c:strRef>
              <c:f>'zdrojove data'!$A$3:$A$31</c:f>
              <c:strCache>
                <c:ptCount val="29"/>
                <c:pt idx="0">
                  <c:v>CZ</c:v>
                </c:pt>
                <c:pt idx="1">
                  <c:v>NL</c:v>
                </c:pt>
                <c:pt idx="2">
                  <c:v>FI</c:v>
                </c:pt>
                <c:pt idx="3">
                  <c:v>DK</c:v>
                </c:pt>
                <c:pt idx="4">
                  <c:v>SK</c:v>
                </c:pt>
                <c:pt idx="5">
                  <c:v>FR</c:v>
                </c:pt>
                <c:pt idx="6">
                  <c:v>IE</c:v>
                </c:pt>
                <c:pt idx="7">
                  <c:v>HU</c:v>
                </c:pt>
                <c:pt idx="8">
                  <c:v>AT</c:v>
                </c:pt>
                <c:pt idx="9">
                  <c:v>SI</c:v>
                </c:pt>
                <c:pt idx="10">
                  <c:v>SE</c:v>
                </c:pt>
                <c:pt idx="11">
                  <c:v>BE</c:v>
                </c:pt>
                <c:pt idx="12">
                  <c:v>CY</c:v>
                </c:pt>
                <c:pt idx="13">
                  <c:v>MT</c:v>
                </c:pt>
                <c:pt idx="14">
                  <c:v>LU</c:v>
                </c:pt>
                <c:pt idx="15">
                  <c:v>UK</c:v>
                </c:pt>
                <c:pt idx="16">
                  <c:v>DE</c:v>
                </c:pt>
                <c:pt idx="17">
                  <c:v>EU28</c:v>
                </c:pt>
                <c:pt idx="18">
                  <c:v>PL</c:v>
                </c:pt>
                <c:pt idx="19">
                  <c:v>EE</c:v>
                </c:pt>
                <c:pt idx="20">
                  <c:v>PT</c:v>
                </c:pt>
                <c:pt idx="21">
                  <c:v>IT</c:v>
                </c:pt>
                <c:pt idx="22">
                  <c:v>LV</c:v>
                </c:pt>
                <c:pt idx="23">
                  <c:v>HR</c:v>
                </c:pt>
                <c:pt idx="24">
                  <c:v>ES</c:v>
                </c:pt>
                <c:pt idx="25">
                  <c:v>LT</c:v>
                </c:pt>
                <c:pt idx="26">
                  <c:v>BG</c:v>
                </c:pt>
                <c:pt idx="27">
                  <c:v>RO</c:v>
                </c:pt>
                <c:pt idx="28">
                  <c:v>EL</c:v>
                </c:pt>
              </c:strCache>
            </c:strRef>
          </c:cat>
          <c:val>
            <c:numRef>
              <c:f>'zdrojove data'!$B$3:$B$31</c:f>
              <c:numCache>
                <c:formatCode>#,##0.0</c:formatCode>
                <c:ptCount val="29"/>
                <c:pt idx="0">
                  <c:v>8.6</c:v>
                </c:pt>
                <c:pt idx="1">
                  <c:v>10.4</c:v>
                </c:pt>
                <c:pt idx="2">
                  <c:v>11.8</c:v>
                </c:pt>
                <c:pt idx="3">
                  <c:v>12.3</c:v>
                </c:pt>
                <c:pt idx="4">
                  <c:v>12.8</c:v>
                </c:pt>
                <c:pt idx="5">
                  <c:v>13.7</c:v>
                </c:pt>
                <c:pt idx="6">
                  <c:v>14.1</c:v>
                </c:pt>
                <c:pt idx="7">
                  <c:v>14.3</c:v>
                </c:pt>
                <c:pt idx="8">
                  <c:v>14.4</c:v>
                </c:pt>
                <c:pt idx="9">
                  <c:v>14.5</c:v>
                </c:pt>
                <c:pt idx="10">
                  <c:v>14.8</c:v>
                </c:pt>
                <c:pt idx="11">
                  <c:v>15.1</c:v>
                </c:pt>
                <c:pt idx="12">
                  <c:v>15.3</c:v>
                </c:pt>
                <c:pt idx="13">
                  <c:v>15.7</c:v>
                </c:pt>
                <c:pt idx="14">
                  <c:v>15.9</c:v>
                </c:pt>
                <c:pt idx="15">
                  <c:v>15.9</c:v>
                </c:pt>
                <c:pt idx="16">
                  <c:v>16.100000000000001</c:v>
                </c:pt>
                <c:pt idx="17">
                  <c:v>16.600000000000001</c:v>
                </c:pt>
                <c:pt idx="18">
                  <c:v>17.3</c:v>
                </c:pt>
                <c:pt idx="19">
                  <c:v>18.600000000000001</c:v>
                </c:pt>
                <c:pt idx="20">
                  <c:v>18.7</c:v>
                </c:pt>
                <c:pt idx="21">
                  <c:v>19.100000000000001</c:v>
                </c:pt>
                <c:pt idx="22">
                  <c:v>19.399999999999999</c:v>
                </c:pt>
                <c:pt idx="23">
                  <c:v>19.5</c:v>
                </c:pt>
                <c:pt idx="24">
                  <c:v>20.399999999999999</c:v>
                </c:pt>
                <c:pt idx="25">
                  <c:v>20.6</c:v>
                </c:pt>
                <c:pt idx="26">
                  <c:v>21</c:v>
                </c:pt>
                <c:pt idx="27">
                  <c:v>22.4</c:v>
                </c:pt>
                <c:pt idx="28">
                  <c:v>23.1</c:v>
                </c:pt>
              </c:numCache>
            </c:numRef>
          </c:val>
        </c:ser>
        <c:dLbls>
          <c:showLegendKey val="0"/>
          <c:showVal val="0"/>
          <c:showCatName val="0"/>
          <c:showSerName val="0"/>
          <c:showPercent val="0"/>
          <c:showBubbleSize val="0"/>
        </c:dLbls>
        <c:gapWidth val="150"/>
        <c:shape val="box"/>
        <c:axId val="245725824"/>
        <c:axId val="245731712"/>
        <c:axId val="0"/>
      </c:bar3DChart>
      <c:catAx>
        <c:axId val="245725824"/>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5400000" vert="horz" anchor="ctr" anchorCtr="0"/>
          <a:lstStyle/>
          <a:p>
            <a:pPr>
              <a:defRPr/>
            </a:pPr>
            <a:endParaRPr lang="sk-SK"/>
          </a:p>
        </c:txPr>
        <c:crossAx val="245731712"/>
        <c:crosses val="autoZero"/>
        <c:auto val="0"/>
        <c:lblAlgn val="ctr"/>
        <c:lblOffset val="100"/>
        <c:tickLblSkip val="1"/>
        <c:tickMarkSkip val="1"/>
        <c:noMultiLvlLbl val="0"/>
      </c:catAx>
      <c:valAx>
        <c:axId val="245731712"/>
        <c:scaling>
          <c:orientation val="minMax"/>
        </c:scaling>
        <c:delete val="0"/>
        <c:axPos val="l"/>
        <c:majorGridlines>
          <c:spPr>
            <a:ln w="3175" cap="flat" cmpd="sng" algn="ctr">
              <a:solidFill>
                <a:srgbClr val="000000"/>
              </a:solidFill>
              <a:prstDash val="solid"/>
              <a:round/>
            </a:ln>
            <a:effectLst/>
          </c:spPr>
        </c:majorGridlines>
        <c:numFmt formatCode="#,##0.0" sourceLinked="0"/>
        <c:majorTickMark val="out"/>
        <c:minorTickMark val="none"/>
        <c:tickLblPos val="nextTo"/>
        <c:spPr>
          <a:noFill/>
          <a:ln w="3175" cap="flat" cmpd="sng" algn="ctr">
            <a:solidFill>
              <a:srgbClr val="000000"/>
            </a:solidFill>
            <a:prstDash val="solid"/>
            <a:round/>
          </a:ln>
          <a:effectLst/>
        </c:spPr>
        <c:txPr>
          <a:bodyPr rot="0"/>
          <a:lstStyle/>
          <a:p>
            <a:pPr>
              <a:defRPr/>
            </a:pPr>
            <a:endParaRPr lang="sk-SK"/>
          </a:p>
        </c:txPr>
        <c:crossAx val="245725824"/>
        <c:crosses val="autoZero"/>
        <c:crossBetween val="between"/>
      </c:valAx>
      <c:spPr>
        <a:noFill/>
        <a:ln w="25400">
          <a:noFill/>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00" b="0" i="0" u="none" strike="noStrike" baseline="0">
          <a:solidFill>
            <a:srgbClr val="000000"/>
          </a:solidFill>
          <a:latin typeface="Times New Roman" panose="02020603050405020304" pitchFamily="18" charset="0"/>
          <a:ea typeface="Arial"/>
          <a:cs typeface="Arial"/>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9.5919226312927097E-2"/>
          <c:y val="3.5004343318295182E-2"/>
          <c:w val="0.90769316001836686"/>
          <c:h val="0.72432239564360501"/>
        </c:manualLayout>
      </c:layout>
      <c:bar3DChart>
        <c:barDir val="col"/>
        <c:grouping val="clustered"/>
        <c:varyColors val="0"/>
        <c:ser>
          <c:idx val="0"/>
          <c:order val="0"/>
          <c:tx>
            <c:strRef>
              <c:f>'zdrojove data'!$A$35</c:f>
              <c:strCache>
                <c:ptCount val="1"/>
                <c:pt idx="0">
                  <c:v>celkom</c:v>
                </c:pt>
              </c:strCache>
            </c:strRef>
          </c:tx>
          <c:spPr>
            <a:solidFill>
              <a:schemeClr val="accent1"/>
            </a:solidFill>
            <a:ln>
              <a:solidFill>
                <a:schemeClr val="accent1"/>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data'!$B$35:$K$35</c:f>
              <c:numCache>
                <c:formatCode>0.0</c:formatCode>
                <c:ptCount val="10"/>
                <c:pt idx="0">
                  <c:v>13.3</c:v>
                </c:pt>
                <c:pt idx="1">
                  <c:v>11.6</c:v>
                </c:pt>
                <c:pt idx="2">
                  <c:v>10.5</c:v>
                </c:pt>
                <c:pt idx="3">
                  <c:v>10.9</c:v>
                </c:pt>
                <c:pt idx="4">
                  <c:v>11</c:v>
                </c:pt>
                <c:pt idx="5">
                  <c:v>12</c:v>
                </c:pt>
                <c:pt idx="6">
                  <c:v>13</c:v>
                </c:pt>
                <c:pt idx="7">
                  <c:v>13.2</c:v>
                </c:pt>
                <c:pt idx="8">
                  <c:v>12.8</c:v>
                </c:pt>
                <c:pt idx="9">
                  <c:v>12.6</c:v>
                </c:pt>
              </c:numCache>
            </c:numRef>
          </c:val>
        </c:ser>
        <c:ser>
          <c:idx val="1"/>
          <c:order val="1"/>
          <c:tx>
            <c:strRef>
              <c:f>'zdrojove data'!$A$36</c:f>
              <c:strCache>
                <c:ptCount val="1"/>
                <c:pt idx="0">
                  <c:v>muži</c:v>
                </c:pt>
              </c:strCache>
            </c:strRef>
          </c:tx>
          <c:spPr>
            <a:solidFill>
              <a:schemeClr val="accent2"/>
            </a:solidFill>
            <a:ln>
              <a:solidFill>
                <a:schemeClr val="accent2"/>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data'!$B$36:$K$36</c:f>
              <c:numCache>
                <c:formatCode>0.0</c:formatCode>
                <c:ptCount val="10"/>
                <c:pt idx="0">
                  <c:v>13.2</c:v>
                </c:pt>
                <c:pt idx="1">
                  <c:v>11.8</c:v>
                </c:pt>
                <c:pt idx="2">
                  <c:v>9.8000000000000007</c:v>
                </c:pt>
                <c:pt idx="3">
                  <c:v>10.1</c:v>
                </c:pt>
                <c:pt idx="4">
                  <c:v>10.1</c:v>
                </c:pt>
                <c:pt idx="5">
                  <c:v>11.7</c:v>
                </c:pt>
                <c:pt idx="6">
                  <c:v>12.8</c:v>
                </c:pt>
                <c:pt idx="7">
                  <c:v>13.2</c:v>
                </c:pt>
                <c:pt idx="8">
                  <c:v>12.8</c:v>
                </c:pt>
                <c:pt idx="9" formatCode="General">
                  <c:v>12.7</c:v>
                </c:pt>
              </c:numCache>
            </c:numRef>
          </c:val>
        </c:ser>
        <c:ser>
          <c:idx val="2"/>
          <c:order val="2"/>
          <c:tx>
            <c:strRef>
              <c:f>'zdrojove data'!$A$37</c:f>
              <c:strCache>
                <c:ptCount val="1"/>
                <c:pt idx="0">
                  <c:v>ženy</c:v>
                </c:pt>
              </c:strCache>
            </c:strRef>
          </c:tx>
          <c:spPr>
            <a:solidFill>
              <a:schemeClr val="accent3">
                <a:lumMod val="60000"/>
                <a:lumOff val="40000"/>
              </a:schemeClr>
            </a:solidFill>
            <a:ln>
              <a:solidFill>
                <a:schemeClr val="accent3">
                  <a:lumMod val="60000"/>
                  <a:lumOff val="40000"/>
                </a:schemeClr>
              </a:solidFill>
            </a:ln>
          </c:spPr>
          <c:invertIfNegative val="0"/>
          <c:cat>
            <c:strRef>
              <c:f>'zdrojove data'!$B$34:$K$34</c:f>
              <c:strCache>
                <c:ptCount val="10"/>
                <c:pt idx="0">
                  <c:v>EU SILC 2005</c:v>
                </c:pt>
                <c:pt idx="1">
                  <c:v>  EU SILC 2006 </c:v>
                </c:pt>
                <c:pt idx="2">
                  <c:v>EU SILC 2007</c:v>
                </c:pt>
                <c:pt idx="3">
                  <c:v>EU SILC 2008</c:v>
                </c:pt>
                <c:pt idx="4">
                  <c:v>EU SILC 2009</c:v>
                </c:pt>
                <c:pt idx="5">
                  <c:v>EU SILC 2010</c:v>
                </c:pt>
                <c:pt idx="6">
                  <c:v>EU SILC 2011</c:v>
                </c:pt>
                <c:pt idx="7">
                  <c:v>EU SILC 2012</c:v>
                </c:pt>
                <c:pt idx="8">
                  <c:v>EU SILC 2013</c:v>
                </c:pt>
                <c:pt idx="9">
                  <c:v>EU SILC 2014</c:v>
                </c:pt>
              </c:strCache>
            </c:strRef>
          </c:cat>
          <c:val>
            <c:numRef>
              <c:f>'zdrojove data'!$B$37:$K$37</c:f>
              <c:numCache>
                <c:formatCode>0.0</c:formatCode>
                <c:ptCount val="10"/>
                <c:pt idx="0">
                  <c:v>13.5</c:v>
                </c:pt>
                <c:pt idx="1">
                  <c:v>11.5</c:v>
                </c:pt>
                <c:pt idx="2">
                  <c:v>11.2</c:v>
                </c:pt>
                <c:pt idx="3">
                  <c:v>11.5</c:v>
                </c:pt>
                <c:pt idx="4">
                  <c:v>11.8</c:v>
                </c:pt>
                <c:pt idx="5">
                  <c:v>12.2</c:v>
                </c:pt>
                <c:pt idx="6">
                  <c:v>13.1</c:v>
                </c:pt>
                <c:pt idx="7">
                  <c:v>13.3</c:v>
                </c:pt>
                <c:pt idx="8">
                  <c:v>12.9</c:v>
                </c:pt>
                <c:pt idx="9" formatCode="General">
                  <c:v>12.6</c:v>
                </c:pt>
              </c:numCache>
            </c:numRef>
          </c:val>
        </c:ser>
        <c:dLbls>
          <c:showLegendKey val="0"/>
          <c:showVal val="0"/>
          <c:showCatName val="0"/>
          <c:showSerName val="0"/>
          <c:showPercent val="0"/>
          <c:showBubbleSize val="0"/>
        </c:dLbls>
        <c:gapWidth val="150"/>
        <c:shape val="box"/>
        <c:axId val="245904512"/>
        <c:axId val="245906048"/>
        <c:axId val="0"/>
      </c:bar3DChart>
      <c:catAx>
        <c:axId val="245904512"/>
        <c:scaling>
          <c:orientation val="minMax"/>
        </c:scaling>
        <c:delete val="0"/>
        <c:axPos val="b"/>
        <c:numFmt formatCode="General" sourceLinked="1"/>
        <c:majorTickMark val="out"/>
        <c:minorTickMark val="none"/>
        <c:tickLblPos val="low"/>
        <c:txPr>
          <a:bodyPr rot="0" vert="horz"/>
          <a:lstStyle/>
          <a:p>
            <a:pPr>
              <a:defRPr/>
            </a:pPr>
            <a:endParaRPr lang="sk-SK"/>
          </a:p>
        </c:txPr>
        <c:crossAx val="245906048"/>
        <c:crosses val="autoZero"/>
        <c:auto val="1"/>
        <c:lblAlgn val="ctr"/>
        <c:lblOffset val="100"/>
        <c:tickLblSkip val="1"/>
        <c:tickMarkSkip val="1"/>
        <c:noMultiLvlLbl val="0"/>
      </c:catAx>
      <c:valAx>
        <c:axId val="245906048"/>
        <c:scaling>
          <c:orientation val="minMax"/>
        </c:scaling>
        <c:delete val="0"/>
        <c:axPos val="l"/>
        <c:majorGridlines/>
        <c:numFmt formatCode="0.0" sourceLinked="1"/>
        <c:majorTickMark val="out"/>
        <c:minorTickMark val="none"/>
        <c:tickLblPos val="nextTo"/>
        <c:txPr>
          <a:bodyPr rot="0" vert="horz"/>
          <a:lstStyle/>
          <a:p>
            <a:pPr>
              <a:defRPr/>
            </a:pPr>
            <a:endParaRPr lang="sk-SK"/>
          </a:p>
        </c:txPr>
        <c:crossAx val="245904512"/>
        <c:crosses val="autoZero"/>
        <c:crossBetween val="between"/>
      </c:valAx>
    </c:plotArea>
    <c:legend>
      <c:legendPos val="r"/>
      <c:layout>
        <c:manualLayout>
          <c:xMode val="edge"/>
          <c:yMode val="edge"/>
          <c:x val="0.28727115811895187"/>
          <c:y val="6.0741263274294105E-2"/>
          <c:w val="0.35380722754508986"/>
          <c:h val="7.0683113763321953E-2"/>
        </c:manualLayout>
      </c:layout>
      <c:overlay val="0"/>
    </c:legend>
    <c:plotVisOnly val="1"/>
    <c:dispBlanksAs val="gap"/>
    <c:showDLblsOverMax val="0"/>
  </c:chart>
  <c:spPr>
    <a:ln>
      <a:noFill/>
    </a:ln>
  </c:spPr>
  <c:txPr>
    <a:bodyPr/>
    <a:lstStyle/>
    <a:p>
      <a:pPr>
        <a:defRPr sz="900" baseline="0">
          <a:latin typeface="Times New Roman" panose="02020603050405020304"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none"/>
          </c:marker>
          <c:cat>
            <c:numRef>
              <c:f>'zdrojove data'!$A$47:$I$47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'zdrojove data'!$A$48:$I$48</c:f>
              <c:numCache>
                <c:formatCode>General</c:formatCode>
                <c:ptCount val="9"/>
                <c:pt idx="0" formatCode="#,##0.0">
                  <c:v>13.3</c:v>
                </c:pt>
                <c:pt idx="1">
                  <c:v>10.1</c:v>
                </c:pt>
                <c:pt idx="2">
                  <c:v>6.2</c:v>
                </c:pt>
                <c:pt idx="3">
                  <c:v>4.8</c:v>
                </c:pt>
                <c:pt idx="4">
                  <c:v>2.4</c:v>
                </c:pt>
                <c:pt idx="5">
                  <c:v>2.6</c:v>
                </c:pt>
                <c:pt idx="6">
                  <c:v>2.7</c:v>
                </c:pt>
                <c:pt idx="7">
                  <c:v>2.1</c:v>
                </c:pt>
                <c:pt idx="8">
                  <c:v>2.8</c:v>
                </c:pt>
              </c:numCache>
            </c:numRef>
          </c:val>
          <c:smooth val="0"/>
        </c:ser>
        <c:dLbls>
          <c:showLegendKey val="0"/>
          <c:showVal val="0"/>
          <c:showCatName val="0"/>
          <c:showSerName val="0"/>
          <c:showPercent val="0"/>
          <c:showBubbleSize val="0"/>
        </c:dLbls>
        <c:marker val="1"/>
        <c:smooth val="0"/>
        <c:axId val="245926144"/>
        <c:axId val="245940224"/>
      </c:lineChart>
      <c:catAx>
        <c:axId val="245926144"/>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vert="horz"/>
          <a:lstStyle/>
          <a:p>
            <a:pPr>
              <a:defRPr/>
            </a:pPr>
            <a:endParaRPr lang="sk-SK"/>
          </a:p>
        </c:txPr>
        <c:crossAx val="245940224"/>
        <c:crosses val="autoZero"/>
        <c:auto val="1"/>
        <c:lblAlgn val="ctr"/>
        <c:lblOffset val="100"/>
        <c:noMultiLvlLbl val="0"/>
      </c:catAx>
      <c:valAx>
        <c:axId val="245940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sk-SK"/>
          </a:p>
        </c:txPr>
        <c:crossAx val="245926144"/>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65223097112866E-2"/>
          <c:y val="5.0925925925925923E-2"/>
          <c:w val="0.89997922134733155"/>
          <c:h val="0.7033945756780402"/>
        </c:manualLayout>
      </c:layout>
      <c:barChart>
        <c:barDir val="col"/>
        <c:grouping val="clustered"/>
        <c:varyColors val="0"/>
        <c:ser>
          <c:idx val="0"/>
          <c:order val="0"/>
          <c:tx>
            <c:strRef>
              <c:f>'zdrojove data'!$B$57</c:f>
              <c:strCache>
                <c:ptCount val="1"/>
                <c:pt idx="0">
                  <c:v>Spolu</c:v>
                </c:pt>
              </c:strCache>
            </c:strRef>
          </c:tx>
          <c:invertIfNegative val="0"/>
          <c:cat>
            <c:strRef>
              <c:f>'zdrojove data'!$C$56:$L$56</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data'!$C$57:$L$57</c:f>
              <c:numCache>
                <c:formatCode>General</c:formatCode>
                <c:ptCount val="10"/>
                <c:pt idx="0">
                  <c:v>12.8</c:v>
                </c:pt>
                <c:pt idx="1">
                  <c:v>17.600000000000001</c:v>
                </c:pt>
                <c:pt idx="2">
                  <c:v>22.4</c:v>
                </c:pt>
                <c:pt idx="3">
                  <c:v>20.7</c:v>
                </c:pt>
                <c:pt idx="4">
                  <c:v>20.3</c:v>
                </c:pt>
                <c:pt idx="5">
                  <c:v>15.1</c:v>
                </c:pt>
                <c:pt idx="6">
                  <c:v>12.1</c:v>
                </c:pt>
                <c:pt idx="7">
                  <c:v>9.7000000000000011</c:v>
                </c:pt>
                <c:pt idx="8">
                  <c:v>12.1</c:v>
                </c:pt>
                <c:pt idx="9">
                  <c:v>6</c:v>
                </c:pt>
              </c:numCache>
            </c:numRef>
          </c:val>
        </c:ser>
        <c:ser>
          <c:idx val="1"/>
          <c:order val="1"/>
          <c:tx>
            <c:strRef>
              <c:f>'zdrojove data'!$B$58</c:f>
              <c:strCache>
                <c:ptCount val="1"/>
                <c:pt idx="0">
                  <c:v>Muži</c:v>
                </c:pt>
              </c:strCache>
            </c:strRef>
          </c:tx>
          <c:spPr>
            <a:solidFill>
              <a:srgbClr val="FF3300"/>
            </a:solidFill>
          </c:spPr>
          <c:invertIfNegative val="0"/>
          <c:cat>
            <c:strRef>
              <c:f>'zdrojove data'!$C$56:$L$56</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data'!$C$58:$L$58</c:f>
              <c:numCache>
                <c:formatCode>General</c:formatCode>
                <c:ptCount val="10"/>
                <c:pt idx="0">
                  <c:v>12.8</c:v>
                </c:pt>
                <c:pt idx="1">
                  <c:v>18.600000000000001</c:v>
                </c:pt>
                <c:pt idx="2">
                  <c:v>21</c:v>
                </c:pt>
                <c:pt idx="3">
                  <c:v>20.8</c:v>
                </c:pt>
                <c:pt idx="4">
                  <c:v>20.2</c:v>
                </c:pt>
                <c:pt idx="5">
                  <c:v>15.7</c:v>
                </c:pt>
                <c:pt idx="6">
                  <c:v>11.5</c:v>
                </c:pt>
                <c:pt idx="7">
                  <c:v>9.7000000000000011</c:v>
                </c:pt>
                <c:pt idx="8">
                  <c:v>12</c:v>
                </c:pt>
                <c:pt idx="9">
                  <c:v>3.3</c:v>
                </c:pt>
              </c:numCache>
            </c:numRef>
          </c:val>
        </c:ser>
        <c:ser>
          <c:idx val="2"/>
          <c:order val="2"/>
          <c:tx>
            <c:strRef>
              <c:f>'zdrojove data'!$B$59</c:f>
              <c:strCache>
                <c:ptCount val="1"/>
                <c:pt idx="0">
                  <c:v>Ženy</c:v>
                </c:pt>
              </c:strCache>
            </c:strRef>
          </c:tx>
          <c:spPr>
            <a:solidFill>
              <a:schemeClr val="accent3">
                <a:lumMod val="60000"/>
                <a:lumOff val="40000"/>
              </a:schemeClr>
            </a:solidFill>
          </c:spPr>
          <c:invertIfNegative val="0"/>
          <c:cat>
            <c:strRef>
              <c:f>'zdrojove data'!$C$56:$L$56</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data'!$C$59:$L$59</c:f>
              <c:numCache>
                <c:formatCode>General</c:formatCode>
                <c:ptCount val="10"/>
                <c:pt idx="0">
                  <c:v>12.9</c:v>
                </c:pt>
                <c:pt idx="1">
                  <c:v>16.5</c:v>
                </c:pt>
                <c:pt idx="2">
                  <c:v>24.1</c:v>
                </c:pt>
                <c:pt idx="3">
                  <c:v>20.7</c:v>
                </c:pt>
                <c:pt idx="4">
                  <c:v>20.5</c:v>
                </c:pt>
                <c:pt idx="5">
                  <c:v>14.5</c:v>
                </c:pt>
                <c:pt idx="6">
                  <c:v>12.7</c:v>
                </c:pt>
                <c:pt idx="7">
                  <c:v>9.6</c:v>
                </c:pt>
                <c:pt idx="8">
                  <c:v>12.3</c:v>
                </c:pt>
                <c:pt idx="9">
                  <c:v>7.6</c:v>
                </c:pt>
              </c:numCache>
            </c:numRef>
          </c:val>
        </c:ser>
        <c:dLbls>
          <c:showLegendKey val="0"/>
          <c:showVal val="0"/>
          <c:showCatName val="0"/>
          <c:showSerName val="0"/>
          <c:showPercent val="0"/>
          <c:showBubbleSize val="0"/>
        </c:dLbls>
        <c:gapWidth val="150"/>
        <c:overlap val="-20"/>
        <c:axId val="246231808"/>
        <c:axId val="246233344"/>
      </c:barChart>
      <c:catAx>
        <c:axId val="246231808"/>
        <c:scaling>
          <c:orientation val="minMax"/>
        </c:scaling>
        <c:delete val="0"/>
        <c:axPos val="b"/>
        <c:majorTickMark val="out"/>
        <c:minorTickMark val="none"/>
        <c:tickLblPos val="nextTo"/>
        <c:crossAx val="246233344"/>
        <c:crosses val="autoZero"/>
        <c:auto val="1"/>
        <c:lblAlgn val="ctr"/>
        <c:lblOffset val="100"/>
        <c:noMultiLvlLbl val="0"/>
      </c:catAx>
      <c:valAx>
        <c:axId val="246233344"/>
        <c:scaling>
          <c:orientation val="minMax"/>
          <c:max val="25"/>
        </c:scaling>
        <c:delete val="0"/>
        <c:axPos val="l"/>
        <c:majorGridlines/>
        <c:title>
          <c:tx>
            <c:rich>
              <a:bodyPr rot="0" vert="horz"/>
              <a:lstStyle/>
              <a:p>
                <a:pPr>
                  <a:defRPr/>
                </a:pPr>
                <a:r>
                  <a:rPr lang="sk-SK"/>
                  <a:t>%</a:t>
                </a:r>
              </a:p>
            </c:rich>
          </c:tx>
          <c:layout>
            <c:manualLayout>
              <c:xMode val="edge"/>
              <c:yMode val="edge"/>
              <c:x val="0"/>
              <c:y val="0.36905839895013126"/>
            </c:manualLayout>
          </c:layout>
          <c:overlay val="0"/>
        </c:title>
        <c:numFmt formatCode="General" sourceLinked="1"/>
        <c:majorTickMark val="out"/>
        <c:minorTickMark val="none"/>
        <c:tickLblPos val="nextTo"/>
        <c:crossAx val="246231808"/>
        <c:crosses val="autoZero"/>
        <c:crossBetween val="between"/>
      </c:valAx>
    </c:plotArea>
    <c:legend>
      <c:legendPos val="t"/>
      <c:layout>
        <c:manualLayout>
          <c:xMode val="edge"/>
          <c:yMode val="edge"/>
          <c:x val="0.65016251093613298"/>
          <c:y val="7.8703703703703706E-2"/>
          <c:w val="0.31634142607174104"/>
          <c:h val="7.8537839020122485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09667541557302E-2"/>
          <c:y val="5.0925925925925923E-2"/>
          <c:w val="0.90553477690288708"/>
          <c:h val="0.7033945756780402"/>
        </c:manualLayout>
      </c:layout>
      <c:barChart>
        <c:barDir val="col"/>
        <c:grouping val="clustered"/>
        <c:varyColors val="0"/>
        <c:ser>
          <c:idx val="0"/>
          <c:order val="0"/>
          <c:tx>
            <c:strRef>
              <c:f>'zdrojove data'!$B$63</c:f>
              <c:strCache>
                <c:ptCount val="1"/>
                <c:pt idx="0">
                  <c:v>Spolu</c:v>
                </c:pt>
              </c:strCache>
            </c:strRef>
          </c:tx>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data'!$C$63:$L$63</c:f>
              <c:numCache>
                <c:formatCode>General</c:formatCode>
                <c:ptCount val="10"/>
                <c:pt idx="0">
                  <c:v>12.6</c:v>
                </c:pt>
                <c:pt idx="1">
                  <c:v>17</c:v>
                </c:pt>
                <c:pt idx="2">
                  <c:v>20</c:v>
                </c:pt>
                <c:pt idx="3">
                  <c:v>20.8</c:v>
                </c:pt>
                <c:pt idx="4">
                  <c:v>19.2</c:v>
                </c:pt>
                <c:pt idx="5">
                  <c:v>14.7</c:v>
                </c:pt>
                <c:pt idx="6">
                  <c:v>12.1</c:v>
                </c:pt>
                <c:pt idx="7">
                  <c:v>11.2</c:v>
                </c:pt>
                <c:pt idx="8">
                  <c:v>12.3</c:v>
                </c:pt>
                <c:pt idx="9">
                  <c:v>6.2</c:v>
                </c:pt>
              </c:numCache>
            </c:numRef>
          </c:val>
        </c:ser>
        <c:ser>
          <c:idx val="1"/>
          <c:order val="1"/>
          <c:tx>
            <c:strRef>
              <c:f>'zdrojove data'!$B$64</c:f>
              <c:strCache>
                <c:ptCount val="1"/>
                <c:pt idx="0">
                  <c:v>Muži</c:v>
                </c:pt>
              </c:strCache>
            </c:strRef>
          </c:tx>
          <c:spPr>
            <a:solidFill>
              <a:srgbClr val="FF3300"/>
            </a:solidFill>
          </c:spPr>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data'!$C$64:$L$64</c:f>
              <c:numCache>
                <c:formatCode>General</c:formatCode>
                <c:ptCount val="10"/>
                <c:pt idx="0">
                  <c:v>12.7</c:v>
                </c:pt>
                <c:pt idx="1">
                  <c:v>14.7</c:v>
                </c:pt>
                <c:pt idx="2">
                  <c:v>18.3</c:v>
                </c:pt>
                <c:pt idx="3">
                  <c:v>23</c:v>
                </c:pt>
                <c:pt idx="4">
                  <c:v>18.7</c:v>
                </c:pt>
                <c:pt idx="5">
                  <c:v>14</c:v>
                </c:pt>
                <c:pt idx="6">
                  <c:v>12.3</c:v>
                </c:pt>
                <c:pt idx="7">
                  <c:v>12.3</c:v>
                </c:pt>
                <c:pt idx="8">
                  <c:v>12.5</c:v>
                </c:pt>
                <c:pt idx="9">
                  <c:v>4.0999999999999996</c:v>
                </c:pt>
              </c:numCache>
            </c:numRef>
          </c:val>
        </c:ser>
        <c:ser>
          <c:idx val="2"/>
          <c:order val="2"/>
          <c:tx>
            <c:strRef>
              <c:f>'zdrojove data'!$B$65</c:f>
              <c:strCache>
                <c:ptCount val="1"/>
                <c:pt idx="0">
                  <c:v>Ženy</c:v>
                </c:pt>
              </c:strCache>
            </c:strRef>
          </c:tx>
          <c:spPr>
            <a:solidFill>
              <a:schemeClr val="accent3">
                <a:lumMod val="60000"/>
                <a:lumOff val="40000"/>
              </a:schemeClr>
            </a:solidFill>
          </c:spPr>
          <c:invertIfNegative val="0"/>
          <c:cat>
            <c:strRef>
              <c:f>'zdrojove data'!$C$62:$L$62</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'zdrojove data'!$C$65:$L$65</c:f>
              <c:numCache>
                <c:formatCode>General</c:formatCode>
                <c:ptCount val="10"/>
                <c:pt idx="0">
                  <c:v>12.8</c:v>
                </c:pt>
                <c:pt idx="1">
                  <c:v>19.100000000000001</c:v>
                </c:pt>
                <c:pt idx="2">
                  <c:v>21.9</c:v>
                </c:pt>
                <c:pt idx="3">
                  <c:v>18.399999999999999</c:v>
                </c:pt>
                <c:pt idx="4">
                  <c:v>19.8</c:v>
                </c:pt>
                <c:pt idx="5">
                  <c:v>15.4</c:v>
                </c:pt>
                <c:pt idx="6">
                  <c:v>12</c:v>
                </c:pt>
                <c:pt idx="7">
                  <c:v>10</c:v>
                </c:pt>
                <c:pt idx="8">
                  <c:v>12</c:v>
                </c:pt>
                <c:pt idx="9">
                  <c:v>7.5</c:v>
                </c:pt>
              </c:numCache>
            </c:numRef>
          </c:val>
        </c:ser>
        <c:dLbls>
          <c:showLegendKey val="0"/>
          <c:showVal val="0"/>
          <c:showCatName val="0"/>
          <c:showSerName val="0"/>
          <c:showPercent val="0"/>
          <c:showBubbleSize val="0"/>
        </c:dLbls>
        <c:gapWidth val="150"/>
        <c:overlap val="-20"/>
        <c:axId val="246276096"/>
        <c:axId val="246277632"/>
      </c:barChart>
      <c:catAx>
        <c:axId val="246276096"/>
        <c:scaling>
          <c:orientation val="minMax"/>
        </c:scaling>
        <c:delete val="0"/>
        <c:axPos val="b"/>
        <c:majorTickMark val="out"/>
        <c:minorTickMark val="none"/>
        <c:tickLblPos val="nextTo"/>
        <c:crossAx val="246277632"/>
        <c:crosses val="autoZero"/>
        <c:auto val="1"/>
        <c:lblAlgn val="ctr"/>
        <c:lblOffset val="100"/>
        <c:noMultiLvlLbl val="0"/>
      </c:catAx>
      <c:valAx>
        <c:axId val="246277632"/>
        <c:scaling>
          <c:orientation val="minMax"/>
        </c:scaling>
        <c:delete val="0"/>
        <c:axPos val="l"/>
        <c:majorGridlines/>
        <c:title>
          <c:tx>
            <c:rich>
              <a:bodyPr rot="0" vert="horz"/>
              <a:lstStyle/>
              <a:p>
                <a:pPr>
                  <a:defRPr/>
                </a:pPr>
                <a:r>
                  <a:rPr lang="sk-SK"/>
                  <a:t>%</a:t>
                </a:r>
              </a:p>
            </c:rich>
          </c:tx>
          <c:layout>
            <c:manualLayout>
              <c:xMode val="edge"/>
              <c:yMode val="edge"/>
              <c:x val="0"/>
              <c:y val="0.36905839895013126"/>
            </c:manualLayout>
          </c:layout>
          <c:overlay val="0"/>
        </c:title>
        <c:numFmt formatCode="General" sourceLinked="1"/>
        <c:majorTickMark val="out"/>
        <c:minorTickMark val="none"/>
        <c:tickLblPos val="nextTo"/>
        <c:crossAx val="246276096"/>
        <c:crosses val="autoZero"/>
        <c:crossBetween val="between"/>
      </c:valAx>
    </c:plotArea>
    <c:legend>
      <c:legendPos val="t"/>
      <c:layout>
        <c:manualLayout>
          <c:xMode val="edge"/>
          <c:yMode val="edge"/>
          <c:x val="0.6609129483814522"/>
          <c:y val="8.3333333333333329E-2"/>
          <c:w val="0.31706299212598427"/>
          <c:h val="8.371719160104987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33115305031315"/>
          <c:y val="5.4120541205412057E-2"/>
          <c:w val="0.48616194876466889"/>
          <c:h val="0.83018430814229405"/>
        </c:manualLayout>
      </c:layout>
      <c:barChart>
        <c:barDir val="bar"/>
        <c:grouping val="clustered"/>
        <c:varyColors val="0"/>
        <c:ser>
          <c:idx val="2"/>
          <c:order val="0"/>
          <c:tx>
            <c:strRef>
              <c:f>'zdrojove data'!$E$74</c:f>
              <c:strCache>
                <c:ptCount val="1"/>
                <c:pt idx="0">
                  <c:v>2014</c:v>
                </c:pt>
              </c:strCache>
            </c:strRef>
          </c:tx>
          <c:spPr>
            <a:solidFill>
              <a:schemeClr val="accent4"/>
            </a:solidFill>
          </c:spPr>
          <c:invertIfNegative val="0"/>
          <c:val>
            <c:numRef>
              <c:f>'zdrojove data'!$E$75:$E$86</c:f>
              <c:numCache>
                <c:formatCode>#,##0.0</c:formatCode>
                <c:ptCount val="12"/>
                <c:pt idx="0">
                  <c:v>4.9000000000000004</c:v>
                </c:pt>
                <c:pt idx="1">
                  <c:v>8.6</c:v>
                </c:pt>
                <c:pt idx="2">
                  <c:v>9.9</c:v>
                </c:pt>
                <c:pt idx="3">
                  <c:v>11.1</c:v>
                </c:pt>
                <c:pt idx="4">
                  <c:v>13.2</c:v>
                </c:pt>
                <c:pt idx="5">
                  <c:v>11.4</c:v>
                </c:pt>
                <c:pt idx="6">
                  <c:v>14.9</c:v>
                </c:pt>
                <c:pt idx="7">
                  <c:v>15.7</c:v>
                </c:pt>
                <c:pt idx="8">
                  <c:v>16</c:v>
                </c:pt>
                <c:pt idx="9">
                  <c:v>20.399999999999999</c:v>
                </c:pt>
                <c:pt idx="10">
                  <c:v>28.4</c:v>
                </c:pt>
                <c:pt idx="11">
                  <c:v>30.6</c:v>
                </c:pt>
              </c:numCache>
            </c:numRef>
          </c:val>
        </c:ser>
        <c:ser>
          <c:idx val="1"/>
          <c:order val="1"/>
          <c:tx>
            <c:strRef>
              <c:f>'zdrojove data'!$D$74</c:f>
              <c:strCache>
                <c:ptCount val="1"/>
                <c:pt idx="0">
                  <c:v>2013</c:v>
                </c:pt>
              </c:strCache>
            </c:strRef>
          </c:tx>
          <c:spPr>
            <a:solidFill>
              <a:srgbClr val="FF3300"/>
            </a:solidFill>
          </c:spPr>
          <c:invertIfNegative val="0"/>
          <c:val>
            <c:numRef>
              <c:f>'zdrojove data'!$D$75:$D$86</c:f>
              <c:numCache>
                <c:formatCode>#,##0.0</c:formatCode>
                <c:ptCount val="12"/>
                <c:pt idx="0">
                  <c:v>3.8</c:v>
                </c:pt>
                <c:pt idx="1">
                  <c:v>7.5</c:v>
                </c:pt>
                <c:pt idx="2">
                  <c:v>8.8000000000000007</c:v>
                </c:pt>
                <c:pt idx="3">
                  <c:v>10</c:v>
                </c:pt>
                <c:pt idx="4">
                  <c:v>10</c:v>
                </c:pt>
                <c:pt idx="5">
                  <c:v>13.2</c:v>
                </c:pt>
                <c:pt idx="6">
                  <c:v>14.9</c:v>
                </c:pt>
                <c:pt idx="7">
                  <c:v>15.5</c:v>
                </c:pt>
                <c:pt idx="8">
                  <c:v>16.3</c:v>
                </c:pt>
                <c:pt idx="9">
                  <c:v>21.3</c:v>
                </c:pt>
                <c:pt idx="10">
                  <c:v>29.9</c:v>
                </c:pt>
                <c:pt idx="11">
                  <c:v>30.1</c:v>
                </c:pt>
              </c:numCache>
            </c:numRef>
          </c:val>
        </c:ser>
        <c:ser>
          <c:idx val="0"/>
          <c:order val="2"/>
          <c:tx>
            <c:strRef>
              <c:f>'zdrojove data'!$C$74</c:f>
              <c:strCache>
                <c:ptCount val="1"/>
                <c:pt idx="0">
                  <c:v>2012</c:v>
                </c:pt>
              </c:strCache>
            </c:strRef>
          </c:tx>
          <c:spPr>
            <a:solidFill>
              <a:schemeClr val="accent1"/>
            </a:solidFill>
            <a:ln>
              <a:noFill/>
            </a:ln>
            <a:effectLst/>
          </c:spPr>
          <c:invertIfNegative val="0"/>
          <c:cat>
            <c:strRef>
              <c:f>'zdrojove data'!$B$75:$B$86</c:f>
              <c:strCache>
                <c:ptCount val="12"/>
                <c:pt idx="0">
                  <c:v>          dvaja dospelí, najmenej jeden starší ako 65 rokov</c:v>
                </c:pt>
                <c:pt idx="1">
                  <c:v>          domácnosti  bez závislých detí    </c:v>
                </c:pt>
                <c:pt idx="2">
                  <c:v>          dvaja dospelí, obaja mladší ako 65 rokov</c:v>
                </c:pt>
                <c:pt idx="3">
                  <c:v>          jednotlivec starší ako 65 rokov</c:v>
                </c:pt>
                <c:pt idx="4">
                  <c:v>          dvaja dospelí s jedným závislým dieťaťom </c:v>
                </c:pt>
                <c:pt idx="5">
                  <c:v>          dvaja dospelí s dvomi závislými dieťmi  </c:v>
                </c:pt>
                <c:pt idx="6">
                  <c:v>          traja a viac dospelí so závislými deťmi   </c:v>
                </c:pt>
                <c:pt idx="7">
                  <c:v>          jednotlivec </c:v>
                </c:pt>
                <c:pt idx="8">
                  <c:v>          domácnosti so závislými deťmi   </c:v>
                </c:pt>
                <c:pt idx="9">
                  <c:v>          jednotlivec mladší ako 65 rokov</c:v>
                </c:pt>
                <c:pt idx="10">
                  <c:v>          dvaja dospelí s tromi a viac závislými deťmi  </c:v>
                </c:pt>
                <c:pt idx="11">
                  <c:v>          jednotlivec s najmenej jedným dieťaťom</c:v>
                </c:pt>
              </c:strCache>
            </c:strRef>
          </c:cat>
          <c:val>
            <c:numRef>
              <c:f>'zdrojove data'!$C$75:$C$86</c:f>
              <c:numCache>
                <c:formatCode>#,##0.0</c:formatCode>
                <c:ptCount val="12"/>
                <c:pt idx="0">
                  <c:v>4.5999999999999996</c:v>
                </c:pt>
                <c:pt idx="1">
                  <c:v>9</c:v>
                </c:pt>
                <c:pt idx="2">
                  <c:v>9.1</c:v>
                </c:pt>
                <c:pt idx="3">
                  <c:v>14.7</c:v>
                </c:pt>
                <c:pt idx="4">
                  <c:v>12.4</c:v>
                </c:pt>
                <c:pt idx="5">
                  <c:v>14.3</c:v>
                </c:pt>
                <c:pt idx="6">
                  <c:v>13.3</c:v>
                </c:pt>
                <c:pt idx="7">
                  <c:v>19.3</c:v>
                </c:pt>
                <c:pt idx="8">
                  <c:v>16.5</c:v>
                </c:pt>
                <c:pt idx="9">
                  <c:v>24.1</c:v>
                </c:pt>
                <c:pt idx="10">
                  <c:v>35.1</c:v>
                </c:pt>
                <c:pt idx="11">
                  <c:v>27.5</c:v>
                </c:pt>
              </c:numCache>
            </c:numRef>
          </c:val>
        </c:ser>
        <c:dLbls>
          <c:showLegendKey val="0"/>
          <c:showVal val="0"/>
          <c:showCatName val="0"/>
          <c:showSerName val="0"/>
          <c:showPercent val="0"/>
          <c:showBubbleSize val="0"/>
        </c:dLbls>
        <c:gapWidth val="182"/>
        <c:axId val="246287360"/>
        <c:axId val="246321920"/>
      </c:barChart>
      <c:catAx>
        <c:axId val="24628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246321920"/>
        <c:crosses val="autoZero"/>
        <c:auto val="1"/>
        <c:lblAlgn val="ctr"/>
        <c:lblOffset val="100"/>
        <c:noMultiLvlLbl val="0"/>
      </c:catAx>
      <c:valAx>
        <c:axId val="2463219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sk-SK"/>
          </a:p>
        </c:txPr>
        <c:crossAx val="246287360"/>
        <c:crosses val="autoZero"/>
        <c:crossBetween val="between"/>
      </c:valAx>
      <c:spPr>
        <a:noFill/>
        <a:ln>
          <a:solidFill>
            <a:schemeClr val="tx1">
              <a:lumMod val="15000"/>
              <a:lumOff val="85000"/>
            </a:schemeClr>
          </a:solidFill>
        </a:ln>
        <a:effectLst/>
      </c:spPr>
    </c:plotArea>
    <c:legend>
      <c:legendPos val="r"/>
      <c:layout>
        <c:manualLayout>
          <c:xMode val="edge"/>
          <c:yMode val="edge"/>
          <c:x val="0.86343255027005916"/>
          <c:y val="0.58578884324148595"/>
          <c:w val="7.9267174247847114E-2"/>
          <c:h val="0.25039370078740159"/>
        </c:manualLayout>
      </c:layout>
      <c:overlay val="1"/>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'Hárok1 (2)'!$A$22</c:f>
              <c:strCache>
                <c:ptCount val="1"/>
                <c:pt idx="0">
                  <c:v>2013</c:v>
                </c:pt>
              </c:strCache>
            </c:strRef>
          </c:tx>
          <c:spPr>
            <a:solidFill>
              <a:schemeClr val="accent2"/>
            </a:solidFill>
          </c:spPr>
          <c:invertIfNegative val="0"/>
          <c:cat>
            <c:strRef>
              <c:f>'Hárok1 (2)'!$B$19:$J$19</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'Hárok1 (2)'!$B$22:$J$22</c:f>
              <c:numCache>
                <c:formatCode>General</c:formatCode>
                <c:ptCount val="9"/>
                <c:pt idx="0">
                  <c:v>48.75</c:v>
                </c:pt>
                <c:pt idx="1">
                  <c:v>39.46</c:v>
                </c:pt>
                <c:pt idx="2">
                  <c:v>23.73</c:v>
                </c:pt>
                <c:pt idx="3">
                  <c:v>8.2000000000000011</c:v>
                </c:pt>
                <c:pt idx="4">
                  <c:v>5.39</c:v>
                </c:pt>
                <c:pt idx="5">
                  <c:v>15.07</c:v>
                </c:pt>
                <c:pt idx="6">
                  <c:v>0.98</c:v>
                </c:pt>
                <c:pt idx="7">
                  <c:v>0.65000000000000246</c:v>
                </c:pt>
                <c:pt idx="8">
                  <c:v>0.55000000000000004</c:v>
                </c:pt>
              </c:numCache>
            </c:numRef>
          </c:val>
        </c:ser>
        <c:dLbls>
          <c:showLegendKey val="0"/>
          <c:showVal val="0"/>
          <c:showCatName val="0"/>
          <c:showSerName val="0"/>
          <c:showPercent val="0"/>
          <c:showBubbleSize val="0"/>
        </c:dLbls>
        <c:gapWidth val="21"/>
        <c:axId val="246351744"/>
        <c:axId val="246353920"/>
      </c:barChart>
      <c:lineChart>
        <c:grouping val="standard"/>
        <c:varyColors val="0"/>
        <c:ser>
          <c:idx val="0"/>
          <c:order val="0"/>
          <c:tx>
            <c:strRef>
              <c:f>'Hárok1 (2)'!$A$20</c:f>
              <c:strCache>
                <c:ptCount val="1"/>
                <c:pt idx="0">
                  <c:v>2005</c:v>
                </c:pt>
              </c:strCache>
            </c:strRef>
          </c:tx>
          <c:spPr>
            <a:ln>
              <a:noFill/>
            </a:ln>
          </c:spPr>
          <c:marker>
            <c:symbol val="triangle"/>
            <c:size val="9"/>
            <c:spPr>
              <a:solidFill>
                <a:schemeClr val="bg1"/>
              </a:solidFill>
              <a:ln w="19050">
                <a:solidFill>
                  <a:schemeClr val="accent2"/>
                </a:solidFill>
              </a:ln>
            </c:spPr>
          </c:marker>
          <c:cat>
            <c:strRef>
              <c:f>'Hárok1 (2)'!$B$19:$J$19</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'Hárok1 (2)'!$B$20:$J$20</c:f>
              <c:numCache>
                <c:formatCode>General</c:formatCode>
                <c:ptCount val="9"/>
                <c:pt idx="0">
                  <c:v>59.2</c:v>
                </c:pt>
                <c:pt idx="1">
                  <c:v>58.3</c:v>
                </c:pt>
                <c:pt idx="2">
                  <c:v>41.4</c:v>
                </c:pt>
                <c:pt idx="3">
                  <c:v>11.5</c:v>
                </c:pt>
                <c:pt idx="4">
                  <c:v>13.6</c:v>
                </c:pt>
                <c:pt idx="5">
                  <c:v>28.5</c:v>
                </c:pt>
                <c:pt idx="6">
                  <c:v>2.1</c:v>
                </c:pt>
                <c:pt idx="7">
                  <c:v>1.1000000000000001</c:v>
                </c:pt>
                <c:pt idx="8">
                  <c:v>0.9</c:v>
                </c:pt>
              </c:numCache>
            </c:numRef>
          </c:val>
          <c:smooth val="0"/>
        </c:ser>
        <c:ser>
          <c:idx val="1"/>
          <c:order val="1"/>
          <c:tx>
            <c:strRef>
              <c:f>'Hárok1 (2)'!$A$21</c:f>
              <c:strCache>
                <c:ptCount val="1"/>
                <c:pt idx="0">
                  <c:v>2009</c:v>
                </c:pt>
              </c:strCache>
            </c:strRef>
          </c:tx>
          <c:spPr>
            <a:ln>
              <a:noFill/>
            </a:ln>
          </c:spPr>
          <c:marker>
            <c:symbol val="square"/>
            <c:size val="8"/>
            <c:spPr>
              <a:solidFill>
                <a:schemeClr val="bg1"/>
              </a:solidFill>
              <a:ln w="19050">
                <a:solidFill>
                  <a:schemeClr val="accent1"/>
                </a:solidFill>
              </a:ln>
            </c:spPr>
          </c:marker>
          <c:cat>
            <c:strRef>
              <c:f>'Hárok1 (2)'!$B$19:$J$19</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'Hárok1 (2)'!$B$21:$J$21</c:f>
              <c:numCache>
                <c:formatCode>0.0</c:formatCode>
                <c:ptCount val="9"/>
                <c:pt idx="0" formatCode="General">
                  <c:v>53.5</c:v>
                </c:pt>
                <c:pt idx="1">
                  <c:v>36</c:v>
                </c:pt>
                <c:pt idx="2" formatCode="General">
                  <c:v>23.8</c:v>
                </c:pt>
                <c:pt idx="3" formatCode="General">
                  <c:v>13.4</c:v>
                </c:pt>
                <c:pt idx="4" formatCode="General">
                  <c:v>3.6</c:v>
                </c:pt>
                <c:pt idx="5" formatCode="General">
                  <c:v>18.7</c:v>
                </c:pt>
                <c:pt idx="6">
                  <c:v>1</c:v>
                </c:pt>
                <c:pt idx="7" formatCode="General">
                  <c:v>0.60000000000000064</c:v>
                </c:pt>
                <c:pt idx="8" formatCode="General">
                  <c:v>0.30000000000000032</c:v>
                </c:pt>
              </c:numCache>
            </c:numRef>
          </c:val>
          <c:smooth val="0"/>
        </c:ser>
        <c:dLbls>
          <c:showLegendKey val="0"/>
          <c:showVal val="0"/>
          <c:showCatName val="0"/>
          <c:showSerName val="0"/>
          <c:showPercent val="0"/>
          <c:showBubbleSize val="0"/>
        </c:dLbls>
        <c:marker val="1"/>
        <c:smooth val="0"/>
        <c:axId val="246351744"/>
        <c:axId val="246353920"/>
      </c:lineChart>
      <c:catAx>
        <c:axId val="246351744"/>
        <c:scaling>
          <c:orientation val="minMax"/>
        </c:scaling>
        <c:delete val="0"/>
        <c:axPos val="b"/>
        <c:majorTickMark val="out"/>
        <c:minorTickMark val="none"/>
        <c:tickLblPos val="nextTo"/>
        <c:crossAx val="246353920"/>
        <c:crosses val="autoZero"/>
        <c:auto val="1"/>
        <c:lblAlgn val="ctr"/>
        <c:lblOffset val="100"/>
        <c:noMultiLvlLbl val="0"/>
      </c:catAx>
      <c:valAx>
        <c:axId val="246353920"/>
        <c:scaling>
          <c:orientation val="minMax"/>
        </c:scaling>
        <c:delete val="0"/>
        <c:axPos val="l"/>
        <c:majorGridlines/>
        <c:numFmt formatCode="General" sourceLinked="1"/>
        <c:majorTickMark val="out"/>
        <c:minorTickMark val="none"/>
        <c:tickLblPos val="nextTo"/>
        <c:crossAx val="246351744"/>
        <c:crosses val="autoZero"/>
        <c:crossBetween val="between"/>
      </c:valAx>
    </c:plotArea>
    <c:legend>
      <c:legendPos val="t"/>
      <c:layout>
        <c:manualLayout>
          <c:xMode val="edge"/>
          <c:yMode val="edge"/>
          <c:x val="0.35016251093613299"/>
          <c:y val="4.6296296296296495E-2"/>
          <c:w val="0.29967475940507438"/>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'aspoň jeden deň'!$L$9</c:f>
              <c:strCache>
                <c:ptCount val="1"/>
                <c:pt idx="0">
                  <c:v>2013</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deň'!$L$10:$L$21</c:f>
              <c:numCache>
                <c:formatCode>#,##0</c:formatCode>
                <c:ptCount val="12"/>
                <c:pt idx="0">
                  <c:v>240904</c:v>
                </c:pt>
                <c:pt idx="1">
                  <c:v>237799</c:v>
                </c:pt>
                <c:pt idx="2">
                  <c:v>235938</c:v>
                </c:pt>
                <c:pt idx="3">
                  <c:v>234145</c:v>
                </c:pt>
                <c:pt idx="4">
                  <c:v>233619</c:v>
                </c:pt>
                <c:pt idx="5">
                  <c:v>232306</c:v>
                </c:pt>
                <c:pt idx="6">
                  <c:v>240034</c:v>
                </c:pt>
                <c:pt idx="7">
                  <c:v>238855</c:v>
                </c:pt>
                <c:pt idx="8">
                  <c:v>236934</c:v>
                </c:pt>
                <c:pt idx="9">
                  <c:v>235363</c:v>
                </c:pt>
                <c:pt idx="10">
                  <c:v>233453</c:v>
                </c:pt>
                <c:pt idx="11">
                  <c:v>231410</c:v>
                </c:pt>
              </c:numCache>
            </c:numRef>
          </c:val>
          <c:smooth val="0"/>
        </c:ser>
        <c:ser>
          <c:idx val="1"/>
          <c:order val="1"/>
          <c:tx>
            <c:strRef>
              <c:f>'aspoň jeden deň'!$M$9</c:f>
              <c:strCache>
                <c:ptCount val="1"/>
                <c:pt idx="0">
                  <c:v>2014</c:v>
                </c:pt>
              </c:strCache>
            </c:strRef>
          </c:tx>
          <c:marker>
            <c:symbol val="none"/>
          </c:marker>
          <c:cat>
            <c:strRef>
              <c:f>'aspoň jeden deň'!$A$10:$B$21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deň'!$M$10:$M$21</c:f>
              <c:numCache>
                <c:formatCode>#,##0</c:formatCode>
                <c:ptCount val="12"/>
                <c:pt idx="0">
                  <c:v>227328</c:v>
                </c:pt>
                <c:pt idx="1">
                  <c:v>224507</c:v>
                </c:pt>
                <c:pt idx="2">
                  <c:v>222559</c:v>
                </c:pt>
                <c:pt idx="3">
                  <c:v>220799</c:v>
                </c:pt>
                <c:pt idx="4">
                  <c:v>219422</c:v>
                </c:pt>
                <c:pt idx="5">
                  <c:v>218215</c:v>
                </c:pt>
                <c:pt idx="6">
                  <c:v>226511</c:v>
                </c:pt>
                <c:pt idx="7">
                  <c:v>226313</c:v>
                </c:pt>
                <c:pt idx="8">
                  <c:v>225853</c:v>
                </c:pt>
                <c:pt idx="9">
                  <c:v>226922</c:v>
                </c:pt>
                <c:pt idx="10">
                  <c:v>226469</c:v>
                </c:pt>
                <c:pt idx="11">
                  <c:v>224758</c:v>
                </c:pt>
              </c:numCache>
            </c:numRef>
          </c:val>
          <c:smooth val="0"/>
        </c:ser>
        <c:dLbls>
          <c:showLegendKey val="0"/>
          <c:showVal val="0"/>
          <c:showCatName val="0"/>
          <c:showSerName val="0"/>
          <c:showPercent val="0"/>
          <c:showBubbleSize val="0"/>
        </c:dLbls>
        <c:marker val="1"/>
        <c:smooth val="0"/>
        <c:axId val="231731200"/>
        <c:axId val="231732736"/>
      </c:lineChart>
      <c:catAx>
        <c:axId val="231731200"/>
        <c:scaling>
          <c:orientation val="minMax"/>
        </c:scaling>
        <c:delete val="0"/>
        <c:axPos val="b"/>
        <c:numFmt formatCode="General" sourceLinked="1"/>
        <c:majorTickMark val="none"/>
        <c:minorTickMark val="none"/>
        <c:tickLblPos val="nextTo"/>
        <c:crossAx val="231732736"/>
        <c:crosses val="autoZero"/>
        <c:auto val="1"/>
        <c:lblAlgn val="ctr"/>
        <c:lblOffset val="100"/>
        <c:noMultiLvlLbl val="0"/>
      </c:catAx>
      <c:valAx>
        <c:axId val="231732736"/>
        <c:scaling>
          <c:orientation val="minMax"/>
          <c:min val="210000"/>
        </c:scaling>
        <c:delete val="0"/>
        <c:axPos val="l"/>
        <c:majorGridlines/>
        <c:numFmt formatCode="#,##0" sourceLinked="1"/>
        <c:majorTickMark val="none"/>
        <c:minorTickMark val="none"/>
        <c:tickLblPos val="nextTo"/>
        <c:crossAx val="231731200"/>
        <c:crosses val="autoZero"/>
        <c:crossBetween val="between"/>
      </c:valAx>
    </c:plotArea>
    <c:legend>
      <c:legendPos val="t"/>
      <c:layout>
        <c:manualLayout>
          <c:xMode val="edge"/>
          <c:yMode val="edge"/>
          <c:x val="0.18334609039588787"/>
          <c:y val="6.0836501901141232E-2"/>
          <c:w val="0.25961686998598316"/>
          <c:h val="8.598216701640344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25"/>
      <c:rotY val="0"/>
      <c:rAngAx val="0"/>
      <c:perspective val="0"/>
    </c:view3D>
    <c:floor>
      <c:thickness val="0"/>
    </c:floor>
    <c:sideWall>
      <c:thickness val="0"/>
    </c:sideWall>
    <c:backWall>
      <c:thickness val="0"/>
    </c:backWall>
    <c:plotArea>
      <c:layout>
        <c:manualLayout>
          <c:layoutTarget val="inner"/>
          <c:xMode val="edge"/>
          <c:yMode val="edge"/>
          <c:x val="8.0971650288602204E-2"/>
          <c:y val="9.2219591432189829E-2"/>
          <c:w val="0.91902830896137988"/>
          <c:h val="0.79288584442639765"/>
        </c:manualLayout>
      </c:layout>
      <c:pie3DChart>
        <c:varyColors val="1"/>
        <c:ser>
          <c:idx val="0"/>
          <c:order val="0"/>
          <c:tx>
            <c:strRef>
              <c:f>'veková štruktúra'!$H$48</c:f>
              <c:strCache>
                <c:ptCount val="1"/>
                <c:pt idx="0">
                  <c:v>počet sporiteľov</c:v>
                </c:pt>
              </c:strCache>
            </c:strRef>
          </c:tx>
          <c:spPr>
            <a:ln>
              <a:noFill/>
            </a:ln>
          </c:spPr>
          <c:explosion val="19"/>
          <c:dPt>
            <c:idx val="0"/>
            <c:bubble3D val="0"/>
            <c:spPr>
              <a:ln>
                <a:noFill/>
              </a:ln>
              <a:effectLst/>
            </c:spPr>
          </c:dPt>
          <c:dPt>
            <c:idx val="1"/>
            <c:bubble3D val="0"/>
            <c:spPr>
              <a:ln>
                <a:noFill/>
              </a:ln>
              <a:effectLst/>
            </c:spPr>
          </c:dPt>
          <c:dPt>
            <c:idx val="2"/>
            <c:bubble3D val="0"/>
            <c:spPr>
              <a:ln>
                <a:noFill/>
              </a:ln>
              <a:effectLst/>
            </c:spPr>
          </c:dPt>
          <c:dPt>
            <c:idx val="3"/>
            <c:bubble3D val="0"/>
            <c:spPr>
              <a:ln>
                <a:noFill/>
              </a:ln>
              <a:effectLst/>
            </c:spPr>
          </c:dPt>
          <c:dPt>
            <c:idx val="4"/>
            <c:bubble3D val="0"/>
            <c:spPr>
              <a:ln>
                <a:noFill/>
              </a:ln>
              <a:effectLst/>
            </c:spPr>
          </c:dPt>
          <c:dLbls>
            <c:dLbl>
              <c:idx val="1"/>
              <c:layout>
                <c:manualLayout>
                  <c:x val="7.8042445429069907E-2"/>
                  <c:y val="5.1655889825726234E-2"/>
                </c:manualLayout>
              </c:layout>
              <c:showLegendKey val="0"/>
              <c:showVal val="0"/>
              <c:showCatName val="0"/>
              <c:showSerName val="0"/>
              <c:showPercent val="1"/>
              <c:showBubbleSize val="0"/>
            </c:dLbl>
            <c:dLbl>
              <c:idx val="2"/>
              <c:layout>
                <c:manualLayout>
                  <c:x val="0.164261816039311"/>
                  <c:y val="-0.11552002730683579"/>
                </c:manualLayout>
              </c:layout>
              <c:showLegendKey val="0"/>
              <c:showVal val="0"/>
              <c:showCatName val="0"/>
              <c:showSerName val="0"/>
              <c:showPercent val="1"/>
              <c:showBubbleSize val="0"/>
            </c:dLbl>
            <c:dLbl>
              <c:idx val="3"/>
              <c:layout>
                <c:manualLayout>
                  <c:x val="-8.3851542551100292E-3"/>
                  <c:y val="-0.18888343648091294"/>
                </c:manualLayout>
              </c:layout>
              <c:showLegendKey val="0"/>
              <c:showVal val="0"/>
              <c:showCatName val="0"/>
              <c:showSerName val="0"/>
              <c:showPercent val="1"/>
              <c:showBubbleSize val="0"/>
            </c:dLbl>
            <c:dLbl>
              <c:idx val="4"/>
              <c:layout>
                <c:manualLayout>
                  <c:x val="-6.255225168271232E-2"/>
                  <c:y val="1.75748992299249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'veková štruktúra'!$G$49:$G$53</c:f>
              <c:strCache>
                <c:ptCount val="5"/>
                <c:pt idx="0">
                  <c:v>do 20</c:v>
                </c:pt>
                <c:pt idx="1">
                  <c:v>od 21 do 30</c:v>
                </c:pt>
                <c:pt idx="2">
                  <c:v>od 31 do 40</c:v>
                </c:pt>
                <c:pt idx="3">
                  <c:v>od 41 do 50</c:v>
                </c:pt>
                <c:pt idx="4">
                  <c:v>od 51</c:v>
                </c:pt>
              </c:strCache>
            </c:strRef>
          </c:cat>
          <c:val>
            <c:numRef>
              <c:f>'veková štruktúra'!$H$49:$H$53</c:f>
              <c:numCache>
                <c:formatCode>#,##0</c:formatCode>
                <c:ptCount val="5"/>
                <c:pt idx="0">
                  <c:v>4672</c:v>
                </c:pt>
                <c:pt idx="1">
                  <c:v>288612</c:v>
                </c:pt>
                <c:pt idx="2">
                  <c:v>614090</c:v>
                </c:pt>
                <c:pt idx="3">
                  <c:v>420923</c:v>
                </c:pt>
                <c:pt idx="4">
                  <c:v>136536</c:v>
                </c:pt>
              </c:numCache>
            </c:numRef>
          </c:val>
        </c:ser>
        <c:dLbls>
          <c:showLegendKey val="0"/>
          <c:showVal val="0"/>
          <c:showCatName val="0"/>
          <c:showSerName val="0"/>
          <c:showPercent val="1"/>
          <c:showBubbleSize val="0"/>
          <c:showLeaderLines val="1"/>
        </c:dLbls>
      </c:pie3DChart>
      <c:spPr>
        <a:noFill/>
        <a:ln w="25400">
          <a:noFill/>
        </a:ln>
        <a:effectLst/>
      </c:spPr>
    </c:plotArea>
    <c:legend>
      <c:legendPos val="l"/>
      <c:layout>
        <c:manualLayout>
          <c:xMode val="edge"/>
          <c:yMode val="edge"/>
          <c:x val="2.3238218269082098E-2"/>
          <c:y val="0.5330470531973307"/>
          <c:w val="0.14749588732270763"/>
          <c:h val="0.46695291531970679"/>
        </c:manualLayout>
      </c:layout>
      <c:overlay val="1"/>
    </c:legend>
    <c:plotVisOnly val="1"/>
    <c:dispBlanksAs val="zero"/>
    <c:showDLblsOverMax val="0"/>
  </c:chart>
  <c:spPr>
    <a:ln>
      <a:noFill/>
    </a:ln>
    <a:effectLst/>
  </c:spPr>
  <c:txPr>
    <a:bodyPr/>
    <a:lstStyle/>
    <a:p>
      <a:pPr>
        <a:defRPr sz="1000" b="0" i="0" u="none" strike="noStrike" baseline="0">
          <a:solidFill>
            <a:srgbClr val="000000"/>
          </a:solidFill>
          <a:latin typeface="Times New Roman" panose="02020603050405020304" pitchFamily="18" charset="0"/>
          <a:ea typeface="Calibri"/>
          <a:cs typeface="Calibri"/>
        </a:defRPr>
      </a:pPr>
      <a:endParaRPr lang="sk-SK"/>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19391291172548E-2"/>
          <c:y val="5.9246344206974076E-2"/>
          <c:w val="0.85306998636344011"/>
          <c:h val="0.7402296587926509"/>
        </c:manualLayout>
      </c:layout>
      <c:barChart>
        <c:barDir val="bar"/>
        <c:grouping val="clustered"/>
        <c:varyColors val="0"/>
        <c:ser>
          <c:idx val="3"/>
          <c:order val="0"/>
          <c:invertIfNegative val="0"/>
          <c:val>
            <c:numRef>
              <c:f>'veková štruktúra'!$B$3:$B$81</c:f>
              <c:numCache>
                <c:formatCode>0</c:formatCode>
                <c:ptCount val="79"/>
                <c:pt idx="0">
                  <c:v>94</c:v>
                </c:pt>
                <c:pt idx="1">
                  <c:v>92</c:v>
                </c:pt>
                <c:pt idx="2">
                  <c:v>91</c:v>
                </c:pt>
                <c:pt idx="3">
                  <c:v>90</c:v>
                </c:pt>
                <c:pt idx="4">
                  <c:v>89</c:v>
                </c:pt>
                <c:pt idx="5">
                  <c:v>88</c:v>
                </c:pt>
                <c:pt idx="6">
                  <c:v>87</c:v>
                </c:pt>
                <c:pt idx="7">
                  <c:v>86</c:v>
                </c:pt>
                <c:pt idx="8">
                  <c:v>85</c:v>
                </c:pt>
                <c:pt idx="9">
                  <c:v>84</c:v>
                </c:pt>
                <c:pt idx="10">
                  <c:v>83</c:v>
                </c:pt>
                <c:pt idx="11">
                  <c:v>82</c:v>
                </c:pt>
                <c:pt idx="12">
                  <c:v>81</c:v>
                </c:pt>
                <c:pt idx="13">
                  <c:v>80</c:v>
                </c:pt>
                <c:pt idx="14">
                  <c:v>79</c:v>
                </c:pt>
                <c:pt idx="15">
                  <c:v>78</c:v>
                </c:pt>
                <c:pt idx="16">
                  <c:v>77</c:v>
                </c:pt>
                <c:pt idx="17">
                  <c:v>76</c:v>
                </c:pt>
                <c:pt idx="18">
                  <c:v>75</c:v>
                </c:pt>
                <c:pt idx="19">
                  <c:v>74</c:v>
                </c:pt>
                <c:pt idx="20">
                  <c:v>73</c:v>
                </c:pt>
                <c:pt idx="21">
                  <c:v>72</c:v>
                </c:pt>
                <c:pt idx="22">
                  <c:v>71</c:v>
                </c:pt>
                <c:pt idx="23">
                  <c:v>70</c:v>
                </c:pt>
                <c:pt idx="24">
                  <c:v>69</c:v>
                </c:pt>
                <c:pt idx="25">
                  <c:v>68</c:v>
                </c:pt>
                <c:pt idx="26">
                  <c:v>67</c:v>
                </c:pt>
                <c:pt idx="27">
                  <c:v>66</c:v>
                </c:pt>
                <c:pt idx="28">
                  <c:v>65</c:v>
                </c:pt>
                <c:pt idx="29">
                  <c:v>64</c:v>
                </c:pt>
                <c:pt idx="30">
                  <c:v>63</c:v>
                </c:pt>
                <c:pt idx="31">
                  <c:v>62</c:v>
                </c:pt>
                <c:pt idx="32">
                  <c:v>61</c:v>
                </c:pt>
                <c:pt idx="33">
                  <c:v>60</c:v>
                </c:pt>
                <c:pt idx="34">
                  <c:v>59</c:v>
                </c:pt>
                <c:pt idx="35">
                  <c:v>58</c:v>
                </c:pt>
                <c:pt idx="36">
                  <c:v>57</c:v>
                </c:pt>
                <c:pt idx="37">
                  <c:v>56</c:v>
                </c:pt>
                <c:pt idx="38">
                  <c:v>55</c:v>
                </c:pt>
                <c:pt idx="39">
                  <c:v>54</c:v>
                </c:pt>
                <c:pt idx="40">
                  <c:v>53</c:v>
                </c:pt>
                <c:pt idx="41">
                  <c:v>52</c:v>
                </c:pt>
                <c:pt idx="42">
                  <c:v>51</c:v>
                </c:pt>
                <c:pt idx="43">
                  <c:v>50</c:v>
                </c:pt>
                <c:pt idx="44">
                  <c:v>49</c:v>
                </c:pt>
                <c:pt idx="45">
                  <c:v>48</c:v>
                </c:pt>
                <c:pt idx="46">
                  <c:v>47</c:v>
                </c:pt>
                <c:pt idx="47">
                  <c:v>46</c:v>
                </c:pt>
                <c:pt idx="48">
                  <c:v>45</c:v>
                </c:pt>
                <c:pt idx="49">
                  <c:v>44</c:v>
                </c:pt>
                <c:pt idx="50">
                  <c:v>43</c:v>
                </c:pt>
                <c:pt idx="51">
                  <c:v>42</c:v>
                </c:pt>
                <c:pt idx="52">
                  <c:v>41</c:v>
                </c:pt>
                <c:pt idx="53">
                  <c:v>40</c:v>
                </c:pt>
                <c:pt idx="54">
                  <c:v>39</c:v>
                </c:pt>
                <c:pt idx="55">
                  <c:v>38</c:v>
                </c:pt>
                <c:pt idx="56">
                  <c:v>37</c:v>
                </c:pt>
                <c:pt idx="57">
                  <c:v>36</c:v>
                </c:pt>
                <c:pt idx="58">
                  <c:v>35</c:v>
                </c:pt>
                <c:pt idx="59">
                  <c:v>34</c:v>
                </c:pt>
                <c:pt idx="60">
                  <c:v>33</c:v>
                </c:pt>
                <c:pt idx="61">
                  <c:v>32</c:v>
                </c:pt>
                <c:pt idx="62">
                  <c:v>31</c:v>
                </c:pt>
                <c:pt idx="63">
                  <c:v>30</c:v>
                </c:pt>
                <c:pt idx="64">
                  <c:v>29</c:v>
                </c:pt>
                <c:pt idx="65">
                  <c:v>28</c:v>
                </c:pt>
                <c:pt idx="66">
                  <c:v>27</c:v>
                </c:pt>
                <c:pt idx="67">
                  <c:v>26</c:v>
                </c:pt>
                <c:pt idx="68">
                  <c:v>25</c:v>
                </c:pt>
                <c:pt idx="69">
                  <c:v>24</c:v>
                </c:pt>
                <c:pt idx="70">
                  <c:v>23</c:v>
                </c:pt>
                <c:pt idx="71">
                  <c:v>22</c:v>
                </c:pt>
                <c:pt idx="72">
                  <c:v>21</c:v>
                </c:pt>
                <c:pt idx="73">
                  <c:v>20</c:v>
                </c:pt>
                <c:pt idx="74">
                  <c:v>19</c:v>
                </c:pt>
                <c:pt idx="75">
                  <c:v>18</c:v>
                </c:pt>
                <c:pt idx="76">
                  <c:v>17</c:v>
                </c:pt>
                <c:pt idx="77">
                  <c:v>16</c:v>
                </c:pt>
                <c:pt idx="78">
                  <c:v>15</c:v>
                </c:pt>
              </c:numCache>
            </c:numRef>
          </c:val>
        </c:ser>
        <c:ser>
          <c:idx val="0"/>
          <c:order val="1"/>
          <c:spPr>
            <a:solidFill>
              <a:schemeClr val="accent2"/>
            </a:solidFill>
          </c:spPr>
          <c:invertIfNegative val="0"/>
          <c:val>
            <c:numRef>
              <c:f>'veková štruktúra'!$E$3:$E$81</c:f>
              <c:numCache>
                <c:formatCode>#,##0</c:formatCode>
                <c:ptCount val="79"/>
                <c:pt idx="0">
                  <c:v>0</c:v>
                </c:pt>
                <c:pt idx="1">
                  <c:v>0</c:v>
                </c:pt>
                <c:pt idx="2">
                  <c:v>0</c:v>
                </c:pt>
                <c:pt idx="3">
                  <c:v>0</c:v>
                </c:pt>
                <c:pt idx="4">
                  <c:v>2</c:v>
                </c:pt>
                <c:pt idx="5">
                  <c:v>0</c:v>
                </c:pt>
                <c:pt idx="6">
                  <c:v>0</c:v>
                </c:pt>
                <c:pt idx="7">
                  <c:v>0</c:v>
                </c:pt>
                <c:pt idx="8">
                  <c:v>1</c:v>
                </c:pt>
                <c:pt idx="9">
                  <c:v>0</c:v>
                </c:pt>
                <c:pt idx="10">
                  <c:v>2</c:v>
                </c:pt>
                <c:pt idx="11">
                  <c:v>1</c:v>
                </c:pt>
                <c:pt idx="12">
                  <c:v>1</c:v>
                </c:pt>
                <c:pt idx="13">
                  <c:v>4</c:v>
                </c:pt>
                <c:pt idx="14">
                  <c:v>6</c:v>
                </c:pt>
                <c:pt idx="15">
                  <c:v>8</c:v>
                </c:pt>
                <c:pt idx="16">
                  <c:v>8</c:v>
                </c:pt>
                <c:pt idx="17">
                  <c:v>9</c:v>
                </c:pt>
                <c:pt idx="18">
                  <c:v>18</c:v>
                </c:pt>
                <c:pt idx="19">
                  <c:v>29</c:v>
                </c:pt>
                <c:pt idx="20">
                  <c:v>40</c:v>
                </c:pt>
                <c:pt idx="21">
                  <c:v>39</c:v>
                </c:pt>
                <c:pt idx="22">
                  <c:v>43</c:v>
                </c:pt>
                <c:pt idx="23">
                  <c:v>38</c:v>
                </c:pt>
                <c:pt idx="24">
                  <c:v>49</c:v>
                </c:pt>
                <c:pt idx="25">
                  <c:v>67</c:v>
                </c:pt>
                <c:pt idx="26">
                  <c:v>80</c:v>
                </c:pt>
                <c:pt idx="27">
                  <c:v>79</c:v>
                </c:pt>
                <c:pt idx="28">
                  <c:v>119</c:v>
                </c:pt>
                <c:pt idx="29">
                  <c:v>157</c:v>
                </c:pt>
                <c:pt idx="30">
                  <c:v>213</c:v>
                </c:pt>
                <c:pt idx="31">
                  <c:v>408</c:v>
                </c:pt>
                <c:pt idx="32">
                  <c:v>769</c:v>
                </c:pt>
                <c:pt idx="33">
                  <c:v>1529</c:v>
                </c:pt>
                <c:pt idx="34">
                  <c:v>2759</c:v>
                </c:pt>
                <c:pt idx="35">
                  <c:v>4476</c:v>
                </c:pt>
                <c:pt idx="36">
                  <c:v>6732</c:v>
                </c:pt>
                <c:pt idx="37">
                  <c:v>9525</c:v>
                </c:pt>
                <c:pt idx="38">
                  <c:v>12912</c:v>
                </c:pt>
                <c:pt idx="39">
                  <c:v>17877</c:v>
                </c:pt>
                <c:pt idx="40">
                  <c:v>22625</c:v>
                </c:pt>
                <c:pt idx="41">
                  <c:v>25605</c:v>
                </c:pt>
                <c:pt idx="42">
                  <c:v>30306</c:v>
                </c:pt>
                <c:pt idx="43">
                  <c:v>33550</c:v>
                </c:pt>
                <c:pt idx="44">
                  <c:v>34708</c:v>
                </c:pt>
                <c:pt idx="45">
                  <c:v>36631</c:v>
                </c:pt>
                <c:pt idx="46">
                  <c:v>36926</c:v>
                </c:pt>
                <c:pt idx="47">
                  <c:v>38417</c:v>
                </c:pt>
                <c:pt idx="48">
                  <c:v>41747</c:v>
                </c:pt>
                <c:pt idx="49">
                  <c:v>44316</c:v>
                </c:pt>
                <c:pt idx="50">
                  <c:v>47615</c:v>
                </c:pt>
                <c:pt idx="51">
                  <c:v>51316</c:v>
                </c:pt>
                <c:pt idx="52">
                  <c:v>55697</c:v>
                </c:pt>
                <c:pt idx="53">
                  <c:v>60196</c:v>
                </c:pt>
                <c:pt idx="54">
                  <c:v>60863</c:v>
                </c:pt>
                <c:pt idx="55">
                  <c:v>63022</c:v>
                </c:pt>
                <c:pt idx="56">
                  <c:v>63432</c:v>
                </c:pt>
                <c:pt idx="57">
                  <c:v>64285</c:v>
                </c:pt>
                <c:pt idx="58">
                  <c:v>64889</c:v>
                </c:pt>
                <c:pt idx="59">
                  <c:v>61736</c:v>
                </c:pt>
                <c:pt idx="60">
                  <c:v>60228</c:v>
                </c:pt>
                <c:pt idx="61">
                  <c:v>58880</c:v>
                </c:pt>
                <c:pt idx="62">
                  <c:v>56559</c:v>
                </c:pt>
                <c:pt idx="63">
                  <c:v>52955</c:v>
                </c:pt>
                <c:pt idx="64">
                  <c:v>48301</c:v>
                </c:pt>
                <c:pt idx="65">
                  <c:v>41442</c:v>
                </c:pt>
                <c:pt idx="66">
                  <c:v>34164</c:v>
                </c:pt>
                <c:pt idx="67">
                  <c:v>35318</c:v>
                </c:pt>
                <c:pt idx="68">
                  <c:v>23371</c:v>
                </c:pt>
                <c:pt idx="69">
                  <c:v>17295</c:v>
                </c:pt>
                <c:pt idx="70">
                  <c:v>14480</c:v>
                </c:pt>
                <c:pt idx="71">
                  <c:v>12638</c:v>
                </c:pt>
                <c:pt idx="72">
                  <c:v>8648</c:v>
                </c:pt>
                <c:pt idx="73">
                  <c:v>3384</c:v>
                </c:pt>
                <c:pt idx="74">
                  <c:v>965</c:v>
                </c:pt>
                <c:pt idx="75">
                  <c:v>277</c:v>
                </c:pt>
                <c:pt idx="76">
                  <c:v>40</c:v>
                </c:pt>
                <c:pt idx="77">
                  <c:v>5</c:v>
                </c:pt>
                <c:pt idx="78">
                  <c:v>1</c:v>
                </c:pt>
              </c:numCache>
            </c:numRef>
          </c:val>
        </c:ser>
        <c:dLbls>
          <c:showLegendKey val="0"/>
          <c:showVal val="0"/>
          <c:showCatName val="0"/>
          <c:showSerName val="0"/>
          <c:showPercent val="0"/>
          <c:showBubbleSize val="0"/>
        </c:dLbls>
        <c:gapWidth val="150"/>
        <c:axId val="246620928"/>
        <c:axId val="246622848"/>
      </c:barChart>
      <c:catAx>
        <c:axId val="246620928"/>
        <c:scaling>
          <c:orientation val="minMax"/>
        </c:scaling>
        <c:delete val="0"/>
        <c:axPos val="l"/>
        <c:title>
          <c:tx>
            <c:rich>
              <a:bodyPr/>
              <a:lstStyle/>
              <a:p>
                <a:pPr>
                  <a:defRPr/>
                </a:pPr>
                <a:r>
                  <a:rPr lang="sk-SK"/>
                  <a:t>Vek</a:t>
                </a:r>
              </a:p>
            </c:rich>
          </c:tx>
          <c:layout>
            <c:manualLayout>
              <c:xMode val="edge"/>
              <c:yMode val="edge"/>
              <c:x val="1.0981840778169143E-2"/>
              <c:y val="0.42108169626429243"/>
            </c:manualLayout>
          </c:layout>
          <c:overlay val="0"/>
        </c:title>
        <c:numFmt formatCode="General" sourceLinked="1"/>
        <c:majorTickMark val="out"/>
        <c:minorTickMark val="none"/>
        <c:tickLblPos val="nextTo"/>
        <c:txPr>
          <a:bodyPr rot="0" vert="horz"/>
          <a:lstStyle/>
          <a:p>
            <a:pPr>
              <a:defRPr/>
            </a:pPr>
            <a:endParaRPr lang="sk-SK"/>
          </a:p>
        </c:txPr>
        <c:crossAx val="246622848"/>
        <c:crosses val="autoZero"/>
        <c:auto val="1"/>
        <c:lblAlgn val="ctr"/>
        <c:lblOffset val="100"/>
        <c:tickLblSkip val="9"/>
        <c:tickMarkSkip val="1"/>
        <c:noMultiLvlLbl val="0"/>
      </c:catAx>
      <c:valAx>
        <c:axId val="246622848"/>
        <c:scaling>
          <c:orientation val="minMax"/>
          <c:max val="70000"/>
        </c:scaling>
        <c:delete val="0"/>
        <c:axPos val="b"/>
        <c:majorGridlines/>
        <c:title>
          <c:tx>
            <c:rich>
              <a:bodyPr/>
              <a:lstStyle/>
              <a:p>
                <a:pPr>
                  <a:defRPr/>
                </a:pPr>
                <a:r>
                  <a:rPr lang="sk-SK"/>
                  <a:t>Počet sporiteľov</a:t>
                </a:r>
              </a:p>
            </c:rich>
          </c:tx>
          <c:layout>
            <c:manualLayout>
              <c:xMode val="edge"/>
              <c:yMode val="edge"/>
              <c:x val="0.43790918635170778"/>
              <c:y val="0.89622781939275853"/>
            </c:manualLayout>
          </c:layout>
          <c:overlay val="0"/>
        </c:title>
        <c:numFmt formatCode="#,##0" sourceLinked="0"/>
        <c:majorTickMark val="out"/>
        <c:minorTickMark val="none"/>
        <c:tickLblPos val="nextTo"/>
        <c:txPr>
          <a:bodyPr rot="0" vert="horz"/>
          <a:lstStyle/>
          <a:p>
            <a:pPr>
              <a:defRPr/>
            </a:pPr>
            <a:endParaRPr lang="sk-SK"/>
          </a:p>
        </c:txPr>
        <c:crossAx val="24662092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Calibri"/>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3"/>
            <c:bubble3D val="0"/>
            <c:spPr>
              <a:solidFill>
                <a:schemeClr val="accent1">
                  <a:lumMod val="75000"/>
                </a:schemeClr>
              </a:solidFill>
              <a:ln>
                <a:solidFill>
                  <a:schemeClr val="accent1">
                    <a:lumMod val="75000"/>
                  </a:schemeClr>
                </a:solidFill>
              </a:ln>
            </c:spPr>
          </c:dPt>
          <c:dPt>
            <c:idx val="4"/>
            <c:bubble3D val="0"/>
            <c:spPr>
              <a:pattFill prst="pct25">
                <a:fgClr>
                  <a:schemeClr val="accent1">
                    <a:lumMod val="75000"/>
                  </a:schemeClr>
                </a:fgClr>
                <a:bgClr>
                  <a:schemeClr val="bg1"/>
                </a:bgClr>
              </a:pattFill>
              <a:ln>
                <a:solidFill>
                  <a:schemeClr val="accent1">
                    <a:shade val="50000"/>
                  </a:schemeClr>
                </a:solidFill>
              </a:ln>
            </c:spPr>
          </c:dPt>
          <c:dPt>
            <c:idx val="5"/>
            <c:bubble3D val="0"/>
            <c:spPr>
              <a:solidFill>
                <a:schemeClr val="accent2">
                  <a:lumMod val="75000"/>
                </a:schemeClr>
              </a:solidFill>
              <a:ln>
                <a:solidFill>
                  <a:schemeClr val="accent2">
                    <a:lumMod val="75000"/>
                  </a:schemeClr>
                </a:solidFill>
              </a:ln>
            </c:spPr>
          </c:dPt>
          <c:dPt>
            <c:idx val="6"/>
            <c:bubble3D val="0"/>
            <c:spPr>
              <a:pattFill prst="pct40">
                <a:fgClr>
                  <a:schemeClr val="accent2">
                    <a:lumMod val="75000"/>
                  </a:schemeClr>
                </a:fgClr>
                <a:bgClr>
                  <a:schemeClr val="bg1"/>
                </a:bgClr>
              </a:pattFill>
              <a:ln>
                <a:solidFill>
                  <a:schemeClr val="accent2">
                    <a:lumMod val="75000"/>
                  </a:schemeClr>
                </a:solidFill>
              </a:ln>
            </c:spPr>
          </c:dPt>
          <c:dPt>
            <c:idx val="7"/>
            <c:bubble3D val="0"/>
            <c:spPr>
              <a:solidFill>
                <a:schemeClr val="accent3">
                  <a:lumMod val="75000"/>
                </a:schemeClr>
              </a:solidFill>
              <a:ln>
                <a:solidFill>
                  <a:schemeClr val="accent3">
                    <a:lumMod val="75000"/>
                  </a:schemeClr>
                </a:solidFill>
              </a:ln>
            </c:spPr>
          </c:dPt>
          <c:dPt>
            <c:idx val="8"/>
            <c:bubble3D val="0"/>
            <c:spPr>
              <a:pattFill prst="smCheck">
                <a:fgClr>
                  <a:schemeClr val="accent3">
                    <a:lumMod val="75000"/>
                  </a:schemeClr>
                </a:fgClr>
                <a:bgClr>
                  <a:schemeClr val="bg1"/>
                </a:bgClr>
              </a:pattFill>
              <a:ln>
                <a:solidFill>
                  <a:schemeClr val="accent3">
                    <a:lumMod val="75000"/>
                  </a:schemeClr>
                </a:solidFill>
              </a:ln>
            </c:spPr>
          </c:dPt>
          <c:dPt>
            <c:idx val="9"/>
            <c:bubble3D val="0"/>
            <c:spPr>
              <a:solidFill>
                <a:schemeClr val="accent1">
                  <a:lumMod val="60000"/>
                  <a:lumOff val="40000"/>
                </a:schemeClr>
              </a:solidFill>
              <a:ln>
                <a:solidFill>
                  <a:schemeClr val="accent1">
                    <a:lumMod val="60000"/>
                    <a:lumOff val="40000"/>
                  </a:schemeClr>
                </a:solidFill>
              </a:ln>
            </c:spPr>
          </c:dPt>
          <c:dPt>
            <c:idx val="10"/>
            <c:bubble3D val="0"/>
            <c:spPr>
              <a:pattFill prst="pct50">
                <a:fgClr>
                  <a:schemeClr val="accent1">
                    <a:lumMod val="60000"/>
                    <a:lumOff val="40000"/>
                  </a:schemeClr>
                </a:fgClr>
                <a:bgClr>
                  <a:schemeClr val="bg1"/>
                </a:bgClr>
              </a:pattFill>
              <a:ln>
                <a:solidFill>
                  <a:schemeClr val="accent1">
                    <a:lumMod val="60000"/>
                    <a:lumOff val="40000"/>
                  </a:schemeClr>
                </a:solidFill>
              </a:ln>
            </c:spPr>
          </c:dPt>
          <c:dPt>
            <c:idx val="11"/>
            <c:bubble3D val="0"/>
            <c:spPr>
              <a:solidFill>
                <a:schemeClr val="accent2">
                  <a:lumMod val="60000"/>
                  <a:lumOff val="40000"/>
                </a:schemeClr>
              </a:solidFill>
              <a:ln>
                <a:solidFill>
                  <a:schemeClr val="accent2">
                    <a:lumMod val="60000"/>
                    <a:lumOff val="40000"/>
                  </a:schemeClr>
                </a:solidFill>
              </a:ln>
            </c:spPr>
          </c:dPt>
          <c:dPt>
            <c:idx val="12"/>
            <c:bubble3D val="0"/>
            <c:spPr>
              <a:pattFill prst="ltUpDiag">
                <a:fgClr>
                  <a:schemeClr val="accent2">
                    <a:lumMod val="60000"/>
                    <a:lumOff val="40000"/>
                  </a:schemeClr>
                </a:fgClr>
                <a:bgClr>
                  <a:schemeClr val="bg1"/>
                </a:bgClr>
              </a:pattFill>
              <a:ln>
                <a:solidFill>
                  <a:schemeClr val="accent2">
                    <a:lumMod val="60000"/>
                    <a:lumOff val="40000"/>
                  </a:schemeClr>
                </a:solidFill>
              </a:ln>
            </c:spPr>
          </c:dPt>
          <c:dPt>
            <c:idx val="13"/>
            <c:bubble3D val="0"/>
            <c:spPr>
              <a:solidFill>
                <a:schemeClr val="accent3">
                  <a:lumMod val="60000"/>
                  <a:lumOff val="40000"/>
                </a:schemeClr>
              </a:solidFill>
              <a:ln>
                <a:solidFill>
                  <a:schemeClr val="accent3">
                    <a:lumMod val="60000"/>
                    <a:lumOff val="40000"/>
                  </a:schemeClr>
                </a:solidFill>
              </a:ln>
            </c:spPr>
          </c:dPt>
          <c:dPt>
            <c:idx val="14"/>
            <c:bubble3D val="0"/>
            <c:spPr>
              <a:pattFill prst="pct10">
                <a:fgClr>
                  <a:schemeClr val="accent3">
                    <a:lumMod val="60000"/>
                    <a:lumOff val="40000"/>
                  </a:schemeClr>
                </a:fgClr>
                <a:bgClr>
                  <a:schemeClr val="bg1"/>
                </a:bgClr>
              </a:pattFill>
              <a:ln>
                <a:solidFill>
                  <a:schemeClr val="accent3">
                    <a:lumMod val="60000"/>
                    <a:lumOff val="40000"/>
                  </a:schemeClr>
                </a:solidFill>
              </a:ln>
            </c:spPr>
          </c:dPt>
          <c:dPt>
            <c:idx val="15"/>
            <c:bubble3D val="0"/>
            <c:spPr>
              <a:solidFill>
                <a:schemeClr val="accent4">
                  <a:lumMod val="60000"/>
                  <a:lumOff val="40000"/>
                </a:schemeClr>
              </a:solidFill>
              <a:ln>
                <a:solidFill>
                  <a:schemeClr val="accent4">
                    <a:lumMod val="60000"/>
                    <a:lumOff val="40000"/>
                  </a:schemeClr>
                </a:solidFill>
              </a:ln>
            </c:spPr>
          </c:dPt>
          <c:dLbls>
            <c:dLbl>
              <c:idx val="0"/>
              <c:layout>
                <c:manualLayout>
                  <c:x val="8.2952546860845938E-2"/>
                  <c:y val="0.11174083576631573"/>
                </c:manualLayout>
              </c:layout>
              <c:dLblPos val="bestFit"/>
              <c:showLegendKey val="0"/>
              <c:showVal val="1"/>
              <c:showCatName val="1"/>
              <c:showSerName val="0"/>
              <c:showPercent val="0"/>
              <c:showBubbleSize val="0"/>
            </c:dLbl>
            <c:dLbl>
              <c:idx val="1"/>
              <c:layout>
                <c:manualLayout>
                  <c:x val="1.4881564583188202E-2"/>
                  <c:y val="-0.10217493880680646"/>
                </c:manualLayout>
              </c:layout>
              <c:tx>
                <c:rich>
                  <a:bodyPr/>
                  <a:lstStyle/>
                  <a:p>
                    <a:r>
                      <a:rPr lang="en-US"/>
                      <a:t>Priemysel; </a:t>
                    </a:r>
                    <a:r>
                      <a:rPr lang="en-US">
                        <a:solidFill>
                          <a:schemeClr val="bg1"/>
                        </a:solidFill>
                      </a:rPr>
                      <a:t>22,7%</a:t>
                    </a:r>
                  </a:p>
                </c:rich>
              </c:tx>
              <c:dLblPos val="bestFit"/>
              <c:showLegendKey val="0"/>
              <c:showVal val="1"/>
              <c:showCatName val="1"/>
              <c:showSerName val="0"/>
              <c:showPercent val="0"/>
              <c:showBubbleSize val="0"/>
            </c:dLbl>
            <c:dLbl>
              <c:idx val="2"/>
              <c:layout>
                <c:manualLayout>
                  <c:x val="0.12635393584651475"/>
                  <c:y val="-0.16162818130879708"/>
                </c:manualLayout>
              </c:layout>
              <c:dLblPos val="bestFit"/>
              <c:showLegendKey val="0"/>
              <c:showVal val="1"/>
              <c:showCatName val="1"/>
              <c:showSerName val="0"/>
              <c:showPercent val="0"/>
              <c:showBubbleSize val="0"/>
            </c:dLbl>
            <c:dLbl>
              <c:idx val="4"/>
              <c:layout>
                <c:manualLayout>
                  <c:x val="-2.0230320767426195E-2"/>
                  <c:y val="7.0133297944498504E-2"/>
                </c:manualLayout>
              </c:layout>
              <c:dLblPos val="bestFit"/>
              <c:showLegendKey val="0"/>
              <c:showVal val="1"/>
              <c:showCatName val="1"/>
              <c:showSerName val="0"/>
              <c:showPercent val="0"/>
              <c:showBubbleSize val="0"/>
            </c:dLbl>
            <c:dLbl>
              <c:idx val="5"/>
              <c:layout>
                <c:manualLayout>
                  <c:x val="-5.046375397765545E-2"/>
                  <c:y val="4.399245038190451E-2"/>
                </c:manualLayout>
              </c:layout>
              <c:dLblPos val="bestFit"/>
              <c:showLegendKey val="0"/>
              <c:showVal val="1"/>
              <c:showCatName val="1"/>
              <c:showSerName val="0"/>
              <c:showPercent val="0"/>
              <c:showBubbleSize val="0"/>
            </c:dLbl>
            <c:dLbl>
              <c:idx val="9"/>
              <c:layout>
                <c:manualLayout>
                  <c:x val="1.4068334378556663E-2"/>
                  <c:y val="-0.13405025214544811"/>
                </c:manualLayout>
              </c:layout>
              <c:dLblPos val="bestFit"/>
              <c:showLegendKey val="0"/>
              <c:showVal val="1"/>
              <c:showCatName val="1"/>
              <c:showSerName val="0"/>
              <c:showPercent val="0"/>
              <c:showBubbleSize val="0"/>
            </c:dLbl>
            <c:dLbl>
              <c:idx val="10"/>
              <c:layout>
                <c:manualLayout>
                  <c:x val="-8.8449120851044063E-5"/>
                  <c:y val="-8.4962399363000971E-2"/>
                </c:manualLayout>
              </c:layout>
              <c:dLblPos val="bestFit"/>
              <c:showLegendKey val="0"/>
              <c:showVal val="1"/>
              <c:showCatName val="1"/>
              <c:showSerName val="0"/>
              <c:showPercent val="0"/>
              <c:showBubbleSize val="0"/>
            </c:dLbl>
            <c:dLbl>
              <c:idx val="13"/>
              <c:layout>
                <c:manualLayout>
                  <c:x val="2.5925254918356445E-2"/>
                  <c:y val="6.5887227579698601E-2"/>
                </c:manualLayout>
              </c:layout>
              <c:dLblPos val="bestFit"/>
              <c:showLegendKey val="0"/>
              <c:showVal val="1"/>
              <c:showCatName val="1"/>
              <c:showSerName val="0"/>
              <c:showPercent val="0"/>
              <c:showBubbleSize val="0"/>
            </c:dLbl>
            <c:dLbl>
              <c:idx val="15"/>
              <c:layout>
                <c:manualLayout>
                  <c:x val="-4.3694423152858104E-2"/>
                  <c:y val="-9.8817423103010997E-3"/>
                </c:manualLayout>
              </c:layout>
              <c:dLblPos val="bestFit"/>
              <c:showLegendKey val="0"/>
              <c:showVal val="1"/>
              <c:showCatName val="1"/>
              <c:showSerName val="0"/>
              <c:showPercent val="0"/>
              <c:showBubbleSize val="0"/>
            </c:dLbl>
            <c:dLbl>
              <c:idx val="16"/>
              <c:tx>
                <c:rich>
                  <a:bodyPr/>
                  <a:lstStyle/>
                  <a:p>
                    <a:r>
                      <a:rPr lang="sk-SK"/>
                      <a:t>Služby</a:t>
                    </a:r>
                    <a:r>
                      <a:rPr lang="en-US"/>
                      <a:t>; 66,1%</a:t>
                    </a:r>
                  </a:p>
                </c:rich>
              </c:tx>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'dataTab (5)'!$F$34:$F$49</c:f>
              <c:strCache>
                <c:ptCount val="16"/>
                <c:pt idx="0">
                  <c:v>Pôdohospodárstvo</c:v>
                </c:pt>
                <c:pt idx="1">
                  <c:v>Priemysel</c:v>
                </c:pt>
                <c:pt idx="2">
                  <c:v>Stavebníctvo</c:v>
                </c:pt>
                <c:pt idx="3">
                  <c:v>Veľkoobchod a maloobchod</c:v>
                </c:pt>
                <c:pt idx="4">
                  <c:v>Doprava a skladovanie</c:v>
                </c:pt>
                <c:pt idx="5">
                  <c:v>Ubytovacie a stravovacie služby</c:v>
                </c:pt>
                <c:pt idx="6">
                  <c:v>Informácie a komunikácia</c:v>
                </c:pt>
                <c:pt idx="7">
                  <c:v>Finančné a poisťovacie činnosti</c:v>
                </c:pt>
                <c:pt idx="8">
                  <c:v>Činnosti v oblasti nehnuteľností</c:v>
                </c:pt>
                <c:pt idx="9">
                  <c:v>Odborné, vedecké a technické činnosti</c:v>
                </c:pt>
                <c:pt idx="10">
                  <c:v>Administratívne a podporné služby</c:v>
                </c:pt>
                <c:pt idx="11">
                  <c:v> Verejná správa a obrana</c:v>
                </c:pt>
                <c:pt idx="12">
                  <c:v>Vzdelávanie</c:v>
                </c:pt>
                <c:pt idx="13">
                  <c:v>Zdravotníctvo a sociálna pomoc</c:v>
                </c:pt>
                <c:pt idx="14">
                  <c:v>Umenie, zábava a rekreácia</c:v>
                </c:pt>
                <c:pt idx="15">
                  <c:v>Ostatné činnosti</c:v>
                </c:pt>
              </c:strCache>
            </c:strRef>
          </c:cat>
          <c:val>
            <c:numRef>
              <c:f>'dataTab (5)'!$G$34:$G$49</c:f>
              <c:numCache>
                <c:formatCode>0.0%</c:formatCode>
                <c:ptCount val="16"/>
                <c:pt idx="0">
                  <c:v>4.1613937112806539E-2</c:v>
                </c:pt>
                <c:pt idx="1">
                  <c:v>0.22653931742329644</c:v>
                </c:pt>
                <c:pt idx="2">
                  <c:v>7.1115725608555752E-2</c:v>
                </c:pt>
                <c:pt idx="3">
                  <c:v>0.16375826323137593</c:v>
                </c:pt>
                <c:pt idx="4">
                  <c:v>6.4688389882094452E-2</c:v>
                </c:pt>
                <c:pt idx="5">
                  <c:v>2.5707528555604851E-2</c:v>
                </c:pt>
                <c:pt idx="6">
                  <c:v>2.7992249095773289E-2</c:v>
                </c:pt>
                <c:pt idx="7">
                  <c:v>1.875493843456048E-2</c:v>
                </c:pt>
                <c:pt idx="8">
                  <c:v>1.0144032193830664E-2</c:v>
                </c:pt>
                <c:pt idx="9">
                  <c:v>4.2160056535153492E-2</c:v>
                </c:pt>
                <c:pt idx="10">
                  <c:v>5.5342671794020623E-2</c:v>
                </c:pt>
                <c:pt idx="11">
                  <c:v>6.5353349245184947E-2</c:v>
                </c:pt>
                <c:pt idx="12">
                  <c:v>7.4893202808977308E-2</c:v>
                </c:pt>
                <c:pt idx="13">
                  <c:v>6.6833405453755393E-2</c:v>
                </c:pt>
                <c:pt idx="14">
                  <c:v>2.2052519996407588E-2</c:v>
                </c:pt>
                <c:pt idx="15">
                  <c:v>2.3053134153963952E-2</c:v>
                </c:pt>
              </c:numCache>
            </c:numRef>
          </c:val>
        </c:ser>
        <c:dLbls>
          <c:showLegendKey val="0"/>
          <c:showVal val="0"/>
          <c:showCatName val="1"/>
          <c:showSerName val="0"/>
          <c:showPercent val="1"/>
          <c:showBubbleSize val="0"/>
          <c:showLeaderLines val="1"/>
        </c:dLbls>
        <c:gapWidth val="100"/>
        <c:splitType val="pos"/>
        <c:splitPos val="13"/>
        <c:secondPieSize val="61"/>
        <c:serLines/>
      </c:ofPieChart>
    </c:plotArea>
    <c:plotVisOnly val="1"/>
    <c:dispBlanksAs val="zero"/>
    <c:showDLblsOverMax val="0"/>
  </c:chart>
  <c:spPr>
    <a:ln>
      <a:noFill/>
    </a:ln>
  </c:spPr>
  <c:txPr>
    <a:bodyPr/>
    <a:lstStyle/>
    <a:p>
      <a:pPr>
        <a:defRPr sz="750" baseline="0">
          <a:latin typeface="Times New Roman" panose="02020603050405020304"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 (2)'!$A$4</c:f>
              <c:strCache>
                <c:ptCount val="1"/>
                <c:pt idx="0">
                  <c:v>Počet nezamestnaných (ŠÚ SR)</c:v>
                </c:pt>
              </c:strCache>
            </c:strRef>
          </c:tx>
          <c:spPr>
            <a:solidFill>
              <a:schemeClr val="accent3">
                <a:lumMod val="50000"/>
              </a:schemeClr>
            </a:solidFill>
          </c:spPr>
          <c:invertIfNegative val="0"/>
          <c:cat>
            <c:strRef>
              <c:f>'Hárok1 (2)'!$B$3:$U$3</c:f>
              <c:strCache>
                <c:ptCount val="20"/>
                <c:pt idx="0">
                  <c:v>1.Q. 2010</c:v>
                </c:pt>
                <c:pt idx="1">
                  <c:v>2.Q. 2010</c:v>
                </c:pt>
                <c:pt idx="2">
                  <c:v>3.Q. 2010</c:v>
                </c:pt>
                <c:pt idx="3">
                  <c:v>4.Q. 2010</c:v>
                </c:pt>
                <c:pt idx="4">
                  <c:v>1.Q. 2011</c:v>
                </c:pt>
                <c:pt idx="5">
                  <c:v>2.Q. 2011</c:v>
                </c:pt>
                <c:pt idx="6">
                  <c:v>3.Q. 2011</c:v>
                </c:pt>
                <c:pt idx="7">
                  <c:v>4.Q. 2011</c:v>
                </c:pt>
                <c:pt idx="8">
                  <c:v>1.Q. 2012</c:v>
                </c:pt>
                <c:pt idx="9">
                  <c:v>2.Q. 2012</c:v>
                </c:pt>
                <c:pt idx="10">
                  <c:v>3.Q. 2012</c:v>
                </c:pt>
                <c:pt idx="11">
                  <c:v>4.Q. 2012</c:v>
                </c:pt>
                <c:pt idx="12">
                  <c:v>1.Q. 2013</c:v>
                </c:pt>
                <c:pt idx="13">
                  <c:v>2.Q. 2013</c:v>
                </c:pt>
                <c:pt idx="14">
                  <c:v>3.Q. 2013</c:v>
                </c:pt>
                <c:pt idx="15">
                  <c:v>4.Q. 2013</c:v>
                </c:pt>
                <c:pt idx="16">
                  <c:v>1.Q. 2014</c:v>
                </c:pt>
                <c:pt idx="17">
                  <c:v>2.Q. 2014</c:v>
                </c:pt>
                <c:pt idx="18">
                  <c:v>3.Q. 2014</c:v>
                </c:pt>
                <c:pt idx="19">
                  <c:v>4.Q. 2014</c:v>
                </c:pt>
              </c:strCache>
            </c:strRef>
          </c:cat>
          <c:val>
            <c:numRef>
              <c:f>'Hárok1 (2)'!$B$4:$U$4</c:f>
              <c:numCache>
                <c:formatCode>General</c:formatCode>
                <c:ptCount val="20"/>
                <c:pt idx="0">
                  <c:v>407.1</c:v>
                </c:pt>
                <c:pt idx="1">
                  <c:v>388.3</c:v>
                </c:pt>
                <c:pt idx="2">
                  <c:v>383.3</c:v>
                </c:pt>
                <c:pt idx="3">
                  <c:v>377.3</c:v>
                </c:pt>
                <c:pt idx="4">
                  <c:v>372.2</c:v>
                </c:pt>
                <c:pt idx="5">
                  <c:v>353.2</c:v>
                </c:pt>
                <c:pt idx="6">
                  <c:v>354.6</c:v>
                </c:pt>
                <c:pt idx="7">
                  <c:v>378.5</c:v>
                </c:pt>
                <c:pt idx="8">
                  <c:v>380.3</c:v>
                </c:pt>
                <c:pt idx="9">
                  <c:v>368</c:v>
                </c:pt>
                <c:pt idx="10">
                  <c:v>371.3</c:v>
                </c:pt>
                <c:pt idx="11">
                  <c:v>390.4</c:v>
                </c:pt>
                <c:pt idx="12">
                  <c:v>395.5</c:v>
                </c:pt>
                <c:pt idx="13">
                  <c:v>380</c:v>
                </c:pt>
                <c:pt idx="14">
                  <c:v>382</c:v>
                </c:pt>
                <c:pt idx="15" formatCode="0.0">
                  <c:v>386.6</c:v>
                </c:pt>
                <c:pt idx="16">
                  <c:v>382.9</c:v>
                </c:pt>
                <c:pt idx="17">
                  <c:v>356.4</c:v>
                </c:pt>
                <c:pt idx="18">
                  <c:v>350.6</c:v>
                </c:pt>
                <c:pt idx="19">
                  <c:v>344.8</c:v>
                </c:pt>
              </c:numCache>
            </c:numRef>
          </c:val>
        </c:ser>
        <c:ser>
          <c:idx val="1"/>
          <c:order val="1"/>
          <c:tx>
            <c:strRef>
              <c:f>'Hárok1 (2)'!$A$5</c:f>
              <c:strCache>
                <c:ptCount val="1"/>
                <c:pt idx="0">
                  <c:v>Počet nezamestnaných (ÚPSVR)</c:v>
                </c:pt>
              </c:strCache>
            </c:strRef>
          </c:tx>
          <c:spPr>
            <a:solidFill>
              <a:schemeClr val="accent2"/>
            </a:solidFill>
          </c:spPr>
          <c:invertIfNegative val="0"/>
          <c:cat>
            <c:strRef>
              <c:f>'Hárok1 (2)'!$B$3:$U$3</c:f>
              <c:strCache>
                <c:ptCount val="20"/>
                <c:pt idx="0">
                  <c:v>1.Q. 2010</c:v>
                </c:pt>
                <c:pt idx="1">
                  <c:v>2.Q. 2010</c:v>
                </c:pt>
                <c:pt idx="2">
                  <c:v>3.Q. 2010</c:v>
                </c:pt>
                <c:pt idx="3">
                  <c:v>4.Q. 2010</c:v>
                </c:pt>
                <c:pt idx="4">
                  <c:v>1.Q. 2011</c:v>
                </c:pt>
                <c:pt idx="5">
                  <c:v>2.Q. 2011</c:v>
                </c:pt>
                <c:pt idx="6">
                  <c:v>3.Q. 2011</c:v>
                </c:pt>
                <c:pt idx="7">
                  <c:v>4.Q. 2011</c:v>
                </c:pt>
                <c:pt idx="8">
                  <c:v>1.Q. 2012</c:v>
                </c:pt>
                <c:pt idx="9">
                  <c:v>2.Q. 2012</c:v>
                </c:pt>
                <c:pt idx="10">
                  <c:v>3.Q. 2012</c:v>
                </c:pt>
                <c:pt idx="11">
                  <c:v>4.Q. 2012</c:v>
                </c:pt>
                <c:pt idx="12">
                  <c:v>1.Q. 2013</c:v>
                </c:pt>
                <c:pt idx="13">
                  <c:v>2.Q. 2013</c:v>
                </c:pt>
                <c:pt idx="14">
                  <c:v>3.Q. 2013</c:v>
                </c:pt>
                <c:pt idx="15">
                  <c:v>4.Q. 2013</c:v>
                </c:pt>
                <c:pt idx="16">
                  <c:v>1.Q. 2014</c:v>
                </c:pt>
                <c:pt idx="17">
                  <c:v>2.Q. 2014</c:v>
                </c:pt>
                <c:pt idx="18">
                  <c:v>3.Q. 2014</c:v>
                </c:pt>
                <c:pt idx="19">
                  <c:v>4.Q. 2014</c:v>
                </c:pt>
              </c:strCache>
            </c:strRef>
          </c:cat>
          <c:val>
            <c:numRef>
              <c:f>'Hárok1 (2)'!$B$5:$U$5</c:f>
              <c:numCache>
                <c:formatCode>0.0</c:formatCode>
                <c:ptCount val="20"/>
                <c:pt idx="0">
                  <c:v>393.81366666666702</c:v>
                </c:pt>
                <c:pt idx="1">
                  <c:v>378.35933333333617</c:v>
                </c:pt>
                <c:pt idx="2">
                  <c:v>374.42866666666674</c:v>
                </c:pt>
                <c:pt idx="3">
                  <c:v>376.56333333333401</c:v>
                </c:pt>
                <c:pt idx="4">
                  <c:v>393.18833333333401</c:v>
                </c:pt>
                <c:pt idx="5">
                  <c:v>382.48833333333334</c:v>
                </c:pt>
                <c:pt idx="6">
                  <c:v>387.02866666666671</c:v>
                </c:pt>
                <c:pt idx="7">
                  <c:v>394.34899999999999</c:v>
                </c:pt>
                <c:pt idx="8">
                  <c:v>409.69299999999993</c:v>
                </c:pt>
                <c:pt idx="9">
                  <c:v>395.31366666666702</c:v>
                </c:pt>
                <c:pt idx="10">
                  <c:v>399.99599999999754</c:v>
                </c:pt>
                <c:pt idx="11">
                  <c:v>418.553</c:v>
                </c:pt>
                <c:pt idx="12">
                  <c:v>434.6</c:v>
                </c:pt>
                <c:pt idx="13">
                  <c:v>418.5</c:v>
                </c:pt>
                <c:pt idx="14">
                  <c:v>406.5</c:v>
                </c:pt>
                <c:pt idx="15">
                  <c:v>400.3</c:v>
                </c:pt>
                <c:pt idx="16" formatCode="General">
                  <c:v>400.4</c:v>
                </c:pt>
                <c:pt idx="17" formatCode="General">
                  <c:v>386.8</c:v>
                </c:pt>
                <c:pt idx="18" formatCode="General">
                  <c:v>380.9</c:v>
                </c:pt>
                <c:pt idx="19" formatCode="General">
                  <c:v>385.7</c:v>
                </c:pt>
              </c:numCache>
            </c:numRef>
          </c:val>
        </c:ser>
        <c:dLbls>
          <c:showLegendKey val="0"/>
          <c:showVal val="0"/>
          <c:showCatName val="0"/>
          <c:showSerName val="0"/>
          <c:showPercent val="0"/>
          <c:showBubbleSize val="0"/>
        </c:dLbls>
        <c:gapWidth val="183"/>
        <c:axId val="233484672"/>
        <c:axId val="233486976"/>
      </c:barChart>
      <c:lineChart>
        <c:grouping val="standard"/>
        <c:varyColors val="0"/>
        <c:ser>
          <c:idx val="2"/>
          <c:order val="2"/>
          <c:tx>
            <c:strRef>
              <c:f>'Hárok1 (2)'!$A$6</c:f>
              <c:strCache>
                <c:ptCount val="1"/>
                <c:pt idx="0">
                  <c:v>Miera nezamestnanosti (ŠÚ SR)</c:v>
                </c:pt>
              </c:strCache>
            </c:strRef>
          </c:tx>
          <c:spPr>
            <a:ln>
              <a:solidFill>
                <a:schemeClr val="accent3">
                  <a:lumMod val="50000"/>
                </a:schemeClr>
              </a:solidFill>
            </a:ln>
          </c:spPr>
          <c:marker>
            <c:symbol val="triangle"/>
            <c:size val="5"/>
            <c:spPr>
              <a:solidFill>
                <a:schemeClr val="bg1"/>
              </a:solidFill>
              <a:ln>
                <a:solidFill>
                  <a:schemeClr val="accent3">
                    <a:lumMod val="50000"/>
                  </a:schemeClr>
                </a:solidFill>
              </a:ln>
            </c:spPr>
          </c:marker>
          <c:cat>
            <c:strRef>
              <c:f>'Hárok1 (2)'!$B$3:$U$3</c:f>
              <c:strCache>
                <c:ptCount val="20"/>
                <c:pt idx="0">
                  <c:v>1.Q. 2010</c:v>
                </c:pt>
                <c:pt idx="1">
                  <c:v>2.Q. 2010</c:v>
                </c:pt>
                <c:pt idx="2">
                  <c:v>3.Q. 2010</c:v>
                </c:pt>
                <c:pt idx="3">
                  <c:v>4.Q. 2010</c:v>
                </c:pt>
                <c:pt idx="4">
                  <c:v>1.Q. 2011</c:v>
                </c:pt>
                <c:pt idx="5">
                  <c:v>2.Q. 2011</c:v>
                </c:pt>
                <c:pt idx="6">
                  <c:v>3.Q. 2011</c:v>
                </c:pt>
                <c:pt idx="7">
                  <c:v>4.Q. 2011</c:v>
                </c:pt>
                <c:pt idx="8">
                  <c:v>1.Q. 2012</c:v>
                </c:pt>
                <c:pt idx="9">
                  <c:v>2.Q. 2012</c:v>
                </c:pt>
                <c:pt idx="10">
                  <c:v>3.Q. 2012</c:v>
                </c:pt>
                <c:pt idx="11">
                  <c:v>4.Q. 2012</c:v>
                </c:pt>
                <c:pt idx="12">
                  <c:v>1.Q. 2013</c:v>
                </c:pt>
                <c:pt idx="13">
                  <c:v>2.Q. 2013</c:v>
                </c:pt>
                <c:pt idx="14">
                  <c:v>3.Q. 2013</c:v>
                </c:pt>
                <c:pt idx="15">
                  <c:v>4.Q. 2013</c:v>
                </c:pt>
                <c:pt idx="16">
                  <c:v>1.Q. 2014</c:v>
                </c:pt>
                <c:pt idx="17">
                  <c:v>2.Q. 2014</c:v>
                </c:pt>
                <c:pt idx="18">
                  <c:v>3.Q. 2014</c:v>
                </c:pt>
                <c:pt idx="19">
                  <c:v>4.Q. 2014</c:v>
                </c:pt>
              </c:strCache>
            </c:strRef>
          </c:cat>
          <c:val>
            <c:numRef>
              <c:f>'Hárok1 (2)'!$B$6:$U$6</c:f>
              <c:numCache>
                <c:formatCode>General</c:formatCode>
                <c:ptCount val="20"/>
                <c:pt idx="0">
                  <c:v>15.1</c:v>
                </c:pt>
                <c:pt idx="1">
                  <c:v>14.4</c:v>
                </c:pt>
                <c:pt idx="2">
                  <c:v>14.1</c:v>
                </c:pt>
                <c:pt idx="3">
                  <c:v>13.9</c:v>
                </c:pt>
                <c:pt idx="4">
                  <c:v>13.9</c:v>
                </c:pt>
                <c:pt idx="5">
                  <c:v>13.2</c:v>
                </c:pt>
                <c:pt idx="6">
                  <c:v>13.2</c:v>
                </c:pt>
                <c:pt idx="7">
                  <c:v>14</c:v>
                </c:pt>
                <c:pt idx="8">
                  <c:v>14.1</c:v>
                </c:pt>
                <c:pt idx="9">
                  <c:v>13.6</c:v>
                </c:pt>
                <c:pt idx="10">
                  <c:v>13.7</c:v>
                </c:pt>
                <c:pt idx="11">
                  <c:v>14.4</c:v>
                </c:pt>
                <c:pt idx="12">
                  <c:v>14.5</c:v>
                </c:pt>
                <c:pt idx="13">
                  <c:v>14</c:v>
                </c:pt>
                <c:pt idx="14">
                  <c:v>14.1</c:v>
                </c:pt>
                <c:pt idx="15">
                  <c:v>14.2</c:v>
                </c:pt>
                <c:pt idx="16">
                  <c:v>14.1</c:v>
                </c:pt>
                <c:pt idx="17">
                  <c:v>13.2</c:v>
                </c:pt>
                <c:pt idx="18">
                  <c:v>12.9</c:v>
                </c:pt>
                <c:pt idx="19">
                  <c:v>12.6</c:v>
                </c:pt>
              </c:numCache>
            </c:numRef>
          </c:val>
          <c:smooth val="0"/>
        </c:ser>
        <c:ser>
          <c:idx val="3"/>
          <c:order val="3"/>
          <c:tx>
            <c:strRef>
              <c:f>'Hárok1 (2)'!$A$7</c:f>
              <c:strCache>
                <c:ptCount val="1"/>
                <c:pt idx="0">
                  <c:v>Miera nezamestnanosti (ÚPSVR)</c:v>
                </c:pt>
              </c:strCache>
            </c:strRef>
          </c:tx>
          <c:spPr>
            <a:ln>
              <a:solidFill>
                <a:schemeClr val="accent2"/>
              </a:solidFill>
            </a:ln>
          </c:spPr>
          <c:marker>
            <c:symbol val="triangle"/>
            <c:size val="5"/>
            <c:spPr>
              <a:solidFill>
                <a:schemeClr val="bg1"/>
              </a:solidFill>
            </c:spPr>
          </c:marker>
          <c:cat>
            <c:strRef>
              <c:f>'Hárok1 (2)'!$B$3:$U$3</c:f>
              <c:strCache>
                <c:ptCount val="20"/>
                <c:pt idx="0">
                  <c:v>1.Q. 2010</c:v>
                </c:pt>
                <c:pt idx="1">
                  <c:v>2.Q. 2010</c:v>
                </c:pt>
                <c:pt idx="2">
                  <c:v>3.Q. 2010</c:v>
                </c:pt>
                <c:pt idx="3">
                  <c:v>4.Q. 2010</c:v>
                </c:pt>
                <c:pt idx="4">
                  <c:v>1.Q. 2011</c:v>
                </c:pt>
                <c:pt idx="5">
                  <c:v>2.Q. 2011</c:v>
                </c:pt>
                <c:pt idx="6">
                  <c:v>3.Q. 2011</c:v>
                </c:pt>
                <c:pt idx="7">
                  <c:v>4.Q. 2011</c:v>
                </c:pt>
                <c:pt idx="8">
                  <c:v>1.Q. 2012</c:v>
                </c:pt>
                <c:pt idx="9">
                  <c:v>2.Q. 2012</c:v>
                </c:pt>
                <c:pt idx="10">
                  <c:v>3.Q. 2012</c:v>
                </c:pt>
                <c:pt idx="11">
                  <c:v>4.Q. 2012</c:v>
                </c:pt>
                <c:pt idx="12">
                  <c:v>1.Q. 2013</c:v>
                </c:pt>
                <c:pt idx="13">
                  <c:v>2.Q. 2013</c:v>
                </c:pt>
                <c:pt idx="14">
                  <c:v>3.Q. 2013</c:v>
                </c:pt>
                <c:pt idx="15">
                  <c:v>4.Q. 2013</c:v>
                </c:pt>
                <c:pt idx="16">
                  <c:v>1.Q. 2014</c:v>
                </c:pt>
                <c:pt idx="17">
                  <c:v>2.Q. 2014</c:v>
                </c:pt>
                <c:pt idx="18">
                  <c:v>3.Q. 2014</c:v>
                </c:pt>
                <c:pt idx="19">
                  <c:v>4.Q. 2014</c:v>
                </c:pt>
              </c:strCache>
            </c:strRef>
          </c:cat>
          <c:val>
            <c:numRef>
              <c:f>'Hárok1 (2)'!$B$7:$U$7</c:f>
              <c:numCache>
                <c:formatCode>0.0</c:formatCode>
                <c:ptCount val="20"/>
                <c:pt idx="0">
                  <c:v>12.912125127649375</c:v>
                </c:pt>
                <c:pt idx="1">
                  <c:v>12.3661232202278</c:v>
                </c:pt>
                <c:pt idx="2">
                  <c:v>12.312557622094356</c:v>
                </c:pt>
                <c:pt idx="3">
                  <c:v>12.323908368340771</c:v>
                </c:pt>
                <c:pt idx="4">
                  <c:v>13.088551420670218</c:v>
                </c:pt>
                <c:pt idx="5">
                  <c:v>12.920217155200895</c:v>
                </c:pt>
                <c:pt idx="6">
                  <c:v>13.210691225076607</c:v>
                </c:pt>
                <c:pt idx="7">
                  <c:v>13.403840800167536</c:v>
                </c:pt>
                <c:pt idx="8">
                  <c:v>13.71062693578747</c:v>
                </c:pt>
                <c:pt idx="9">
                  <c:v>13.309916079539327</c:v>
                </c:pt>
                <c:pt idx="10">
                  <c:v>13.302107861222998</c:v>
                </c:pt>
                <c:pt idx="11">
                  <c:v>14.020439275806993</c:v>
                </c:pt>
                <c:pt idx="12">
                  <c:v>14.7</c:v>
                </c:pt>
                <c:pt idx="13">
                  <c:v>14.3</c:v>
                </c:pt>
                <c:pt idx="14">
                  <c:v>13.8</c:v>
                </c:pt>
                <c:pt idx="15" formatCode="General">
                  <c:v>13.5</c:v>
                </c:pt>
                <c:pt idx="16" formatCode="General">
                  <c:v>13.5</c:v>
                </c:pt>
                <c:pt idx="17" formatCode="General">
                  <c:v>12.8</c:v>
                </c:pt>
                <c:pt idx="18" formatCode="General">
                  <c:v>12.6</c:v>
                </c:pt>
                <c:pt idx="19" formatCode="General">
                  <c:v>12.8</c:v>
                </c:pt>
              </c:numCache>
            </c:numRef>
          </c:val>
          <c:smooth val="0"/>
        </c:ser>
        <c:dLbls>
          <c:showLegendKey val="0"/>
          <c:showVal val="0"/>
          <c:showCatName val="0"/>
          <c:showSerName val="0"/>
          <c:showPercent val="0"/>
          <c:showBubbleSize val="0"/>
        </c:dLbls>
        <c:marker val="1"/>
        <c:smooth val="0"/>
        <c:axId val="233540224"/>
        <c:axId val="233538304"/>
      </c:lineChart>
      <c:catAx>
        <c:axId val="233484672"/>
        <c:scaling>
          <c:orientation val="minMax"/>
        </c:scaling>
        <c:delete val="0"/>
        <c:axPos val="b"/>
        <c:title>
          <c:tx>
            <c:rich>
              <a:bodyPr/>
              <a:lstStyle/>
              <a:p>
                <a:pPr>
                  <a:defRPr/>
                </a:pPr>
                <a:r>
                  <a:rPr lang="en-US"/>
                  <a:t>obdobie</a:t>
                </a:r>
              </a:p>
            </c:rich>
          </c:tx>
          <c:layout>
            <c:manualLayout>
              <c:xMode val="edge"/>
              <c:yMode val="edge"/>
              <c:x val="0.47521338877763358"/>
              <c:y val="0.91331495736405"/>
            </c:manualLayout>
          </c:layout>
          <c:overlay val="0"/>
        </c:title>
        <c:majorTickMark val="none"/>
        <c:minorTickMark val="none"/>
        <c:tickLblPos val="nextTo"/>
        <c:txPr>
          <a:bodyPr rot="-5400000" vert="horz"/>
          <a:lstStyle/>
          <a:p>
            <a:pPr>
              <a:defRPr/>
            </a:pPr>
            <a:endParaRPr lang="sk-SK"/>
          </a:p>
        </c:txPr>
        <c:crossAx val="233486976"/>
        <c:crosses val="autoZero"/>
        <c:auto val="1"/>
        <c:lblAlgn val="ctr"/>
        <c:lblOffset val="100"/>
        <c:noMultiLvlLbl val="0"/>
      </c:catAx>
      <c:valAx>
        <c:axId val="233486976"/>
        <c:scaling>
          <c:orientation val="minMax"/>
          <c:min val="300"/>
        </c:scaling>
        <c:delete val="0"/>
        <c:axPos val="l"/>
        <c:majorGridlines/>
        <c:minorGridlines>
          <c:spPr>
            <a:ln>
              <a:noFill/>
            </a:ln>
          </c:spPr>
        </c:minorGridlines>
        <c:title>
          <c:tx>
            <c:rich>
              <a:bodyPr/>
              <a:lstStyle/>
              <a:p>
                <a:pPr>
                  <a:defRPr/>
                </a:pPr>
                <a:r>
                  <a:rPr lang="sk-SK"/>
                  <a:t>v tis. osôb</a:t>
                </a:r>
              </a:p>
            </c:rich>
          </c:tx>
          <c:overlay val="0"/>
        </c:title>
        <c:numFmt formatCode="General" sourceLinked="1"/>
        <c:majorTickMark val="out"/>
        <c:minorTickMark val="none"/>
        <c:tickLblPos val="nextTo"/>
        <c:crossAx val="233484672"/>
        <c:crosses val="autoZero"/>
        <c:crossBetween val="between"/>
      </c:valAx>
      <c:valAx>
        <c:axId val="233538304"/>
        <c:scaling>
          <c:orientation val="minMax"/>
          <c:min val="12"/>
        </c:scaling>
        <c:delete val="0"/>
        <c:axPos val="r"/>
        <c:numFmt formatCode="0.0%" sourceLinked="0"/>
        <c:majorTickMark val="out"/>
        <c:minorTickMark val="none"/>
        <c:tickLblPos val="nextTo"/>
        <c:crossAx val="233540224"/>
        <c:crosses val="max"/>
        <c:crossBetween val="between"/>
        <c:majorUnit val="0.5"/>
        <c:dispUnits>
          <c:builtInUnit val="hundreds"/>
        </c:dispUnits>
      </c:valAx>
      <c:catAx>
        <c:axId val="233540224"/>
        <c:scaling>
          <c:orientation val="minMax"/>
        </c:scaling>
        <c:delete val="1"/>
        <c:axPos val="b"/>
        <c:majorTickMark val="out"/>
        <c:minorTickMark val="none"/>
        <c:tickLblPos val="none"/>
        <c:crossAx val="233538304"/>
        <c:crossesAt val="1.1999999999999929E+285"/>
        <c:auto val="1"/>
        <c:lblAlgn val="ctr"/>
        <c:lblOffset val="100"/>
        <c:noMultiLvlLbl val="0"/>
      </c:catAx>
    </c:plotArea>
    <c:legend>
      <c:legendPos val="t"/>
      <c:layout>
        <c:manualLayout>
          <c:xMode val="edge"/>
          <c:yMode val="edge"/>
          <c:x val="0.19407474384938669"/>
          <c:y val="5.8075030127662908E-2"/>
          <c:w val="0.76686782041113022"/>
          <c:h val="0.13449255219407641"/>
        </c:manualLayout>
      </c:layout>
      <c:overlay val="1"/>
    </c:legend>
    <c:plotVisOnly val="1"/>
    <c:dispBlanksAs val="gap"/>
    <c:showDLblsOverMax val="0"/>
  </c:chart>
  <c:spPr>
    <a:ln>
      <a:noFill/>
    </a:ln>
  </c:spPr>
  <c:txPr>
    <a:bodyPr/>
    <a:lstStyle/>
    <a:p>
      <a:pPr>
        <a:defRPr sz="1000" baseline="0">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0144103371652"/>
          <c:y val="5.1867839677685428E-2"/>
          <c:w val="0.84458672404730384"/>
          <c:h val="0.80108217034147755"/>
        </c:manualLayout>
      </c:layout>
      <c:barChart>
        <c:barDir val="col"/>
        <c:grouping val="clustered"/>
        <c:varyColors val="0"/>
        <c:ser>
          <c:idx val="0"/>
          <c:order val="0"/>
          <c:tx>
            <c:strRef>
              <c:f>'2.6 graf stavy celk 13 14 stl '!$A$3</c:f>
              <c:strCache>
                <c:ptCount val="1"/>
                <c:pt idx="0">
                  <c:v>UoZ celkom  2013</c:v>
                </c:pt>
              </c:strCache>
            </c:strRef>
          </c:tx>
          <c:spPr>
            <a:solidFill>
              <a:schemeClr val="accent1"/>
            </a:solidFill>
            <a:ln w="12700">
              <a:noFill/>
              <a:prstDash val="solid"/>
            </a:ln>
          </c:spPr>
          <c:invertIfNegative val="0"/>
          <c:cat>
            <c:strRef>
              <c:f>'2.6 graf stavy celk 13 14 stl '!$B$2:$M$2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'2.6 graf stavy celk 13 14 stl '!$B$3:$M$3</c:f>
              <c:numCache>
                <c:formatCode>#,##0</c:formatCode>
                <c:ptCount val="12"/>
                <c:pt idx="0">
                  <c:v>435438</c:v>
                </c:pt>
                <c:pt idx="1">
                  <c:v>437093</c:v>
                </c:pt>
                <c:pt idx="2">
                  <c:v>431382</c:v>
                </c:pt>
                <c:pt idx="3">
                  <c:v>422071</c:v>
                </c:pt>
                <c:pt idx="4">
                  <c:v>415402</c:v>
                </c:pt>
                <c:pt idx="5">
                  <c:v>418168</c:v>
                </c:pt>
                <c:pt idx="6">
                  <c:v>410868</c:v>
                </c:pt>
                <c:pt idx="7">
                  <c:v>402213</c:v>
                </c:pt>
                <c:pt idx="8">
                  <c:v>406498</c:v>
                </c:pt>
                <c:pt idx="9">
                  <c:v>402505</c:v>
                </c:pt>
                <c:pt idx="10">
                  <c:v>399561</c:v>
                </c:pt>
                <c:pt idx="11">
                  <c:v>398876</c:v>
                </c:pt>
              </c:numCache>
            </c:numRef>
          </c:val>
        </c:ser>
        <c:ser>
          <c:idx val="1"/>
          <c:order val="1"/>
          <c:tx>
            <c:strRef>
              <c:f>'2.6 graf stavy celk 13 14 stl '!$A$4</c:f>
              <c:strCache>
                <c:ptCount val="1"/>
                <c:pt idx="0">
                  <c:v>UoZ celkom  2014</c:v>
                </c:pt>
              </c:strCache>
            </c:strRef>
          </c:tx>
          <c:spPr>
            <a:solidFill>
              <a:schemeClr val="accent2"/>
            </a:solidFill>
            <a:ln w="12700">
              <a:noFill/>
              <a:prstDash val="solid"/>
            </a:ln>
          </c:spPr>
          <c:invertIfNegative val="0"/>
          <c:cat>
            <c:strRef>
              <c:f>'2.6 graf stavy celk 13 14 stl '!$B$2:$M$2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'2.6 graf stavy celk 13 14 stl '!$B$4:$M$4</c:f>
              <c:numCache>
                <c:formatCode>#,##0</c:formatCode>
                <c:ptCount val="12"/>
                <c:pt idx="0">
                  <c:v>402124</c:v>
                </c:pt>
                <c:pt idx="1">
                  <c:v>401876</c:v>
                </c:pt>
                <c:pt idx="2">
                  <c:v>397216</c:v>
                </c:pt>
                <c:pt idx="3">
                  <c:v>390272</c:v>
                </c:pt>
                <c:pt idx="4">
                  <c:v>385176</c:v>
                </c:pt>
                <c:pt idx="5">
                  <c:v>384825</c:v>
                </c:pt>
                <c:pt idx="6">
                  <c:v>384002</c:v>
                </c:pt>
                <c:pt idx="7">
                  <c:v>380668</c:v>
                </c:pt>
                <c:pt idx="8">
                  <c:v>378020</c:v>
                </c:pt>
                <c:pt idx="9">
                  <c:v>375978</c:v>
                </c:pt>
                <c:pt idx="10">
                  <c:v>374018</c:v>
                </c:pt>
                <c:pt idx="11">
                  <c:v>373754</c:v>
                </c:pt>
              </c:numCache>
            </c:numRef>
          </c:val>
        </c:ser>
        <c:dLbls>
          <c:showLegendKey val="0"/>
          <c:showVal val="0"/>
          <c:showCatName val="0"/>
          <c:showSerName val="0"/>
          <c:showPercent val="0"/>
          <c:showBubbleSize val="0"/>
        </c:dLbls>
        <c:gapWidth val="150"/>
        <c:axId val="233548800"/>
        <c:axId val="233558784"/>
      </c:barChart>
      <c:catAx>
        <c:axId val="2335488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a:pPr>
            <a:endParaRPr lang="sk-SK"/>
          </a:p>
        </c:txPr>
        <c:crossAx val="233558784"/>
        <c:crosses val="autoZero"/>
        <c:auto val="1"/>
        <c:lblAlgn val="ctr"/>
        <c:lblOffset val="100"/>
        <c:tickMarkSkip val="1"/>
        <c:noMultiLvlLbl val="0"/>
      </c:catAx>
      <c:valAx>
        <c:axId val="233558784"/>
        <c:scaling>
          <c:orientation val="minMax"/>
          <c:max val="440000"/>
          <c:min val="350000"/>
        </c:scaling>
        <c:delete val="0"/>
        <c:axPos val="l"/>
        <c:majorGridlines>
          <c:spPr>
            <a:ln w="3175">
              <a:solidFill>
                <a:srgbClr val="000000">
                  <a:alpha val="64000"/>
                </a:srgbClr>
              </a:solidFill>
              <a:prstDash val="solid"/>
            </a:ln>
          </c:spPr>
        </c:majorGridlines>
        <c:title>
          <c:tx>
            <c:rich>
              <a:bodyPr rot="-5400000" vert="horz"/>
              <a:lstStyle/>
              <a:p>
                <a:pPr algn="ctr">
                  <a:defRPr sz="1000" b="1"/>
                </a:pPr>
                <a:r>
                  <a:rPr lang="sk-SK" sz="1000" b="1"/>
                  <a:t>počet UoZ</a:t>
                </a:r>
              </a:p>
            </c:rich>
          </c:tx>
          <c:layout>
            <c:manualLayout>
              <c:xMode val="edge"/>
              <c:yMode val="edge"/>
              <c:x val="1.5523831235813069E-3"/>
              <c:y val="0.40221745582523089"/>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233548800"/>
        <c:crosses val="autoZero"/>
        <c:crossBetween val="between"/>
        <c:majorUnit val="10000"/>
      </c:valAx>
      <c:spPr>
        <a:solidFill>
          <a:srgbClr val="FFFFFF"/>
        </a:solidFill>
        <a:ln w="6350">
          <a:solidFill>
            <a:srgbClr val="808080"/>
          </a:solidFill>
          <a:prstDash val="solid"/>
        </a:ln>
      </c:spPr>
    </c:plotArea>
    <c:legend>
      <c:legendPos val="t"/>
      <c:layout>
        <c:manualLayout>
          <c:xMode val="edge"/>
          <c:yMode val="edge"/>
          <c:x val="0.51275934490760688"/>
          <c:y val="0.12652068126520682"/>
          <c:w val="0.45673123746336586"/>
          <c:h val="8.7354136088293247E-2"/>
        </c:manualLayout>
      </c:layout>
      <c:overlay val="1"/>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Hárok7!$A$3</c:f>
              <c:strCache>
                <c:ptCount val="1"/>
                <c:pt idx="0">
                  <c:v>UoZ muži  2013</c:v>
                </c:pt>
              </c:strCache>
            </c:strRef>
          </c:tx>
          <c:spPr>
            <a:ln>
              <a:solidFill>
                <a:schemeClr val="accent1"/>
              </a:solidFill>
              <a:prstDash val="dash"/>
            </a:ln>
          </c:spPr>
          <c:marker>
            <c:symbol val="none"/>
          </c:marker>
          <c:cat>
            <c:strRef>
              <c:f>Hárok7!$B$2:$M$2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Hárok7!$B$3:$M$3</c:f>
              <c:numCache>
                <c:formatCode>#,##0</c:formatCode>
                <c:ptCount val="12"/>
                <c:pt idx="0">
                  <c:v>230417</c:v>
                </c:pt>
                <c:pt idx="1">
                  <c:v>232591</c:v>
                </c:pt>
                <c:pt idx="2">
                  <c:v>229341</c:v>
                </c:pt>
                <c:pt idx="3">
                  <c:v>222571</c:v>
                </c:pt>
                <c:pt idx="4">
                  <c:v>216572</c:v>
                </c:pt>
                <c:pt idx="5">
                  <c:v>215548</c:v>
                </c:pt>
                <c:pt idx="6">
                  <c:v>209495</c:v>
                </c:pt>
                <c:pt idx="7">
                  <c:v>204011</c:v>
                </c:pt>
                <c:pt idx="8">
                  <c:v>207035</c:v>
                </c:pt>
                <c:pt idx="9">
                  <c:v>204988</c:v>
                </c:pt>
                <c:pt idx="10">
                  <c:v>204439</c:v>
                </c:pt>
                <c:pt idx="11">
                  <c:v>206248</c:v>
                </c:pt>
              </c:numCache>
            </c:numRef>
          </c:val>
          <c:smooth val="0"/>
        </c:ser>
        <c:ser>
          <c:idx val="1"/>
          <c:order val="1"/>
          <c:tx>
            <c:strRef>
              <c:f>Hárok7!$A$4</c:f>
              <c:strCache>
                <c:ptCount val="1"/>
                <c:pt idx="0">
                  <c:v>UoZ muži  2014</c:v>
                </c:pt>
              </c:strCache>
            </c:strRef>
          </c:tx>
          <c:spPr>
            <a:ln>
              <a:solidFill>
                <a:schemeClr val="accent2"/>
              </a:solidFill>
              <a:prstDash val="dash"/>
            </a:ln>
          </c:spPr>
          <c:marker>
            <c:symbol val="none"/>
          </c:marker>
          <c:cat>
            <c:strRef>
              <c:f>Hárok7!$B$2:$M$2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Hárok7!$B$4:$M$4</c:f>
              <c:numCache>
                <c:formatCode>#,##0</c:formatCode>
                <c:ptCount val="12"/>
                <c:pt idx="0">
                  <c:v>210418</c:v>
                </c:pt>
                <c:pt idx="1">
                  <c:v>210573</c:v>
                </c:pt>
                <c:pt idx="2">
                  <c:v>207741</c:v>
                </c:pt>
                <c:pt idx="3">
                  <c:v>202562</c:v>
                </c:pt>
                <c:pt idx="4">
                  <c:v>197990</c:v>
                </c:pt>
                <c:pt idx="5">
                  <c:v>195300</c:v>
                </c:pt>
                <c:pt idx="6">
                  <c:v>192871</c:v>
                </c:pt>
                <c:pt idx="7">
                  <c:v>190442</c:v>
                </c:pt>
                <c:pt idx="8">
                  <c:v>190075</c:v>
                </c:pt>
                <c:pt idx="9">
                  <c:v>189269</c:v>
                </c:pt>
                <c:pt idx="10">
                  <c:v>189073</c:v>
                </c:pt>
                <c:pt idx="11">
                  <c:v>190048</c:v>
                </c:pt>
              </c:numCache>
            </c:numRef>
          </c:val>
          <c:smooth val="0"/>
        </c:ser>
        <c:ser>
          <c:idx val="2"/>
          <c:order val="2"/>
          <c:tx>
            <c:strRef>
              <c:f>Hárok7!$A$5</c:f>
              <c:strCache>
                <c:ptCount val="1"/>
                <c:pt idx="0">
                  <c:v>UoZ ženy  2013</c:v>
                </c:pt>
              </c:strCache>
            </c:strRef>
          </c:tx>
          <c:spPr>
            <a:ln>
              <a:solidFill>
                <a:schemeClr val="accent1"/>
              </a:solidFill>
            </a:ln>
          </c:spPr>
          <c:marker>
            <c:symbol val="none"/>
          </c:marker>
          <c:cat>
            <c:strRef>
              <c:f>Hárok7!$B$2:$M$2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Hárok7!$B$5:$M$5</c:f>
              <c:numCache>
                <c:formatCode>#,##0</c:formatCode>
                <c:ptCount val="12"/>
                <c:pt idx="0">
                  <c:v>205021</c:v>
                </c:pt>
                <c:pt idx="1">
                  <c:v>204502</c:v>
                </c:pt>
                <c:pt idx="2">
                  <c:v>202041</c:v>
                </c:pt>
                <c:pt idx="3">
                  <c:v>199500</c:v>
                </c:pt>
                <c:pt idx="4">
                  <c:v>198830</c:v>
                </c:pt>
                <c:pt idx="5">
                  <c:v>202620</c:v>
                </c:pt>
                <c:pt idx="6">
                  <c:v>201373</c:v>
                </c:pt>
                <c:pt idx="7">
                  <c:v>198202</c:v>
                </c:pt>
                <c:pt idx="8">
                  <c:v>199463</c:v>
                </c:pt>
                <c:pt idx="9">
                  <c:v>197517</c:v>
                </c:pt>
                <c:pt idx="10">
                  <c:v>195122</c:v>
                </c:pt>
                <c:pt idx="11">
                  <c:v>192628</c:v>
                </c:pt>
              </c:numCache>
            </c:numRef>
          </c:val>
          <c:smooth val="0"/>
        </c:ser>
        <c:ser>
          <c:idx val="3"/>
          <c:order val="3"/>
          <c:tx>
            <c:strRef>
              <c:f>Hárok7!$A$6</c:f>
              <c:strCache>
                <c:ptCount val="1"/>
                <c:pt idx="0">
                  <c:v>UoZ ženy  2014</c:v>
                </c:pt>
              </c:strCache>
            </c:strRef>
          </c:tx>
          <c:spPr>
            <a:ln>
              <a:solidFill>
                <a:schemeClr val="accent2"/>
              </a:solidFill>
              <a:prstDash val="solid"/>
            </a:ln>
          </c:spPr>
          <c:marker>
            <c:symbol val="none"/>
          </c:marker>
          <c:cat>
            <c:strRef>
              <c:f>Hárok7!$B$2:$M$2</c:f>
              <c:strCache>
                <c:ptCount val="12"/>
                <c:pt idx="0">
                  <c:v>I.</c:v>
                </c:pt>
                <c:pt idx="1">
                  <c:v>II.</c:v>
                </c:pt>
                <c:pt idx="2">
                  <c:v>II.</c:v>
                </c:pt>
                <c:pt idx="3">
                  <c:v>IV.</c:v>
                </c:pt>
                <c:pt idx="4">
                  <c:v>V.</c:v>
                </c:pt>
                <c:pt idx="5">
                  <c:v>VI.</c:v>
                </c:pt>
                <c:pt idx="6">
                  <c:v>VII.</c:v>
                </c:pt>
                <c:pt idx="7">
                  <c:v>VII.</c:v>
                </c:pt>
                <c:pt idx="8">
                  <c:v>IX.</c:v>
                </c:pt>
                <c:pt idx="9">
                  <c:v>X.</c:v>
                </c:pt>
                <c:pt idx="10">
                  <c:v>XI.</c:v>
                </c:pt>
                <c:pt idx="11">
                  <c:v>XII.</c:v>
                </c:pt>
              </c:strCache>
            </c:strRef>
          </c:cat>
          <c:val>
            <c:numRef>
              <c:f>Hárok7!$B$6:$M$6</c:f>
              <c:numCache>
                <c:formatCode>#,##0</c:formatCode>
                <c:ptCount val="12"/>
                <c:pt idx="0">
                  <c:v>191706</c:v>
                </c:pt>
                <c:pt idx="1">
                  <c:v>191303</c:v>
                </c:pt>
                <c:pt idx="2">
                  <c:v>189475</c:v>
                </c:pt>
                <c:pt idx="3">
                  <c:v>187710</c:v>
                </c:pt>
                <c:pt idx="4">
                  <c:v>187186</c:v>
                </c:pt>
                <c:pt idx="5">
                  <c:v>189525</c:v>
                </c:pt>
                <c:pt idx="6">
                  <c:v>191131</c:v>
                </c:pt>
                <c:pt idx="7">
                  <c:v>190226</c:v>
                </c:pt>
                <c:pt idx="8">
                  <c:v>187945</c:v>
                </c:pt>
                <c:pt idx="9">
                  <c:v>186709</c:v>
                </c:pt>
                <c:pt idx="10">
                  <c:v>184945</c:v>
                </c:pt>
                <c:pt idx="11">
                  <c:v>183706</c:v>
                </c:pt>
              </c:numCache>
            </c:numRef>
          </c:val>
          <c:smooth val="0"/>
        </c:ser>
        <c:dLbls>
          <c:showLegendKey val="0"/>
          <c:showVal val="0"/>
          <c:showCatName val="0"/>
          <c:showSerName val="0"/>
          <c:showPercent val="0"/>
          <c:showBubbleSize val="0"/>
        </c:dLbls>
        <c:marker val="1"/>
        <c:smooth val="0"/>
        <c:axId val="233573376"/>
        <c:axId val="233595648"/>
      </c:lineChart>
      <c:catAx>
        <c:axId val="233573376"/>
        <c:scaling>
          <c:orientation val="minMax"/>
        </c:scaling>
        <c:delete val="0"/>
        <c:axPos val="b"/>
        <c:majorTickMark val="none"/>
        <c:minorTickMark val="none"/>
        <c:tickLblPos val="nextTo"/>
        <c:crossAx val="233595648"/>
        <c:crosses val="autoZero"/>
        <c:auto val="1"/>
        <c:lblAlgn val="ctr"/>
        <c:lblOffset val="100"/>
        <c:noMultiLvlLbl val="0"/>
      </c:catAx>
      <c:valAx>
        <c:axId val="233595648"/>
        <c:scaling>
          <c:orientation val="minMax"/>
          <c:min val="180000"/>
        </c:scaling>
        <c:delete val="0"/>
        <c:axPos val="l"/>
        <c:majorGridlines/>
        <c:numFmt formatCode="#,##0" sourceLinked="1"/>
        <c:majorTickMark val="none"/>
        <c:minorTickMark val="none"/>
        <c:tickLblPos val="nextTo"/>
        <c:crossAx val="233573376"/>
        <c:crosses val="autoZero"/>
        <c:crossBetween val="between"/>
      </c:valAx>
    </c:plotArea>
    <c:legend>
      <c:legendPos val="r"/>
      <c:layout>
        <c:manualLayout>
          <c:xMode val="edge"/>
          <c:yMode val="edge"/>
          <c:x val="0.52985123966942149"/>
          <c:y val="6.4570160327804632E-2"/>
          <c:w val="0.45303139190934466"/>
          <c:h val="0.24029073288915809"/>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0.12785</cdr:x>
      <cdr:y>0.49716</cdr:y>
    </cdr:from>
    <cdr:to>
      <cdr:x>0.96855</cdr:x>
      <cdr:y>0.49716</cdr:y>
    </cdr:to>
    <cdr:sp macro="" textlink="">
      <cdr:nvSpPr>
        <cdr:cNvPr id="3073" name="Line 1"/>
        <cdr:cNvSpPr>
          <a:spLocks xmlns:a="http://schemas.openxmlformats.org/drawingml/2006/main" noChangeShapeType="1"/>
        </cdr:cNvSpPr>
      </cdr:nvSpPr>
      <cdr:spPr bwMode="auto">
        <a:xfrm xmlns:a="http://schemas.openxmlformats.org/drawingml/2006/main">
          <a:off x="737781" y="1445248"/>
          <a:ext cx="4851579" cy="0"/>
        </a:xfrm>
        <a:prstGeom xmlns:a="http://schemas.openxmlformats.org/drawingml/2006/main" prst="line">
          <a:avLst/>
        </a:prstGeom>
        <a:noFill xmlns:a="http://schemas.openxmlformats.org/drawingml/2006/main"/>
        <a:ln xmlns:a="http://schemas.openxmlformats.org/drawingml/2006/main" w="1587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sk-SK"/>
        </a:p>
      </cdr:txBody>
    </cdr:sp>
  </cdr:relSizeAnchor>
</c:userShapes>
</file>

<file path=word/drawings/drawing2.xml><?xml version="1.0" encoding="utf-8"?>
<c:userShapes xmlns:c="http://schemas.openxmlformats.org/drawingml/2006/chart">
  <cdr:relSizeAnchor xmlns:cdr="http://schemas.openxmlformats.org/drawingml/2006/chartDrawing">
    <cdr:from>
      <cdr:x>0.14479</cdr:x>
      <cdr:y>0.19144</cdr:y>
    </cdr:from>
    <cdr:to>
      <cdr:x>0.91979</cdr:x>
      <cdr:y>0.19144</cdr:y>
    </cdr:to>
    <cdr:cxnSp macro="">
      <cdr:nvCxnSpPr>
        <cdr:cNvPr id="3" name="Rovná spojnica 2"/>
        <cdr:cNvCxnSpPr/>
      </cdr:nvCxnSpPr>
      <cdr:spPr>
        <a:xfrm xmlns:a="http://schemas.openxmlformats.org/drawingml/2006/main">
          <a:off x="661995" y="709329"/>
          <a:ext cx="3543300" cy="0"/>
        </a:xfrm>
        <a:prstGeom xmlns:a="http://schemas.openxmlformats.org/drawingml/2006/main" prst="line">
          <a:avLst/>
        </a:prstGeom>
        <a:ln xmlns:a="http://schemas.openxmlformats.org/drawingml/2006/main" w="28575">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0.91617</cdr:x>
      <cdr:y>0.1469</cdr:y>
    </cdr:from>
    <cdr:to>
      <cdr:x>1</cdr:x>
      <cdr:y>0.22063</cdr:y>
    </cdr:to>
    <cdr:sp macro="" textlink="">
      <cdr:nvSpPr>
        <cdr:cNvPr id="4" name="Blok textu 1"/>
        <cdr:cNvSpPr txBox="1"/>
      </cdr:nvSpPr>
      <cdr:spPr>
        <a:xfrm xmlns:a="http://schemas.openxmlformats.org/drawingml/2006/main">
          <a:off x="5829300" y="488326"/>
          <a:ext cx="533399" cy="245099"/>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1100" b="1" i="0" baseline="0">
              <a:solidFill>
                <a:schemeClr val="tx2">
                  <a:lumMod val="75000"/>
                </a:schemeClr>
              </a:solidFill>
              <a:latin typeface="Times New Roman" panose="02020603050405020304" pitchFamily="18" charset="0"/>
              <a:cs typeface="Times New Roman" panose="02020603050405020304" pitchFamily="18" charset="0"/>
            </a:rPr>
            <a:t>64,66</a:t>
          </a:r>
        </a:p>
      </cdr:txBody>
    </cdr:sp>
  </cdr:relSizeAnchor>
</c:userShapes>
</file>

<file path=word/theme/theme1.xml><?xml version="1.0" encoding="utf-8"?>
<a:theme xmlns:a="http://schemas.openxmlformats.org/drawingml/2006/main" name="Motív Office">
  <a:themeElements>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FC4A-75E3-4DF2-B257-07048B377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Správa o SSO za rok 2014_20_5_2015M</Template>
  <TotalTime>14</TotalTime>
  <Pages>1</Pages>
  <Words>73763</Words>
  <Characters>420451</Characters>
  <Application>Microsoft Office Word</Application>
  <DocSecurity>0</DocSecurity>
  <Lines>3503</Lines>
  <Paragraphs>986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493228</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mb</dc:creator>
  <cp:lastModifiedBy>mb</cp:lastModifiedBy>
  <cp:revision>4</cp:revision>
  <cp:lastPrinted>2015-06-17T10:07:00Z</cp:lastPrinted>
  <dcterms:created xsi:type="dcterms:W3CDTF">2015-06-17T09:50:00Z</dcterms:created>
  <dcterms:modified xsi:type="dcterms:W3CDTF">2015-06-17T10:07:00Z</dcterms:modified>
</cp:coreProperties>
</file>