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46" w:rsidRPr="009F7604" w:rsidRDefault="000B1808" w:rsidP="00346446">
      <w:pPr>
        <w:jc w:val="center"/>
        <w:rPr>
          <w:b/>
        </w:rPr>
      </w:pPr>
      <w:r>
        <w:rPr>
          <w:b/>
        </w:rPr>
        <w:t>Predkladacia správa</w:t>
      </w:r>
    </w:p>
    <w:p w:rsidR="00346446" w:rsidRDefault="00346446" w:rsidP="00346446">
      <w:pPr>
        <w:tabs>
          <w:tab w:val="left" w:pos="374"/>
        </w:tabs>
        <w:rPr>
          <w:b/>
        </w:rPr>
      </w:pPr>
    </w:p>
    <w:p w:rsidR="00CE289A" w:rsidRDefault="00CE289A" w:rsidP="00CE289A">
      <w:pPr>
        <w:jc w:val="both"/>
      </w:pPr>
    </w:p>
    <w:p w:rsidR="00FE39E7" w:rsidRDefault="000B1808" w:rsidP="00FE39E7">
      <w:pPr>
        <w:ind w:firstLine="708"/>
        <w:jc w:val="both"/>
        <w:rPr>
          <w:bCs/>
        </w:rPr>
      </w:pPr>
      <w:r>
        <w:t>N</w:t>
      </w:r>
      <w:r w:rsidR="00346446" w:rsidRPr="00CE289A">
        <w:t xml:space="preserve">ávrh zákona, </w:t>
      </w:r>
      <w:r w:rsidR="00CE289A" w:rsidRPr="00CE289A">
        <w:rPr>
          <w:bCs/>
        </w:rPr>
        <w:t>ktorý</w:t>
      </w:r>
      <w:r w:rsidR="00CE289A">
        <w:rPr>
          <w:bCs/>
        </w:rPr>
        <w:t xml:space="preserve">m sa mení a dopĺňa zákon č. </w:t>
      </w:r>
      <w:r w:rsidR="00CE289A" w:rsidRPr="00CE289A">
        <w:rPr>
          <w:bCs/>
        </w:rPr>
        <w:t xml:space="preserve">5/2004 Z. z. o službách zamestnanosti a o zmene a doplnení niektorých zákonov v znení neskorších predpisov </w:t>
      </w:r>
      <w:r w:rsidR="00CE289A" w:rsidRPr="008310BD">
        <w:rPr>
          <w:bCs/>
        </w:rPr>
        <w:t>a</w:t>
      </w:r>
      <w:r w:rsidR="007C705A" w:rsidRPr="008310BD">
        <w:rPr>
          <w:bCs/>
        </w:rPr>
        <w:t> </w:t>
      </w:r>
      <w:r w:rsidR="008310BD" w:rsidRPr="008310BD">
        <w:rPr>
          <w:bCs/>
        </w:rPr>
        <w:t>ktorým sa menia niektoré zákony</w:t>
      </w:r>
      <w:r w:rsidR="008310BD" w:rsidRPr="008310BD" w:rsidDel="008310BD">
        <w:rPr>
          <w:bCs/>
        </w:rPr>
        <w:t xml:space="preserve"> </w:t>
      </w:r>
      <w:r w:rsidR="00720E62" w:rsidRPr="008310BD">
        <w:rPr>
          <w:bCs/>
        </w:rPr>
        <w:t xml:space="preserve">(ďalej len „návrh zákona“) </w:t>
      </w:r>
      <w:r w:rsidRPr="008310BD">
        <w:rPr>
          <w:bCs/>
        </w:rPr>
        <w:t xml:space="preserve">sa predkladá </w:t>
      </w:r>
      <w:r w:rsidR="00B94729" w:rsidRPr="008310BD">
        <w:rPr>
          <w:bCs/>
        </w:rPr>
        <w:t>ako</w:t>
      </w:r>
      <w:r w:rsidR="00B94729">
        <w:rPr>
          <w:bCs/>
        </w:rPr>
        <w:t xml:space="preserve"> iniciatívny návrh. </w:t>
      </w:r>
    </w:p>
    <w:p w:rsidR="00FE39E7" w:rsidRDefault="00FE39E7" w:rsidP="00FE39E7">
      <w:pPr>
        <w:ind w:firstLine="708"/>
        <w:jc w:val="both"/>
        <w:rPr>
          <w:bCs/>
        </w:rPr>
      </w:pPr>
    </w:p>
    <w:p w:rsidR="00103B71" w:rsidRDefault="000B1808" w:rsidP="000B1808">
      <w:pPr>
        <w:ind w:firstLine="708"/>
        <w:jc w:val="both"/>
      </w:pPr>
      <w:r>
        <w:t xml:space="preserve">Hlavným cieľom návrhu zákona je upraviť legislatívne prostredie v oblasti služieb zamestnanosti tak, aby podpora zamestnanosti zo strany štátu mohla byť pre podnikateľov, zamestnávateľov, administratívne dostupnejšia a menej zaťažujúca. Preto návrh zákona obsahuje najmä výrazne zjednodušenie povinností žiadateľov </w:t>
      </w:r>
      <w:r w:rsidR="00103B71">
        <w:t xml:space="preserve">o príspevky v rámci aktívnych opatrení na trhu práce poskytovaných podľa zákona o službách zamestnanosti. </w:t>
      </w:r>
    </w:p>
    <w:p w:rsidR="000B1808" w:rsidRDefault="000B1808" w:rsidP="00103B71">
      <w:pPr>
        <w:jc w:val="both"/>
      </w:pPr>
    </w:p>
    <w:p w:rsidR="00103B71" w:rsidRDefault="000B1808" w:rsidP="000B1808">
      <w:pPr>
        <w:ind w:firstLine="708"/>
        <w:jc w:val="both"/>
      </w:pPr>
      <w:r>
        <w:t xml:space="preserve">Návrh zákona </w:t>
      </w:r>
      <w:r w:rsidR="00103B71">
        <w:t xml:space="preserve">reaguje aj na </w:t>
      </w:r>
      <w:r w:rsidRPr="00EE4826">
        <w:t>odporúčanie Rad</w:t>
      </w:r>
      <w:r w:rsidR="0059105A">
        <w:t>y</w:t>
      </w:r>
      <w:r w:rsidRPr="00EE4826">
        <w:t xml:space="preserve"> Európskej únie</w:t>
      </w:r>
      <w:r>
        <w:t xml:space="preserve"> v tom zmysle, aby Slovensko </w:t>
      </w:r>
      <w:r w:rsidRPr="00EE4826">
        <w:t>prijalo opatrenia</w:t>
      </w:r>
      <w:r>
        <w:t xml:space="preserve"> s cieľom ú</w:t>
      </w:r>
      <w:r w:rsidRPr="00EE4826">
        <w:t>činnejšie riešiť dlhodobú nezamestnanosť</w:t>
      </w:r>
      <w:r>
        <w:t>, okrem iného, aj pr</w:t>
      </w:r>
      <w:r w:rsidRPr="00EE4826">
        <w:t xml:space="preserve">ostredníctvom druhej šance na vzdelávanie a individuálne prispôsobeného ďalšieho </w:t>
      </w:r>
      <w:r>
        <w:t>odborného vzdelávania</w:t>
      </w:r>
      <w:r w:rsidR="00F5382E">
        <w:t>, čo sa prejavuje v návrhu zákona tak, že sa rozširujú možnosti vzdelávania a prípravy pre trh práce uchádzačov o zamestnanie a zamestnancov s cieľom zvýšiť ich predpoklady na získanie alebo udržanie si zamestnania</w:t>
      </w:r>
      <w:r>
        <w:t xml:space="preserve">. </w:t>
      </w:r>
    </w:p>
    <w:p w:rsidR="00103B71" w:rsidRDefault="00103B71" w:rsidP="000B1808">
      <w:pPr>
        <w:ind w:firstLine="708"/>
        <w:jc w:val="both"/>
      </w:pPr>
    </w:p>
    <w:p w:rsidR="00EE4826" w:rsidRDefault="006D4467" w:rsidP="000B1808">
      <w:pPr>
        <w:ind w:firstLine="708"/>
        <w:jc w:val="both"/>
      </w:pPr>
      <w:r>
        <w:t xml:space="preserve">Návrhom zákona sa nadväzuje </w:t>
      </w:r>
      <w:r w:rsidR="000B1808">
        <w:t xml:space="preserve">aj </w:t>
      </w:r>
      <w:r>
        <w:t>na reformu aktívnej politiky trhu práce (APTP) z mája 2013, ktorá predstavovala najmä nahradenie obligatórnych príspevkov fakultatívnymi príspevkami APTP a vytvorenie vhodného legislatívneho prostredia na podporu zamestnávania znevýhodnených uchádzačov o</w:t>
      </w:r>
      <w:r w:rsidR="00171F32">
        <w:t> </w:t>
      </w:r>
      <w:r>
        <w:t>zamestnanie</w:t>
      </w:r>
      <w:r w:rsidR="00171F32">
        <w:t xml:space="preserve">. </w:t>
      </w:r>
      <w:r w:rsidR="008D5205">
        <w:t>Návrhom zákona sa s</w:t>
      </w:r>
      <w:r w:rsidR="00171F32">
        <w:t xml:space="preserve">účasne reaguje aj na </w:t>
      </w:r>
      <w:r>
        <w:t xml:space="preserve"> legislatívne zmeny z januára 2015 súvisiace s podporou vytvorenia pracovného miesta v prvom </w:t>
      </w:r>
      <w:r w:rsidR="00171F32">
        <w:t>pravidelne platenom zamestnaní, ako aj na plnenie Národného programu reforiem Slovenskej republiky 2015 schválenom uznesením vlády SR č. 216 z 29. apríla 2015.</w:t>
      </w:r>
      <w:r w:rsidR="00EE4826">
        <w:t xml:space="preserve"> </w:t>
      </w:r>
    </w:p>
    <w:p w:rsidR="008D5205" w:rsidRDefault="008D5205" w:rsidP="00103B71">
      <w:pPr>
        <w:jc w:val="both"/>
      </w:pPr>
    </w:p>
    <w:p w:rsidR="00586A8A" w:rsidRDefault="00434DEC" w:rsidP="00103B71">
      <w:pPr>
        <w:ind w:firstLine="708"/>
        <w:jc w:val="both"/>
      </w:pPr>
      <w:r>
        <w:t>C</w:t>
      </w:r>
      <w:r w:rsidR="00103B71">
        <w:t xml:space="preserve">ieľom návrhu zákona </w:t>
      </w:r>
      <w:r>
        <w:t xml:space="preserve">je </w:t>
      </w:r>
      <w:r w:rsidR="00D8484C">
        <w:rPr>
          <w:bCs/>
        </w:rPr>
        <w:t>v</w:t>
      </w:r>
      <w:r w:rsidR="00D8484C" w:rsidRPr="00D8484C">
        <w:rPr>
          <w:bCs/>
        </w:rPr>
        <w:t> porovnaní so súčasným právnym stavom</w:t>
      </w:r>
      <w:r w:rsidR="00341E3B">
        <w:rPr>
          <w:bCs/>
        </w:rPr>
        <w:t xml:space="preserve"> </w:t>
      </w:r>
      <w:r w:rsidR="007D02B0" w:rsidRPr="00103B71">
        <w:rPr>
          <w:snapToGrid w:val="0"/>
        </w:rPr>
        <w:t>rozšíriť definíciu zamestnávateľa na účely zákona o službách zamestnanosti o samostatne zárobkov</w:t>
      </w:r>
      <w:r w:rsidR="00847991">
        <w:rPr>
          <w:snapToGrid w:val="0"/>
        </w:rPr>
        <w:t>o</w:t>
      </w:r>
      <w:r w:rsidR="007D02B0" w:rsidRPr="00103B71">
        <w:rPr>
          <w:snapToGrid w:val="0"/>
        </w:rPr>
        <w:t xml:space="preserve"> činnú osobu, ktorá chce prijať uchádzača o zamestnanie na vykonávanie absolventskej praxe</w:t>
      </w:r>
      <w:r w:rsidR="00D8484C" w:rsidRPr="00103B71">
        <w:rPr>
          <w:snapToGrid w:val="0"/>
        </w:rPr>
        <w:t xml:space="preserve">, a to najmä z dôvodu </w:t>
      </w:r>
      <w:r w:rsidR="007D02B0" w:rsidRPr="00103B71">
        <w:rPr>
          <w:snapToGrid w:val="0"/>
        </w:rPr>
        <w:t>zabezpečenia mo</w:t>
      </w:r>
      <w:r w:rsidR="001C1DAB" w:rsidRPr="00103B71">
        <w:rPr>
          <w:snapToGrid w:val="0"/>
        </w:rPr>
        <w:t xml:space="preserve">žnosti </w:t>
      </w:r>
      <w:r w:rsidR="00D8484C" w:rsidRPr="00103B71">
        <w:rPr>
          <w:snapToGrid w:val="0"/>
        </w:rPr>
        <w:t xml:space="preserve">vykonávania absolventskej praxe </w:t>
      </w:r>
      <w:r w:rsidR="001C1DAB" w:rsidRPr="00103B71">
        <w:rPr>
          <w:snapToGrid w:val="0"/>
        </w:rPr>
        <w:t>aj v zamestnaniach vykonávaných spravidla formou samostatnej zárobkovej činnosti</w:t>
      </w:r>
      <w:r w:rsidR="00103B71">
        <w:rPr>
          <w:snapToGrid w:val="0"/>
        </w:rPr>
        <w:t xml:space="preserve">. Zároveň sa </w:t>
      </w:r>
      <w:r w:rsidR="008D5205" w:rsidRPr="00103B71">
        <w:t xml:space="preserve">na základe poznatkov aplikačnej praxe </w:t>
      </w:r>
      <w:r w:rsidR="00103B71">
        <w:rPr>
          <w:snapToGrid w:val="0"/>
        </w:rPr>
        <w:t>navrhuje</w:t>
      </w:r>
      <w:r w:rsidR="00103B71" w:rsidRPr="00103B71">
        <w:t xml:space="preserve"> </w:t>
      </w:r>
      <w:r w:rsidR="00D8484C" w:rsidRPr="00103B71">
        <w:t>rozšíriť okruh fyzických</w:t>
      </w:r>
      <w:r w:rsidR="00783CBC" w:rsidRPr="00103B71">
        <w:t xml:space="preserve"> osôb, ktoré sa na účely tohto zákona považujú za samostatne zárobkovo činnú osobu, o</w:t>
      </w:r>
      <w:r w:rsidR="00103B71">
        <w:t> </w:t>
      </w:r>
      <w:r w:rsidR="00783CBC" w:rsidRPr="00103B71">
        <w:t>prokuristu</w:t>
      </w:r>
      <w:r w:rsidR="00103B71">
        <w:t>.</w:t>
      </w:r>
    </w:p>
    <w:p w:rsidR="00586A8A" w:rsidRDefault="00586A8A" w:rsidP="00586A8A">
      <w:pPr>
        <w:jc w:val="both"/>
      </w:pPr>
    </w:p>
    <w:p w:rsidR="00ED42CA" w:rsidRPr="00103B71" w:rsidRDefault="00586A8A" w:rsidP="00103B71">
      <w:pPr>
        <w:ind w:firstLine="708"/>
        <w:jc w:val="both"/>
      </w:pPr>
      <w:r>
        <w:t xml:space="preserve">Návrh zákona </w:t>
      </w:r>
      <w:r w:rsidR="00103B71">
        <w:t xml:space="preserve">sa predkladá aj so zámerom zohľadniť </w:t>
      </w:r>
      <w:r>
        <w:t>podnety na úpravu legislatívneho prostredia v službách zamestnanosti s cieľom</w:t>
      </w:r>
      <w:r w:rsidR="00780E1F" w:rsidRPr="00586A8A">
        <w:t xml:space="preserve"> </w:t>
      </w:r>
      <w:r>
        <w:t xml:space="preserve">rozvíjať predpoklady uchádzačov o zamestnanie </w:t>
      </w:r>
      <w:r w:rsidR="00ED42CA">
        <w:t xml:space="preserve">za účelom zlepšenia </w:t>
      </w:r>
      <w:r w:rsidR="00103B71">
        <w:t xml:space="preserve">ich možností získať zamestnanie tým, že sa umožní </w:t>
      </w:r>
      <w:r w:rsidR="00103B71">
        <w:rPr>
          <w:snapToGrid w:val="0"/>
        </w:rPr>
        <w:t>vzdelávanie a prípravu</w:t>
      </w:r>
      <w:r w:rsidR="00434DEC" w:rsidRPr="00103B71">
        <w:rPr>
          <w:snapToGrid w:val="0"/>
        </w:rPr>
        <w:t xml:space="preserve"> pre trh práce </w:t>
      </w:r>
      <w:r w:rsidR="00103B71">
        <w:rPr>
          <w:snapToGrid w:val="0"/>
        </w:rPr>
        <w:t xml:space="preserve">zabezpečovať </w:t>
      </w:r>
      <w:r w:rsidR="00434DEC" w:rsidRPr="00103B71">
        <w:rPr>
          <w:snapToGrid w:val="0"/>
        </w:rPr>
        <w:t xml:space="preserve">aj v kurzoch a programoch vzdelávania, ktoré síce nie sú akreditované, ale poskytujú </w:t>
      </w:r>
      <w:r w:rsidR="00434DEC" w:rsidRPr="00103B71">
        <w:rPr>
          <w:bCs/>
        </w:rPr>
        <w:t xml:space="preserve">odborné </w:t>
      </w:r>
      <w:r w:rsidR="00434DEC" w:rsidRPr="00103B71">
        <w:rPr>
          <w:rStyle w:val="Siln"/>
          <w:b w:val="0"/>
          <w:bCs w:val="0"/>
        </w:rPr>
        <w:t>vedomosti, zručnosti a schopnosti</w:t>
      </w:r>
      <w:r w:rsidR="00434DEC" w:rsidRPr="00103B71">
        <w:rPr>
          <w:bCs/>
        </w:rPr>
        <w:t xml:space="preserve"> </w:t>
      </w:r>
      <w:r w:rsidR="00103B71">
        <w:rPr>
          <w:bCs/>
        </w:rPr>
        <w:t xml:space="preserve">potrebné pre </w:t>
      </w:r>
      <w:r w:rsidR="00103B71">
        <w:t>vykonávanie</w:t>
      </w:r>
      <w:r w:rsidR="00ED42CA" w:rsidRPr="00103B71">
        <w:t xml:space="preserve"> pracovných činností na pracovných miestach na trhu práce.</w:t>
      </w:r>
    </w:p>
    <w:p w:rsidR="00ED42CA" w:rsidRDefault="00ED42CA" w:rsidP="00ED42CA">
      <w:pPr>
        <w:jc w:val="both"/>
      </w:pPr>
    </w:p>
    <w:p w:rsidR="00ED42CA" w:rsidRDefault="00ED42CA" w:rsidP="00ED42CA">
      <w:pPr>
        <w:ind w:firstLine="708"/>
        <w:jc w:val="both"/>
        <w:rPr>
          <w:bCs/>
        </w:rPr>
      </w:pPr>
      <w:r>
        <w:t xml:space="preserve">Súčasne sa navrhuje vytvoriť nový legislatívny rámec na podporu mobility za prácou napojenú na zmenu </w:t>
      </w:r>
      <w:r w:rsidR="008D5205">
        <w:t xml:space="preserve">miesta </w:t>
      </w:r>
      <w:r>
        <w:t xml:space="preserve">pobytu občana, ktorý bol </w:t>
      </w:r>
      <w:r w:rsidRPr="009247B4">
        <w:rPr>
          <w:bCs/>
        </w:rPr>
        <w:t>uchádzačom o zamestnanie vedeným v evidencii uchádzačov o zamestnanie najmenej tri mesiace</w:t>
      </w:r>
      <w:r>
        <w:rPr>
          <w:bCs/>
        </w:rPr>
        <w:t>.</w:t>
      </w:r>
    </w:p>
    <w:p w:rsidR="00ED42CA" w:rsidRDefault="00ED42CA" w:rsidP="00ED42CA">
      <w:pPr>
        <w:ind w:firstLine="708"/>
        <w:jc w:val="both"/>
        <w:rPr>
          <w:bCs/>
        </w:rPr>
      </w:pPr>
    </w:p>
    <w:p w:rsidR="00847991" w:rsidRDefault="00EC2E01" w:rsidP="008D5205">
      <w:pPr>
        <w:ind w:firstLine="708"/>
        <w:jc w:val="both"/>
      </w:pPr>
      <w:r>
        <w:rPr>
          <w:snapToGrid w:val="0"/>
        </w:rPr>
        <w:lastRenderedPageBreak/>
        <w:t xml:space="preserve">V porovnaní so súčasným právnym stavom sa </w:t>
      </w:r>
      <w:r w:rsidRPr="00A82333">
        <w:rPr>
          <w:snapToGrid w:val="0"/>
        </w:rPr>
        <w:t>za účelom zabezpeč</w:t>
      </w:r>
      <w:r>
        <w:rPr>
          <w:snapToGrid w:val="0"/>
        </w:rPr>
        <w:t>enia</w:t>
      </w:r>
      <w:r w:rsidRPr="00A82333">
        <w:rPr>
          <w:snapToGrid w:val="0"/>
        </w:rPr>
        <w:t xml:space="preserve"> možnos</w:t>
      </w:r>
      <w:r>
        <w:rPr>
          <w:snapToGrid w:val="0"/>
        </w:rPr>
        <w:t>ti</w:t>
      </w:r>
      <w:r w:rsidRPr="00A82333">
        <w:rPr>
          <w:snapToGrid w:val="0"/>
        </w:rPr>
        <w:t xml:space="preserve"> recipročného prístupu</w:t>
      </w:r>
      <w:r>
        <w:rPr>
          <w:snapToGrid w:val="0"/>
        </w:rPr>
        <w:t xml:space="preserve"> tretích krajín navrhuje </w:t>
      </w:r>
      <w:r w:rsidRPr="00A82333">
        <w:rPr>
          <w:snapToGrid w:val="0"/>
        </w:rPr>
        <w:t>predĺž</w:t>
      </w:r>
      <w:r>
        <w:rPr>
          <w:snapToGrid w:val="0"/>
        </w:rPr>
        <w:t>enie</w:t>
      </w:r>
      <w:r w:rsidRPr="00A82333">
        <w:rPr>
          <w:snapToGrid w:val="0"/>
        </w:rPr>
        <w:t xml:space="preserve"> obdobi</w:t>
      </w:r>
      <w:r>
        <w:rPr>
          <w:snapToGrid w:val="0"/>
        </w:rPr>
        <w:t>a</w:t>
      </w:r>
      <w:r w:rsidRPr="00A82333">
        <w:rPr>
          <w:snapToGrid w:val="0"/>
        </w:rPr>
        <w:t>, na ktoré sa vydáva potvrdenie o možnosti obsadenia voľného pracovného miesta, ktoré obsahuje súhlas s jeho obsadením a predĺž</w:t>
      </w:r>
      <w:r>
        <w:rPr>
          <w:snapToGrid w:val="0"/>
        </w:rPr>
        <w:t>enie</w:t>
      </w:r>
      <w:r w:rsidRPr="00A82333">
        <w:rPr>
          <w:snapToGrid w:val="0"/>
        </w:rPr>
        <w:t xml:space="preserve"> obdobi</w:t>
      </w:r>
      <w:r>
        <w:rPr>
          <w:snapToGrid w:val="0"/>
        </w:rPr>
        <w:t>a</w:t>
      </w:r>
      <w:r w:rsidRPr="00A82333">
        <w:rPr>
          <w:snapToGrid w:val="0"/>
        </w:rPr>
        <w:t xml:space="preserve">, na ktoré sa udeľuje povolenie na zamestnanie, pre štátnych príslušníkov </w:t>
      </w:r>
      <w:r>
        <w:rPr>
          <w:snapToGrid w:val="0"/>
        </w:rPr>
        <w:t xml:space="preserve">týchto </w:t>
      </w:r>
      <w:r w:rsidRPr="00A82333">
        <w:rPr>
          <w:snapToGrid w:val="0"/>
        </w:rPr>
        <w:t xml:space="preserve">tretích krajín, ak to ustanoví medzinárodná zmluva, ktorou bude SR viazaná alebo ak bude zaručená vzájomnosť medzi SR a treťou krajinou (v tzv. zjednodušenej forme – výmenou diplomatických nót), </w:t>
      </w:r>
      <w:r>
        <w:rPr>
          <w:snapToGrid w:val="0"/>
        </w:rPr>
        <w:t xml:space="preserve">z najviac dvoch rokov na </w:t>
      </w:r>
      <w:r w:rsidRPr="00A82333">
        <w:rPr>
          <w:snapToGrid w:val="0"/>
        </w:rPr>
        <w:t>najviac päť rokov</w:t>
      </w:r>
      <w:r>
        <w:rPr>
          <w:snapToGrid w:val="0"/>
        </w:rPr>
        <w:t>.</w:t>
      </w:r>
    </w:p>
    <w:p w:rsidR="00194F20" w:rsidRDefault="00194F20" w:rsidP="00194F20">
      <w:pPr>
        <w:jc w:val="both"/>
      </w:pPr>
    </w:p>
    <w:p w:rsidR="00794288" w:rsidRPr="00635692" w:rsidRDefault="00794288" w:rsidP="00794288">
      <w:pPr>
        <w:ind w:firstLine="708"/>
        <w:jc w:val="both"/>
      </w:pPr>
      <w:r w:rsidRPr="00635692">
        <w:t>Nadväzne na navrhované úpravy v zákone o službách zamestnanosti v súvislosti s návrhom na predĺženie obdobia,</w:t>
      </w:r>
      <w:r w:rsidRPr="00635692">
        <w:rPr>
          <w:snapToGrid w:val="0"/>
        </w:rPr>
        <w:t xml:space="preserve"> na ktoré sa vydáva potvrdenie o možnosti obsadenia voľného pracovného miesta a na ktoré sa udeľuje povolenie na zamestnanie,</w:t>
      </w:r>
      <w:r w:rsidRPr="00635692">
        <w:t xml:space="preserve"> sa v čl. III  návrhu zákona navrhuje upraviť zákon č. 404/2011 Z. z. o pobyte cudzincov a o zmene a doplnení niektorých zákonov v znení neskorších predpisov tak, že sa navrhuje upraviť i maximálne obdobie, na ktoré sa udeľuje prechodný pobyt alebo obnovuje prechodný pobyt na účel zamestnania, a to taktiež na obdobie najviac piatich rokov.</w:t>
      </w:r>
    </w:p>
    <w:p w:rsidR="00794288" w:rsidRPr="00635692" w:rsidRDefault="00794288" w:rsidP="00794288">
      <w:pPr>
        <w:ind w:firstLine="708"/>
        <w:jc w:val="both"/>
      </w:pPr>
    </w:p>
    <w:p w:rsidR="00194F20" w:rsidRPr="00635692" w:rsidRDefault="00794288" w:rsidP="006B5F92">
      <w:pPr>
        <w:pStyle w:val="Zarkazkladnhotextu"/>
        <w:spacing w:after="0"/>
        <w:ind w:left="0" w:firstLine="708"/>
        <w:jc w:val="both"/>
        <w:rPr>
          <w:bCs/>
        </w:rPr>
      </w:pPr>
      <w:r w:rsidRPr="00635692">
        <w:rPr>
          <w:bCs/>
        </w:rPr>
        <w:t xml:space="preserve">Súčasne sa </w:t>
      </w:r>
      <w:r w:rsidR="006B5F92" w:rsidRPr="00635692">
        <w:rPr>
          <w:bCs/>
        </w:rPr>
        <w:t>v čl. II návrhu zákona navrhuje upraviť z</w:t>
      </w:r>
      <w:r w:rsidR="006B5F92" w:rsidRPr="00635692">
        <w:t>ákon č. 447/2008 Z. z. o peňažných príspevkoch na kompenzáciu ťažkého zdravotného postihnutia a o zmene a doplnení niektorých zákonov v znení neskorších predpisov</w:t>
      </w:r>
      <w:r w:rsidR="00463005" w:rsidRPr="00635692">
        <w:t xml:space="preserve">, a to na účel </w:t>
      </w:r>
      <w:r w:rsidR="00194F20" w:rsidRPr="00635692">
        <w:rPr>
          <w:bCs/>
        </w:rPr>
        <w:t xml:space="preserve">predĺžiť časové obdobie, v rámci ktorého Ústredie práce, sociálnych vecí a rodiny vytvorí podmienky pre zefektívnenie personálnej politiky posudkových lekárov. </w:t>
      </w:r>
    </w:p>
    <w:p w:rsidR="00586A8A" w:rsidRPr="00635692" w:rsidRDefault="00586A8A" w:rsidP="00463005">
      <w:pPr>
        <w:jc w:val="both"/>
      </w:pPr>
    </w:p>
    <w:p w:rsidR="003552E5" w:rsidRPr="00356042" w:rsidRDefault="003552E5" w:rsidP="003552E5">
      <w:pPr>
        <w:ind w:firstLine="708"/>
        <w:jc w:val="both"/>
      </w:pPr>
      <w:r w:rsidRPr="00635692">
        <w:t>Vplyv návrhu zákona na rozpočet verejnej správy, sociálne vplyvy, vplyvy na podnikateľské prostredie, životné prostredie a informatizáciu spoločnosti sú uvedené</w:t>
      </w:r>
      <w:r w:rsidRPr="00356042">
        <w:t xml:space="preserve">  v doložke vybraných vplyvov. </w:t>
      </w:r>
    </w:p>
    <w:p w:rsidR="003552E5" w:rsidRDefault="003552E5" w:rsidP="00424FC0">
      <w:pPr>
        <w:ind w:firstLine="708"/>
        <w:jc w:val="both"/>
      </w:pPr>
      <w:bookmarkStart w:id="0" w:name="_GoBack"/>
      <w:bookmarkEnd w:id="0"/>
    </w:p>
    <w:p w:rsidR="008310BD" w:rsidRDefault="008310BD" w:rsidP="008310BD">
      <w:pPr>
        <w:ind w:firstLine="708"/>
        <w:jc w:val="both"/>
      </w:pPr>
      <w:r w:rsidRPr="00463005">
        <w:t>Návrh zákona bol zaslaný prostredníctvom Portálu právnych predpisov 15. mája 2015 na medzirezortné pripomienkové konanie povinne pripomienkujúcim subjektom a ostatným subjektom, ktorých sa problematika návrhu zákona týka. Výsledky pripomienkového konania sú uvedené vo vyhodnotení pripomienkového konania.</w:t>
      </w:r>
    </w:p>
    <w:sectPr w:rsidR="008310BD" w:rsidSect="007D02B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A6" w:rsidRDefault="00C425A6">
      <w:r>
        <w:separator/>
      </w:r>
    </w:p>
  </w:endnote>
  <w:endnote w:type="continuationSeparator" w:id="0">
    <w:p w:rsidR="00C425A6" w:rsidRDefault="00C4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03" w:rsidRDefault="00E32903" w:rsidP="007D02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32903" w:rsidRDefault="00E32903" w:rsidP="007D02B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237012"/>
      <w:docPartObj>
        <w:docPartGallery w:val="Page Numbers (Bottom of Page)"/>
        <w:docPartUnique/>
      </w:docPartObj>
    </w:sdtPr>
    <w:sdtEndPr/>
    <w:sdtContent>
      <w:p w:rsidR="00DC6E0E" w:rsidRDefault="00DC6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92">
          <w:rPr>
            <w:noProof/>
          </w:rPr>
          <w:t>2</w:t>
        </w:r>
        <w:r>
          <w:fldChar w:fldCharType="end"/>
        </w:r>
      </w:p>
    </w:sdtContent>
  </w:sdt>
  <w:p w:rsidR="00E32903" w:rsidRDefault="00E32903" w:rsidP="007D02B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A6" w:rsidRDefault="00C425A6">
      <w:r>
        <w:separator/>
      </w:r>
    </w:p>
  </w:footnote>
  <w:footnote w:type="continuationSeparator" w:id="0">
    <w:p w:rsidR="00C425A6" w:rsidRDefault="00C4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FE9"/>
    <w:multiLevelType w:val="hybridMultilevel"/>
    <w:tmpl w:val="1F4627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40F8B"/>
    <w:multiLevelType w:val="hybridMultilevel"/>
    <w:tmpl w:val="2F124450"/>
    <w:lvl w:ilvl="0" w:tplc="34BA52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00EA4"/>
    <w:multiLevelType w:val="hybridMultilevel"/>
    <w:tmpl w:val="63EAA0D8"/>
    <w:lvl w:ilvl="0" w:tplc="111CB3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1761EB"/>
    <w:multiLevelType w:val="hybridMultilevel"/>
    <w:tmpl w:val="667CF90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5E310D"/>
    <w:multiLevelType w:val="hybridMultilevel"/>
    <w:tmpl w:val="3F26F164"/>
    <w:lvl w:ilvl="0" w:tplc="5058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8EF8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E0723"/>
    <w:multiLevelType w:val="hybridMultilevel"/>
    <w:tmpl w:val="8A3EE078"/>
    <w:lvl w:ilvl="0" w:tplc="D42E76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208A"/>
    <w:multiLevelType w:val="hybridMultilevel"/>
    <w:tmpl w:val="9B3CF4FE"/>
    <w:lvl w:ilvl="0" w:tplc="AD8083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676CE6"/>
    <w:multiLevelType w:val="hybridMultilevel"/>
    <w:tmpl w:val="E0301D54"/>
    <w:lvl w:ilvl="0" w:tplc="B1D86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85546"/>
    <w:multiLevelType w:val="hybridMultilevel"/>
    <w:tmpl w:val="3F16B0DA"/>
    <w:lvl w:ilvl="0" w:tplc="22B0FF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4B5D22"/>
    <w:multiLevelType w:val="hybridMultilevel"/>
    <w:tmpl w:val="5E02F090"/>
    <w:lvl w:ilvl="0" w:tplc="041B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C18EF836">
      <w:start w:val="1"/>
      <w:numFmt w:val="lowerLetter"/>
      <w:lvlText w:val="%3)"/>
      <w:lvlJc w:val="left"/>
      <w:pPr>
        <w:tabs>
          <w:tab w:val="num" w:pos="2697"/>
        </w:tabs>
        <w:ind w:left="2697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5A"/>
    <w:rsid w:val="00013485"/>
    <w:rsid w:val="00074D0A"/>
    <w:rsid w:val="00074E25"/>
    <w:rsid w:val="000B1808"/>
    <w:rsid w:val="000E06BF"/>
    <w:rsid w:val="000F5331"/>
    <w:rsid w:val="00103B71"/>
    <w:rsid w:val="00106654"/>
    <w:rsid w:val="00115F14"/>
    <w:rsid w:val="00171F32"/>
    <w:rsid w:val="00174D5F"/>
    <w:rsid w:val="00194F20"/>
    <w:rsid w:val="001C006F"/>
    <w:rsid w:val="001C1DAB"/>
    <w:rsid w:val="001C34C2"/>
    <w:rsid w:val="00230515"/>
    <w:rsid w:val="00230DF1"/>
    <w:rsid w:val="002B7341"/>
    <w:rsid w:val="00341E3B"/>
    <w:rsid w:val="00346446"/>
    <w:rsid w:val="003552E5"/>
    <w:rsid w:val="003625B2"/>
    <w:rsid w:val="003E32AC"/>
    <w:rsid w:val="00424FC0"/>
    <w:rsid w:val="0043451E"/>
    <w:rsid w:val="00434DEC"/>
    <w:rsid w:val="0043649F"/>
    <w:rsid w:val="00463005"/>
    <w:rsid w:val="00477F4B"/>
    <w:rsid w:val="00496C2A"/>
    <w:rsid w:val="004B3A05"/>
    <w:rsid w:val="004F52B1"/>
    <w:rsid w:val="0055045D"/>
    <w:rsid w:val="00557CE9"/>
    <w:rsid w:val="00586A8A"/>
    <w:rsid w:val="0059105A"/>
    <w:rsid w:val="005E7043"/>
    <w:rsid w:val="00620B6E"/>
    <w:rsid w:val="00635692"/>
    <w:rsid w:val="006766B6"/>
    <w:rsid w:val="00695684"/>
    <w:rsid w:val="006B2025"/>
    <w:rsid w:val="006B2469"/>
    <w:rsid w:val="006B5F92"/>
    <w:rsid w:val="006D4467"/>
    <w:rsid w:val="006E32EE"/>
    <w:rsid w:val="00720E62"/>
    <w:rsid w:val="0075415B"/>
    <w:rsid w:val="00780E1F"/>
    <w:rsid w:val="00783CBC"/>
    <w:rsid w:val="00794288"/>
    <w:rsid w:val="007C2A08"/>
    <w:rsid w:val="007C42C1"/>
    <w:rsid w:val="007C705A"/>
    <w:rsid w:val="007D02B0"/>
    <w:rsid w:val="007E3B31"/>
    <w:rsid w:val="00817226"/>
    <w:rsid w:val="008310BD"/>
    <w:rsid w:val="00847991"/>
    <w:rsid w:val="00895881"/>
    <w:rsid w:val="008D5205"/>
    <w:rsid w:val="00913C5A"/>
    <w:rsid w:val="00917D5A"/>
    <w:rsid w:val="009D424E"/>
    <w:rsid w:val="009F3E93"/>
    <w:rsid w:val="00A87D09"/>
    <w:rsid w:val="00B61336"/>
    <w:rsid w:val="00B94729"/>
    <w:rsid w:val="00BC7EFE"/>
    <w:rsid w:val="00C030FD"/>
    <w:rsid w:val="00C2453B"/>
    <w:rsid w:val="00C3684D"/>
    <w:rsid w:val="00C425A6"/>
    <w:rsid w:val="00C62A62"/>
    <w:rsid w:val="00CB194C"/>
    <w:rsid w:val="00CC55F8"/>
    <w:rsid w:val="00CE289A"/>
    <w:rsid w:val="00D54491"/>
    <w:rsid w:val="00D545B6"/>
    <w:rsid w:val="00D5493E"/>
    <w:rsid w:val="00D8484C"/>
    <w:rsid w:val="00D9613F"/>
    <w:rsid w:val="00DC6E0E"/>
    <w:rsid w:val="00E21A38"/>
    <w:rsid w:val="00E32903"/>
    <w:rsid w:val="00E4346F"/>
    <w:rsid w:val="00E82EC4"/>
    <w:rsid w:val="00E977C3"/>
    <w:rsid w:val="00EA27B7"/>
    <w:rsid w:val="00EB32DA"/>
    <w:rsid w:val="00EC2E01"/>
    <w:rsid w:val="00ED42CA"/>
    <w:rsid w:val="00EE4826"/>
    <w:rsid w:val="00F15559"/>
    <w:rsid w:val="00F25ADD"/>
    <w:rsid w:val="00F5382E"/>
    <w:rsid w:val="00F73277"/>
    <w:rsid w:val="00FD4DE0"/>
    <w:rsid w:val="00FE39E7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rsid w:val="00557C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57CE9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557C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7C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rsid w:val="00557CE9"/>
    <w:rPr>
      <w:rFonts w:cs="Times New Roman"/>
    </w:rPr>
  </w:style>
  <w:style w:type="paragraph" w:styleId="Zkladntext">
    <w:name w:val="Body Text"/>
    <w:basedOn w:val="Normlny"/>
    <w:link w:val="ZkladntextChar"/>
    <w:rsid w:val="00557CE9"/>
    <w:pPr>
      <w:spacing w:after="120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557CE9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D02B0"/>
    <w:pPr>
      <w:ind w:left="720"/>
      <w:contextualSpacing/>
    </w:pPr>
    <w:rPr>
      <w:sz w:val="20"/>
      <w:szCs w:val="20"/>
      <w:lang w:eastAsia="sk-SK"/>
    </w:rPr>
  </w:style>
  <w:style w:type="character" w:styleId="Siln">
    <w:name w:val="Strong"/>
    <w:uiPriority w:val="22"/>
    <w:qFormat/>
    <w:rsid w:val="003E32AC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semiHidden/>
    <w:rsid w:val="00FE61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E6165"/>
    <w:rPr>
      <w:rFonts w:ascii="Calibri" w:hAnsi="Calibri" w:cs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165"/>
    <w:rPr>
      <w:rFonts w:ascii="Calibri" w:eastAsia="Times New Roman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E482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akladnystyl">
    <w:name w:val="Zakladny styl"/>
    <w:rsid w:val="004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C6E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E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94F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94F2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rsid w:val="00557C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57CE9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557C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7C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rsid w:val="00557CE9"/>
    <w:rPr>
      <w:rFonts w:cs="Times New Roman"/>
    </w:rPr>
  </w:style>
  <w:style w:type="paragraph" w:styleId="Zkladntext">
    <w:name w:val="Body Text"/>
    <w:basedOn w:val="Normlny"/>
    <w:link w:val="ZkladntextChar"/>
    <w:rsid w:val="00557CE9"/>
    <w:pPr>
      <w:spacing w:after="120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557CE9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D02B0"/>
    <w:pPr>
      <w:ind w:left="720"/>
      <w:contextualSpacing/>
    </w:pPr>
    <w:rPr>
      <w:sz w:val="20"/>
      <w:szCs w:val="20"/>
      <w:lang w:eastAsia="sk-SK"/>
    </w:rPr>
  </w:style>
  <w:style w:type="character" w:styleId="Siln">
    <w:name w:val="Strong"/>
    <w:uiPriority w:val="22"/>
    <w:qFormat/>
    <w:rsid w:val="003E32AC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semiHidden/>
    <w:rsid w:val="00FE61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E6165"/>
    <w:rPr>
      <w:rFonts w:ascii="Calibri" w:hAnsi="Calibri" w:cs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165"/>
    <w:rPr>
      <w:rFonts w:ascii="Calibri" w:eastAsia="Times New Roman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E482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akladnystyl">
    <w:name w:val="Zakladny styl"/>
    <w:rsid w:val="004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C6E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E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94F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94F2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OPTP</dc:creator>
  <cp:lastModifiedBy>Varos Juraj</cp:lastModifiedBy>
  <cp:revision>12</cp:revision>
  <cp:lastPrinted>2015-04-22T13:13:00Z</cp:lastPrinted>
  <dcterms:created xsi:type="dcterms:W3CDTF">2015-05-12T12:39:00Z</dcterms:created>
  <dcterms:modified xsi:type="dcterms:W3CDTF">2015-06-22T08:07:00Z</dcterms:modified>
</cp:coreProperties>
</file>