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B3" w:rsidRDefault="004A1DCB" w:rsidP="008A6AF7">
      <w:pPr>
        <w:keepLines/>
        <w:spacing w:before="240" w:after="600"/>
        <w:jc w:val="center"/>
        <w:rPr>
          <w:b/>
        </w:rPr>
      </w:pPr>
      <w:r>
        <w:rPr>
          <w:b/>
        </w:rPr>
        <w:t>Dôvodová</w:t>
      </w:r>
      <w:r w:rsidR="00040BB3" w:rsidRPr="00040BB3">
        <w:rPr>
          <w:b/>
        </w:rPr>
        <w:t xml:space="preserve"> správa</w:t>
      </w:r>
    </w:p>
    <w:p w:rsidR="00BE4F32" w:rsidRPr="009D538D" w:rsidRDefault="00BE4F32" w:rsidP="008A6AF7">
      <w:pPr>
        <w:keepLines/>
        <w:spacing w:before="120" w:after="120"/>
        <w:ind w:firstLine="709"/>
        <w:rPr>
          <w:rFonts w:eastAsia="Times New Roman"/>
        </w:rPr>
      </w:pPr>
      <w:r w:rsidRPr="009D538D">
        <w:rPr>
          <w:rFonts w:eastAsia="Times New Roman"/>
        </w:rPr>
        <w:t xml:space="preserve">Ministerstvo pôdohospodárstva a rozvoja vidieka Slovenskej republiky spracovalo a predkladá návrh nariadenia vlády, ktorým sa ruší a nahradzuje nariadenie vlády Slovenskej republiky č. 80/2007 Z. z. z 31. januára 2007 o podmienkach vydávania licencií na dovoz a vývoz poľnohospodárskych výrobkov a potravinárskych výrobkov </w:t>
      </w:r>
      <w:r w:rsidR="008A6AF7">
        <w:t>na základe Plánu legislatívnych úloh vlády Slovenskej republiky na rok 2015</w:t>
      </w:r>
      <w:r w:rsidRPr="009D538D">
        <w:rPr>
          <w:rFonts w:eastAsia="Times New Roman"/>
        </w:rPr>
        <w:t>.</w:t>
      </w:r>
    </w:p>
    <w:p w:rsidR="00BE4F32" w:rsidRPr="009D538D" w:rsidRDefault="00BE4F32" w:rsidP="008A6AF7">
      <w:pPr>
        <w:keepLines/>
        <w:spacing w:before="120" w:after="120"/>
        <w:ind w:firstLine="709"/>
        <w:rPr>
          <w:rFonts w:eastAsia="Times New Roman"/>
        </w:rPr>
      </w:pPr>
      <w:r w:rsidRPr="009D538D">
        <w:rPr>
          <w:rFonts w:eastAsia="Times New Roman"/>
        </w:rPr>
        <w:t>Návrh nariadenia vyplýva zo zmien legislatívy Európskej únie. Predkladaný materiál upravuje podmienky vydávania licencií, certifikátov a osvedčení a pravidlá administrovania zábezpek v podmienkach Slovenskej republiky.</w:t>
      </w:r>
    </w:p>
    <w:p w:rsidR="00BE4F32" w:rsidRPr="009D538D" w:rsidRDefault="00BE4F32" w:rsidP="008A6AF7">
      <w:pPr>
        <w:keepLines/>
        <w:spacing w:before="120" w:after="120"/>
        <w:ind w:firstLine="709"/>
        <w:rPr>
          <w:rFonts w:eastAsia="Times New Roman"/>
        </w:rPr>
      </w:pPr>
      <w:r w:rsidRPr="009D538D">
        <w:rPr>
          <w:rFonts w:eastAsia="Times New Roman"/>
        </w:rPr>
        <w:t>Najvýznamnejšou zmenou v návrhu nariadenia vlády patrí rozšírenie upravovaných oblastí nariadenia vlády o certifikáty, osvedčenia a administrovanie zábezpek. Súčasne sa upravuje postup pri podávaní žiadostí o licencie, certifikáty a osvedčenia a podmienky zloženia a uvoľňovania alebo prepadnutia finančných zábezpek. Ďalšou zmenou prešla aj príloha k nariadeniu vlády, ktorá obsahuje zoznam vykonávaných právne záväzných aktov Európskej únie.</w:t>
      </w:r>
    </w:p>
    <w:p w:rsidR="00BE4F32" w:rsidRPr="00BE4F32" w:rsidRDefault="00BE4F32" w:rsidP="008A6AF7">
      <w:pPr>
        <w:keepLines/>
        <w:spacing w:before="120" w:after="120"/>
        <w:ind w:firstLine="709"/>
        <w:rPr>
          <w:rFonts w:eastAsia="Times New Roman"/>
        </w:rPr>
      </w:pPr>
      <w:r w:rsidRPr="00BE4F32">
        <w:rPr>
          <w:rFonts w:eastAsia="Times New Roman"/>
        </w:rPr>
        <w:t>Návrh nariadenia vlády nemá negatívny vplyv na rozpočet verejnej správy, nebude mať sociálne vplyvy, vplyv na životné prostredie, na informatizáciu spoločnosti ani na podnikateľské prostredie.</w:t>
      </w:r>
    </w:p>
    <w:p w:rsidR="00040BB3" w:rsidRDefault="00BE4F32" w:rsidP="008A6AF7">
      <w:pPr>
        <w:keepLines/>
        <w:spacing w:before="120" w:after="120"/>
        <w:ind w:firstLine="709"/>
        <w:rPr>
          <w:rFonts w:eastAsia="Times New Roman"/>
        </w:rPr>
      </w:pPr>
      <w:r w:rsidRPr="00BE4F32">
        <w:rPr>
          <w:rFonts w:eastAsia="Times New Roman"/>
        </w:rPr>
        <w:t>Návrh nariadenia vlády je v súlade s Ústavou Slovenskej republiky, zákonmi a ostatnými všeobecne záväznými právnymi predpismi, medzinárodnými zmluvami, ktorými je Slovenská republika viazaná, ako aj s právne záväznými aktmi Európskej únie.</w:t>
      </w:r>
    </w:p>
    <w:p w:rsidR="009D538D" w:rsidRPr="009D538D" w:rsidRDefault="009D538D" w:rsidP="008A6AF7">
      <w:pPr>
        <w:keepLines/>
        <w:spacing w:before="120" w:after="120"/>
        <w:ind w:firstLine="709"/>
        <w:rPr>
          <w:rFonts w:eastAsia="Times New Roman"/>
        </w:rPr>
      </w:pPr>
      <w:r>
        <w:rPr>
          <w:rFonts w:eastAsia="Times New Roman"/>
        </w:rPr>
        <w:t xml:space="preserve">Ministerstvo financií Slovenskej republiky vzalo </w:t>
      </w:r>
      <w:r w:rsidRPr="009D538D">
        <w:rPr>
          <w:rFonts w:eastAsia="Times New Roman"/>
        </w:rPr>
        <w:t>na vedomie, že návrh nebude mať vplyv na rozpočet verejnej správy ani na informatizáciu spoločnosti</w:t>
      </w:r>
      <w:r>
        <w:rPr>
          <w:rFonts w:eastAsia="Times New Roman"/>
        </w:rPr>
        <w:t>.</w:t>
      </w:r>
    </w:p>
    <w:p w:rsidR="00A15EDF" w:rsidRPr="00A15EDF" w:rsidRDefault="00A15EDF" w:rsidP="008A6AF7">
      <w:pPr>
        <w:keepLines/>
        <w:autoSpaceDE w:val="0"/>
        <w:autoSpaceDN w:val="0"/>
        <w:adjustRightInd w:val="0"/>
        <w:spacing w:before="480" w:after="120"/>
        <w:ind w:left="284"/>
        <w:jc w:val="center"/>
        <w:rPr>
          <w:rFonts w:eastAsia="Times New Roman"/>
          <w:b/>
          <w:bCs/>
          <w:szCs w:val="20"/>
          <w:lang w:eastAsia="sk-SK"/>
        </w:rPr>
      </w:pPr>
      <w:r w:rsidRPr="00A15EDF">
        <w:rPr>
          <w:rFonts w:eastAsia="Times New Roman"/>
          <w:b/>
          <w:bCs/>
          <w:szCs w:val="20"/>
          <w:lang w:eastAsia="sk-SK"/>
        </w:rPr>
        <w:lastRenderedPageBreak/>
        <w:t>DOLOŽKA ZLUČITEĽNOSTI</w:t>
      </w:r>
    </w:p>
    <w:p w:rsidR="00A15EDF" w:rsidRPr="00A15EDF" w:rsidRDefault="00A15EDF" w:rsidP="008A6AF7">
      <w:pPr>
        <w:keepLines/>
        <w:autoSpaceDE w:val="0"/>
        <w:autoSpaceDN w:val="0"/>
        <w:adjustRightInd w:val="0"/>
        <w:spacing w:before="60" w:after="60"/>
        <w:ind w:left="284"/>
        <w:jc w:val="center"/>
        <w:rPr>
          <w:rFonts w:eastAsia="Times New Roman"/>
          <w:b/>
          <w:bCs/>
          <w:szCs w:val="20"/>
          <w:lang w:eastAsia="sk-SK"/>
        </w:rPr>
      </w:pPr>
      <w:r w:rsidRPr="00A15EDF">
        <w:rPr>
          <w:rFonts w:eastAsia="Times New Roman"/>
          <w:b/>
          <w:bCs/>
          <w:szCs w:val="20"/>
          <w:lang w:eastAsia="sk-SK"/>
        </w:rPr>
        <w:t>právneho predpisu s právom Európskej únie</w:t>
      </w:r>
    </w:p>
    <w:p w:rsidR="00A15EDF" w:rsidRPr="00A15EDF" w:rsidRDefault="00A15EDF" w:rsidP="008A6AF7">
      <w:pPr>
        <w:keepLines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rPr>
          <w:rFonts w:eastAsia="Times New Roman"/>
          <w:bCs/>
          <w:szCs w:val="20"/>
          <w:lang w:eastAsia="sk-SK"/>
        </w:rPr>
      </w:pPr>
      <w:r w:rsidRPr="00A15EDF">
        <w:rPr>
          <w:rFonts w:eastAsia="Times New Roman"/>
          <w:b/>
          <w:bCs/>
          <w:szCs w:val="20"/>
          <w:lang w:eastAsia="sk-SK"/>
        </w:rPr>
        <w:t>Predkladateľ právneho predpisu:</w:t>
      </w:r>
      <w:r w:rsidRPr="00A15EDF">
        <w:rPr>
          <w:rFonts w:eastAsia="Times New Roman"/>
          <w:bCs/>
          <w:szCs w:val="20"/>
          <w:lang w:eastAsia="sk-SK"/>
        </w:rPr>
        <w:t xml:space="preserve"> Ministerstvo pôdohospodárstva a rozvoja vidieka Slovenskej republiky</w:t>
      </w:r>
    </w:p>
    <w:p w:rsidR="00A15EDF" w:rsidRPr="00A15EDF" w:rsidRDefault="00A15EDF" w:rsidP="008A6AF7">
      <w:pPr>
        <w:keepLines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rPr>
          <w:rFonts w:eastAsia="Times New Roman"/>
          <w:bCs/>
          <w:lang w:eastAsia="sk-SK"/>
        </w:rPr>
      </w:pPr>
      <w:r w:rsidRPr="00A15EDF">
        <w:rPr>
          <w:rFonts w:eastAsia="Times New Roman"/>
          <w:b/>
          <w:bCs/>
          <w:szCs w:val="20"/>
          <w:lang w:eastAsia="sk-SK"/>
        </w:rPr>
        <w:t>Názov návrhu právneho predpisu:</w:t>
      </w:r>
      <w:r w:rsidRPr="00A15EDF">
        <w:rPr>
          <w:rFonts w:eastAsia="Times New Roman"/>
          <w:bCs/>
          <w:szCs w:val="20"/>
          <w:lang w:eastAsia="sk-SK"/>
        </w:rPr>
        <w:t xml:space="preserve"> Návrh nariadenia vlády Slovenskej republiky </w:t>
      </w:r>
      <w:r w:rsidRPr="00A15EDF">
        <w:t>o podmienkach vydávania licencií na dovoz a vývoz poľnohospodárskych výrobkov a potravinárskych výrobkov, certifikátov s vopred stanovenou sadzbou náhrady, osvedčení o náhrade a administrovaní zábezpek</w:t>
      </w:r>
    </w:p>
    <w:p w:rsidR="00A15EDF" w:rsidRPr="00A15EDF" w:rsidRDefault="00A15EDF" w:rsidP="008A6AF7">
      <w:pPr>
        <w:keepLines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rPr>
          <w:rFonts w:eastAsia="Times New Roman"/>
          <w:bCs/>
          <w:szCs w:val="20"/>
          <w:lang w:eastAsia="sk-SK"/>
        </w:rPr>
      </w:pPr>
      <w:r w:rsidRPr="00A15EDF">
        <w:rPr>
          <w:rFonts w:eastAsia="Times New Roman"/>
          <w:b/>
          <w:bCs/>
          <w:szCs w:val="20"/>
          <w:lang w:eastAsia="sk-SK"/>
        </w:rPr>
        <w:t xml:space="preserve">Problematika návrhu právneho predpisu: </w:t>
      </w:r>
    </w:p>
    <w:p w:rsidR="00A15EDF" w:rsidRPr="00A15EDF" w:rsidRDefault="00A15EDF" w:rsidP="008A6AF7">
      <w:pPr>
        <w:keepLines/>
        <w:numPr>
          <w:ilvl w:val="1"/>
          <w:numId w:val="4"/>
        </w:numPr>
        <w:autoSpaceDE w:val="0"/>
        <w:autoSpaceDN w:val="0"/>
        <w:adjustRightInd w:val="0"/>
        <w:spacing w:before="60" w:after="120"/>
        <w:rPr>
          <w:rFonts w:eastAsia="Times New Roman"/>
          <w:lang w:eastAsia="cs-CZ"/>
        </w:rPr>
      </w:pPr>
      <w:r w:rsidRPr="00A15EDF">
        <w:rPr>
          <w:rFonts w:eastAsia="Times New Roman"/>
          <w:lang w:eastAsia="cs-CZ"/>
        </w:rPr>
        <w:t>je upravená v práve Európskej únie:</w:t>
      </w:r>
    </w:p>
    <w:p w:rsidR="00A15EDF" w:rsidRPr="00A15EDF" w:rsidRDefault="00A15EDF" w:rsidP="008A6AF7">
      <w:pPr>
        <w:keepLines/>
        <w:autoSpaceDN w:val="0"/>
        <w:spacing w:after="120"/>
        <w:ind w:left="900" w:hanging="425"/>
        <w:rPr>
          <w:rFonts w:eastAsia="Times New Roman"/>
          <w:b/>
          <w:bCs/>
          <w:iCs/>
          <w:lang w:eastAsia="cs-CZ"/>
        </w:rPr>
      </w:pPr>
      <w:r w:rsidRPr="00A15EDF">
        <w:rPr>
          <w:rFonts w:eastAsia="Times New Roman"/>
          <w:b/>
          <w:bCs/>
          <w:iCs/>
          <w:lang w:eastAsia="cs-CZ"/>
        </w:rPr>
        <w:t xml:space="preserve">Primárne právo: </w:t>
      </w:r>
    </w:p>
    <w:p w:rsidR="00A15EDF" w:rsidRPr="00A15EDF" w:rsidRDefault="00A15EDF" w:rsidP="008A6AF7">
      <w:pPr>
        <w:keepLines/>
        <w:numPr>
          <w:ilvl w:val="0"/>
          <w:numId w:val="5"/>
        </w:numPr>
        <w:autoSpaceDE w:val="0"/>
        <w:autoSpaceDN w:val="0"/>
        <w:adjustRightInd w:val="0"/>
        <w:spacing w:before="60" w:after="120"/>
        <w:rPr>
          <w:rFonts w:eastAsia="Times New Roman"/>
          <w:lang w:eastAsia="cs-CZ"/>
        </w:rPr>
      </w:pPr>
      <w:r w:rsidRPr="00A15EDF">
        <w:rPr>
          <w:rFonts w:eastAsia="Times New Roman"/>
          <w:lang w:eastAsia="cs-CZ"/>
        </w:rPr>
        <w:t xml:space="preserve">čl. 3 ods. 1 písm. b), 107 až 109 a 291 Zmluvy o fungovaní Európskej únie, </w:t>
      </w:r>
    </w:p>
    <w:p w:rsidR="00A15EDF" w:rsidRPr="00A15EDF" w:rsidRDefault="00A15EDF" w:rsidP="008A6AF7">
      <w:pPr>
        <w:keepLines/>
        <w:tabs>
          <w:tab w:val="left" w:pos="426"/>
        </w:tabs>
        <w:autoSpaceDN w:val="0"/>
        <w:spacing w:after="240"/>
        <w:ind w:left="510"/>
        <w:rPr>
          <w:rFonts w:eastAsia="Times New Roman"/>
          <w:lang w:eastAsia="sk-SK"/>
        </w:rPr>
      </w:pPr>
      <w:r w:rsidRPr="00A15EDF">
        <w:rPr>
          <w:rFonts w:eastAsia="Times New Roman"/>
          <w:b/>
          <w:bCs/>
          <w:iCs/>
          <w:lang w:eastAsia="sk-SK"/>
        </w:rPr>
        <w:t>Sekundárne právo</w:t>
      </w:r>
      <w:r w:rsidRPr="00A15EDF">
        <w:rPr>
          <w:rFonts w:eastAsia="Times New Roman"/>
          <w:b/>
          <w:bCs/>
          <w:i/>
          <w:iCs/>
          <w:lang w:eastAsia="sk-SK"/>
        </w:rPr>
        <w:t xml:space="preserve"> </w:t>
      </w:r>
      <w:r w:rsidRPr="00A15EDF">
        <w:rPr>
          <w:rFonts w:eastAsia="Times New Roman"/>
          <w:lang w:eastAsia="sk-SK"/>
        </w:rPr>
        <w:t>(prijaté po nadobudnutí platnosti Lisabonskej zmluvy, ktorou sa mení a dopĺňa Zmluva o Európskej únii a Zmluva o založení Európskeho spoločenstva - po 30. novembri 2009):</w:t>
      </w:r>
    </w:p>
    <w:p w:rsidR="00A15EDF" w:rsidRPr="00A15EDF" w:rsidRDefault="00A15EDF" w:rsidP="008A6AF7">
      <w:pPr>
        <w:keepLines/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eastAsia="Times New Roman"/>
          <w:bCs/>
          <w:iCs/>
          <w:u w:val="single"/>
          <w:lang w:eastAsia="sk-SK"/>
        </w:rPr>
      </w:pPr>
      <w:r w:rsidRPr="00A15EDF">
        <w:rPr>
          <w:rFonts w:eastAsia="Times New Roman"/>
          <w:bCs/>
          <w:iCs/>
          <w:u w:val="single"/>
          <w:lang w:eastAsia="sk-SK"/>
        </w:rPr>
        <w:t>legislatívne akty:</w:t>
      </w:r>
    </w:p>
    <w:p w:rsidR="00A15EDF" w:rsidRPr="00A15EDF" w:rsidRDefault="00A15EDF" w:rsidP="008A6AF7">
      <w:pPr>
        <w:keepLines/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eastAsia="Times New Roman"/>
          <w:bCs/>
          <w:iCs/>
          <w:u w:val="single"/>
          <w:lang w:eastAsia="sk-SK"/>
        </w:rPr>
      </w:pPr>
      <w:r w:rsidRPr="00A15EDF">
        <w:rPr>
          <w:rFonts w:eastAsia="Times New Roman"/>
          <w:bCs/>
          <w:iCs/>
          <w:u w:val="single"/>
          <w:lang w:eastAsia="sk-SK"/>
        </w:rPr>
        <w:t>nelegislatívne akty:</w:t>
      </w:r>
    </w:p>
    <w:p w:rsidR="001D0098" w:rsidRPr="008D54F2" w:rsidRDefault="001D0098" w:rsidP="008A6AF7">
      <w:pPr>
        <w:keepLines/>
        <w:numPr>
          <w:ilvl w:val="0"/>
          <w:numId w:val="21"/>
        </w:numPr>
        <w:spacing w:before="120" w:after="120"/>
      </w:pPr>
      <w:r w:rsidRPr="008D54F2">
        <w:rPr>
          <w:rFonts w:eastAsia="Times New Roman"/>
          <w:lang w:eastAsia="sk-SK"/>
        </w:rPr>
        <w:t xml:space="preserve">Nariadenie Komisie </w:t>
      </w:r>
      <w:r w:rsidRPr="008D54F2">
        <w:rPr>
          <w:bCs/>
        </w:rPr>
        <w:t xml:space="preserve">(EÚ) č. 578/2010 z 29. júna 2010, ktorým sa vykonáva nariadenie Rady (ES) č. 1216/2009, pokiaľ ide o systém priznávajúci vývozné náhrady na určité poľnohospodárske výrobky vyvážané vo forme tovaru, na ktorý sa nevzťahuje príloha I k Zmluve, a kritéria stanovovania výšky týchto náhrad </w:t>
      </w:r>
      <w:r w:rsidRPr="008D54F2">
        <w:t>(Ú. v. EÚ L 171, 6.7.2010) v</w:t>
      </w:r>
      <w:r>
        <w:t xml:space="preserve"> platnom </w:t>
      </w:r>
      <w:r w:rsidRPr="008D54F2">
        <w:t>znení</w:t>
      </w:r>
      <w:r>
        <w:t>,</w:t>
      </w:r>
    </w:p>
    <w:p w:rsidR="001D0098" w:rsidRPr="001D0098" w:rsidRDefault="001D0098" w:rsidP="008A6AF7">
      <w:pPr>
        <w:keepLines/>
        <w:numPr>
          <w:ilvl w:val="0"/>
          <w:numId w:val="21"/>
        </w:numPr>
        <w:shd w:val="clear" w:color="auto" w:fill="FFFFFF"/>
        <w:spacing w:before="120" w:after="120"/>
        <w:rPr>
          <w:rFonts w:eastAsia="Times New Roman"/>
          <w:lang w:eastAsia="sk-SK"/>
        </w:rPr>
      </w:pPr>
      <w:r>
        <w:t>n</w:t>
      </w:r>
      <w:r w:rsidRPr="008D54F2">
        <w:t>ariadenie Európskeho parlamentu a Rady (EÚ) č. 1306/2013 zo 17. decembra 2013</w:t>
      </w:r>
      <w:r w:rsidRPr="008D54F2">
        <w:rPr>
          <w:color w:val="00B050"/>
        </w:rPr>
        <w:t xml:space="preserve"> </w:t>
      </w:r>
      <w:r w:rsidRPr="008D54F2">
        <w:t>o financovaní, riadení a monitorovaní spoločnej poľnohospodárskej politiky a ktorým sa zrušujú nariadenia Rady (EHS) č. 352/78, (ES) č. 165/94, (ES) č. 2799/98, (ES) č. 814/2000, (ES) č. 1290/2005 a (ES) č. 485/2008 (Ú. v. EÚ L 347, 20.12.2013)</w:t>
      </w:r>
      <w:r w:rsidRPr="00D445C6">
        <w:t xml:space="preserve"> </w:t>
      </w:r>
      <w:r w:rsidRPr="008D54F2">
        <w:t>v</w:t>
      </w:r>
      <w:r>
        <w:t xml:space="preserve"> platnom </w:t>
      </w:r>
      <w:r w:rsidRPr="008D54F2">
        <w:t>znení</w:t>
      </w:r>
      <w:r w:rsidRPr="00D445C6">
        <w:rPr>
          <w:rFonts w:eastAsia="Times New Roman"/>
          <w:lang w:eastAsia="sk-SK"/>
        </w:rPr>
        <w:t>.</w:t>
      </w:r>
    </w:p>
    <w:p w:rsidR="001D0098" w:rsidRPr="001D0098" w:rsidRDefault="001D0098" w:rsidP="008A6AF7">
      <w:pPr>
        <w:keepLines/>
        <w:numPr>
          <w:ilvl w:val="0"/>
          <w:numId w:val="21"/>
        </w:numPr>
        <w:spacing w:before="120" w:after="120"/>
      </w:pPr>
      <w:r>
        <w:t>d</w:t>
      </w:r>
      <w:r w:rsidRPr="008D54F2">
        <w:t>elegované nariadenie Komisie (EÚ) č. 907/2014 zo 11. marca 2014, ktorým sa dopĺňa nariadenie Európskeho parlamentu a Rady (EÚ) č. 1306/2013, pokiaľ ide o platobné agentúry a ostatné orgány, finančné hospodárenie, schvaľovanie účtovných závierok, zábezpeky a používanie eura (Ú. v. EÚ L 255, 28.8.2014) v</w:t>
      </w:r>
      <w:r>
        <w:t xml:space="preserve"> platnom </w:t>
      </w:r>
      <w:r w:rsidRPr="008D54F2">
        <w:t>znení</w:t>
      </w:r>
      <w:r w:rsidRPr="00D445C6">
        <w:t>.</w:t>
      </w:r>
    </w:p>
    <w:p w:rsidR="00D445C6" w:rsidRPr="00A15EDF" w:rsidRDefault="001D0098" w:rsidP="008A6AF7">
      <w:pPr>
        <w:keepLines/>
        <w:numPr>
          <w:ilvl w:val="0"/>
          <w:numId w:val="21"/>
        </w:numPr>
        <w:autoSpaceDE w:val="0"/>
        <w:autoSpaceDN w:val="0"/>
        <w:adjustRightInd w:val="0"/>
        <w:spacing w:before="60" w:after="120"/>
        <w:rPr>
          <w:rFonts w:eastAsia="Times New Roman"/>
          <w:bCs/>
          <w:iCs/>
          <w:lang w:eastAsia="sk-SK"/>
        </w:rPr>
      </w:pPr>
      <w:r>
        <w:t>v</w:t>
      </w:r>
      <w:r w:rsidRPr="008D54F2">
        <w:t>ykonávacie nariadenie Komisie (EÚ) č. 908/2014 zo 6. augusta 2014, ktorým sa stanovujú pravidlá uplatňovania nariadenia Európskeho parlamentu a Rady (EÚ) č. 1306/2013 vzhľadom na platobné agentúry a ostatné orgány, finančné hospodárenie, schvaľovanie účtovných závierok, pravidlá kontroly, zábezpeky a transparentnosť (Ú. v. EÚ L 255, 28.8.2014) v</w:t>
      </w:r>
      <w:r>
        <w:t xml:space="preserve"> platnom </w:t>
      </w:r>
      <w:r w:rsidRPr="008D54F2">
        <w:t>znení</w:t>
      </w:r>
      <w:r>
        <w:t>.</w:t>
      </w:r>
    </w:p>
    <w:p w:rsidR="00A15EDF" w:rsidRDefault="00A15EDF" w:rsidP="008A6AF7">
      <w:pPr>
        <w:keepLines/>
        <w:autoSpaceDE w:val="0"/>
        <w:autoSpaceDN w:val="0"/>
        <w:adjustRightInd w:val="0"/>
        <w:ind w:left="510"/>
        <w:rPr>
          <w:rFonts w:eastAsia="Times New Roman"/>
          <w:lang w:eastAsia="sk-SK"/>
        </w:rPr>
      </w:pPr>
      <w:r w:rsidRPr="00A15EDF">
        <w:rPr>
          <w:rFonts w:eastAsia="Times New Roman"/>
          <w:b/>
          <w:bCs/>
          <w:iCs/>
          <w:lang w:eastAsia="sk-SK"/>
        </w:rPr>
        <w:t xml:space="preserve">Sekundárne právo </w:t>
      </w:r>
      <w:r w:rsidRPr="00A15EDF">
        <w:rPr>
          <w:rFonts w:eastAsia="Times New Roman"/>
          <w:lang w:eastAsia="sk-SK"/>
        </w:rPr>
        <w:t>(prijaté pred nadobudnutím platnosti Lisabonskej zmluvy, ktorou sa mení a dopĺňa Zmluva o Európskej únii a Zmluva o založení Európskeho spoločenstva - do 30. novembra 2009):</w:t>
      </w:r>
    </w:p>
    <w:p w:rsidR="001D0098" w:rsidRPr="00A15EDF" w:rsidRDefault="001D0098" w:rsidP="008A6AF7">
      <w:pPr>
        <w:keepLines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eastAsia="Times New Roman"/>
          <w:bCs/>
          <w:iCs/>
          <w:lang w:eastAsia="sk-SK"/>
        </w:rPr>
      </w:pPr>
      <w:r w:rsidRPr="00D445C6">
        <w:rPr>
          <w:rFonts w:eastAsia="Times New Roman"/>
          <w:bCs/>
          <w:iCs/>
          <w:lang w:eastAsia="sk-SK"/>
        </w:rPr>
        <w:t>Nariadenie Komisie (EHS) č. 2454/93 z 2. júla 1993, ktorým sa vykonáva nariadenie Rady (EHS) č. 2913/92, ktorým sa ustanovuje Colný kódex spoločenstva (Mimoriadne vydanie Ú. v. EÚ kap. 2/zv. 6) v</w:t>
      </w:r>
      <w:r>
        <w:rPr>
          <w:rFonts w:eastAsia="Times New Roman"/>
          <w:bCs/>
          <w:iCs/>
          <w:lang w:eastAsia="sk-SK"/>
        </w:rPr>
        <w:t xml:space="preserve"> platnom </w:t>
      </w:r>
      <w:r w:rsidRPr="00D445C6">
        <w:rPr>
          <w:rFonts w:eastAsia="Times New Roman"/>
          <w:bCs/>
          <w:iCs/>
          <w:lang w:eastAsia="sk-SK"/>
        </w:rPr>
        <w:t>znení</w:t>
      </w:r>
      <w:r>
        <w:rPr>
          <w:rFonts w:eastAsia="Times New Roman"/>
          <w:bCs/>
          <w:iCs/>
          <w:lang w:eastAsia="sk-SK"/>
        </w:rPr>
        <w:t>,</w:t>
      </w:r>
    </w:p>
    <w:p w:rsidR="001D0098" w:rsidRDefault="001D0098" w:rsidP="008A6AF7">
      <w:pPr>
        <w:keepLines/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eastAsia="Times New Roman"/>
          <w:bCs/>
          <w:iCs/>
          <w:lang w:eastAsia="sk-SK"/>
        </w:rPr>
      </w:pPr>
      <w:r>
        <w:rPr>
          <w:rFonts w:eastAsia="Times New Roman"/>
          <w:bCs/>
          <w:iCs/>
          <w:lang w:eastAsia="sk-SK"/>
        </w:rPr>
        <w:t>n</w:t>
      </w:r>
      <w:r w:rsidRPr="00D445C6">
        <w:rPr>
          <w:rFonts w:eastAsia="Times New Roman"/>
          <w:bCs/>
          <w:iCs/>
          <w:lang w:eastAsia="sk-SK"/>
        </w:rPr>
        <w:t>ariadenie Komisie (ES) č. 376/2008 z 23. apríla 2008, ktorým sa stanovujú podrobné pravidlá uplatňovania systému dovozných a vývozných licencií a certifikátov s vopred stanovenou sadzbou náhrady pre poľnohospodárske výrobky (kodifikované znenie) (Ú. v. EÚ L 114, 26.4. 2008) v</w:t>
      </w:r>
      <w:r>
        <w:rPr>
          <w:rFonts w:eastAsia="Times New Roman"/>
          <w:bCs/>
          <w:iCs/>
          <w:lang w:eastAsia="sk-SK"/>
        </w:rPr>
        <w:t xml:space="preserve"> platnom </w:t>
      </w:r>
      <w:r w:rsidRPr="00D445C6">
        <w:rPr>
          <w:rFonts w:eastAsia="Times New Roman"/>
          <w:bCs/>
          <w:iCs/>
          <w:lang w:eastAsia="sk-SK"/>
        </w:rPr>
        <w:t>znení</w:t>
      </w:r>
      <w:r w:rsidRPr="00A15EDF">
        <w:rPr>
          <w:rFonts w:eastAsia="Times New Roman"/>
          <w:bCs/>
          <w:iCs/>
          <w:lang w:eastAsia="sk-SK"/>
        </w:rPr>
        <w:t>,</w:t>
      </w:r>
    </w:p>
    <w:p w:rsidR="001D0098" w:rsidRPr="001D0098" w:rsidRDefault="001D0098" w:rsidP="008A6AF7">
      <w:pPr>
        <w:keepLines/>
        <w:numPr>
          <w:ilvl w:val="0"/>
          <w:numId w:val="19"/>
        </w:numPr>
        <w:spacing w:before="120" w:after="120"/>
      </w:pPr>
      <w:r>
        <w:rPr>
          <w:rFonts w:eastAsia="Times New Roman"/>
          <w:bCs/>
          <w:iCs/>
          <w:lang w:eastAsia="sk-SK"/>
        </w:rPr>
        <w:t>n</w:t>
      </w:r>
      <w:r w:rsidRPr="00D445C6">
        <w:rPr>
          <w:rFonts w:eastAsia="Times New Roman"/>
          <w:bCs/>
          <w:iCs/>
          <w:lang w:eastAsia="sk-SK"/>
        </w:rPr>
        <w:t>ariadenie Komisie (ES) č. 612/2009 zo 7. júla 2009, ktorým sa ustanovujú spoločné podrobné pravidlá uplatňovania vývozných náhrad za poľnohospodárske výrobky (Ú. v. EÚ L 186, 17.7.2009) v</w:t>
      </w:r>
      <w:r>
        <w:rPr>
          <w:rFonts w:eastAsia="Times New Roman"/>
          <w:bCs/>
          <w:iCs/>
          <w:lang w:eastAsia="sk-SK"/>
        </w:rPr>
        <w:t xml:space="preserve"> platnom </w:t>
      </w:r>
      <w:r w:rsidRPr="00D445C6">
        <w:rPr>
          <w:rFonts w:eastAsia="Times New Roman"/>
          <w:bCs/>
          <w:iCs/>
          <w:lang w:eastAsia="sk-SK"/>
        </w:rPr>
        <w:t>znení</w:t>
      </w:r>
      <w:r>
        <w:rPr>
          <w:rFonts w:eastAsia="Times New Roman"/>
          <w:bCs/>
          <w:iCs/>
          <w:lang w:eastAsia="sk-SK"/>
        </w:rPr>
        <w:t>.</w:t>
      </w:r>
    </w:p>
    <w:p w:rsidR="00A15EDF" w:rsidRPr="00A15EDF" w:rsidRDefault="00A15EDF" w:rsidP="008A6AF7">
      <w:pPr>
        <w:keepLines/>
        <w:numPr>
          <w:ilvl w:val="1"/>
          <w:numId w:val="4"/>
        </w:numPr>
        <w:autoSpaceDE w:val="0"/>
        <w:autoSpaceDN w:val="0"/>
        <w:adjustRightInd w:val="0"/>
        <w:spacing w:before="60" w:after="120"/>
        <w:rPr>
          <w:rFonts w:eastAsia="Times New Roman"/>
          <w:lang w:eastAsia="cs-CZ"/>
        </w:rPr>
      </w:pPr>
      <w:r w:rsidRPr="00A15EDF">
        <w:rPr>
          <w:rFonts w:eastAsia="Times New Roman"/>
          <w:lang w:eastAsia="cs-CZ"/>
        </w:rPr>
        <w:t>je obsiahnutá v judikatúre Súdneho dvora Európskej únie.</w:t>
      </w:r>
    </w:p>
    <w:p w:rsidR="00A15EDF" w:rsidRPr="00A15EDF" w:rsidRDefault="00A15EDF" w:rsidP="008A6AF7">
      <w:pPr>
        <w:keepLines/>
        <w:numPr>
          <w:ilvl w:val="0"/>
          <w:numId w:val="7"/>
        </w:numPr>
        <w:autoSpaceDE w:val="0"/>
        <w:autoSpaceDN w:val="0"/>
        <w:adjustRightInd w:val="0"/>
        <w:spacing w:before="60" w:after="120"/>
        <w:rPr>
          <w:rFonts w:eastAsia="Times New Roman"/>
          <w:b/>
          <w:bCs/>
          <w:lang w:eastAsia="sk-SK"/>
        </w:rPr>
      </w:pPr>
      <w:r w:rsidRPr="00A15EDF">
        <w:rPr>
          <w:rFonts w:eastAsia="Times New Roman"/>
          <w:b/>
          <w:bCs/>
          <w:lang w:eastAsia="sk-SK"/>
        </w:rPr>
        <w:t>Záväzky Slovenskej republiky vo vzťahu k Európskej únii:</w:t>
      </w:r>
    </w:p>
    <w:p w:rsidR="00A15EDF" w:rsidRPr="00A15EDF" w:rsidRDefault="00A15EDF" w:rsidP="008A6AF7">
      <w:pPr>
        <w:keepLines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before="60" w:after="120"/>
        <w:ind w:left="425" w:hanging="425"/>
        <w:rPr>
          <w:rFonts w:eastAsia="Times New Roman"/>
          <w:lang w:eastAsia="cs-CZ"/>
        </w:rPr>
      </w:pPr>
      <w:r w:rsidRPr="00A15EDF">
        <w:rPr>
          <w:rFonts w:eastAsia="Times New Roman"/>
          <w:lang w:eastAsia="cs-CZ"/>
        </w:rPr>
        <w:t>Lehota na prebratie smernice alebo na implementáciu nariadenia alebo rozhodnutia: bezpredmetné.</w:t>
      </w:r>
    </w:p>
    <w:p w:rsidR="0035761B" w:rsidRDefault="00A15EDF" w:rsidP="008A6AF7">
      <w:pPr>
        <w:keepLines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before="60" w:after="120"/>
        <w:ind w:left="425" w:hanging="425"/>
        <w:rPr>
          <w:rFonts w:eastAsia="Times New Roman"/>
          <w:lang w:eastAsia="cs-CZ"/>
        </w:rPr>
      </w:pPr>
      <w:r w:rsidRPr="00A15EDF">
        <w:rPr>
          <w:rFonts w:eastAsia="Times New Roman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</w:t>
      </w:r>
      <w:r w:rsidR="0035761B">
        <w:rPr>
          <w:rFonts w:eastAsia="Times New Roman"/>
          <w:lang w:eastAsia="cs-CZ"/>
        </w:rPr>
        <w:t>ne záväzných právnych predpisov</w:t>
      </w:r>
    </w:p>
    <w:p w:rsidR="00A15EDF" w:rsidRPr="00A15EDF" w:rsidRDefault="00A15EDF" w:rsidP="008A6AF7">
      <w:pPr>
        <w:keepLines/>
        <w:tabs>
          <w:tab w:val="left" w:pos="425"/>
        </w:tabs>
        <w:autoSpaceDE w:val="0"/>
        <w:autoSpaceDN w:val="0"/>
        <w:adjustRightInd w:val="0"/>
        <w:spacing w:before="60" w:after="120"/>
        <w:ind w:left="425"/>
        <w:rPr>
          <w:rFonts w:eastAsia="Times New Roman"/>
          <w:lang w:eastAsia="cs-CZ"/>
        </w:rPr>
      </w:pPr>
      <w:r w:rsidRPr="00A15EDF">
        <w:rPr>
          <w:rFonts w:eastAsia="Times New Roman"/>
          <w:lang w:eastAsia="cs-CZ"/>
        </w:rPr>
        <w:t>bezpredmetné.</w:t>
      </w:r>
    </w:p>
    <w:p w:rsidR="00A15EDF" w:rsidRPr="00A15EDF" w:rsidRDefault="00A15EDF" w:rsidP="008A6AF7">
      <w:pPr>
        <w:keepLines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before="60" w:after="120"/>
        <w:ind w:left="425" w:hanging="425"/>
        <w:rPr>
          <w:rFonts w:eastAsia="Times New Roman"/>
          <w:lang w:eastAsia="cs-CZ"/>
        </w:rPr>
      </w:pPr>
      <w:r w:rsidRPr="00A15EDF">
        <w:rPr>
          <w:rFonts w:eastAsia="Times New Roman"/>
          <w:lang w:eastAsia="cs-CZ"/>
        </w:rPr>
        <w:t>Proti SR nebolo začaté konanie o porušení Zmluvy o fungovaní Európskej únie podľa čl. 258 až 260 Zmluvy o fungovaní Európskej únie.</w:t>
      </w:r>
    </w:p>
    <w:p w:rsidR="00A15EDF" w:rsidRPr="00A15EDF" w:rsidRDefault="00A15EDF" w:rsidP="008A6AF7">
      <w:pPr>
        <w:keepLines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before="60"/>
        <w:ind w:left="425" w:hanging="425"/>
        <w:rPr>
          <w:rFonts w:eastAsia="Times New Roman"/>
          <w:lang w:eastAsia="cs-CZ"/>
        </w:rPr>
      </w:pPr>
      <w:r w:rsidRPr="00A15EDF">
        <w:rPr>
          <w:rFonts w:eastAsia="Times New Roman"/>
          <w:lang w:eastAsia="cs-CZ"/>
        </w:rPr>
        <w:t>Bezpredmetné.</w:t>
      </w:r>
    </w:p>
    <w:p w:rsidR="00A15EDF" w:rsidRPr="00A15EDF" w:rsidRDefault="00A15EDF" w:rsidP="008A6AF7">
      <w:pPr>
        <w:keepLines/>
        <w:numPr>
          <w:ilvl w:val="0"/>
          <w:numId w:val="7"/>
        </w:numPr>
        <w:autoSpaceDE w:val="0"/>
        <w:autoSpaceDN w:val="0"/>
        <w:adjustRightInd w:val="0"/>
        <w:spacing w:before="60" w:after="120"/>
        <w:rPr>
          <w:rFonts w:eastAsia="Times New Roman"/>
          <w:b/>
          <w:bCs/>
          <w:lang w:eastAsia="sk-SK"/>
        </w:rPr>
      </w:pPr>
      <w:r w:rsidRPr="00A15EDF">
        <w:rPr>
          <w:rFonts w:eastAsia="Times New Roman"/>
          <w:b/>
          <w:bCs/>
          <w:lang w:eastAsia="sk-SK"/>
        </w:rPr>
        <w:t>Stupeň zlučiteľnosti návrhu nariadenia s právom Európskej únie:</w:t>
      </w:r>
    </w:p>
    <w:p w:rsidR="00A15EDF" w:rsidRPr="00A15EDF" w:rsidRDefault="00A15EDF" w:rsidP="008A6AF7">
      <w:pPr>
        <w:keepLines/>
        <w:autoSpaceDN w:val="0"/>
        <w:spacing w:after="120"/>
        <w:ind w:left="425" w:hanging="425"/>
        <w:rPr>
          <w:rFonts w:eastAsia="Times New Roman"/>
          <w:lang w:eastAsia="sk-SK"/>
        </w:rPr>
      </w:pPr>
      <w:r w:rsidRPr="00A15EDF">
        <w:rPr>
          <w:rFonts w:eastAsia="Times New Roman"/>
          <w:lang w:eastAsia="sk-SK"/>
        </w:rPr>
        <w:tab/>
        <w:t>Úplný.</w:t>
      </w:r>
    </w:p>
    <w:p w:rsidR="00A15EDF" w:rsidRPr="00A15EDF" w:rsidRDefault="00A15EDF" w:rsidP="008A6AF7">
      <w:pPr>
        <w:keepLines/>
        <w:numPr>
          <w:ilvl w:val="0"/>
          <w:numId w:val="7"/>
        </w:numPr>
        <w:autoSpaceDE w:val="0"/>
        <w:autoSpaceDN w:val="0"/>
        <w:adjustRightInd w:val="0"/>
        <w:spacing w:before="60" w:after="120"/>
        <w:rPr>
          <w:rFonts w:eastAsia="Times New Roman"/>
          <w:b/>
          <w:bCs/>
          <w:lang w:eastAsia="sk-SK"/>
        </w:rPr>
      </w:pPr>
      <w:r w:rsidRPr="00A15EDF">
        <w:rPr>
          <w:rFonts w:eastAsia="Times New Roman"/>
          <w:b/>
          <w:bCs/>
          <w:lang w:eastAsia="sk-SK"/>
        </w:rPr>
        <w:t>Gestor a spolupracujúce rezorty:</w:t>
      </w:r>
    </w:p>
    <w:p w:rsidR="00A15EDF" w:rsidRPr="00A15EDF" w:rsidRDefault="00A15EDF" w:rsidP="008A6AF7">
      <w:pPr>
        <w:keepLines/>
        <w:autoSpaceDN w:val="0"/>
        <w:spacing w:after="120"/>
        <w:ind w:left="425"/>
        <w:rPr>
          <w:rFonts w:eastAsia="Times New Roman"/>
          <w:bCs/>
          <w:lang w:eastAsia="sk-SK"/>
        </w:rPr>
      </w:pPr>
      <w:r w:rsidRPr="00A15EDF">
        <w:rPr>
          <w:rFonts w:eastAsia="Times New Roman"/>
          <w:bCs/>
          <w:lang w:eastAsia="sk-SK"/>
        </w:rPr>
        <w:t>Ministerstvo pôdohospodárstva a</w:t>
      </w:r>
      <w:r w:rsidR="009D538D">
        <w:rPr>
          <w:rFonts w:eastAsia="Times New Roman"/>
          <w:bCs/>
          <w:lang w:eastAsia="sk-SK"/>
        </w:rPr>
        <w:t xml:space="preserve"> </w:t>
      </w:r>
      <w:r w:rsidRPr="00A15EDF">
        <w:rPr>
          <w:rFonts w:eastAsia="Times New Roman"/>
          <w:bCs/>
          <w:lang w:eastAsia="sk-SK"/>
        </w:rPr>
        <w:t>rozvoja vidieka SR.</w:t>
      </w:r>
    </w:p>
    <w:p w:rsidR="00A15EDF" w:rsidRPr="00A15EDF" w:rsidRDefault="00A15EDF" w:rsidP="008A6AF7">
      <w:pPr>
        <w:keepLines/>
        <w:autoSpaceDE w:val="0"/>
        <w:autoSpaceDN w:val="0"/>
        <w:adjustRightInd w:val="0"/>
        <w:spacing w:before="360" w:after="60"/>
        <w:jc w:val="center"/>
        <w:rPr>
          <w:rFonts w:eastAsia="Times New Roman"/>
          <w:b/>
          <w:lang w:eastAsia="sk-SK"/>
        </w:rPr>
      </w:pPr>
      <w:r w:rsidRPr="00A15EDF">
        <w:rPr>
          <w:rFonts w:eastAsia="Times New Roman"/>
          <w:b/>
          <w:bCs/>
          <w:caps/>
          <w:spacing w:val="30"/>
          <w:lang w:eastAsia="sk-SK"/>
        </w:rPr>
        <w:t>Doložka</w:t>
      </w:r>
    </w:p>
    <w:p w:rsidR="00A15EDF" w:rsidRPr="00A15EDF" w:rsidRDefault="00A15EDF" w:rsidP="008A6AF7">
      <w:pPr>
        <w:keepLines/>
        <w:autoSpaceDE w:val="0"/>
        <w:autoSpaceDN w:val="0"/>
        <w:adjustRightInd w:val="0"/>
        <w:spacing w:before="60" w:after="360"/>
        <w:jc w:val="center"/>
        <w:rPr>
          <w:rFonts w:eastAsia="Times New Roman"/>
          <w:b/>
          <w:bCs/>
          <w:lang w:eastAsia="sk-SK"/>
        </w:rPr>
      </w:pPr>
      <w:r w:rsidRPr="00A15EDF">
        <w:rPr>
          <w:rFonts w:eastAsia="Times New Roman"/>
          <w:b/>
          <w:bCs/>
          <w:lang w:eastAsia="sk-SK"/>
        </w:rPr>
        <w:t>vybraných vplyvov</w:t>
      </w:r>
    </w:p>
    <w:p w:rsidR="00A15EDF" w:rsidRPr="00A15EDF" w:rsidRDefault="00A15EDF" w:rsidP="008A6AF7">
      <w:pPr>
        <w:keepLines/>
        <w:tabs>
          <w:tab w:val="num" w:pos="1440"/>
        </w:tabs>
        <w:autoSpaceDE w:val="0"/>
        <w:autoSpaceDN w:val="0"/>
        <w:adjustRightInd w:val="0"/>
        <w:spacing w:before="120" w:after="120"/>
        <w:ind w:left="284" w:hanging="284"/>
        <w:rPr>
          <w:rFonts w:eastAsia="Times New Roman"/>
          <w:bCs/>
          <w:szCs w:val="20"/>
          <w:lang w:eastAsia="sk-SK"/>
        </w:rPr>
      </w:pPr>
      <w:r w:rsidRPr="00A15EDF">
        <w:rPr>
          <w:rFonts w:eastAsia="Times New Roman"/>
          <w:bCs/>
          <w:szCs w:val="20"/>
          <w:lang w:eastAsia="sk-SK"/>
        </w:rPr>
        <w:t xml:space="preserve">A.1. </w:t>
      </w:r>
      <w:r w:rsidRPr="00A15EDF">
        <w:rPr>
          <w:rFonts w:eastAsia="Times New Roman"/>
          <w:b/>
          <w:bCs/>
          <w:szCs w:val="20"/>
          <w:lang w:eastAsia="sk-SK"/>
        </w:rPr>
        <w:t>Názov materiálu:</w:t>
      </w:r>
      <w:r w:rsidRPr="00A15EDF">
        <w:rPr>
          <w:rFonts w:eastAsia="Times New Roman"/>
          <w:bCs/>
          <w:szCs w:val="20"/>
          <w:lang w:eastAsia="sk-SK"/>
        </w:rPr>
        <w:t xml:space="preserve"> Návrh nariadenia vlády Slovenskej republiky</w:t>
      </w:r>
      <w:r>
        <w:rPr>
          <w:rFonts w:eastAsia="Times New Roman"/>
          <w:bCs/>
          <w:szCs w:val="20"/>
          <w:lang w:eastAsia="sk-SK"/>
        </w:rPr>
        <w:t xml:space="preserve"> </w:t>
      </w:r>
      <w:r w:rsidRPr="00A15EDF">
        <w:rPr>
          <w:rFonts w:eastAsia="Times New Roman"/>
          <w:bCs/>
          <w:szCs w:val="20"/>
          <w:lang w:eastAsia="sk-SK"/>
        </w:rPr>
        <w:t>o podmienkach vydávania licencií na dovoz a vývoz poľnohospodárskych výrobkov a potravinárskych výrobkov, certifikátov s vopred stanovenou sadzbou náhrady, osvedčení o náhrade a administrovaní zábezpek</w:t>
      </w:r>
    </w:p>
    <w:p w:rsidR="008A6AF7" w:rsidRDefault="009D538D" w:rsidP="008A6AF7">
      <w:pPr>
        <w:keepLines/>
        <w:autoSpaceDE w:val="0"/>
        <w:autoSpaceDN w:val="0"/>
        <w:adjustRightInd w:val="0"/>
        <w:spacing w:before="120" w:after="120"/>
        <w:rPr>
          <w:rFonts w:eastAsia="Times New Roman"/>
          <w:lang w:eastAsia="sk-SK"/>
        </w:rPr>
      </w:pPr>
      <w:r>
        <w:rPr>
          <w:rFonts w:eastAsia="Times New Roman"/>
          <w:bCs/>
          <w:lang w:eastAsia="sk-SK"/>
        </w:rPr>
        <w:t xml:space="preserve"> </w:t>
      </w:r>
      <w:r w:rsidR="00A15EDF" w:rsidRPr="00A15EDF">
        <w:rPr>
          <w:rFonts w:eastAsia="Times New Roman"/>
          <w:bCs/>
          <w:lang w:eastAsia="sk-SK"/>
        </w:rPr>
        <w:t>Termín začatia a ukončenia PPK:</w:t>
      </w:r>
      <w:r w:rsidR="00A15EDF" w:rsidRPr="00A15EDF">
        <w:rPr>
          <w:rFonts w:eastAsia="Times New Roman"/>
          <w:lang w:eastAsia="sk-SK"/>
        </w:rPr>
        <w:t xml:space="preserve"> bezpredmetné</w:t>
      </w:r>
    </w:p>
    <w:p w:rsidR="00A15EDF" w:rsidRPr="008A6AF7" w:rsidRDefault="00A15EDF" w:rsidP="008A6AF7">
      <w:pPr>
        <w:keepLines/>
        <w:autoSpaceDE w:val="0"/>
        <w:autoSpaceDN w:val="0"/>
        <w:adjustRightInd w:val="0"/>
        <w:spacing w:before="120" w:after="120"/>
        <w:rPr>
          <w:rFonts w:eastAsia="Times New Roman"/>
          <w:lang w:eastAsia="sk-SK"/>
        </w:rPr>
      </w:pPr>
      <w:r w:rsidRPr="00A15EDF">
        <w:rPr>
          <w:rFonts w:eastAsia="Times New Roman"/>
          <w:bCs/>
          <w:lang w:eastAsia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1187"/>
        <w:gridCol w:w="1176"/>
        <w:gridCol w:w="1191"/>
      </w:tblGrid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Negatívne</w:t>
            </w:r>
          </w:p>
        </w:tc>
      </w:tr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</w:tr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</w:tr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</w:tr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</w:tr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 xml:space="preserve">– sociálnu </w:t>
            </w:r>
            <w:proofErr w:type="spellStart"/>
            <w:r w:rsidRPr="00A15EDF">
              <w:rPr>
                <w:rFonts w:eastAsia="Times New Roman"/>
                <w:lang w:eastAsia="sk-SK"/>
              </w:rPr>
              <w:t>exklúziu</w:t>
            </w:r>
            <w:proofErr w:type="spellEnd"/>
            <w:r w:rsidRPr="00A15EDF">
              <w:rPr>
                <w:rFonts w:eastAsia="Times New Roman"/>
                <w:lang w:eastAsia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</w:tr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</w:tr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</w:tr>
      <w:tr w:rsidR="00A15EDF" w:rsidRPr="00A15EDF" w:rsidTr="00A15EDF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  <w:r w:rsidRPr="00A15EDF">
              <w:rPr>
                <w:rFonts w:eastAsia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EDF" w:rsidRPr="00A15EDF" w:rsidRDefault="00A15EDF" w:rsidP="008A6AF7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lang w:eastAsia="sk-SK"/>
              </w:rPr>
            </w:pPr>
          </w:p>
        </w:tc>
      </w:tr>
    </w:tbl>
    <w:p w:rsidR="00A15EDF" w:rsidRPr="00A15EDF" w:rsidRDefault="00A15EDF" w:rsidP="008A6AF7">
      <w:pPr>
        <w:keepLines/>
        <w:autoSpaceDE w:val="0"/>
        <w:autoSpaceDN w:val="0"/>
        <w:adjustRightInd w:val="0"/>
        <w:spacing w:before="120" w:after="120"/>
        <w:rPr>
          <w:rFonts w:eastAsia="Times New Roman"/>
          <w:b/>
          <w:bCs/>
          <w:lang w:eastAsia="sk-SK"/>
        </w:rPr>
      </w:pPr>
      <w:r w:rsidRPr="00A15EDF">
        <w:rPr>
          <w:rFonts w:eastAsia="Times New Roman"/>
          <w:b/>
          <w:bCs/>
          <w:lang w:eastAsia="sk-SK"/>
        </w:rPr>
        <w:t>A.3. Poznámky</w:t>
      </w:r>
    </w:p>
    <w:p w:rsidR="00A15EDF" w:rsidRPr="00A15EDF" w:rsidRDefault="00A15EDF" w:rsidP="008A6AF7">
      <w:pPr>
        <w:keepLines/>
        <w:autoSpaceDE w:val="0"/>
        <w:autoSpaceDN w:val="0"/>
        <w:adjustRightInd w:val="0"/>
        <w:spacing w:before="120" w:after="120"/>
        <w:rPr>
          <w:rFonts w:eastAsia="Times New Roman"/>
          <w:b/>
          <w:bCs/>
          <w:lang w:eastAsia="sk-SK"/>
        </w:rPr>
      </w:pPr>
      <w:r w:rsidRPr="00A15EDF">
        <w:rPr>
          <w:rFonts w:eastAsia="Times New Roman"/>
          <w:b/>
          <w:bCs/>
          <w:lang w:eastAsia="sk-SK"/>
        </w:rPr>
        <w:t>A.4. Alternatívne riešenia</w:t>
      </w:r>
    </w:p>
    <w:p w:rsidR="00A15EDF" w:rsidRPr="00A15EDF" w:rsidRDefault="00A15EDF" w:rsidP="008A6AF7">
      <w:pPr>
        <w:keepLines/>
        <w:autoSpaceDE w:val="0"/>
        <w:autoSpaceDN w:val="0"/>
        <w:adjustRightInd w:val="0"/>
        <w:spacing w:before="120" w:after="120"/>
        <w:rPr>
          <w:rFonts w:eastAsia="Times New Roman"/>
          <w:b/>
          <w:szCs w:val="20"/>
          <w:lang w:eastAsia="sk-SK"/>
        </w:rPr>
      </w:pPr>
      <w:r w:rsidRPr="00A15EDF">
        <w:rPr>
          <w:rFonts w:eastAsia="Times New Roman"/>
          <w:b/>
          <w:szCs w:val="20"/>
          <w:lang w:eastAsia="sk-SK"/>
        </w:rPr>
        <w:t>A.5. Stanovisko gestorov</w:t>
      </w:r>
    </w:p>
    <w:p w:rsidR="008A6AF7" w:rsidRDefault="008A6AF7">
      <w:pPr>
        <w:keepNext w:val="0"/>
        <w:jc w:val="left"/>
        <w:rPr>
          <w:rFonts w:cs="Arial"/>
          <w:b/>
          <w:bCs/>
          <w:szCs w:val="28"/>
          <w:lang w:val="x-none" w:eastAsia="x-none"/>
        </w:rPr>
      </w:pPr>
      <w:r>
        <w:br w:type="page"/>
      </w:r>
    </w:p>
    <w:p w:rsidR="00A15EDF" w:rsidRDefault="00A15EDF" w:rsidP="008A6AF7">
      <w:pPr>
        <w:pStyle w:val="Nadpis1"/>
        <w:jc w:val="left"/>
      </w:pPr>
      <w:r>
        <w:t>Osobitná časť</w:t>
      </w:r>
    </w:p>
    <w:p w:rsidR="00A15EDF" w:rsidRDefault="00A15EDF" w:rsidP="008A6AF7">
      <w:pPr>
        <w:pStyle w:val="Nadpis3"/>
        <w:rPr>
          <w:lang w:val="sk-SK"/>
        </w:rPr>
      </w:pPr>
      <w:r>
        <w:rPr>
          <w:lang w:val="sk-SK"/>
        </w:rPr>
        <w:t>K § 1</w:t>
      </w:r>
    </w:p>
    <w:p w:rsidR="00A15EDF" w:rsidRDefault="00A15EDF" w:rsidP="008A6AF7">
      <w:pPr>
        <w:pStyle w:val="odsek"/>
        <w:keepLines/>
      </w:pPr>
      <w:r>
        <w:t>Ustanovenie vymedzuje problematiku, ktorá je týmto nariadením riešená a to najmä podmienky predkladania žiadostí o vydanie povolenia na dovoz a vývoz poľnohospodárskych výrobkov a potravinárskych výrobkov, certifikátu s vopred stanovenou sadzbou náhrady a</w:t>
      </w:r>
      <w:r w:rsidR="00EF2B6F">
        <w:t> </w:t>
      </w:r>
      <w:r>
        <w:t>osvedčenia</w:t>
      </w:r>
      <w:r w:rsidR="00EF2B6F">
        <w:t xml:space="preserve"> </w:t>
      </w:r>
      <w:r>
        <w:t>o</w:t>
      </w:r>
      <w:r w:rsidR="00EF2B6F">
        <w:t> </w:t>
      </w:r>
      <w:r>
        <w:t>náhrade</w:t>
      </w:r>
      <w:r w:rsidR="00EF2B6F">
        <w:t xml:space="preserve"> a </w:t>
      </w:r>
      <w:r>
        <w:t>určenie formy finančnej zábezpeky</w:t>
      </w:r>
      <w:r w:rsidR="00A124F3">
        <w:t>, ktorou sa vykonáva ustanovenie čl. 1 nariadenia 376/2008.</w:t>
      </w:r>
    </w:p>
    <w:p w:rsidR="00EF2B6F" w:rsidRDefault="00EF2B6F" w:rsidP="008A6AF7">
      <w:pPr>
        <w:pStyle w:val="Nadpis3"/>
        <w:rPr>
          <w:lang w:val="sk-SK"/>
        </w:rPr>
      </w:pPr>
      <w:r>
        <w:rPr>
          <w:lang w:val="sk-SK"/>
        </w:rPr>
        <w:t>K § 2</w:t>
      </w:r>
    </w:p>
    <w:p w:rsidR="00EF2B6F" w:rsidRDefault="00EF2B6F" w:rsidP="008A6AF7">
      <w:pPr>
        <w:pStyle w:val="odsek"/>
        <w:keepLines/>
      </w:pPr>
      <w:r>
        <w:t>Upravuje sa miesto a forma podania žiadosti o povolenia, certifikáty a osvedčenia. Náležitosti žiadosti a tiež potreba registrácie žiadosti prostredníctvom formulára zverejneného na webovej stránke PPA.</w:t>
      </w:r>
      <w:r w:rsidR="00A124F3">
        <w:t xml:space="preserve"> Týmto sa vykonáva čl. 17 ods. 1 nariadenia Komisie (ES) č.</w:t>
      </w:r>
      <w:r w:rsidR="000E6D61">
        <w:t> </w:t>
      </w:r>
      <w:r w:rsidR="00A124F3">
        <w:t>376/2008.</w:t>
      </w:r>
    </w:p>
    <w:p w:rsidR="00EF2B6F" w:rsidRDefault="00EF2B6F" w:rsidP="008A6AF7">
      <w:pPr>
        <w:pStyle w:val="Nadpis3"/>
        <w:rPr>
          <w:lang w:val="sk-SK"/>
        </w:rPr>
      </w:pPr>
      <w:r>
        <w:rPr>
          <w:lang w:val="sk-SK"/>
        </w:rPr>
        <w:t>K § 3</w:t>
      </w:r>
    </w:p>
    <w:p w:rsidR="0081334D" w:rsidRPr="00A124F3" w:rsidRDefault="00EF2B6F" w:rsidP="008A6AF7">
      <w:pPr>
        <w:pStyle w:val="odsek"/>
        <w:keepLines/>
      </w:pPr>
      <w:r>
        <w:t xml:space="preserve">Toto ustanovenie rieši zábezpeku </w:t>
      </w:r>
      <w:r w:rsidRPr="00EF2B6F">
        <w:t>v prospech agentúry na účely zabezpečenia podmienok uvedených v licencii, certifikáte alebo osvedčení</w:t>
      </w:r>
      <w:r>
        <w:t>. Ide o zábezpeku prostredníctvom bankového prevodu alebo bankovej záruky. V odsekoch 3 a 4 sa riešia náležitosti, ktoré musia jednotlivé druhy zábezpeky obsahovať a akou formou sa doručuje na PPA resp. kedy je zábezpeka akt</w:t>
      </w:r>
      <w:r w:rsidR="00F56217">
        <w:t>ivovaná</w:t>
      </w:r>
      <w:r>
        <w:t>.</w:t>
      </w:r>
    </w:p>
    <w:p w:rsidR="00EF2B6F" w:rsidRDefault="00F56217" w:rsidP="008A6AF7">
      <w:pPr>
        <w:pStyle w:val="Nadpis3"/>
        <w:rPr>
          <w:lang w:val="sk-SK"/>
        </w:rPr>
      </w:pPr>
      <w:r>
        <w:rPr>
          <w:lang w:val="sk-SK"/>
        </w:rPr>
        <w:t>K § 4</w:t>
      </w:r>
    </w:p>
    <w:p w:rsidR="00F56217" w:rsidRDefault="00F56217" w:rsidP="008A6AF7">
      <w:pPr>
        <w:pStyle w:val="odsek"/>
        <w:keepLines/>
      </w:pPr>
      <w:r>
        <w:t>Rieši nakladanie so zábezpekou a tiež podmienky jej úplného alebo čiastočného vrátenia po splnení všetkých alebo č</w:t>
      </w:r>
      <w:r w:rsidR="00A124F3">
        <w:t xml:space="preserve">iastkových podmienok určených v kap. IV </w:t>
      </w:r>
      <w:r w:rsidR="00A124F3" w:rsidRPr="00AB4CFD">
        <w:rPr>
          <w:rFonts w:eastAsia="Times New Roman"/>
          <w:lang w:eastAsia="sk-SK"/>
        </w:rPr>
        <w:t>deleg</w:t>
      </w:r>
      <w:r w:rsidR="00A124F3" w:rsidRPr="00AB4CFD">
        <w:t>ovan</w:t>
      </w:r>
      <w:r w:rsidR="00A124F3">
        <w:t>ého</w:t>
      </w:r>
      <w:r w:rsidR="00A124F3" w:rsidRPr="00AB4CFD">
        <w:t xml:space="preserve"> nariadeni</w:t>
      </w:r>
      <w:r w:rsidR="00A124F3">
        <w:t>a</w:t>
      </w:r>
      <w:r w:rsidR="00A124F3" w:rsidRPr="00AB4CFD">
        <w:t xml:space="preserve"> (EÚ) č. 907/2014</w:t>
      </w:r>
      <w:r w:rsidR="00A124F3">
        <w:t>.</w:t>
      </w:r>
    </w:p>
    <w:p w:rsidR="00F56217" w:rsidRDefault="00F56217" w:rsidP="008A6AF7">
      <w:pPr>
        <w:pStyle w:val="Nadpis3"/>
        <w:rPr>
          <w:lang w:val="sk-SK"/>
        </w:rPr>
      </w:pPr>
      <w:r>
        <w:rPr>
          <w:lang w:val="sk-SK"/>
        </w:rPr>
        <w:t>K § 5</w:t>
      </w:r>
    </w:p>
    <w:p w:rsidR="00F56217" w:rsidRDefault="00F56217" w:rsidP="008A6AF7">
      <w:pPr>
        <w:pStyle w:val="odsek"/>
        <w:keepLines/>
      </w:pPr>
      <w:r>
        <w:t>Implementačné ustanovenie o vykonávaných predpisoch Európskej únie</w:t>
      </w:r>
    </w:p>
    <w:p w:rsidR="00F56217" w:rsidRDefault="00F56217" w:rsidP="008A6AF7">
      <w:pPr>
        <w:pStyle w:val="Nadpis3"/>
        <w:rPr>
          <w:lang w:val="sk-SK"/>
        </w:rPr>
      </w:pPr>
      <w:r>
        <w:rPr>
          <w:lang w:val="sk-SK"/>
        </w:rPr>
        <w:t>K § 6</w:t>
      </w:r>
    </w:p>
    <w:p w:rsidR="00F56217" w:rsidRDefault="00F56217" w:rsidP="008A6AF7">
      <w:pPr>
        <w:pStyle w:val="odsek"/>
        <w:keepLines/>
      </w:pPr>
      <w:r>
        <w:t>Zrušovacie ustanovenie o zrušení a nahradení predchádzajúceho nariadenia vlády Slovenskej republiky.</w:t>
      </w:r>
    </w:p>
    <w:p w:rsidR="00F56217" w:rsidRDefault="00F56217" w:rsidP="008A6AF7">
      <w:pPr>
        <w:pStyle w:val="Nadpis3"/>
        <w:rPr>
          <w:lang w:val="sk-SK"/>
        </w:rPr>
      </w:pPr>
      <w:r>
        <w:rPr>
          <w:lang w:val="sk-SK"/>
        </w:rPr>
        <w:t>K § 7</w:t>
      </w:r>
    </w:p>
    <w:p w:rsidR="00F56217" w:rsidRPr="00F56217" w:rsidRDefault="00F56217" w:rsidP="008A6AF7">
      <w:pPr>
        <w:pStyle w:val="odsek"/>
        <w:keepLines/>
      </w:pPr>
      <w:r>
        <w:t>Ustanovenie o účinnosti nariadenia vlády</w:t>
      </w:r>
      <w:bookmarkStart w:id="0" w:name="_GoBack"/>
      <w:bookmarkEnd w:id="0"/>
      <w:r>
        <w:t>.</w:t>
      </w:r>
    </w:p>
    <w:sectPr w:rsidR="00F56217" w:rsidRPr="00F562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08" w:rsidRDefault="007A3D08" w:rsidP="00A15EDF">
      <w:r>
        <w:separator/>
      </w:r>
    </w:p>
  </w:endnote>
  <w:endnote w:type="continuationSeparator" w:id="0">
    <w:p w:rsidR="007A3D08" w:rsidRDefault="007A3D08" w:rsidP="00A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99909"/>
      <w:docPartObj>
        <w:docPartGallery w:val="Page Numbers (Bottom of Page)"/>
        <w:docPartUnique/>
      </w:docPartObj>
    </w:sdtPr>
    <w:sdtContent>
      <w:p w:rsidR="008A6AF7" w:rsidRDefault="008A6AF7" w:rsidP="008A6AF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08" w:rsidRDefault="007A3D08" w:rsidP="00A15EDF">
      <w:r>
        <w:separator/>
      </w:r>
    </w:p>
  </w:footnote>
  <w:footnote w:type="continuationSeparator" w:id="0">
    <w:p w:rsidR="007A3D08" w:rsidRDefault="007A3D08" w:rsidP="00A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2E8"/>
    <w:multiLevelType w:val="hybridMultilevel"/>
    <w:tmpl w:val="5DEED69A"/>
    <w:lvl w:ilvl="0" w:tplc="0D7816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7BD3"/>
    <w:multiLevelType w:val="hybridMultilevel"/>
    <w:tmpl w:val="96B05866"/>
    <w:lvl w:ilvl="0" w:tplc="27CC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9055B"/>
    <w:multiLevelType w:val="multilevel"/>
    <w:tmpl w:val="B46C104A"/>
    <w:lvl w:ilvl="0">
      <w:start w:val="4"/>
      <w:numFmt w:val="decimal"/>
      <w:lvlText w:val="%1.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cs="Times New Roman"/>
      </w:rPr>
    </w:lvl>
  </w:abstractNum>
  <w:abstractNum w:abstractNumId="3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F82A0C"/>
    <w:multiLevelType w:val="hybridMultilevel"/>
    <w:tmpl w:val="76CC02EA"/>
    <w:lvl w:ilvl="0" w:tplc="27CC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trike w:val="0"/>
        <w:dstrike w:val="0"/>
        <w:u w:val="none"/>
        <w:effect w:val="none"/>
      </w:rPr>
    </w:lvl>
    <w:lvl w:ilvl="1" w:tplc="16C4DE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6973"/>
    <w:multiLevelType w:val="hybridMultilevel"/>
    <w:tmpl w:val="F8C8DB1A"/>
    <w:lvl w:ilvl="0" w:tplc="7FAEBD9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6C4DE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14DA"/>
    <w:multiLevelType w:val="hybridMultilevel"/>
    <w:tmpl w:val="435ED1E0"/>
    <w:lvl w:ilvl="0" w:tplc="0D78160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40EA0"/>
    <w:multiLevelType w:val="hybridMultilevel"/>
    <w:tmpl w:val="6A547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1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19767F"/>
    <w:multiLevelType w:val="hybridMultilevel"/>
    <w:tmpl w:val="7EEA72FA"/>
    <w:lvl w:ilvl="0" w:tplc="6A362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81AF0"/>
    <w:multiLevelType w:val="hybridMultilevel"/>
    <w:tmpl w:val="839A4830"/>
    <w:lvl w:ilvl="0" w:tplc="B240BA3A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03261"/>
    <w:multiLevelType w:val="hybridMultilevel"/>
    <w:tmpl w:val="36A019B0"/>
    <w:lvl w:ilvl="0" w:tplc="A58C8148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4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3"/>
    <w:rsid w:val="00040BB3"/>
    <w:rsid w:val="000E6D61"/>
    <w:rsid w:val="00133B5B"/>
    <w:rsid w:val="001D0098"/>
    <w:rsid w:val="00267BCC"/>
    <w:rsid w:val="002C5C40"/>
    <w:rsid w:val="0035761B"/>
    <w:rsid w:val="00372B28"/>
    <w:rsid w:val="00401FE0"/>
    <w:rsid w:val="004A1DCB"/>
    <w:rsid w:val="00602531"/>
    <w:rsid w:val="0071237F"/>
    <w:rsid w:val="007A3D08"/>
    <w:rsid w:val="0081334D"/>
    <w:rsid w:val="008A6AF7"/>
    <w:rsid w:val="008D54F2"/>
    <w:rsid w:val="009D538D"/>
    <w:rsid w:val="00A05208"/>
    <w:rsid w:val="00A124F3"/>
    <w:rsid w:val="00A15EDF"/>
    <w:rsid w:val="00B93EE6"/>
    <w:rsid w:val="00BE4F32"/>
    <w:rsid w:val="00D445C6"/>
    <w:rsid w:val="00DB2745"/>
    <w:rsid w:val="00E30DE3"/>
    <w:rsid w:val="00EF2B6F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EDF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5EDF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5EDF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5EDF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3EE6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Nadpis1Char">
    <w:name w:val="Nadpis 1 Char"/>
    <w:link w:val="Nadpis1"/>
    <w:uiPriority w:val="9"/>
    <w:rsid w:val="00A15EDF"/>
    <w:rPr>
      <w:rFonts w:cs="Arial"/>
      <w:b/>
      <w:bCs/>
      <w:sz w:val="24"/>
      <w:szCs w:val="28"/>
      <w:lang w:val="x-none" w:eastAsia="x-none"/>
    </w:rPr>
  </w:style>
  <w:style w:type="paragraph" w:customStyle="1" w:styleId="a">
    <w:name w:val="§"/>
    <w:basedOn w:val="Normlny"/>
    <w:qFormat/>
    <w:rsid w:val="00A15EDF"/>
    <w:pPr>
      <w:numPr>
        <w:numId w:val="12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A15EDF"/>
    <w:pPr>
      <w:numPr>
        <w:numId w:val="13"/>
      </w:numPr>
      <w:spacing w:before="60" w:after="60"/>
    </w:pPr>
  </w:style>
  <w:style w:type="paragraph" w:customStyle="1" w:styleId="odsek">
    <w:name w:val="odsek"/>
    <w:basedOn w:val="Normlny"/>
    <w:qFormat/>
    <w:rsid w:val="00A15EDF"/>
    <w:pPr>
      <w:ind w:firstLine="709"/>
    </w:pPr>
  </w:style>
  <w:style w:type="paragraph" w:customStyle="1" w:styleId="odsek1">
    <w:name w:val="odsek1"/>
    <w:basedOn w:val="odsek"/>
    <w:qFormat/>
    <w:rsid w:val="00A15EDF"/>
    <w:pPr>
      <w:numPr>
        <w:numId w:val="14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A15EDF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A15EDF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A15EDF"/>
    <w:rPr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A15EDF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rsid w:val="00A15EDF"/>
    <w:rPr>
      <w:rFonts w:cs="Arial"/>
      <w:b/>
      <w:bCs/>
      <w:sz w:val="24"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5EDF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A6A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AF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A6A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A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EDF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5EDF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5EDF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5EDF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3EE6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Nadpis1Char">
    <w:name w:val="Nadpis 1 Char"/>
    <w:link w:val="Nadpis1"/>
    <w:uiPriority w:val="9"/>
    <w:rsid w:val="00A15EDF"/>
    <w:rPr>
      <w:rFonts w:cs="Arial"/>
      <w:b/>
      <w:bCs/>
      <w:sz w:val="24"/>
      <w:szCs w:val="28"/>
      <w:lang w:val="x-none" w:eastAsia="x-none"/>
    </w:rPr>
  </w:style>
  <w:style w:type="paragraph" w:customStyle="1" w:styleId="a">
    <w:name w:val="§"/>
    <w:basedOn w:val="Normlny"/>
    <w:qFormat/>
    <w:rsid w:val="00A15EDF"/>
    <w:pPr>
      <w:numPr>
        <w:numId w:val="12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A15EDF"/>
    <w:pPr>
      <w:numPr>
        <w:numId w:val="13"/>
      </w:numPr>
      <w:spacing w:before="60" w:after="60"/>
    </w:pPr>
  </w:style>
  <w:style w:type="paragraph" w:customStyle="1" w:styleId="odsek">
    <w:name w:val="odsek"/>
    <w:basedOn w:val="Normlny"/>
    <w:qFormat/>
    <w:rsid w:val="00A15EDF"/>
    <w:pPr>
      <w:ind w:firstLine="709"/>
    </w:pPr>
  </w:style>
  <w:style w:type="paragraph" w:customStyle="1" w:styleId="odsek1">
    <w:name w:val="odsek1"/>
    <w:basedOn w:val="odsek"/>
    <w:qFormat/>
    <w:rsid w:val="00A15EDF"/>
    <w:pPr>
      <w:numPr>
        <w:numId w:val="14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A15EDF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A15EDF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A15EDF"/>
    <w:rPr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A15EDF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rsid w:val="00A15EDF"/>
    <w:rPr>
      <w:rFonts w:cs="Arial"/>
      <w:b/>
      <w:bCs/>
      <w:sz w:val="24"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5EDF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A6A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AF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A6A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BCCD-A6A6-4545-9C3B-4FA7B39F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Pakši Milan</dc:creator>
  <cp:lastModifiedBy>Benová Timea</cp:lastModifiedBy>
  <cp:revision>10</cp:revision>
  <cp:lastPrinted>2015-08-03T11:12:00Z</cp:lastPrinted>
  <dcterms:created xsi:type="dcterms:W3CDTF">2015-06-18T09:54:00Z</dcterms:created>
  <dcterms:modified xsi:type="dcterms:W3CDTF">2015-08-03T11:12:00Z</dcterms:modified>
</cp:coreProperties>
</file>