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87" w:rsidRPr="00EC2987" w:rsidRDefault="00EC2987" w:rsidP="00EC2987">
      <w:pPr>
        <w:ind w:left="7079"/>
        <w:jc w:val="right"/>
        <w:rPr>
          <w:b/>
          <w:sz w:val="24"/>
          <w:lang w:val="sk-SK"/>
        </w:rPr>
      </w:pPr>
      <w:r w:rsidRPr="00EC2987">
        <w:rPr>
          <w:b/>
          <w:sz w:val="24"/>
          <w:lang w:val="sk-SK"/>
        </w:rPr>
        <w:t>Príloha 11</w:t>
      </w:r>
    </w:p>
    <w:p w:rsidR="00EC2987" w:rsidRDefault="0087354D" w:rsidP="00F30FA3">
      <w:pPr>
        <w:spacing w:after="60" w:line="320" w:lineRule="exact"/>
        <w:ind w:firstLine="709"/>
        <w:jc w:val="both"/>
        <w:rPr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12.9pt;margin-top:11.45pt;width:469.3pt;height:32.05pt;z-index:-251658752" fillcolor="#c2d69b" stroked="f" strokecolor="#c2d69b" strokeweight="10pt">
            <v:stroke linestyle="thinThin"/>
            <v:imagedata embosscolor="shadow add(51)"/>
            <v:shadow on="t" opacity=".5" offset="-6pt,-6pt"/>
          </v:shape>
        </w:pict>
      </w:r>
    </w:p>
    <w:p w:rsidR="00EC2987" w:rsidRPr="00EC2987" w:rsidRDefault="00EC2987" w:rsidP="00EC2987">
      <w:pPr>
        <w:spacing w:after="240" w:line="320" w:lineRule="exact"/>
        <w:rPr>
          <w:b/>
          <w:sz w:val="24"/>
          <w:szCs w:val="24"/>
          <w:lang w:val="sk-SK"/>
        </w:rPr>
      </w:pPr>
      <w:r w:rsidRPr="00EC2987">
        <w:rPr>
          <w:b/>
          <w:sz w:val="24"/>
          <w:szCs w:val="24"/>
          <w:lang w:val="sk-SK"/>
        </w:rPr>
        <w:t>Priebežné vyhodnotenie Koncepcie rozvoja pôdohospodárstva SR  na roky 2013 – 2020</w:t>
      </w:r>
    </w:p>
    <w:p w:rsidR="009D643E" w:rsidRPr="009D643E" w:rsidRDefault="009D643E" w:rsidP="00EC2987">
      <w:pPr>
        <w:spacing w:after="240" w:line="320" w:lineRule="exact"/>
        <w:ind w:firstLine="709"/>
        <w:jc w:val="both"/>
        <w:rPr>
          <w:rFonts w:cs="ITCBookmanEE"/>
          <w:sz w:val="24"/>
          <w:szCs w:val="19"/>
          <w:lang w:val="sk-SK"/>
        </w:rPr>
      </w:pPr>
      <w:r w:rsidRPr="009D643E">
        <w:rPr>
          <w:sz w:val="24"/>
          <w:szCs w:val="24"/>
          <w:lang w:val="sk-SK"/>
        </w:rPr>
        <w:t xml:space="preserve">Koncepcia rozvoja pôdohospodárstva na roky 2013 – 2020, schválená vo vláde SR 3.7.2013 uznesením č. 357/2013, vychádza prioritne zo Spoločnej poľnohospodárskej politiky EÚ a programového vyhlásenia vlády Slovenskej republiky na roky 2012 – 2016. Zámerom tejto koncepcie je </w:t>
      </w:r>
      <w:r w:rsidRPr="009D643E">
        <w:rPr>
          <w:rFonts w:cs="ITCBookmanEE"/>
          <w:sz w:val="24"/>
          <w:szCs w:val="19"/>
          <w:lang w:val="sk-SK"/>
        </w:rPr>
        <w:t xml:space="preserve">podporovať efektívnosť využívania zdrojov v záujme inteligentného, udržateľného a </w:t>
      </w:r>
      <w:proofErr w:type="spellStart"/>
      <w:r w:rsidRPr="009D643E">
        <w:rPr>
          <w:rFonts w:cs="ITCBookmanEE"/>
          <w:sz w:val="24"/>
          <w:szCs w:val="19"/>
          <w:lang w:val="sk-SK"/>
        </w:rPr>
        <w:t>inkluzívneho</w:t>
      </w:r>
      <w:proofErr w:type="spellEnd"/>
      <w:r w:rsidRPr="009D643E">
        <w:rPr>
          <w:rFonts w:cs="ITCBookmanEE"/>
          <w:sz w:val="24"/>
          <w:szCs w:val="19"/>
          <w:lang w:val="sk-SK"/>
        </w:rPr>
        <w:t xml:space="preserve"> rastu poľnohospodárstva a vidieckych oblastí.</w:t>
      </w:r>
    </w:p>
    <w:p w:rsidR="009D643E" w:rsidRPr="009D643E" w:rsidRDefault="009D643E" w:rsidP="00F30FA3">
      <w:pPr>
        <w:spacing w:after="60" w:line="320" w:lineRule="exact"/>
        <w:ind w:firstLine="709"/>
        <w:jc w:val="both"/>
        <w:rPr>
          <w:sz w:val="24"/>
          <w:szCs w:val="24"/>
          <w:lang w:val="sk-SK"/>
        </w:rPr>
      </w:pPr>
      <w:r w:rsidRPr="007556FF">
        <w:rPr>
          <w:b/>
          <w:sz w:val="24"/>
          <w:szCs w:val="24"/>
          <w:lang w:val="sk-SK"/>
        </w:rPr>
        <w:t>Bol vypracovaný Akčný plán rozvoja pôdohospodárstva SR na roky 2014 – 2020</w:t>
      </w:r>
      <w:r w:rsidRPr="009D643E">
        <w:rPr>
          <w:sz w:val="24"/>
          <w:szCs w:val="24"/>
          <w:lang w:val="sk-SK"/>
        </w:rPr>
        <w:t>, ktorý bol schválený uznesením vlády SR č. 33/2014 zo dňa 22. januára 2014. V súlade s</w:t>
      </w:r>
      <w:r w:rsidR="002E6484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>týmto akčným plánom bola pripravená Koncepcia podpory malých a mladých farmárov a</w:t>
      </w:r>
      <w:r w:rsidR="002E6484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>Koncepci</w:t>
      </w:r>
      <w:r w:rsidR="002E6484">
        <w:rPr>
          <w:sz w:val="24"/>
          <w:szCs w:val="24"/>
          <w:lang w:val="sk-SK"/>
        </w:rPr>
        <w:t>a</w:t>
      </w:r>
      <w:r w:rsidRPr="009D643E">
        <w:rPr>
          <w:sz w:val="24"/>
          <w:szCs w:val="24"/>
          <w:lang w:val="sk-SK"/>
        </w:rPr>
        <w:t xml:space="preserve"> revitalizácie </w:t>
      </w:r>
      <w:proofErr w:type="spellStart"/>
      <w:r w:rsidRPr="009D643E">
        <w:rPr>
          <w:sz w:val="24"/>
          <w:szCs w:val="24"/>
          <w:lang w:val="sk-SK"/>
        </w:rPr>
        <w:t>hydromelioračných</w:t>
      </w:r>
      <w:proofErr w:type="spellEnd"/>
      <w:r w:rsidRPr="009D643E">
        <w:rPr>
          <w:sz w:val="24"/>
          <w:szCs w:val="24"/>
          <w:lang w:val="sk-SK"/>
        </w:rPr>
        <w:t xml:space="preserve"> sústav. Bol vypracovaný Program rozvoja rastlinnej a živočíšnej výroby, ktorý bol základom pre spustenie nového systému podpôr slovenského poľnohospodárstva, tzv. sendvičového mechanizmu.</w:t>
      </w:r>
    </w:p>
    <w:p w:rsidR="000B353B" w:rsidRDefault="009D643E" w:rsidP="00F30FA3">
      <w:pPr>
        <w:spacing w:after="60" w:line="320" w:lineRule="exact"/>
        <w:jc w:val="both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ab/>
      </w:r>
      <w:r w:rsidRPr="009D643E">
        <w:rPr>
          <w:sz w:val="24"/>
          <w:szCs w:val="24"/>
          <w:lang w:val="sk-SK"/>
        </w:rPr>
        <w:t xml:space="preserve">V sektore </w:t>
      </w:r>
      <w:r w:rsidRPr="007556FF">
        <w:rPr>
          <w:b/>
          <w:sz w:val="24"/>
          <w:szCs w:val="24"/>
          <w:lang w:val="sk-SK"/>
        </w:rPr>
        <w:t>mlieka a mliečnych výrobkov</w:t>
      </w:r>
      <w:r>
        <w:rPr>
          <w:sz w:val="24"/>
          <w:szCs w:val="24"/>
          <w:lang w:val="sk-SK"/>
        </w:rPr>
        <w:t xml:space="preserve"> bol v rámci </w:t>
      </w:r>
      <w:r w:rsidR="000B353B" w:rsidRPr="009D643E">
        <w:rPr>
          <w:rFonts w:eastAsia="Calibri"/>
          <w:sz w:val="24"/>
          <w:szCs w:val="24"/>
          <w:lang w:val="sk-SK"/>
        </w:rPr>
        <w:t>prijati</w:t>
      </w:r>
      <w:r>
        <w:rPr>
          <w:rFonts w:eastAsia="Calibri"/>
          <w:sz w:val="24"/>
          <w:szCs w:val="24"/>
          <w:lang w:val="sk-SK"/>
        </w:rPr>
        <w:t>a</w:t>
      </w:r>
      <w:r w:rsidR="000B353B" w:rsidRPr="009D643E">
        <w:rPr>
          <w:rFonts w:eastAsia="Calibri"/>
          <w:sz w:val="24"/>
          <w:szCs w:val="24"/>
          <w:lang w:val="sk-SK"/>
        </w:rPr>
        <w:t xml:space="preserve"> účinných opatrení na</w:t>
      </w:r>
      <w:r w:rsidR="002E6484">
        <w:rPr>
          <w:rFonts w:eastAsia="Calibri"/>
          <w:sz w:val="24"/>
          <w:szCs w:val="24"/>
          <w:lang w:val="sk-SK"/>
        </w:rPr>
        <w:t> </w:t>
      </w:r>
      <w:r w:rsidR="000B353B" w:rsidRPr="009D643E">
        <w:rPr>
          <w:rFonts w:eastAsia="Calibri"/>
          <w:sz w:val="24"/>
          <w:szCs w:val="24"/>
          <w:lang w:val="sk-SK"/>
        </w:rPr>
        <w:t>reguláciu trhu s mliekom v EÚ na obdobie po roku 2015</w:t>
      </w:r>
      <w:r>
        <w:rPr>
          <w:rFonts w:eastAsia="Calibri"/>
          <w:sz w:val="24"/>
          <w:szCs w:val="24"/>
          <w:lang w:val="sk-SK"/>
        </w:rPr>
        <w:t xml:space="preserve"> prijatý </w:t>
      </w:r>
      <w:r w:rsidR="000B353B" w:rsidRPr="009D643E">
        <w:rPr>
          <w:rFonts w:eastAsia="Calibri"/>
          <w:sz w:val="24"/>
          <w:szCs w:val="24"/>
          <w:lang w:val="sk-SK"/>
        </w:rPr>
        <w:t xml:space="preserve">tzv. „Mliečny balíček“, ktorý </w:t>
      </w:r>
      <w:r>
        <w:rPr>
          <w:rFonts w:eastAsia="Calibri"/>
          <w:sz w:val="24"/>
          <w:szCs w:val="24"/>
          <w:lang w:val="sk-SK"/>
        </w:rPr>
        <w:t xml:space="preserve">by </w:t>
      </w:r>
      <w:r w:rsidR="000B353B" w:rsidRPr="009D643E">
        <w:rPr>
          <w:rFonts w:eastAsia="Calibri"/>
          <w:sz w:val="24"/>
          <w:szCs w:val="24"/>
          <w:lang w:val="sk-SK"/>
        </w:rPr>
        <w:t>mal umožniť prvovýrobco</w:t>
      </w:r>
      <w:r w:rsidR="002E6484">
        <w:rPr>
          <w:rFonts w:eastAsia="Calibri"/>
          <w:sz w:val="24"/>
          <w:szCs w:val="24"/>
          <w:lang w:val="sk-SK"/>
        </w:rPr>
        <w:t>m</w:t>
      </w:r>
      <w:r w:rsidR="000B353B" w:rsidRPr="009D643E">
        <w:rPr>
          <w:rFonts w:eastAsia="Calibri"/>
          <w:sz w:val="24"/>
          <w:szCs w:val="24"/>
          <w:lang w:val="sk-SK"/>
        </w:rPr>
        <w:t xml:space="preserve"> uzatvárať písomné zmluvy a vytvárať silné organizácie výrobcov a medziodvetvové organizácie, </w:t>
      </w:r>
      <w:r>
        <w:rPr>
          <w:rFonts w:eastAsia="Calibri"/>
          <w:sz w:val="24"/>
          <w:szCs w:val="24"/>
          <w:lang w:val="sk-SK"/>
        </w:rPr>
        <w:t>s cieľom posilniť</w:t>
      </w:r>
      <w:r w:rsidR="000B353B" w:rsidRPr="009D643E">
        <w:rPr>
          <w:rFonts w:eastAsia="Calibri"/>
          <w:sz w:val="24"/>
          <w:szCs w:val="24"/>
          <w:lang w:val="sk-SK"/>
        </w:rPr>
        <w:t xml:space="preserve"> ich postavenie v</w:t>
      </w:r>
      <w:r>
        <w:rPr>
          <w:rFonts w:eastAsia="Calibri"/>
          <w:sz w:val="24"/>
          <w:szCs w:val="24"/>
          <w:lang w:val="sk-SK"/>
        </w:rPr>
        <w:t xml:space="preserve"> rámci celej vertikály výroby mlieka a </w:t>
      </w:r>
      <w:r w:rsidRPr="009D643E">
        <w:rPr>
          <w:sz w:val="24"/>
          <w:szCs w:val="24"/>
          <w:lang w:val="sk-SK"/>
        </w:rPr>
        <w:t>mliečnych výrobkov</w:t>
      </w:r>
      <w:r>
        <w:rPr>
          <w:sz w:val="24"/>
          <w:szCs w:val="24"/>
          <w:lang w:val="sk-SK"/>
        </w:rPr>
        <w:t>.</w:t>
      </w:r>
    </w:p>
    <w:p w:rsidR="00045717" w:rsidRPr="009D643E" w:rsidRDefault="009D643E" w:rsidP="00F30FA3">
      <w:pPr>
        <w:widowControl w:val="0"/>
        <w:suppressAutoHyphens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 sektore </w:t>
      </w:r>
      <w:r w:rsidRPr="007556FF">
        <w:rPr>
          <w:b/>
          <w:sz w:val="24"/>
          <w:szCs w:val="24"/>
          <w:lang w:val="sk-SK"/>
        </w:rPr>
        <w:t>bravčového mäsa</w:t>
      </w:r>
      <w:r>
        <w:rPr>
          <w:sz w:val="24"/>
          <w:szCs w:val="24"/>
          <w:lang w:val="sk-SK"/>
        </w:rPr>
        <w:t xml:space="preserve"> </w:t>
      </w:r>
      <w:r w:rsidR="00045717">
        <w:rPr>
          <w:sz w:val="24"/>
          <w:szCs w:val="24"/>
          <w:lang w:val="sk-SK"/>
        </w:rPr>
        <w:t xml:space="preserve">sa podarilo </w:t>
      </w:r>
      <w:r w:rsidR="000B353B" w:rsidRPr="009D643E">
        <w:rPr>
          <w:rFonts w:eastAsia="Calibri"/>
          <w:sz w:val="24"/>
          <w:szCs w:val="24"/>
          <w:lang w:val="sk-SK"/>
        </w:rPr>
        <w:t>zvýšiť parametre reprodukčnej úžitkovosti na úroveň 20 – 21 odstavčiat na 1 prasnicu;</w:t>
      </w:r>
      <w:r w:rsidR="00045717">
        <w:rPr>
          <w:rFonts w:eastAsia="Calibri"/>
          <w:sz w:val="24"/>
          <w:szCs w:val="24"/>
          <w:lang w:val="sk-SK"/>
        </w:rPr>
        <w:t xml:space="preserve"> </w:t>
      </w:r>
      <w:r w:rsidR="00045717" w:rsidRPr="009D643E">
        <w:rPr>
          <w:rFonts w:eastAsia="Calibri"/>
          <w:sz w:val="24"/>
          <w:szCs w:val="24"/>
          <w:lang w:val="sk-SK"/>
        </w:rPr>
        <w:t>podľa údajov ŠÚ SR bol v roku 2014 bol počet odchovaných prasiat od 1 prasnice 23,38, čo predstavuje nárast o 3,89 prasiat na 1 prasnicu oproti roku 2012</w:t>
      </w:r>
      <w:r w:rsidR="00045717">
        <w:rPr>
          <w:rFonts w:eastAsia="Calibri"/>
          <w:sz w:val="24"/>
          <w:szCs w:val="24"/>
          <w:lang w:val="sk-SK"/>
        </w:rPr>
        <w:t>.</w:t>
      </w:r>
    </w:p>
    <w:p w:rsidR="000B353B" w:rsidRPr="00515E8E" w:rsidRDefault="00045717" w:rsidP="00F30FA3">
      <w:pPr>
        <w:widowControl w:val="0"/>
        <w:suppressAutoHyphens/>
        <w:spacing w:after="60" w:line="320" w:lineRule="exact"/>
        <w:ind w:firstLine="708"/>
        <w:jc w:val="both"/>
        <w:rPr>
          <w:color w:val="000000"/>
          <w:sz w:val="24"/>
          <w:szCs w:val="24"/>
          <w:lang w:val="sk-SK"/>
        </w:rPr>
      </w:pPr>
      <w:r w:rsidRPr="00045717">
        <w:rPr>
          <w:sz w:val="24"/>
          <w:szCs w:val="24"/>
          <w:lang w:val="sk-SK"/>
        </w:rPr>
        <w:t xml:space="preserve">V sektore </w:t>
      </w:r>
      <w:r w:rsidRPr="007556FF">
        <w:rPr>
          <w:b/>
          <w:sz w:val="24"/>
          <w:szCs w:val="24"/>
          <w:lang w:val="sk-SK"/>
        </w:rPr>
        <w:t>hydinového mäsa</w:t>
      </w:r>
      <w:r w:rsidRPr="00045717">
        <w:rPr>
          <w:sz w:val="24"/>
          <w:szCs w:val="24"/>
          <w:lang w:val="sk-SK"/>
        </w:rPr>
        <w:t xml:space="preserve"> sa podarilo zvýšiť </w:t>
      </w:r>
      <w:r w:rsidR="000B353B" w:rsidRPr="00045717">
        <w:rPr>
          <w:sz w:val="24"/>
          <w:szCs w:val="24"/>
          <w:lang w:val="sk-SK"/>
        </w:rPr>
        <w:t>početnosť hydiny</w:t>
      </w:r>
      <w:r w:rsidRPr="00045717">
        <w:rPr>
          <w:sz w:val="24"/>
          <w:szCs w:val="24"/>
          <w:lang w:val="sk-SK"/>
        </w:rPr>
        <w:t xml:space="preserve">. </w:t>
      </w:r>
      <w:r w:rsidR="000B353B" w:rsidRPr="00045717">
        <w:rPr>
          <w:sz w:val="24"/>
          <w:szCs w:val="24"/>
          <w:lang w:val="sk-SK"/>
        </w:rPr>
        <w:t>Podľa ŠÚ SR sa</w:t>
      </w:r>
      <w:r w:rsidR="002E6484">
        <w:rPr>
          <w:sz w:val="24"/>
          <w:szCs w:val="24"/>
          <w:lang w:val="sk-SK"/>
        </w:rPr>
        <w:t> </w:t>
      </w:r>
      <w:r w:rsidR="000B353B" w:rsidRPr="00045717">
        <w:rPr>
          <w:sz w:val="24"/>
          <w:szCs w:val="24"/>
          <w:lang w:val="sk-SK"/>
        </w:rPr>
        <w:t>medziročne zvýšil predaj jatočnej živej hydiny o 7,7 %  na 91 426 ton. Za celý rok sa</w:t>
      </w:r>
      <w:r w:rsidR="002E6484">
        <w:rPr>
          <w:sz w:val="24"/>
          <w:szCs w:val="24"/>
          <w:lang w:val="sk-SK"/>
        </w:rPr>
        <w:t> </w:t>
      </w:r>
      <w:r w:rsidR="000B353B" w:rsidRPr="00045717">
        <w:rPr>
          <w:sz w:val="24"/>
          <w:szCs w:val="24"/>
          <w:lang w:val="sk-SK"/>
        </w:rPr>
        <w:t>na</w:t>
      </w:r>
      <w:r w:rsidR="002E6484">
        <w:rPr>
          <w:sz w:val="24"/>
          <w:szCs w:val="24"/>
          <w:lang w:val="sk-SK"/>
        </w:rPr>
        <w:t> </w:t>
      </w:r>
      <w:r w:rsidR="000B353B" w:rsidRPr="00045717">
        <w:rPr>
          <w:sz w:val="24"/>
          <w:szCs w:val="24"/>
          <w:lang w:val="sk-SK"/>
        </w:rPr>
        <w:t xml:space="preserve">spracovanie, obchod a vývoz predalo 41 690,8 tis. ks živej hydiny, čo bolo viac oproti predchádzajúcemu roku o 3,9 % (1,6 tis. ks). </w:t>
      </w:r>
      <w:r w:rsidRPr="00045717">
        <w:rPr>
          <w:color w:val="000000"/>
          <w:sz w:val="24"/>
          <w:szCs w:val="24"/>
        </w:rPr>
        <w:t>V</w:t>
      </w:r>
      <w:r w:rsidR="000B353B" w:rsidRPr="00045717">
        <w:rPr>
          <w:color w:val="000000"/>
          <w:sz w:val="24"/>
          <w:szCs w:val="24"/>
          <w:lang w:val="sk-SK"/>
        </w:rPr>
        <w:t xml:space="preserve"> prípade jatočných kurčiat ako aj jatočných sliepok sa situácia v oblasti priemernej výkupnej ceny nezlepšila. V prípade odbytových cien hydinových kusov </w:t>
      </w:r>
      <w:r w:rsidR="000B353B" w:rsidRPr="00515E8E">
        <w:rPr>
          <w:color w:val="000000"/>
          <w:sz w:val="24"/>
          <w:szCs w:val="24"/>
          <w:lang w:val="sk-SK"/>
        </w:rPr>
        <w:t>a drobov bol trend rôzny.</w:t>
      </w:r>
    </w:p>
    <w:p w:rsidR="000B353B" w:rsidRPr="007556FF" w:rsidRDefault="00045717" w:rsidP="00F30FA3">
      <w:pPr>
        <w:widowControl w:val="0"/>
        <w:suppressAutoHyphens/>
        <w:spacing w:after="60" w:line="320" w:lineRule="exact"/>
        <w:ind w:firstLine="708"/>
        <w:contextualSpacing/>
        <w:jc w:val="both"/>
        <w:rPr>
          <w:rFonts w:eastAsia="Calibri"/>
          <w:sz w:val="24"/>
          <w:szCs w:val="24"/>
          <w:lang w:val="sk-SK"/>
        </w:rPr>
      </w:pPr>
      <w:r w:rsidRPr="00515E8E">
        <w:rPr>
          <w:rFonts w:eastAsia="Calibri"/>
          <w:b/>
          <w:sz w:val="24"/>
          <w:szCs w:val="24"/>
          <w:lang w:val="sk-SK"/>
        </w:rPr>
        <w:t xml:space="preserve">V rámci hospodárskeho chovu </w:t>
      </w:r>
      <w:r w:rsidR="00640F4D" w:rsidRPr="00515E8E">
        <w:rPr>
          <w:rFonts w:eastAsia="Calibri"/>
          <w:b/>
          <w:sz w:val="24"/>
          <w:szCs w:val="24"/>
          <w:lang w:val="sk-SK"/>
        </w:rPr>
        <w:t xml:space="preserve">rýb </w:t>
      </w:r>
      <w:r w:rsidR="00640F4D" w:rsidRPr="00515E8E">
        <w:rPr>
          <w:rFonts w:eastAsia="Calibri"/>
          <w:sz w:val="24"/>
          <w:szCs w:val="24"/>
          <w:lang w:val="sk-SK"/>
        </w:rPr>
        <w:t>v roku 2014</w:t>
      </w:r>
      <w:r w:rsidR="00640F4D" w:rsidRPr="00515E8E">
        <w:rPr>
          <w:rFonts w:eastAsia="Calibri"/>
          <w:b/>
          <w:sz w:val="24"/>
          <w:szCs w:val="24"/>
          <w:lang w:val="sk-SK"/>
        </w:rPr>
        <w:t xml:space="preserve"> </w:t>
      </w:r>
      <w:r w:rsidR="00640F4D" w:rsidRPr="00515E8E">
        <w:rPr>
          <w:rFonts w:eastAsia="Calibri"/>
          <w:sz w:val="24"/>
          <w:szCs w:val="24"/>
          <w:lang w:val="sk-SK"/>
        </w:rPr>
        <w:t>neboli</w:t>
      </w:r>
      <w:r w:rsidR="000B353B" w:rsidRPr="00515E8E">
        <w:rPr>
          <w:rFonts w:eastAsia="Calibri"/>
          <w:sz w:val="24"/>
          <w:szCs w:val="24"/>
          <w:lang w:val="sk-SK"/>
        </w:rPr>
        <w:t xml:space="preserve"> vykonané žiadne potrebné kroky na posilnenie postavenia produkcie a zlepšenia sebestačnosti v produkcii rýb</w:t>
      </w:r>
      <w:r w:rsidR="007556FF" w:rsidRPr="00515E8E">
        <w:rPr>
          <w:rFonts w:eastAsia="Calibri"/>
          <w:sz w:val="24"/>
          <w:szCs w:val="24"/>
          <w:lang w:val="sk-SK"/>
        </w:rPr>
        <w:t xml:space="preserve"> ani </w:t>
      </w:r>
      <w:r w:rsidR="000B353B" w:rsidRPr="00515E8E">
        <w:rPr>
          <w:rFonts w:eastAsia="Calibri"/>
          <w:sz w:val="24"/>
          <w:szCs w:val="24"/>
          <w:lang w:val="sk-SK"/>
        </w:rPr>
        <w:t>neboli</w:t>
      </w:r>
      <w:r w:rsidR="000B353B" w:rsidRPr="007556FF">
        <w:rPr>
          <w:rFonts w:eastAsia="Calibri"/>
          <w:sz w:val="24"/>
          <w:szCs w:val="24"/>
          <w:lang w:val="sk-SK"/>
        </w:rPr>
        <w:t xml:space="preserve"> vyčlenené žiadne finančné prostriedky pre podporu rozvoja tohto sektora. V roku 2014 prebehla príprava nového operačného programu pre rybné hospodárstvo 2014 - 2020, ktorého hlavnou úlohou je podpora rozvoja sektora hospodárskeho chovu rýb. Prioritou pre</w:t>
      </w:r>
      <w:r w:rsidR="002E6484">
        <w:rPr>
          <w:rFonts w:eastAsia="Calibri"/>
          <w:sz w:val="24"/>
          <w:szCs w:val="24"/>
          <w:lang w:val="sk-SK"/>
        </w:rPr>
        <w:t> </w:t>
      </w:r>
      <w:r w:rsidR="000B353B" w:rsidRPr="007556FF">
        <w:rPr>
          <w:rFonts w:eastAsia="Calibri"/>
          <w:sz w:val="24"/>
          <w:szCs w:val="24"/>
          <w:lang w:val="sk-SK"/>
        </w:rPr>
        <w:t xml:space="preserve">budúce obdobie je vypracovanie zákona o </w:t>
      </w:r>
      <w:proofErr w:type="spellStart"/>
      <w:r w:rsidR="000B353B" w:rsidRPr="007556FF">
        <w:rPr>
          <w:rFonts w:eastAsia="Calibri"/>
          <w:sz w:val="24"/>
          <w:szCs w:val="24"/>
          <w:lang w:val="sk-SK"/>
        </w:rPr>
        <w:t>akvakultúre</w:t>
      </w:r>
      <w:proofErr w:type="spellEnd"/>
      <w:r w:rsidR="000B353B" w:rsidRPr="007556FF">
        <w:rPr>
          <w:rFonts w:eastAsia="Calibri"/>
          <w:sz w:val="24"/>
          <w:szCs w:val="24"/>
          <w:lang w:val="sk-SK"/>
        </w:rPr>
        <w:t xml:space="preserve">, ktorý by jasne definoval produkčný sektor </w:t>
      </w:r>
      <w:proofErr w:type="spellStart"/>
      <w:r w:rsidR="000B353B" w:rsidRPr="007556FF">
        <w:rPr>
          <w:rFonts w:eastAsia="Calibri"/>
          <w:sz w:val="24"/>
          <w:szCs w:val="24"/>
          <w:lang w:val="sk-SK"/>
        </w:rPr>
        <w:t>akvakultúry</w:t>
      </w:r>
      <w:proofErr w:type="spellEnd"/>
      <w:r w:rsidR="000B353B" w:rsidRPr="007556FF">
        <w:rPr>
          <w:rFonts w:eastAsia="Calibri"/>
          <w:sz w:val="24"/>
          <w:szCs w:val="24"/>
          <w:lang w:val="sk-SK"/>
        </w:rPr>
        <w:t>, ktorý sa často spája so športovým rybolovom.</w:t>
      </w:r>
    </w:p>
    <w:p w:rsidR="000B353B" w:rsidRPr="009D643E" w:rsidRDefault="007556FF" w:rsidP="00F30FA3">
      <w:pPr>
        <w:widowControl w:val="0"/>
        <w:suppressAutoHyphens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 w:eastAsia="en-US"/>
        </w:rPr>
      </w:pPr>
      <w:r w:rsidRPr="007556FF">
        <w:rPr>
          <w:sz w:val="24"/>
          <w:szCs w:val="24"/>
          <w:lang w:val="sk-SK" w:eastAsia="en-US"/>
        </w:rPr>
        <w:t>V rámci</w:t>
      </w:r>
      <w:r>
        <w:rPr>
          <w:b/>
          <w:sz w:val="24"/>
          <w:szCs w:val="24"/>
          <w:lang w:val="sk-SK" w:eastAsia="en-US"/>
        </w:rPr>
        <w:t xml:space="preserve"> ochrany vinohradov s </w:t>
      </w:r>
      <w:r w:rsidR="000B353B" w:rsidRPr="009D643E">
        <w:rPr>
          <w:rFonts w:eastAsia="Calibri"/>
          <w:sz w:val="24"/>
          <w:szCs w:val="24"/>
          <w:lang w:val="sk-SK" w:eastAsia="en-US"/>
        </w:rPr>
        <w:t> cieľom zabrániť znižovaniu výmery viníc ako</w:t>
      </w:r>
      <w:r w:rsidR="002E6484">
        <w:rPr>
          <w:rFonts w:eastAsia="Calibri"/>
          <w:sz w:val="24"/>
          <w:szCs w:val="24"/>
          <w:lang w:val="sk-SK" w:eastAsia="en-US"/>
        </w:rPr>
        <w:t> </w:t>
      </w:r>
      <w:r w:rsidR="000B353B" w:rsidRPr="009D643E">
        <w:rPr>
          <w:rFonts w:eastAsia="Calibri"/>
          <w:sz w:val="24"/>
          <w:szCs w:val="24"/>
          <w:lang w:val="sk-SK" w:eastAsia="en-US"/>
        </w:rPr>
        <w:t xml:space="preserve">významného druhu poľnohospodárskej pôdy, </w:t>
      </w:r>
      <w:r w:rsidR="000B353B" w:rsidRPr="009D643E">
        <w:rPr>
          <w:rFonts w:eastAsia="Calibri"/>
          <w:bCs/>
          <w:sz w:val="24"/>
          <w:szCs w:val="24"/>
          <w:lang w:val="sk-SK" w:eastAsia="en-US"/>
        </w:rPr>
        <w:t>MPRV SR prijalo okrem nariadenia vlády SR č. 326/2013 Z. z. z 10. októbra 2013, ktorým sa dopĺňa nariadenie vlády Slovenskej republiky č. 58/2013 Z. z. o odvodoch za odňatie a neoprávnený záber poľnohospodárskej pôdy</w:t>
      </w:r>
      <w:r w:rsidR="000B353B" w:rsidRPr="009D643E">
        <w:rPr>
          <w:rFonts w:eastAsia="Calibri"/>
          <w:sz w:val="24"/>
          <w:szCs w:val="24"/>
          <w:lang w:val="sk-SK" w:eastAsia="en-US"/>
        </w:rPr>
        <w:t>, v ktorom sa zvýšila cena za trvalé odňatie vinohradov</w:t>
      </w:r>
      <w:r w:rsidR="000B353B" w:rsidRPr="009D643E">
        <w:rPr>
          <w:rFonts w:eastAsia="Calibri"/>
          <w:bCs/>
          <w:sz w:val="24"/>
          <w:szCs w:val="24"/>
          <w:lang w:val="sk-SK" w:eastAsia="en-US"/>
        </w:rPr>
        <w:t xml:space="preserve"> od 40 – 100 </w:t>
      </w:r>
      <w:r w:rsidR="00F30FA3">
        <w:rPr>
          <w:rFonts w:eastAsia="Calibri"/>
          <w:bCs/>
          <w:sz w:val="24"/>
          <w:szCs w:val="24"/>
          <w:lang w:val="sk-SK" w:eastAsia="en-US"/>
        </w:rPr>
        <w:t>€</w:t>
      </w:r>
      <w:r w:rsidR="000B353B" w:rsidRPr="009D643E">
        <w:rPr>
          <w:rFonts w:eastAsia="Calibri"/>
          <w:bCs/>
          <w:sz w:val="24"/>
          <w:szCs w:val="24"/>
          <w:lang w:val="sk-SK" w:eastAsia="en-US"/>
        </w:rPr>
        <w:t>/m</w:t>
      </w:r>
      <w:r w:rsidR="000B353B" w:rsidRPr="009D643E">
        <w:rPr>
          <w:rFonts w:eastAsia="Calibri"/>
          <w:bCs/>
          <w:sz w:val="24"/>
          <w:szCs w:val="24"/>
          <w:vertAlign w:val="superscript"/>
          <w:lang w:val="sk-SK" w:eastAsia="en-US"/>
        </w:rPr>
        <w:t>2</w:t>
      </w:r>
      <w:r w:rsidR="000B353B" w:rsidRPr="009D643E">
        <w:rPr>
          <w:rFonts w:eastAsia="Calibri"/>
          <w:sz w:val="24"/>
          <w:szCs w:val="24"/>
          <w:lang w:val="sk-SK" w:eastAsia="en-US"/>
        </w:rPr>
        <w:t xml:space="preserve"> v závislosti </w:t>
      </w:r>
      <w:r w:rsidR="000B353B" w:rsidRPr="009D643E">
        <w:rPr>
          <w:rFonts w:eastAsia="Calibri"/>
          <w:sz w:val="24"/>
          <w:szCs w:val="24"/>
          <w:lang w:val="sk-SK" w:eastAsia="en-US"/>
        </w:rPr>
        <w:lastRenderedPageBreak/>
        <w:t>od</w:t>
      </w:r>
      <w:r w:rsidR="002E6484">
        <w:rPr>
          <w:rFonts w:eastAsia="Calibri"/>
          <w:sz w:val="24"/>
          <w:szCs w:val="24"/>
          <w:lang w:val="sk-SK" w:eastAsia="en-US"/>
        </w:rPr>
        <w:t> </w:t>
      </w:r>
      <w:r w:rsidR="000B353B" w:rsidRPr="009D643E">
        <w:rPr>
          <w:rFonts w:eastAsia="Calibri"/>
          <w:sz w:val="24"/>
          <w:szCs w:val="24"/>
          <w:lang w:val="sk-SK" w:eastAsia="en-US"/>
        </w:rPr>
        <w:t xml:space="preserve">jednotlivých vinohradníckych oblastí; (platnosť od 1. novembra 2013) aj ďalší právny predpis s platnosťou </w:t>
      </w:r>
      <w:r w:rsidR="000B353B" w:rsidRPr="009D643E">
        <w:rPr>
          <w:rFonts w:eastAsia="Calibri"/>
          <w:bCs/>
          <w:sz w:val="24"/>
          <w:szCs w:val="24"/>
          <w:lang w:val="sk-SK" w:eastAsia="en-US"/>
        </w:rPr>
        <w:t>od 27. februára 2014 - zákon č. 34/2014 Z. z. z 28. januára 2014, ktorým sa mení a dopĺňa zákon č. 220/2004 Z. z. o ochrane a využívaní poľnohospodárskej pôdy, ktorý by mal</w:t>
      </w:r>
      <w:r w:rsidR="000B353B" w:rsidRPr="009D643E">
        <w:rPr>
          <w:rFonts w:eastAsia="Calibri"/>
          <w:sz w:val="24"/>
          <w:szCs w:val="24"/>
          <w:lang w:val="sk-SK" w:eastAsia="en-US"/>
        </w:rPr>
        <w:t xml:space="preserve"> pôsobiť predovšetkým preventívne, a to v tom smere, že odradí prípadných záujemcov od využitia pôvodných viníc na nepoľnohospodárske účely, a to doplnením posúdenia pri trvalom odňatí takýchto pozemkov o stanoviská odborných organizácií a tiež samosprávnych orgánov, ktoré zabezpečia historickú kontinuitu a pripravovaný rozvoj regiónu.</w:t>
      </w:r>
    </w:p>
    <w:p w:rsidR="000B353B" w:rsidRPr="009D643E" w:rsidRDefault="000B353B" w:rsidP="00F30FA3">
      <w:pPr>
        <w:widowControl w:val="0"/>
        <w:suppressAutoHyphens/>
        <w:autoSpaceDE w:val="0"/>
        <w:autoSpaceDN w:val="0"/>
        <w:adjustRightInd w:val="0"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 w:eastAsia="en-US"/>
        </w:rPr>
      </w:pPr>
      <w:r w:rsidRPr="009D643E">
        <w:rPr>
          <w:rFonts w:eastAsia="Calibri"/>
          <w:sz w:val="24"/>
          <w:szCs w:val="24"/>
          <w:lang w:val="sk-SK" w:eastAsia="en-US"/>
        </w:rPr>
        <w:t>V rámci SOT s vínom sa pokračuje v realizácii podporných opatrení v rámci Národného podporného programu (NPP) pre roky 2014 – 2018 (nové programové obdobie):</w:t>
      </w:r>
      <w:r w:rsidR="00F30FA3">
        <w:rPr>
          <w:rFonts w:eastAsia="Calibri"/>
          <w:sz w:val="24"/>
          <w:szCs w:val="24"/>
          <w:lang w:val="sk-SK" w:eastAsia="en-US"/>
        </w:rPr>
        <w:t xml:space="preserve"> </w:t>
      </w:r>
      <w:r w:rsidRPr="009D643E">
        <w:rPr>
          <w:rFonts w:eastAsia="Calibri"/>
          <w:sz w:val="24"/>
          <w:szCs w:val="24"/>
          <w:lang w:val="sk-SK" w:eastAsia="en-US"/>
        </w:rPr>
        <w:t xml:space="preserve">Vo vinárskom roku 2013/2014 bola uskutočnená </w:t>
      </w:r>
      <w:r w:rsidRPr="009D643E">
        <w:rPr>
          <w:rFonts w:eastAsia="Calibri"/>
          <w:i/>
          <w:sz w:val="24"/>
          <w:szCs w:val="24"/>
          <w:lang w:val="sk-SK" w:eastAsia="en-US"/>
        </w:rPr>
        <w:t>reštrukturalizácia vinohradov</w:t>
      </w:r>
      <w:r w:rsidRPr="009D643E">
        <w:rPr>
          <w:rFonts w:eastAsia="Calibri"/>
          <w:sz w:val="24"/>
          <w:szCs w:val="24"/>
          <w:lang w:val="sk-SK" w:eastAsia="en-US"/>
        </w:rPr>
        <w:t xml:space="preserve"> na ploche 305,83 ha, na čo bola poskytnutá podpora vo výške 3 851 201,80 </w:t>
      </w:r>
      <w:r w:rsidR="00F30FA3">
        <w:rPr>
          <w:rFonts w:eastAsia="Calibri"/>
          <w:sz w:val="24"/>
          <w:szCs w:val="24"/>
          <w:lang w:val="sk-SK" w:eastAsia="en-US"/>
        </w:rPr>
        <w:t>€</w:t>
      </w:r>
      <w:r w:rsidRPr="009D643E">
        <w:rPr>
          <w:rFonts w:eastAsia="Calibri"/>
          <w:sz w:val="24"/>
          <w:szCs w:val="24"/>
          <w:lang w:val="sk-SK" w:eastAsia="en-US"/>
        </w:rPr>
        <w:t>.</w:t>
      </w:r>
    </w:p>
    <w:p w:rsidR="000B353B" w:rsidRPr="009D643E" w:rsidRDefault="000B353B" w:rsidP="00F30FA3">
      <w:pPr>
        <w:widowControl w:val="0"/>
        <w:suppressAutoHyphens/>
        <w:autoSpaceDE w:val="0"/>
        <w:autoSpaceDN w:val="0"/>
        <w:adjustRightInd w:val="0"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 w:eastAsia="en-US"/>
        </w:rPr>
      </w:pPr>
      <w:r w:rsidRPr="009D643E">
        <w:rPr>
          <w:rFonts w:eastAsia="Calibri"/>
          <w:sz w:val="24"/>
          <w:szCs w:val="24"/>
          <w:lang w:val="sk-SK" w:eastAsia="en-US"/>
        </w:rPr>
        <w:t xml:space="preserve">V rámci SOT za vinársky rok 2013/2014 bolo ešte na opatrenie </w:t>
      </w:r>
      <w:r w:rsidRPr="009D643E">
        <w:rPr>
          <w:rFonts w:eastAsia="Calibri"/>
          <w:i/>
          <w:sz w:val="24"/>
          <w:szCs w:val="24"/>
          <w:lang w:val="sk-SK" w:eastAsia="en-US"/>
        </w:rPr>
        <w:t>propagácie na trhoch tretích krajín</w:t>
      </w:r>
      <w:r w:rsidRPr="009D643E">
        <w:rPr>
          <w:rFonts w:eastAsia="Calibri"/>
          <w:sz w:val="24"/>
          <w:szCs w:val="24"/>
          <w:lang w:val="sk-SK" w:eastAsia="en-US"/>
        </w:rPr>
        <w:t xml:space="preserve"> vyplatených 40 243,65 </w:t>
      </w:r>
      <w:r w:rsidR="004E2D24">
        <w:rPr>
          <w:rFonts w:eastAsia="Calibri"/>
          <w:sz w:val="24"/>
          <w:szCs w:val="24"/>
          <w:lang w:val="sk-SK" w:eastAsia="en-US"/>
        </w:rPr>
        <w:t>€</w:t>
      </w:r>
      <w:r w:rsidRPr="009D643E">
        <w:rPr>
          <w:rFonts w:eastAsia="Calibri"/>
          <w:sz w:val="24"/>
          <w:szCs w:val="24"/>
          <w:lang w:val="sk-SK" w:eastAsia="en-US"/>
        </w:rPr>
        <w:t xml:space="preserve">, na opatrenie </w:t>
      </w:r>
      <w:r w:rsidRPr="009D643E">
        <w:rPr>
          <w:rFonts w:eastAsia="Calibri"/>
          <w:i/>
          <w:sz w:val="24"/>
          <w:szCs w:val="24"/>
          <w:lang w:val="sk-SK" w:eastAsia="en-US"/>
        </w:rPr>
        <w:t>poistenie úrody</w:t>
      </w:r>
      <w:r w:rsidRPr="009D643E">
        <w:rPr>
          <w:rFonts w:eastAsia="Calibri"/>
          <w:sz w:val="24"/>
          <w:szCs w:val="24"/>
          <w:lang w:val="sk-SK" w:eastAsia="en-US"/>
        </w:rPr>
        <w:t xml:space="preserve"> asi 118 815,16 </w:t>
      </w:r>
      <w:r w:rsidR="004E2D24">
        <w:rPr>
          <w:rFonts w:eastAsia="Calibri"/>
          <w:sz w:val="24"/>
          <w:szCs w:val="24"/>
          <w:lang w:val="sk-SK" w:eastAsia="en-US"/>
        </w:rPr>
        <w:t>€</w:t>
      </w:r>
      <w:r w:rsidRPr="009D643E">
        <w:rPr>
          <w:rFonts w:eastAsia="Calibri"/>
          <w:sz w:val="24"/>
          <w:szCs w:val="24"/>
          <w:lang w:val="sk-SK" w:eastAsia="en-US"/>
        </w:rPr>
        <w:t xml:space="preserve"> </w:t>
      </w:r>
      <w:r w:rsidR="004E2D24" w:rsidRPr="009D643E">
        <w:rPr>
          <w:rFonts w:eastAsia="Calibri"/>
          <w:sz w:val="24"/>
          <w:szCs w:val="24"/>
          <w:lang w:val="sk-SK" w:eastAsia="en-US"/>
        </w:rPr>
        <w:t>na</w:t>
      </w:r>
      <w:r w:rsidR="004E2D24">
        <w:rPr>
          <w:rFonts w:eastAsia="Calibri"/>
          <w:sz w:val="24"/>
          <w:szCs w:val="24"/>
          <w:lang w:val="sk-SK" w:eastAsia="en-US"/>
        </w:rPr>
        <w:t> </w:t>
      </w:r>
      <w:r w:rsidRPr="009D643E">
        <w:rPr>
          <w:rFonts w:eastAsia="Calibri"/>
          <w:sz w:val="24"/>
          <w:szCs w:val="24"/>
          <w:lang w:val="sk-SK" w:eastAsia="en-US"/>
        </w:rPr>
        <w:t xml:space="preserve">ploche 1922,66 ha a na opatrenie </w:t>
      </w:r>
      <w:r w:rsidRPr="009D643E">
        <w:rPr>
          <w:rFonts w:eastAsia="Calibri"/>
          <w:i/>
          <w:sz w:val="24"/>
          <w:szCs w:val="24"/>
          <w:lang w:val="sk-SK" w:eastAsia="en-US"/>
        </w:rPr>
        <w:t xml:space="preserve">investície </w:t>
      </w:r>
      <w:r w:rsidRPr="009D643E">
        <w:rPr>
          <w:rFonts w:eastAsia="Calibri"/>
          <w:sz w:val="24"/>
          <w:szCs w:val="24"/>
          <w:lang w:val="sk-SK" w:eastAsia="en-US"/>
        </w:rPr>
        <w:t xml:space="preserve">asi 397 007,61 </w:t>
      </w:r>
      <w:r w:rsidR="004E2D24">
        <w:rPr>
          <w:rFonts w:eastAsia="Calibri"/>
          <w:sz w:val="24"/>
          <w:szCs w:val="24"/>
          <w:lang w:val="sk-SK" w:eastAsia="en-US"/>
        </w:rPr>
        <w:t>€</w:t>
      </w:r>
      <w:r w:rsidRPr="009D643E">
        <w:rPr>
          <w:rFonts w:eastAsia="Calibri"/>
          <w:sz w:val="24"/>
          <w:szCs w:val="24"/>
          <w:lang w:val="sk-SK" w:eastAsia="en-US"/>
        </w:rPr>
        <w:t xml:space="preserve">. </w:t>
      </w:r>
    </w:p>
    <w:p w:rsidR="000B353B" w:rsidRPr="009D643E" w:rsidRDefault="000B353B" w:rsidP="00F30FA3">
      <w:pPr>
        <w:widowControl w:val="0"/>
        <w:suppressAutoHyphens/>
        <w:autoSpaceDN w:val="0"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/>
        </w:rPr>
      </w:pPr>
      <w:r w:rsidRPr="009D643E">
        <w:rPr>
          <w:rFonts w:eastAsia="Calibri"/>
          <w:sz w:val="24"/>
          <w:szCs w:val="24"/>
          <w:lang w:val="sk-SK"/>
        </w:rPr>
        <w:t xml:space="preserve">V rámci NPP na roky 2014 – 2018 pokračovala realizácia čiastkového opatrenia </w:t>
      </w:r>
      <w:r w:rsidR="004E2D24" w:rsidRPr="009D643E">
        <w:rPr>
          <w:rFonts w:eastAsia="Calibri"/>
          <w:sz w:val="24"/>
          <w:szCs w:val="24"/>
          <w:lang w:val="sk-SK"/>
        </w:rPr>
        <w:t>na</w:t>
      </w:r>
      <w:r w:rsidR="004E2D24">
        <w:rPr>
          <w:rFonts w:eastAsia="Calibri"/>
          <w:sz w:val="24"/>
          <w:szCs w:val="24"/>
          <w:lang w:val="sk-SK"/>
        </w:rPr>
        <w:t> </w:t>
      </w:r>
      <w:r w:rsidRPr="009D643E">
        <w:rPr>
          <w:rFonts w:eastAsia="Calibri"/>
          <w:sz w:val="24"/>
          <w:szCs w:val="24"/>
          <w:lang w:val="sk-SK"/>
        </w:rPr>
        <w:t>podporu investícií – vnútorné vybavenie prezentačných priestorov a zmenilo sa čiastkové opatrenie týkajúce sa podpory pri transparentnejšom spôsobe označovania vín na etiketách.</w:t>
      </w:r>
    </w:p>
    <w:p w:rsidR="000B353B" w:rsidRPr="009D643E" w:rsidRDefault="000B353B" w:rsidP="00F30FA3">
      <w:pPr>
        <w:widowControl w:val="0"/>
        <w:suppressAutoHyphens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/>
        </w:rPr>
      </w:pPr>
      <w:r w:rsidRPr="009D643E">
        <w:rPr>
          <w:rFonts w:eastAsia="Calibri"/>
          <w:sz w:val="24"/>
          <w:szCs w:val="24"/>
          <w:lang w:val="sk-SK"/>
        </w:rPr>
        <w:t xml:space="preserve">Vo vinárskom roku 2013/2014 bolo vybudovaných 20 podnikových predajní, čím sa zvýšil objem predaja cez tento distribučný kanál a došlo k zvýšeniu diverzifikácie odbytu </w:t>
      </w:r>
      <w:r w:rsidR="004E2D24" w:rsidRPr="009D643E">
        <w:rPr>
          <w:rFonts w:eastAsia="Calibri"/>
          <w:sz w:val="24"/>
          <w:szCs w:val="24"/>
          <w:lang w:val="sk-SK"/>
        </w:rPr>
        <w:t>pre</w:t>
      </w:r>
      <w:r w:rsidR="004E2D24">
        <w:rPr>
          <w:rFonts w:eastAsia="Calibri"/>
          <w:sz w:val="24"/>
          <w:szCs w:val="24"/>
          <w:lang w:val="sk-SK"/>
        </w:rPr>
        <w:t> </w:t>
      </w:r>
      <w:r w:rsidRPr="009D643E">
        <w:rPr>
          <w:rFonts w:eastAsia="Calibri"/>
          <w:sz w:val="24"/>
          <w:szCs w:val="24"/>
          <w:lang w:val="sk-SK"/>
        </w:rPr>
        <w:t xml:space="preserve">vinárov. Rovnako sa prejavil záujem (na základe počtu žiadostí - 28) o podporu </w:t>
      </w:r>
      <w:r w:rsidR="004E2D24" w:rsidRPr="009D643E">
        <w:rPr>
          <w:rFonts w:eastAsia="Calibri"/>
          <w:sz w:val="24"/>
          <w:szCs w:val="24"/>
          <w:lang w:val="sk-SK"/>
        </w:rPr>
        <w:t>pre</w:t>
      </w:r>
      <w:r w:rsidR="004E2D24">
        <w:rPr>
          <w:rFonts w:eastAsia="Calibri"/>
          <w:sz w:val="24"/>
          <w:szCs w:val="24"/>
          <w:lang w:val="sk-SK"/>
        </w:rPr>
        <w:t> </w:t>
      </w:r>
      <w:r w:rsidRPr="009D643E">
        <w:rPr>
          <w:rFonts w:eastAsia="Calibri"/>
          <w:sz w:val="24"/>
          <w:szCs w:val="24"/>
          <w:lang w:val="sk-SK"/>
        </w:rPr>
        <w:t xml:space="preserve">dobrovoľný systém </w:t>
      </w:r>
      <w:proofErr w:type="spellStart"/>
      <w:r w:rsidRPr="009D643E">
        <w:rPr>
          <w:rFonts w:eastAsia="Calibri"/>
          <w:sz w:val="24"/>
          <w:szCs w:val="24"/>
          <w:lang w:val="sk-SK"/>
        </w:rPr>
        <w:t>vysledovateľnosti</w:t>
      </w:r>
      <w:proofErr w:type="spellEnd"/>
      <w:r w:rsidRPr="009D643E">
        <w:rPr>
          <w:rFonts w:eastAsia="Calibri"/>
          <w:sz w:val="24"/>
          <w:szCs w:val="24"/>
          <w:lang w:val="sk-SK"/>
        </w:rPr>
        <w:t xml:space="preserve"> vína ku konkrétnemu vinohradu, z ktorého hrozno pochádza. Z prijatých žiadostí možno odhadnúť, že celkovo bude podporených približne </w:t>
      </w:r>
      <w:r w:rsidR="004E2D24" w:rsidRPr="009D643E">
        <w:rPr>
          <w:rFonts w:eastAsia="Calibri"/>
          <w:sz w:val="24"/>
          <w:szCs w:val="24"/>
          <w:lang w:val="sk-SK"/>
        </w:rPr>
        <w:t>13</w:t>
      </w:r>
      <w:r w:rsidR="004E2D24">
        <w:rPr>
          <w:rFonts w:eastAsia="Calibri"/>
          <w:sz w:val="24"/>
          <w:szCs w:val="24"/>
          <w:lang w:val="sk-SK"/>
        </w:rPr>
        <w:t> </w:t>
      </w:r>
      <w:r w:rsidRPr="009D643E">
        <w:rPr>
          <w:rFonts w:eastAsia="Calibri"/>
          <w:sz w:val="24"/>
          <w:szCs w:val="24"/>
          <w:lang w:val="sk-SK"/>
        </w:rPr>
        <w:t>miliónov etikiet, resp. fliaš vína s Q</w:t>
      </w:r>
      <w:r w:rsidRPr="009D643E">
        <w:rPr>
          <w:rFonts w:eastAsia="MS Mincho" w:hAnsi="MS Mincho"/>
          <w:sz w:val="24"/>
          <w:szCs w:val="24"/>
          <w:lang w:val="sk-SK"/>
        </w:rPr>
        <w:t>‐</w:t>
      </w:r>
      <w:r w:rsidRPr="009D643E">
        <w:rPr>
          <w:rFonts w:eastAsia="Calibri"/>
          <w:sz w:val="24"/>
          <w:szCs w:val="24"/>
          <w:lang w:val="sk-SK"/>
        </w:rPr>
        <w:t>R kódmi s CHOP/CHZO.</w:t>
      </w:r>
    </w:p>
    <w:p w:rsidR="000B353B" w:rsidRPr="009D643E" w:rsidRDefault="000B353B" w:rsidP="001D668C">
      <w:pPr>
        <w:widowControl w:val="0"/>
        <w:suppressAutoHyphens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/>
        </w:rPr>
      </w:pPr>
      <w:r w:rsidRPr="009D643E">
        <w:rPr>
          <w:rFonts w:eastAsia="Calibri"/>
          <w:sz w:val="24"/>
          <w:szCs w:val="24"/>
          <w:lang w:val="sk-SK"/>
        </w:rPr>
        <w:t>Z uvedeného prehľadu vyplýva, že stav v sektore vinohradníctva a vinárstva sa</w:t>
      </w:r>
      <w:r w:rsidR="004E2D24">
        <w:rPr>
          <w:rFonts w:eastAsia="Calibri"/>
          <w:sz w:val="24"/>
          <w:szCs w:val="24"/>
          <w:lang w:val="sk-SK"/>
        </w:rPr>
        <w:t>  </w:t>
      </w:r>
      <w:r w:rsidR="004E2D24" w:rsidRPr="009D643E">
        <w:rPr>
          <w:rFonts w:eastAsia="Calibri"/>
          <w:sz w:val="24"/>
          <w:szCs w:val="24"/>
          <w:lang w:val="sk-SK"/>
        </w:rPr>
        <w:t>v</w:t>
      </w:r>
      <w:r w:rsidR="004E2D24">
        <w:rPr>
          <w:rFonts w:eastAsia="Calibri"/>
          <w:sz w:val="24"/>
          <w:szCs w:val="24"/>
          <w:lang w:val="sk-SK"/>
        </w:rPr>
        <w:t> </w:t>
      </w:r>
      <w:r w:rsidRPr="009D643E">
        <w:rPr>
          <w:rFonts w:eastAsia="Calibri"/>
          <w:sz w:val="24"/>
          <w:szCs w:val="24"/>
          <w:lang w:val="sk-SK"/>
        </w:rPr>
        <w:t>číslach podstatne nezmenil, avšak zachováva sa trend výroby vín najvyššej kvality (</w:t>
      </w:r>
      <w:r w:rsidR="004E2D24" w:rsidRPr="009D643E">
        <w:rPr>
          <w:rFonts w:eastAsia="Calibri"/>
          <w:sz w:val="24"/>
          <w:szCs w:val="24"/>
          <w:lang w:val="sk-SK"/>
        </w:rPr>
        <w:t>CHOP/CHZO</w:t>
      </w:r>
      <w:r w:rsidRPr="009D643E">
        <w:rPr>
          <w:rFonts w:eastAsia="Calibri"/>
          <w:sz w:val="24"/>
          <w:szCs w:val="24"/>
          <w:lang w:val="sk-SK"/>
        </w:rPr>
        <w:t>), ktorá tvorí viac ako 85- 90 % celkovej produkcie. Menej ako 10 % produkcie tvorí produkcia vina bez zemepisného označenia. Vzhľadom na takto zameranú výrobu vinári spracovávajú takmer výlučne slovenské hrozno.</w:t>
      </w:r>
    </w:p>
    <w:p w:rsidR="000B353B" w:rsidRPr="00515E8E" w:rsidRDefault="000B353B" w:rsidP="001D668C">
      <w:pPr>
        <w:widowControl w:val="0"/>
        <w:suppressAutoHyphens/>
        <w:spacing w:after="60" w:line="320" w:lineRule="exact"/>
        <w:ind w:firstLine="708"/>
        <w:jc w:val="both"/>
        <w:rPr>
          <w:rFonts w:eastAsia="Calibri"/>
          <w:sz w:val="24"/>
          <w:szCs w:val="24"/>
          <w:lang w:val="sk-SK"/>
        </w:rPr>
      </w:pPr>
      <w:r w:rsidRPr="001D668C">
        <w:rPr>
          <w:rFonts w:eastAsia="Calibri"/>
          <w:sz w:val="24"/>
          <w:szCs w:val="24"/>
          <w:lang w:val="sk-SK"/>
        </w:rPr>
        <w:t xml:space="preserve">Trh s </w:t>
      </w:r>
      <w:r w:rsidRPr="001D668C">
        <w:rPr>
          <w:rFonts w:eastAsia="Calibri"/>
          <w:b/>
          <w:sz w:val="24"/>
          <w:szCs w:val="24"/>
          <w:lang w:val="sk-SK"/>
        </w:rPr>
        <w:t>cukrom</w:t>
      </w:r>
      <w:r w:rsidRPr="001D668C">
        <w:rPr>
          <w:rFonts w:eastAsia="Calibri"/>
          <w:sz w:val="24"/>
          <w:szCs w:val="24"/>
          <w:lang w:val="sk-SK"/>
        </w:rPr>
        <w:t xml:space="preserve"> je z hľadiska potravinovej vertikály zdravý. Za účelom zachovania produkcie cukru a podpory jeho domácej výroby sa s finančnou podporou tohto sektora </w:t>
      </w:r>
      <w:r w:rsidR="004E2D24">
        <w:rPr>
          <w:rFonts w:eastAsia="Calibri"/>
          <w:sz w:val="24"/>
          <w:szCs w:val="24"/>
          <w:lang w:val="sk-SK"/>
        </w:rPr>
        <w:t> </w:t>
      </w:r>
      <w:r w:rsidR="004E2D24" w:rsidRPr="001D668C">
        <w:rPr>
          <w:rFonts w:eastAsia="Calibri"/>
          <w:sz w:val="24"/>
          <w:szCs w:val="24"/>
          <w:lang w:val="sk-SK"/>
        </w:rPr>
        <w:t>v</w:t>
      </w:r>
      <w:r w:rsidR="004E2D24">
        <w:rPr>
          <w:rFonts w:eastAsia="Calibri"/>
          <w:sz w:val="24"/>
          <w:szCs w:val="24"/>
          <w:lang w:val="sk-SK"/>
        </w:rPr>
        <w:t> </w:t>
      </w:r>
      <w:r w:rsidRPr="001D668C">
        <w:rPr>
          <w:rFonts w:eastAsia="Calibri"/>
          <w:sz w:val="24"/>
          <w:szCs w:val="24"/>
          <w:lang w:val="sk-SK"/>
        </w:rPr>
        <w:t xml:space="preserve">rámci obdobia 2013 - 2020 esenciálne počíta. Celková plocha pestovania cukrovej repy, ktorú plánuje MPRV SR podporovať na ročnej báze, predstavuje 20 320 ha. Cukrová repa sa plánuje podporovať z 1. piliera výškou 393 </w:t>
      </w:r>
      <w:r w:rsidR="001D668C">
        <w:rPr>
          <w:rFonts w:eastAsia="Calibri"/>
          <w:sz w:val="24"/>
          <w:szCs w:val="24"/>
          <w:lang w:val="sk-SK"/>
        </w:rPr>
        <w:t>€</w:t>
      </w:r>
      <w:r w:rsidRPr="001D668C">
        <w:rPr>
          <w:rFonts w:eastAsia="Calibri"/>
          <w:sz w:val="24"/>
          <w:szCs w:val="24"/>
          <w:lang w:val="sk-SK"/>
        </w:rPr>
        <w:t xml:space="preserve">/ha a prostredníctvom projektu rozvoja rastlinnej a živočíšnej výroby sumou 156 </w:t>
      </w:r>
      <w:r w:rsidR="001D668C">
        <w:rPr>
          <w:rFonts w:eastAsia="Calibri"/>
          <w:sz w:val="24"/>
          <w:szCs w:val="24"/>
          <w:lang w:val="sk-SK"/>
        </w:rPr>
        <w:t>€</w:t>
      </w:r>
      <w:r w:rsidRPr="001D668C">
        <w:rPr>
          <w:rFonts w:eastAsia="Calibri"/>
          <w:sz w:val="24"/>
          <w:szCs w:val="24"/>
          <w:lang w:val="sk-SK"/>
        </w:rPr>
        <w:t xml:space="preserve">/ha, čo celkovo predstavuje podporu vo výške 549 </w:t>
      </w:r>
      <w:r w:rsidR="001D668C">
        <w:rPr>
          <w:rFonts w:eastAsia="Calibri"/>
          <w:sz w:val="24"/>
          <w:szCs w:val="24"/>
          <w:lang w:val="sk-SK"/>
        </w:rPr>
        <w:t>€</w:t>
      </w:r>
      <w:r w:rsidRPr="001D668C">
        <w:rPr>
          <w:rFonts w:eastAsia="Calibri"/>
          <w:sz w:val="24"/>
          <w:szCs w:val="24"/>
          <w:lang w:val="sk-SK"/>
        </w:rPr>
        <w:t xml:space="preserve">/ha. </w:t>
      </w:r>
      <w:r w:rsidRPr="00515E8E">
        <w:rPr>
          <w:rFonts w:eastAsia="Calibri"/>
          <w:sz w:val="24"/>
          <w:szCs w:val="24"/>
          <w:lang w:val="sk-SK"/>
        </w:rPr>
        <w:t xml:space="preserve">Celková podpora cukrovej repy na hospodársky rok predstavuje sumu 11 155 680 </w:t>
      </w:r>
      <w:r w:rsidR="001D668C" w:rsidRPr="00515E8E">
        <w:rPr>
          <w:rFonts w:eastAsia="Calibri"/>
          <w:sz w:val="24"/>
          <w:szCs w:val="24"/>
          <w:lang w:val="sk-SK"/>
        </w:rPr>
        <w:t>€</w:t>
      </w:r>
      <w:r w:rsidRPr="00515E8E">
        <w:rPr>
          <w:rFonts w:eastAsia="Calibri"/>
          <w:sz w:val="24"/>
          <w:szCs w:val="24"/>
          <w:lang w:val="sk-SK"/>
        </w:rPr>
        <w:t>.</w:t>
      </w:r>
    </w:p>
    <w:p w:rsidR="002D36F6" w:rsidRPr="00515E8E" w:rsidRDefault="00640F4D" w:rsidP="00515E8E">
      <w:pPr>
        <w:widowControl w:val="0"/>
        <w:suppressAutoHyphens/>
        <w:spacing w:line="320" w:lineRule="exact"/>
        <w:ind w:firstLine="709"/>
        <w:jc w:val="both"/>
        <w:rPr>
          <w:szCs w:val="24"/>
          <w:lang w:val="sk-SK"/>
        </w:rPr>
      </w:pPr>
      <w:r w:rsidRPr="00515E8E">
        <w:rPr>
          <w:sz w:val="24"/>
          <w:szCs w:val="24"/>
          <w:lang w:val="sk-SK"/>
        </w:rPr>
        <w:t>Rozvoj sektora </w:t>
      </w:r>
      <w:r w:rsidRPr="00515E8E">
        <w:rPr>
          <w:b/>
          <w:bCs/>
          <w:sz w:val="24"/>
          <w:szCs w:val="24"/>
          <w:lang w:val="sk-SK"/>
        </w:rPr>
        <w:t>ovocia a zeleniny</w:t>
      </w:r>
      <w:r w:rsidRPr="00515E8E">
        <w:rPr>
          <w:sz w:val="24"/>
          <w:szCs w:val="24"/>
          <w:lang w:val="sk-SK"/>
        </w:rPr>
        <w:t xml:space="preserve"> je viazaný na pomoc z prostriedkov programu rozvoja vidieka (PRV).  PRV na roky 2014 - 2020 bol prijatý v EÚ až vo februári 2015, v súčasnosti sa čaká na zverejnenie výzvy na  investičnú pomoc.</w:t>
      </w:r>
    </w:p>
    <w:p w:rsidR="000B353B" w:rsidRPr="009D643E" w:rsidRDefault="000B353B" w:rsidP="001D668C">
      <w:pPr>
        <w:spacing w:after="60" w:line="320" w:lineRule="exact"/>
        <w:ind w:firstLine="708"/>
        <w:jc w:val="both"/>
        <w:rPr>
          <w:lang w:val="sk-SK"/>
        </w:rPr>
      </w:pPr>
      <w:bookmarkStart w:id="0" w:name="_GoBack"/>
      <w:bookmarkEnd w:id="0"/>
      <w:r w:rsidRPr="00515E8E">
        <w:rPr>
          <w:sz w:val="24"/>
          <w:szCs w:val="24"/>
          <w:lang w:val="sk-SK"/>
        </w:rPr>
        <w:t>V roku 2014 mnohí pestovatelia ovocia a zeleniny využívali</w:t>
      </w:r>
      <w:r w:rsidRPr="009D643E">
        <w:rPr>
          <w:sz w:val="24"/>
          <w:szCs w:val="24"/>
          <w:lang w:val="sk-SK"/>
        </w:rPr>
        <w:t xml:space="preserve"> len dotácie z priamych platieb a osobitnej platby na ovocie a zeleninu. Obchod s ovocím a zeleninou bol poznačený druhotným dopadom sankcií, ktoré prijala RF a zakázala dovoz viacerých </w:t>
      </w:r>
      <w:r w:rsidRPr="009D643E">
        <w:rPr>
          <w:sz w:val="24"/>
          <w:szCs w:val="24"/>
          <w:lang w:val="sk-SK"/>
        </w:rPr>
        <w:lastRenderedPageBreak/>
        <w:t>poľnohospodárskych plodín</w:t>
      </w:r>
      <w:r w:rsidRPr="009D643E">
        <w:rPr>
          <w:color w:val="1F497D"/>
          <w:lang w:val="sk-SK"/>
        </w:rPr>
        <w:t xml:space="preserve">. </w:t>
      </w:r>
      <w:r w:rsidRPr="009D643E">
        <w:rPr>
          <w:sz w:val="24"/>
          <w:szCs w:val="24"/>
          <w:lang w:val="sk-SK"/>
        </w:rPr>
        <w:t xml:space="preserve">V sektore ovocie a zelenina boli prijaté v EÚ mimoriadne opatrenia, ktoré umožňovali stiahnutie produkcie vybraných druhov z trhu a jej následné bezplatné odovzdanie na charitatívne organizácie alebo jej likvidáciu. Naši výrobcovia nedokázali dostatočne využiť opatrenia, z dôvodu nedostatočnej organizovanosti pestovateľov do organizácií výrobcov, nedostatočnej kompenzačnej ceny a vysokej administratívnej záťaži. </w:t>
      </w:r>
    </w:p>
    <w:p w:rsidR="00640F4D" w:rsidRDefault="000B353B" w:rsidP="00640F4D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lang w:val="sk-SK"/>
        </w:rPr>
        <w:t>Sekundárny prejav, ktorý pretrváva na trhu,  ako nadbytok produkcie niektorých druhov,  dlhodobé znižovanie cien, nedostatok zisku,  môže vyvolať   nezáujem o zakladanie novej úrody v roku 2015 alebo v ovocinárstve nezáujem o investovanie do obnovy sadov.</w:t>
      </w:r>
    </w:p>
    <w:p w:rsidR="000B353B" w:rsidRPr="009D643E" w:rsidRDefault="000B353B" w:rsidP="00F30FA3">
      <w:pPr>
        <w:spacing w:after="60" w:line="320" w:lineRule="exact"/>
        <w:jc w:val="both"/>
        <w:rPr>
          <w:rFonts w:ascii="TimesNewRomanPS-BoldMT" w:hAnsi="TimesNewRomanPS-BoldMT"/>
          <w:b/>
          <w:bCs/>
          <w:sz w:val="24"/>
          <w:szCs w:val="24"/>
          <w:lang w:val="sk-SK"/>
        </w:rPr>
      </w:pPr>
    </w:p>
    <w:p w:rsidR="000B353B" w:rsidRPr="001D668C" w:rsidRDefault="000B353B" w:rsidP="001D668C">
      <w:pPr>
        <w:spacing w:after="60" w:line="320" w:lineRule="exact"/>
        <w:jc w:val="both"/>
        <w:rPr>
          <w:rFonts w:ascii="TimesNewRomanPS-BoldMT" w:hAnsi="TimesNewRomanPS-BoldMT"/>
          <w:b/>
          <w:bCs/>
          <w:sz w:val="24"/>
          <w:szCs w:val="24"/>
          <w:lang w:val="sk-SK"/>
        </w:rPr>
      </w:pPr>
      <w:r w:rsidRPr="001D668C">
        <w:rPr>
          <w:rFonts w:ascii="TimesNewRomanPS-BoldMT" w:hAnsi="TimesNewRomanPS-BoldMT"/>
          <w:b/>
          <w:bCs/>
          <w:sz w:val="24"/>
          <w:szCs w:val="24"/>
          <w:lang w:val="sk-SK"/>
        </w:rPr>
        <w:t>Hlavné aktivity realizované v podľa SOPT v sektore  ovocie a zelenina:</w:t>
      </w:r>
    </w:p>
    <w:p w:rsidR="000B353B" w:rsidRPr="009D643E" w:rsidRDefault="001D668C" w:rsidP="001D668C">
      <w:pPr>
        <w:pStyle w:val="Odsekzoznamu"/>
        <w:numPr>
          <w:ilvl w:val="0"/>
          <w:numId w:val="11"/>
        </w:numPr>
        <w:tabs>
          <w:tab w:val="left" w:pos="284"/>
        </w:tabs>
        <w:spacing w:after="60" w:line="32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B353B" w:rsidRPr="009D643E">
        <w:rPr>
          <w:rFonts w:ascii="Times New Roman" w:hAnsi="Times New Roman"/>
          <w:sz w:val="24"/>
          <w:szCs w:val="24"/>
        </w:rPr>
        <w:t>ktualizácia  dokumentu pre web „Národná stratégia pre operačné programy organizácií výrobcov v sektore ovocie a zelenina“ dokument bol aktualizovaný po reforme SPP a zmene nariadení Spoločnej organizácie poľnohospodárskeho trhu, v máji 2014.</w:t>
      </w:r>
    </w:p>
    <w:p w:rsidR="000B353B" w:rsidRPr="009D643E" w:rsidRDefault="000B353B" w:rsidP="001D668C">
      <w:pPr>
        <w:pStyle w:val="Odsekzoznamu"/>
        <w:numPr>
          <w:ilvl w:val="0"/>
          <w:numId w:val="10"/>
        </w:numPr>
        <w:tabs>
          <w:tab w:val="left" w:pos="284"/>
        </w:tabs>
        <w:spacing w:after="60" w:line="320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43E">
        <w:rPr>
          <w:rFonts w:ascii="Times New Roman" w:hAnsi="Times New Roman"/>
          <w:sz w:val="24"/>
          <w:szCs w:val="24"/>
        </w:rPr>
        <w:t xml:space="preserve">Vypracovanie pozície, stanovísk a inštrukcií k dokumentom EÚ, spolupráca a komunikácia s PPA na príprave výzvy pre uplatňovanie opatrení podľa prijatých delegovaných aktov EÚ  na základe  zákazu dovozov poľnohospodárskych produktov do Ruska,  v sektore ovocia </w:t>
      </w:r>
      <w:r w:rsidR="004E2D24">
        <w:rPr>
          <w:rFonts w:ascii="Times New Roman" w:hAnsi="Times New Roman"/>
          <w:sz w:val="24"/>
          <w:szCs w:val="24"/>
        </w:rPr>
        <w:t> </w:t>
      </w:r>
      <w:r w:rsidR="004E2D24" w:rsidRPr="009D643E">
        <w:rPr>
          <w:rFonts w:ascii="Times New Roman" w:hAnsi="Times New Roman"/>
          <w:sz w:val="24"/>
          <w:szCs w:val="24"/>
        </w:rPr>
        <w:t>a</w:t>
      </w:r>
      <w:r w:rsidR="004E2D24">
        <w:rPr>
          <w:rFonts w:ascii="Times New Roman" w:hAnsi="Times New Roman"/>
          <w:sz w:val="24"/>
          <w:szCs w:val="24"/>
        </w:rPr>
        <w:t> </w:t>
      </w:r>
      <w:r w:rsidRPr="009D643E">
        <w:rPr>
          <w:rFonts w:ascii="Times New Roman" w:hAnsi="Times New Roman"/>
          <w:sz w:val="24"/>
          <w:szCs w:val="24"/>
        </w:rPr>
        <w:t>zeleniny</w:t>
      </w:r>
    </w:p>
    <w:p w:rsidR="000B353B" w:rsidRPr="009D643E" w:rsidRDefault="000B353B" w:rsidP="001D668C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60" w:line="320" w:lineRule="exact"/>
        <w:ind w:left="0" w:firstLine="0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lang w:val="sk-SK"/>
        </w:rPr>
        <w:t xml:space="preserve">Vydanie rozhodnutí v zmysle zákona č.  491/ 2001 </w:t>
      </w:r>
      <w:proofErr w:type="spellStart"/>
      <w:r w:rsidRPr="009D643E">
        <w:rPr>
          <w:sz w:val="24"/>
          <w:szCs w:val="24"/>
          <w:lang w:val="sk-SK"/>
        </w:rPr>
        <w:t>Z.z</w:t>
      </w:r>
      <w:proofErr w:type="spellEnd"/>
      <w:r w:rsidRPr="009D643E">
        <w:rPr>
          <w:sz w:val="24"/>
          <w:szCs w:val="24"/>
          <w:lang w:val="sk-SK"/>
        </w:rPr>
        <w:t xml:space="preserve">., zákona č. 543/2007 </w:t>
      </w:r>
      <w:proofErr w:type="spellStart"/>
      <w:r w:rsidRPr="009D643E">
        <w:rPr>
          <w:sz w:val="24"/>
          <w:szCs w:val="24"/>
          <w:lang w:val="sk-SK"/>
        </w:rPr>
        <w:t>Z.z</w:t>
      </w:r>
      <w:proofErr w:type="spellEnd"/>
      <w:r w:rsidRPr="009D643E">
        <w:rPr>
          <w:sz w:val="24"/>
          <w:szCs w:val="24"/>
          <w:lang w:val="sk-SK"/>
        </w:rPr>
        <w:t> a č</w:t>
      </w:r>
      <w:r w:rsidR="004E2D24" w:rsidRPr="009D643E">
        <w:rPr>
          <w:sz w:val="24"/>
          <w:szCs w:val="24"/>
          <w:lang w:val="sk-SK"/>
        </w:rPr>
        <w:t>.</w:t>
      </w:r>
      <w:r w:rsidR="004E2D24">
        <w:rPr>
          <w:sz w:val="24"/>
          <w:szCs w:val="24"/>
          <w:lang w:val="sk-SK"/>
        </w:rPr>
        <w:t> </w:t>
      </w:r>
      <w:r w:rsidR="004E2D24" w:rsidRPr="009D643E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>71/1967 Zb. o správnom konaní  všetky v znení neskorších predpisov</w:t>
      </w:r>
      <w:r w:rsidR="004E2D24">
        <w:rPr>
          <w:sz w:val="24"/>
          <w:szCs w:val="24"/>
          <w:lang w:val="sk-SK"/>
        </w:rPr>
        <w:t>.</w:t>
      </w:r>
    </w:p>
    <w:p w:rsidR="000B353B" w:rsidRPr="009D643E" w:rsidRDefault="000B353B" w:rsidP="00F30FA3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lang w:val="sk-SK"/>
        </w:rPr>
        <w:t xml:space="preserve">Sekcia poľnohospodárstva zabezpečuje  a koordinuje  program podpory dodávok ovocia a zeleniny pod názvom  „Školské ovocie“, ktorý má za cieľ zvýšiť spotrebu  ovocia a zeleniny,  iniciovať zmenu stravovacích zvyklostí a podporiť konkurencieschopnosť sektora.  </w:t>
      </w:r>
    </w:p>
    <w:p w:rsidR="000B353B" w:rsidRDefault="000B353B" w:rsidP="001D668C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u w:val="single"/>
          <w:lang w:val="sk-SK"/>
        </w:rPr>
        <w:t>Pre školský rok  2014/2015</w:t>
      </w:r>
      <w:r w:rsidRPr="009D643E">
        <w:rPr>
          <w:sz w:val="24"/>
          <w:szCs w:val="24"/>
          <w:lang w:val="sk-SK"/>
        </w:rPr>
        <w:t xml:space="preserve"> (6. rok trvania programu) Národná obálka vo výške  </w:t>
      </w:r>
      <w:r w:rsidRPr="009D643E">
        <w:rPr>
          <w:b/>
          <w:bCs/>
          <w:sz w:val="24"/>
          <w:szCs w:val="24"/>
          <w:lang w:val="sk-SK"/>
        </w:rPr>
        <w:t>3 </w:t>
      </w:r>
      <w:r w:rsidR="004E2D24">
        <w:rPr>
          <w:b/>
          <w:bCs/>
          <w:sz w:val="24"/>
          <w:szCs w:val="24"/>
          <w:lang w:val="sk-SK"/>
        </w:rPr>
        <w:t> </w:t>
      </w:r>
      <w:r w:rsidR="004E2D24" w:rsidRPr="009D643E">
        <w:rPr>
          <w:b/>
          <w:bCs/>
          <w:sz w:val="24"/>
          <w:szCs w:val="24"/>
          <w:lang w:val="sk-SK"/>
        </w:rPr>
        <w:t>001</w:t>
      </w:r>
      <w:r w:rsidR="004E2D24">
        <w:rPr>
          <w:b/>
          <w:bCs/>
          <w:sz w:val="24"/>
          <w:szCs w:val="24"/>
          <w:lang w:val="sk-SK"/>
        </w:rPr>
        <w:t> </w:t>
      </w:r>
      <w:r w:rsidRPr="009D643E">
        <w:rPr>
          <w:b/>
          <w:bCs/>
          <w:sz w:val="24"/>
          <w:szCs w:val="24"/>
          <w:lang w:val="sk-SK"/>
        </w:rPr>
        <w:t>526 €,</w:t>
      </w:r>
      <w:r w:rsidRPr="009D643E">
        <w:rPr>
          <w:sz w:val="24"/>
          <w:szCs w:val="24"/>
          <w:lang w:val="sk-SK"/>
        </w:rPr>
        <w:t xml:space="preserve"> predstavuje 89 %  prostriedkov EÚ. Do programu sa zapojilo  2 719 škôl a </w:t>
      </w:r>
      <w:r w:rsidR="004E2D24">
        <w:rPr>
          <w:sz w:val="24"/>
          <w:szCs w:val="24"/>
          <w:lang w:val="sk-SK"/>
        </w:rPr>
        <w:t> </w:t>
      </w:r>
      <w:r w:rsidR="004E2D24" w:rsidRPr="009D643E">
        <w:rPr>
          <w:sz w:val="24"/>
          <w:szCs w:val="24"/>
          <w:lang w:val="sk-SK"/>
        </w:rPr>
        <w:t>494</w:t>
      </w:r>
      <w:r w:rsidR="004E2D24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 xml:space="preserve">829 detí  a  program zabezpečovalo 34 schválených dodávateľov. Program </w:t>
      </w:r>
      <w:r w:rsidR="004E2D24" w:rsidRPr="009D643E">
        <w:rPr>
          <w:sz w:val="24"/>
          <w:szCs w:val="24"/>
          <w:lang w:val="sk-SK"/>
        </w:rPr>
        <w:t>je</w:t>
      </w:r>
      <w:r w:rsidR="004E2D24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 xml:space="preserve">v realizácií, čerpanie zatiaľ nie je ukončené. </w:t>
      </w:r>
    </w:p>
    <w:p w:rsidR="004E2D24" w:rsidRPr="009D643E" w:rsidRDefault="004E2D24" w:rsidP="001D668C">
      <w:pPr>
        <w:spacing w:after="60" w:line="320" w:lineRule="exact"/>
        <w:ind w:firstLine="708"/>
        <w:jc w:val="both"/>
        <w:rPr>
          <w:lang w:val="sk-SK"/>
        </w:rPr>
      </w:pPr>
    </w:p>
    <w:p w:rsidR="000B353B" w:rsidRPr="009D643E" w:rsidRDefault="000B353B" w:rsidP="00F30FA3">
      <w:pPr>
        <w:spacing w:after="60" w:line="320" w:lineRule="exact"/>
        <w:jc w:val="both"/>
        <w:rPr>
          <w:sz w:val="24"/>
          <w:szCs w:val="24"/>
          <w:u w:val="single"/>
          <w:lang w:val="sk-SK"/>
        </w:rPr>
      </w:pPr>
      <w:r w:rsidRPr="009D643E">
        <w:rPr>
          <w:sz w:val="24"/>
          <w:szCs w:val="24"/>
          <w:u w:val="single"/>
          <w:lang w:val="sk-SK"/>
        </w:rPr>
        <w:t>Plnenie úloh v roku 2014 pre školský program:</w:t>
      </w:r>
    </w:p>
    <w:p w:rsidR="000B353B" w:rsidRPr="009D643E" w:rsidRDefault="000B353B" w:rsidP="00F30FA3">
      <w:pPr>
        <w:numPr>
          <w:ilvl w:val="0"/>
          <w:numId w:val="10"/>
        </w:numPr>
        <w:suppressAutoHyphens/>
        <w:autoSpaceDN w:val="0"/>
        <w:spacing w:after="60" w:line="320" w:lineRule="exact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lang w:val="sk-SK"/>
        </w:rPr>
        <w:t>Vypracovanie dokumentu „Národná stratégia SR pre program podpory spotreby ovocia a zeleniny na školách pre školský rok 2014/2015“  vrátane  žiadosti o  dodatočnú alokáciu na školský rok 2014/2015  podľa článku 4 (1) nariadenia  Komisie (ES) č</w:t>
      </w:r>
      <w:r w:rsidR="004E2D24" w:rsidRPr="009D643E">
        <w:rPr>
          <w:sz w:val="24"/>
          <w:szCs w:val="24"/>
          <w:lang w:val="sk-SK"/>
        </w:rPr>
        <w:t>.</w:t>
      </w:r>
      <w:r w:rsidR="004E2D24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>288/2009  v platnom znení.</w:t>
      </w:r>
    </w:p>
    <w:p w:rsidR="000B353B" w:rsidRPr="009D643E" w:rsidRDefault="000B353B" w:rsidP="00F30FA3">
      <w:pPr>
        <w:spacing w:after="60" w:line="320" w:lineRule="exact"/>
        <w:ind w:left="180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lang w:val="sk-SK"/>
        </w:rPr>
        <w:t>Vyhodnotenie: Úloha splnená a stratégia so žiadosťou bola zaslaná na EK dňa 29.4.2014 v súlade s platnou legislatívou EÚ;</w:t>
      </w:r>
    </w:p>
    <w:p w:rsidR="000B353B" w:rsidRPr="009D643E" w:rsidRDefault="000B353B" w:rsidP="00F30FA3">
      <w:pPr>
        <w:pStyle w:val="Odsekzoznamu"/>
        <w:numPr>
          <w:ilvl w:val="0"/>
          <w:numId w:val="10"/>
        </w:numPr>
        <w:spacing w:after="60" w:line="320" w:lineRule="exact"/>
        <w:jc w:val="both"/>
      </w:pPr>
      <w:r w:rsidRPr="009D643E">
        <w:rPr>
          <w:rFonts w:ascii="Times New Roman" w:hAnsi="Times New Roman"/>
          <w:sz w:val="24"/>
          <w:szCs w:val="24"/>
        </w:rPr>
        <w:t xml:space="preserve">Vypracovanie nariadenia  vlády SR č.  201/2014 Z. z, ktorým sa mení a dopĺňa nariadenie vlády SR č. 341/2009 Z. z. o poskytovaní pomoci na podporu spotreby ovocia a zeleniny pre deti v materských školách a pre žiakov v základných školách, v znení nariadenia vlády SR č. 520/2010 </w:t>
      </w:r>
      <w:proofErr w:type="spellStart"/>
      <w:r w:rsidRPr="009D643E">
        <w:rPr>
          <w:rFonts w:ascii="Times New Roman" w:hAnsi="Times New Roman"/>
          <w:sz w:val="24"/>
          <w:szCs w:val="24"/>
        </w:rPr>
        <w:t>Z.z</w:t>
      </w:r>
      <w:proofErr w:type="spellEnd"/>
      <w:r w:rsidRPr="009D643E">
        <w:rPr>
          <w:rFonts w:ascii="Times New Roman" w:hAnsi="Times New Roman"/>
          <w:sz w:val="24"/>
          <w:szCs w:val="24"/>
        </w:rPr>
        <w:t xml:space="preserve">. </w:t>
      </w:r>
    </w:p>
    <w:p w:rsidR="000B353B" w:rsidRPr="009D643E" w:rsidRDefault="000B353B" w:rsidP="00F30FA3">
      <w:pPr>
        <w:spacing w:after="60" w:line="320" w:lineRule="exact"/>
        <w:ind w:left="180"/>
        <w:jc w:val="both"/>
        <w:rPr>
          <w:sz w:val="24"/>
          <w:szCs w:val="24"/>
          <w:lang w:val="sk-SK"/>
        </w:rPr>
      </w:pPr>
      <w:r w:rsidRPr="009D643E">
        <w:rPr>
          <w:sz w:val="24"/>
          <w:szCs w:val="24"/>
          <w:lang w:val="sk-SK"/>
        </w:rPr>
        <w:t>Vyhodnotenie: Schválené v PVM 6.6.2014, vydané v zbierke zákonov ako  NV SR č.</w:t>
      </w:r>
      <w:r w:rsidR="004E2D24">
        <w:rPr>
          <w:sz w:val="24"/>
          <w:szCs w:val="24"/>
          <w:lang w:val="sk-SK"/>
        </w:rPr>
        <w:t> </w:t>
      </w:r>
      <w:r w:rsidRPr="009D643E">
        <w:rPr>
          <w:sz w:val="24"/>
          <w:szCs w:val="24"/>
          <w:lang w:val="sk-SK"/>
        </w:rPr>
        <w:t xml:space="preserve">201/2014 </w:t>
      </w:r>
      <w:proofErr w:type="spellStart"/>
      <w:r w:rsidRPr="009D643E">
        <w:rPr>
          <w:sz w:val="24"/>
          <w:szCs w:val="24"/>
          <w:lang w:val="sk-SK"/>
        </w:rPr>
        <w:t>Z.z</w:t>
      </w:r>
      <w:proofErr w:type="spellEnd"/>
      <w:r w:rsidRPr="009D643E">
        <w:rPr>
          <w:sz w:val="24"/>
          <w:szCs w:val="24"/>
          <w:lang w:val="sk-SK"/>
        </w:rPr>
        <w:t>. z 9. júla 2014;</w:t>
      </w:r>
    </w:p>
    <w:p w:rsidR="000B353B" w:rsidRPr="009D643E" w:rsidRDefault="000B353B" w:rsidP="00F30FA3">
      <w:pPr>
        <w:pStyle w:val="Odsekzoznamu"/>
        <w:numPr>
          <w:ilvl w:val="0"/>
          <w:numId w:val="10"/>
        </w:numPr>
        <w:spacing w:after="60" w:line="320" w:lineRule="exact"/>
        <w:jc w:val="both"/>
        <w:rPr>
          <w:rFonts w:ascii="Times New Roman" w:hAnsi="Times New Roman"/>
          <w:sz w:val="24"/>
          <w:szCs w:val="24"/>
        </w:rPr>
      </w:pPr>
      <w:r w:rsidRPr="009D643E">
        <w:rPr>
          <w:rFonts w:ascii="Times New Roman" w:hAnsi="Times New Roman"/>
          <w:sz w:val="24"/>
          <w:szCs w:val="24"/>
        </w:rPr>
        <w:lastRenderedPageBreak/>
        <w:t> Vypracovanie  dokumentu „Riadne predbežné stanovisko SK“  k dokumentom EÚ, ktoré  navrhujú spojenie dvoch samostatných  školských programov školské ovocie a školské mlieko.</w:t>
      </w:r>
    </w:p>
    <w:p w:rsidR="000B353B" w:rsidRPr="009D643E" w:rsidRDefault="000B353B" w:rsidP="00F30FA3">
      <w:pPr>
        <w:spacing w:after="60" w:line="320" w:lineRule="exact"/>
        <w:ind w:left="540"/>
        <w:jc w:val="both"/>
        <w:rPr>
          <w:lang w:val="sk-SK"/>
        </w:rPr>
      </w:pPr>
      <w:r w:rsidRPr="009D643E">
        <w:rPr>
          <w:sz w:val="24"/>
          <w:szCs w:val="24"/>
          <w:lang w:val="sk-SK"/>
        </w:rPr>
        <w:t>Vyhodnotenie</w:t>
      </w:r>
      <w:r w:rsidRPr="009D643E">
        <w:rPr>
          <w:sz w:val="28"/>
          <w:szCs w:val="28"/>
          <w:lang w:val="sk-SK"/>
        </w:rPr>
        <w:t>:</w:t>
      </w:r>
      <w:r w:rsidRPr="009D643E">
        <w:rPr>
          <w:sz w:val="24"/>
          <w:szCs w:val="24"/>
          <w:lang w:val="sk-SK"/>
        </w:rPr>
        <w:t xml:space="preserve"> v PVM v marci 2014, v apríli dané na MPK, v súlade s novými pravidlami pri príprave legislatívnych dokumentov EÚ. Na základe riadneho predbežného stanoviska boli spracované pozície, stanoviská a inštrukcie k dokumentom EK pre rokovania v orgánoch EÚ.</w:t>
      </w:r>
    </w:p>
    <w:p w:rsidR="000B353B" w:rsidRPr="009D643E" w:rsidRDefault="000B353B" w:rsidP="00F30FA3">
      <w:pPr>
        <w:spacing w:after="60" w:line="320" w:lineRule="exact"/>
        <w:rPr>
          <w:lang w:val="sk-SK"/>
        </w:rPr>
      </w:pPr>
    </w:p>
    <w:p w:rsidR="000B353B" w:rsidRPr="004E2D24" w:rsidRDefault="00640F4D" w:rsidP="00F30FA3">
      <w:pPr>
        <w:spacing w:after="60" w:line="320" w:lineRule="exact"/>
        <w:jc w:val="both"/>
        <w:rPr>
          <w:b/>
          <w:bCs/>
          <w:sz w:val="24"/>
          <w:szCs w:val="24"/>
          <w:u w:val="single"/>
          <w:lang w:val="sk-SK"/>
        </w:rPr>
      </w:pPr>
      <w:r w:rsidRPr="00640F4D">
        <w:rPr>
          <w:b/>
          <w:bCs/>
          <w:sz w:val="24"/>
          <w:szCs w:val="24"/>
          <w:u w:val="single"/>
          <w:lang w:val="sk-SK"/>
        </w:rPr>
        <w:t>Priame platby</w:t>
      </w:r>
    </w:p>
    <w:p w:rsidR="000B353B" w:rsidRPr="009B5000" w:rsidRDefault="000B353B" w:rsidP="009B5000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V rámci hlavných bodov Koncepcie boli v oblasti priamych platieb napĺňané nasledovné ciele: </w:t>
      </w:r>
    </w:p>
    <w:p w:rsidR="000B353B" w:rsidRPr="009B5000" w:rsidRDefault="000B353B" w:rsidP="009B5000">
      <w:pPr>
        <w:spacing w:after="60" w:line="320" w:lineRule="exact"/>
        <w:ind w:left="-360" w:firstLine="360"/>
        <w:jc w:val="both"/>
        <w:rPr>
          <w:b/>
          <w:sz w:val="24"/>
          <w:szCs w:val="24"/>
          <w:lang w:val="sk-SK"/>
        </w:rPr>
      </w:pPr>
      <w:r w:rsidRPr="009B5000">
        <w:rPr>
          <w:b/>
          <w:sz w:val="24"/>
          <w:szCs w:val="24"/>
          <w:lang w:val="sk-SK"/>
        </w:rPr>
        <w:t xml:space="preserve">Dobrovoľná viazaná podpora v rámci I. piliera </w:t>
      </w:r>
    </w:p>
    <w:p w:rsidR="000B353B" w:rsidRPr="009B5000" w:rsidRDefault="000B353B" w:rsidP="009B5000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S cieľom podporiť živočíšnu a špecializovanú rastlinnú výrobu je možné alokovať </w:t>
      </w:r>
      <w:r w:rsidR="004E2D24" w:rsidRPr="009B5000">
        <w:rPr>
          <w:sz w:val="24"/>
          <w:szCs w:val="24"/>
          <w:lang w:val="sk-SK"/>
        </w:rPr>
        <w:t>až</w:t>
      </w:r>
      <w:r w:rsidR="004E2D24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13 %  vnútroštátneho stropu priamych platieb na viacero podporných režimov viazaných </w:t>
      </w:r>
      <w:r w:rsidR="004E2D24">
        <w:rPr>
          <w:sz w:val="24"/>
          <w:szCs w:val="24"/>
          <w:lang w:val="sk-SK"/>
        </w:rPr>
        <w:t> </w:t>
      </w:r>
      <w:r w:rsidR="004E2D24" w:rsidRPr="009B5000">
        <w:rPr>
          <w:sz w:val="24"/>
          <w:szCs w:val="24"/>
          <w:lang w:val="sk-SK"/>
        </w:rPr>
        <w:t>k</w:t>
      </w:r>
      <w:r w:rsidR="004E2D24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aktuálnemu roku podania žiadosti a reálnej produkcii jednotiek žiadateľa. MPRV SR </w:t>
      </w:r>
      <w:r w:rsidR="004E2D24">
        <w:rPr>
          <w:sz w:val="24"/>
          <w:szCs w:val="24"/>
          <w:lang w:val="sk-SK"/>
        </w:rPr>
        <w:t> </w:t>
      </w:r>
      <w:r w:rsidR="004E2D24" w:rsidRPr="009B5000">
        <w:rPr>
          <w:sz w:val="24"/>
          <w:szCs w:val="24"/>
          <w:lang w:val="sk-SK"/>
        </w:rPr>
        <w:t>v</w:t>
      </w:r>
      <w:r w:rsidR="004E2D24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priebehu roku 2014 zabezpečilo prípravu </w:t>
      </w:r>
      <w:r w:rsidR="004E2D24" w:rsidRPr="009B5000">
        <w:rPr>
          <w:sz w:val="24"/>
          <w:szCs w:val="24"/>
          <w:lang w:val="sk-SK"/>
        </w:rPr>
        <w:t>koncepci</w:t>
      </w:r>
      <w:r w:rsidR="004E2D24">
        <w:rPr>
          <w:sz w:val="24"/>
          <w:szCs w:val="24"/>
          <w:lang w:val="sk-SK"/>
        </w:rPr>
        <w:t>e</w:t>
      </w:r>
      <w:r w:rsidR="004E2D24" w:rsidRPr="009B5000">
        <w:rPr>
          <w:sz w:val="24"/>
          <w:szCs w:val="24"/>
          <w:lang w:val="sk-SK"/>
        </w:rPr>
        <w:t xml:space="preserve"> </w:t>
      </w:r>
      <w:r w:rsidRPr="009B5000">
        <w:rPr>
          <w:sz w:val="24"/>
          <w:szCs w:val="24"/>
          <w:lang w:val="sk-SK"/>
        </w:rPr>
        <w:t>viazanej podpory a následne v druhom polroku prebehli konzultácie s Európskou komisiou, na základe ktorých MPRV SR implementovalo desať schém viazaných priamych platieb, ktoré sa budú vyplácať v citlivých sektoroch poľnohospodárskej prvovýroby.</w:t>
      </w:r>
    </w:p>
    <w:p w:rsidR="000B353B" w:rsidRPr="009B5000" w:rsidRDefault="000B353B" w:rsidP="009B5000">
      <w:pPr>
        <w:spacing w:after="60" w:line="320" w:lineRule="exact"/>
        <w:jc w:val="both"/>
        <w:rPr>
          <w:b/>
          <w:sz w:val="24"/>
          <w:szCs w:val="24"/>
          <w:lang w:val="sk-SK"/>
        </w:rPr>
      </w:pPr>
      <w:r w:rsidRPr="009B5000">
        <w:rPr>
          <w:b/>
          <w:sz w:val="24"/>
          <w:szCs w:val="24"/>
          <w:lang w:val="sk-SK"/>
        </w:rPr>
        <w:t>Zabezpečenie financovania národných doplatkov k priamym platbám</w:t>
      </w:r>
    </w:p>
    <w:p w:rsidR="000B353B" w:rsidRPr="009B5000" w:rsidRDefault="000B353B" w:rsidP="009B5000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Financovanie národných doplatkov k priamym platbám na roky 2014 – 2020 </w:t>
      </w:r>
      <w:r w:rsidR="004E2D24" w:rsidRPr="009B5000">
        <w:rPr>
          <w:sz w:val="24"/>
          <w:szCs w:val="24"/>
          <w:lang w:val="sk-SK"/>
        </w:rPr>
        <w:t>je</w:t>
      </w:r>
      <w:r w:rsidR="004E2D24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zabezpečené vo výške 19,1 mil. </w:t>
      </w:r>
      <w:r w:rsidR="009B5000">
        <w:rPr>
          <w:sz w:val="24"/>
          <w:szCs w:val="24"/>
          <w:lang w:val="sk-SK"/>
        </w:rPr>
        <w:t>€</w:t>
      </w:r>
      <w:r w:rsidRPr="009B5000">
        <w:rPr>
          <w:sz w:val="24"/>
          <w:szCs w:val="24"/>
          <w:lang w:val="sk-SK"/>
        </w:rPr>
        <w:t xml:space="preserve"> ročne z rozpočtového zdroja </w:t>
      </w:r>
      <w:r w:rsidR="009B5000">
        <w:rPr>
          <w:sz w:val="24"/>
          <w:szCs w:val="24"/>
          <w:lang w:val="sk-SK"/>
        </w:rPr>
        <w:t>I</w:t>
      </w:r>
      <w:r w:rsidRPr="009B5000">
        <w:rPr>
          <w:sz w:val="24"/>
          <w:szCs w:val="24"/>
          <w:lang w:val="sk-SK"/>
        </w:rPr>
        <w:t>1a</w:t>
      </w:r>
      <w:r w:rsidR="009B5000">
        <w:rPr>
          <w:sz w:val="24"/>
          <w:szCs w:val="24"/>
          <w:lang w:val="sk-SK"/>
        </w:rPr>
        <w:t xml:space="preserve"> </w:t>
      </w:r>
      <w:r w:rsidRPr="009B5000">
        <w:rPr>
          <w:sz w:val="24"/>
          <w:szCs w:val="24"/>
          <w:lang w:val="sk-SK"/>
        </w:rPr>
        <w:t xml:space="preserve">I2, za predpokladu ich nevyužitia na iný účel. </w:t>
      </w:r>
    </w:p>
    <w:p w:rsidR="000B353B" w:rsidRPr="009B5000" w:rsidRDefault="000B353B" w:rsidP="009B5000">
      <w:pPr>
        <w:spacing w:after="60" w:line="320" w:lineRule="exact"/>
        <w:jc w:val="both"/>
        <w:rPr>
          <w:b/>
          <w:sz w:val="24"/>
          <w:szCs w:val="24"/>
          <w:lang w:val="sk-SK"/>
        </w:rPr>
      </w:pPr>
      <w:r w:rsidRPr="009B5000">
        <w:rPr>
          <w:b/>
          <w:sz w:val="24"/>
          <w:szCs w:val="24"/>
          <w:lang w:val="sk-SK"/>
        </w:rPr>
        <w:t xml:space="preserve">Nový systém priamych platieb s dôrazom na udržateľné zlepšovanie vidieckeho životného prostredia </w:t>
      </w:r>
    </w:p>
    <w:p w:rsidR="000B353B" w:rsidRPr="009B5000" w:rsidRDefault="009B5000" w:rsidP="009B5000">
      <w:pPr>
        <w:spacing w:after="60" w:line="320" w:lineRule="exact"/>
        <w:ind w:firstLine="36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SR</w:t>
      </w:r>
      <w:r w:rsidR="000B353B" w:rsidRPr="009B5000">
        <w:rPr>
          <w:sz w:val="24"/>
          <w:szCs w:val="24"/>
          <w:lang w:val="sk-SK"/>
        </w:rPr>
        <w:t xml:space="preserve"> implementovala nový systém priamych platieb tvorený viaczložkovým systémom podpôr, ktorý kladie dôraz na udržateľné zlepšovanie vidieckeho životného prostredia </w:t>
      </w:r>
      <w:r w:rsidR="004E2D24">
        <w:rPr>
          <w:sz w:val="24"/>
          <w:szCs w:val="24"/>
          <w:lang w:val="sk-SK"/>
        </w:rPr>
        <w:t> </w:t>
      </w:r>
      <w:r w:rsidR="004E2D24" w:rsidRPr="009B5000">
        <w:rPr>
          <w:sz w:val="24"/>
          <w:szCs w:val="24"/>
          <w:lang w:val="sk-SK"/>
        </w:rPr>
        <w:t>a</w:t>
      </w:r>
      <w:r w:rsidR="004E2D24">
        <w:rPr>
          <w:sz w:val="24"/>
          <w:szCs w:val="24"/>
          <w:lang w:val="sk-SK"/>
        </w:rPr>
        <w:t> </w:t>
      </w:r>
      <w:r w:rsidR="000B353B" w:rsidRPr="009B5000">
        <w:rPr>
          <w:sz w:val="24"/>
          <w:szCs w:val="24"/>
          <w:lang w:val="sk-SK"/>
        </w:rPr>
        <w:t>podporu pre mladých poľnohospodárov. Základným prvkom aj naďalej zostáva jednotná platba na plochu (SAPS).</w:t>
      </w:r>
      <w:r>
        <w:rPr>
          <w:sz w:val="24"/>
          <w:szCs w:val="24"/>
          <w:lang w:val="sk-SK"/>
        </w:rPr>
        <w:t xml:space="preserve"> </w:t>
      </w:r>
      <w:r w:rsidR="000B353B" w:rsidRPr="009B5000">
        <w:rPr>
          <w:sz w:val="24"/>
          <w:szCs w:val="24"/>
          <w:lang w:val="sk-SK"/>
        </w:rPr>
        <w:t xml:space="preserve">Nová SPP má zároveň za cieľ motivovať poľnohospodárov klásť dôraz na ekologické aspekty poľnohospodárskej činnosti formou alokácie až 30% celkovej obálky priamych platieb na </w:t>
      </w:r>
      <w:proofErr w:type="spellStart"/>
      <w:r w:rsidR="000B353B" w:rsidRPr="009B5000">
        <w:rPr>
          <w:sz w:val="24"/>
          <w:szCs w:val="24"/>
          <w:lang w:val="sk-SK"/>
        </w:rPr>
        <w:t>ekologizačnú</w:t>
      </w:r>
      <w:proofErr w:type="spellEnd"/>
      <w:r w:rsidR="000B353B" w:rsidRPr="009B5000">
        <w:rPr>
          <w:sz w:val="24"/>
          <w:szCs w:val="24"/>
          <w:lang w:val="sk-SK"/>
        </w:rPr>
        <w:t xml:space="preserve"> platbu, ktorá je podmienená dodržiavaním povinných postupov prospešných pre klímu a životné prostredie. </w:t>
      </w:r>
    </w:p>
    <w:p w:rsidR="000B353B" w:rsidRPr="009B5000" w:rsidRDefault="000B353B" w:rsidP="009B5000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S cieľom podporiť omladenie v poľnohospodárskom sektore sa bude poskytovať aj platba pre mladých poľnohospodárov, ktorí prvýkrát zakladajú poľnohospodársky podnik.</w:t>
      </w:r>
    </w:p>
    <w:p w:rsidR="00640F4D" w:rsidRDefault="000B353B" w:rsidP="00640F4D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Uvedený systém priamych platieb oddelených od produkcie dopĺňa desať schém viazaných priamych platieb.</w:t>
      </w:r>
    </w:p>
    <w:p w:rsidR="00640F4D" w:rsidRDefault="00640F4D" w:rsidP="00640F4D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</w:p>
    <w:p w:rsidR="000B353B" w:rsidRPr="009B5000" w:rsidRDefault="000B353B" w:rsidP="009B5000">
      <w:pPr>
        <w:spacing w:after="60" w:line="320" w:lineRule="exact"/>
        <w:ind w:left="360" w:hanging="360"/>
        <w:jc w:val="both"/>
        <w:rPr>
          <w:b/>
          <w:sz w:val="24"/>
          <w:szCs w:val="24"/>
          <w:lang w:val="sk-SK"/>
        </w:rPr>
      </w:pPr>
      <w:r w:rsidRPr="009B5000">
        <w:rPr>
          <w:b/>
          <w:sz w:val="24"/>
          <w:szCs w:val="24"/>
          <w:lang w:val="sk-SK"/>
        </w:rPr>
        <w:t xml:space="preserve">Príprava legislatívy na programové obdobie 2014 – 2020 </w:t>
      </w:r>
    </w:p>
    <w:p w:rsidR="000B353B" w:rsidRPr="00515E8E" w:rsidRDefault="000B353B" w:rsidP="009B5000">
      <w:pPr>
        <w:spacing w:after="60" w:line="320" w:lineRule="exact"/>
        <w:ind w:firstLine="360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V roku 2014 v nadväznosti na finalizáciu reformy SPP na programové obdobie 2014-2020 sa sekcia rozvoja vidieka a priamych platieb MPRV SR podieľala na tvorbe európskeho </w:t>
      </w:r>
      <w:r w:rsidRPr="009B5000">
        <w:rPr>
          <w:sz w:val="24"/>
          <w:szCs w:val="24"/>
          <w:lang w:val="sk-SK"/>
        </w:rPr>
        <w:lastRenderedPageBreak/>
        <w:t xml:space="preserve">legislatívneho rámca vo vzťahu k obom pilierom SPP.  Rok 2014 bol prechodným rokom, </w:t>
      </w:r>
      <w:r w:rsidR="004E2D24">
        <w:rPr>
          <w:sz w:val="24"/>
          <w:szCs w:val="24"/>
          <w:lang w:val="sk-SK"/>
        </w:rPr>
        <w:t> </w:t>
      </w:r>
      <w:r w:rsidR="004E2D24" w:rsidRPr="009B5000">
        <w:rPr>
          <w:sz w:val="24"/>
          <w:szCs w:val="24"/>
          <w:lang w:val="sk-SK"/>
        </w:rPr>
        <w:t>v</w:t>
      </w:r>
      <w:r w:rsidR="004E2D24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ktorom boli uplatňované schémy priamych platieb dobiehajúceho programového obdobia 2007 – 2013 s potrebnými zmenami upravenými  prechodným nariadením. Tieto zmeny boli </w:t>
      </w:r>
      <w:r w:rsidRPr="00515E8E">
        <w:rPr>
          <w:sz w:val="24"/>
          <w:szCs w:val="24"/>
          <w:lang w:val="sk-SK"/>
        </w:rPr>
        <w:t xml:space="preserve">reflektované v príslušných novelách aproximačných nariadení vlády SR č. 19/2014 </w:t>
      </w:r>
      <w:r w:rsidR="00640F4D" w:rsidRPr="00515E8E">
        <w:rPr>
          <w:sz w:val="24"/>
          <w:szCs w:val="24"/>
          <w:lang w:val="sk-SK"/>
        </w:rPr>
        <w:t>Z. z. a č. 20/2014 Z. z..</w:t>
      </w:r>
    </w:p>
    <w:p w:rsidR="000B353B" w:rsidRPr="009B5000" w:rsidRDefault="000B353B" w:rsidP="009B5000">
      <w:pPr>
        <w:spacing w:after="60" w:line="320" w:lineRule="exact"/>
        <w:ind w:firstLine="360"/>
        <w:jc w:val="both"/>
        <w:rPr>
          <w:sz w:val="24"/>
          <w:szCs w:val="24"/>
          <w:lang w:val="sk-SK"/>
        </w:rPr>
      </w:pPr>
      <w:r w:rsidRPr="00515E8E">
        <w:rPr>
          <w:sz w:val="24"/>
          <w:szCs w:val="24"/>
          <w:lang w:val="sk-SK"/>
        </w:rPr>
        <w:t>MPRV SR následne pripravilo k novému</w:t>
      </w:r>
      <w:r w:rsidRPr="009B5000">
        <w:rPr>
          <w:sz w:val="24"/>
          <w:szCs w:val="24"/>
          <w:lang w:val="sk-SK"/>
        </w:rPr>
        <w:t xml:space="preserve"> európskemu právnemu rámcu príslušnú aproximačnú legislatívu, ktorou je nariadenie vlády SR č. 342/2014 Z. z., ktorým </w:t>
      </w:r>
      <w:r w:rsidR="00487FA6" w:rsidRPr="009B5000">
        <w:rPr>
          <w:sz w:val="24"/>
          <w:szCs w:val="24"/>
          <w:lang w:val="sk-SK"/>
        </w:rPr>
        <w:t>sa</w:t>
      </w:r>
      <w:r w:rsidR="00487FA6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ustanovujú pravidlá poskytovania podpory v poľnohospodárstve v súvislosti so schémami oddelených priamych platieb v znení nariadenia vlády SR č. 76/2015 Z. z. a nariadenie vlády SR č. 36/2015 Z. z., ktorým sa ustanovujú pravidlá poskytovania podpory </w:t>
      </w:r>
      <w:r w:rsidR="00487FA6">
        <w:rPr>
          <w:sz w:val="24"/>
          <w:szCs w:val="24"/>
          <w:lang w:val="sk-SK"/>
        </w:rPr>
        <w:t> </w:t>
      </w:r>
      <w:r w:rsidR="00487FA6" w:rsidRPr="009B5000">
        <w:rPr>
          <w:sz w:val="24"/>
          <w:szCs w:val="24"/>
          <w:lang w:val="sk-SK"/>
        </w:rPr>
        <w:t>v</w:t>
      </w:r>
      <w:r w:rsidR="00487FA6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>poľnohospodárstve v súvislosti so schémami viazaných priamych platieb.</w:t>
      </w:r>
    </w:p>
    <w:p w:rsidR="000B353B" w:rsidRPr="009B5000" w:rsidRDefault="000B353B" w:rsidP="00F30FA3">
      <w:pPr>
        <w:spacing w:after="60" w:line="320" w:lineRule="exact"/>
        <w:jc w:val="both"/>
        <w:rPr>
          <w:sz w:val="24"/>
          <w:szCs w:val="24"/>
          <w:lang w:val="sk-SK"/>
        </w:rPr>
      </w:pPr>
    </w:p>
    <w:p w:rsidR="000B353B" w:rsidRPr="009B5000" w:rsidRDefault="000B353B" w:rsidP="00F30FA3">
      <w:pPr>
        <w:spacing w:after="60" w:line="320" w:lineRule="exact"/>
        <w:jc w:val="both"/>
        <w:rPr>
          <w:b/>
          <w:bCs/>
          <w:sz w:val="24"/>
          <w:szCs w:val="24"/>
          <w:u w:val="single"/>
          <w:lang w:val="sk-SK"/>
        </w:rPr>
      </w:pPr>
      <w:r w:rsidRPr="009B5000">
        <w:rPr>
          <w:b/>
          <w:bCs/>
          <w:sz w:val="24"/>
          <w:szCs w:val="24"/>
          <w:u w:val="single"/>
          <w:lang w:val="sk-SK"/>
        </w:rPr>
        <w:t>Program rozvoja vidieka</w:t>
      </w:r>
    </w:p>
    <w:p w:rsidR="000B353B" w:rsidRPr="009B5000" w:rsidRDefault="000B353B" w:rsidP="009B5000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K napĺňaniu cieľov, ktoré priamo prispievajú k plneniu úloh stanovených v Koncepcii, boli v roku 2014 v oblasti projektových podpôr vyhlásené nasledovné výzvy na predkladanie žiadostí o nenávratný finančný príspevok z Programu rozvoja vidieka SR 2007-2013 (ďalej len „PRV SR 2007-2013“):</w:t>
      </w:r>
    </w:p>
    <w:p w:rsidR="000B353B" w:rsidRPr="009B5000" w:rsidRDefault="000B353B" w:rsidP="009B5000">
      <w:pPr>
        <w:autoSpaceDE w:val="0"/>
        <w:autoSpaceDN w:val="0"/>
        <w:spacing w:after="60" w:line="320" w:lineRule="exact"/>
        <w:jc w:val="both"/>
        <w:rPr>
          <w:b/>
          <w:sz w:val="24"/>
          <w:szCs w:val="24"/>
          <w:lang w:val="sk-SK"/>
        </w:rPr>
      </w:pPr>
      <w:r w:rsidRPr="009B5000">
        <w:rPr>
          <w:b/>
          <w:sz w:val="24"/>
          <w:szCs w:val="24"/>
          <w:lang w:val="sk-SK"/>
        </w:rPr>
        <w:t xml:space="preserve">Zabezpečenie produkčnej výkonnosti v nosných komoditách živočíšnej výroby na úrovni 80 % súčasnej spotreby obyvateľstva SR </w:t>
      </w:r>
    </w:p>
    <w:p w:rsidR="000B353B" w:rsidRPr="009B5000" w:rsidRDefault="000B353B" w:rsidP="009B5000">
      <w:pPr>
        <w:autoSpaceDE w:val="0"/>
        <w:autoSpaceDN w:val="0"/>
        <w:spacing w:after="60" w:line="320" w:lineRule="exact"/>
        <w:ind w:firstLine="708"/>
        <w:jc w:val="both"/>
        <w:rPr>
          <w:color w:val="000000"/>
          <w:sz w:val="24"/>
          <w:szCs w:val="24"/>
          <w:lang w:val="sk-SK"/>
        </w:rPr>
      </w:pPr>
      <w:r w:rsidRPr="009B5000">
        <w:rPr>
          <w:color w:val="000000"/>
          <w:sz w:val="24"/>
          <w:szCs w:val="24"/>
          <w:lang w:val="sk-SK"/>
        </w:rPr>
        <w:t>Dňa 28.01.2014  bola vyhlásená výzva č.</w:t>
      </w:r>
      <w:r w:rsidRPr="009B5000">
        <w:rPr>
          <w:b/>
          <w:bCs/>
          <w:color w:val="000000"/>
          <w:sz w:val="24"/>
          <w:szCs w:val="24"/>
          <w:lang w:val="sk-SK"/>
        </w:rPr>
        <w:t xml:space="preserve"> </w:t>
      </w:r>
      <w:r w:rsidRPr="009B5000">
        <w:rPr>
          <w:color w:val="000000"/>
          <w:sz w:val="24"/>
          <w:szCs w:val="24"/>
          <w:lang w:val="sk-SK"/>
        </w:rPr>
        <w:t xml:space="preserve">2014/PRV/34 na predkladanie žiadostí </w:t>
      </w:r>
      <w:r w:rsidR="00487FA6">
        <w:rPr>
          <w:color w:val="000000"/>
          <w:sz w:val="24"/>
          <w:szCs w:val="24"/>
          <w:lang w:val="sk-SK"/>
        </w:rPr>
        <w:t> </w:t>
      </w:r>
      <w:r w:rsidR="00487FA6" w:rsidRPr="009B5000">
        <w:rPr>
          <w:color w:val="000000"/>
          <w:sz w:val="24"/>
          <w:szCs w:val="24"/>
          <w:lang w:val="sk-SK"/>
        </w:rPr>
        <w:t>o</w:t>
      </w:r>
      <w:r w:rsidR="00487FA6">
        <w:rPr>
          <w:color w:val="000000"/>
          <w:sz w:val="24"/>
          <w:szCs w:val="24"/>
          <w:lang w:val="sk-SK"/>
        </w:rPr>
        <w:t> </w:t>
      </w:r>
      <w:r w:rsidRPr="009B5000">
        <w:rPr>
          <w:color w:val="000000"/>
          <w:sz w:val="24"/>
          <w:szCs w:val="24"/>
          <w:lang w:val="sk-SK"/>
        </w:rPr>
        <w:t xml:space="preserve">nenávratný finančný príspevok v rámci opatrenia 1.2 Pridávanie hodnoty </w:t>
      </w:r>
      <w:r w:rsidR="00487FA6" w:rsidRPr="009B5000">
        <w:rPr>
          <w:color w:val="000000"/>
          <w:sz w:val="24"/>
          <w:szCs w:val="24"/>
          <w:lang w:val="sk-SK"/>
        </w:rPr>
        <w:t>do</w:t>
      </w:r>
      <w:r w:rsidR="00487FA6">
        <w:rPr>
          <w:color w:val="000000"/>
          <w:sz w:val="24"/>
          <w:szCs w:val="24"/>
          <w:lang w:val="sk-SK"/>
        </w:rPr>
        <w:t> </w:t>
      </w:r>
      <w:r w:rsidRPr="009B5000">
        <w:rPr>
          <w:color w:val="000000"/>
          <w:sz w:val="24"/>
          <w:szCs w:val="24"/>
          <w:lang w:val="sk-SK"/>
        </w:rPr>
        <w:t>poľnohospodárskych produktov a produktov lesného hospodárstva Časť: Pridávanie hodnoty do poľnohospodárskych produktov a žiadosti boli prijímané v termíne od 21.7.2014 do 1.8.2014. Výzva bola prioritne zameraná na projekty súvisiace so spracovaním mäsa a mäsových výrobkov, mlieka a mliečnych výrobkov, hydiny a vajec, pričom za takýto  projekt sa považuje ten, ktorého výdavky v daných oblastiach predstavujú  minimálne 85 % oprávnených výdavkov projektu. Výzva bola určená len pre spracovateľov poľnohospodárskych produktov.</w:t>
      </w:r>
    </w:p>
    <w:p w:rsidR="000B353B" w:rsidRPr="009B5000" w:rsidRDefault="000B353B" w:rsidP="009B5000">
      <w:pPr>
        <w:autoSpaceDE w:val="0"/>
        <w:autoSpaceDN w:val="0"/>
        <w:spacing w:after="60" w:line="320" w:lineRule="exact"/>
        <w:jc w:val="both"/>
        <w:rPr>
          <w:b/>
          <w:sz w:val="24"/>
          <w:szCs w:val="24"/>
          <w:lang w:val="sk-SK"/>
        </w:rPr>
      </w:pPr>
      <w:r w:rsidRPr="009B5000">
        <w:rPr>
          <w:b/>
          <w:sz w:val="24"/>
          <w:szCs w:val="24"/>
          <w:lang w:val="sk-SK"/>
        </w:rPr>
        <w:t xml:space="preserve">Zabezpečenie produkčnej výkonnosti v nosných komoditách rastlinnej výroby </w:t>
      </w:r>
      <w:r w:rsidR="00487FA6" w:rsidRPr="009B5000">
        <w:rPr>
          <w:b/>
          <w:sz w:val="24"/>
          <w:szCs w:val="24"/>
          <w:lang w:val="sk-SK"/>
        </w:rPr>
        <w:t>na</w:t>
      </w:r>
      <w:r w:rsidR="00487FA6">
        <w:rPr>
          <w:b/>
          <w:sz w:val="24"/>
          <w:szCs w:val="24"/>
          <w:lang w:val="sk-SK"/>
        </w:rPr>
        <w:t> </w:t>
      </w:r>
      <w:r w:rsidRPr="009B5000">
        <w:rPr>
          <w:b/>
          <w:sz w:val="24"/>
          <w:szCs w:val="24"/>
          <w:lang w:val="sk-SK"/>
        </w:rPr>
        <w:t xml:space="preserve">úrovni  80 % súčasnej spotreby obyvateľstva SR </w:t>
      </w:r>
    </w:p>
    <w:p w:rsidR="000B353B" w:rsidRPr="009B5000" w:rsidRDefault="000B353B" w:rsidP="009B5000">
      <w:pPr>
        <w:autoSpaceDE w:val="0"/>
        <w:autoSpaceDN w:val="0"/>
        <w:spacing w:after="60" w:line="320" w:lineRule="exact"/>
        <w:ind w:firstLine="708"/>
        <w:jc w:val="both"/>
        <w:rPr>
          <w:color w:val="000000"/>
          <w:sz w:val="24"/>
          <w:szCs w:val="24"/>
          <w:lang w:val="sk-SK"/>
        </w:rPr>
      </w:pPr>
      <w:r w:rsidRPr="009B5000">
        <w:rPr>
          <w:color w:val="000000"/>
          <w:sz w:val="24"/>
          <w:szCs w:val="24"/>
          <w:lang w:val="sk-SK"/>
        </w:rPr>
        <w:t>Dňa 21.03.2014  bola vyhlásená výzva č.2014/PRV/35</w:t>
      </w:r>
      <w:r w:rsidRPr="009B5000">
        <w:rPr>
          <w:b/>
          <w:bCs/>
          <w:color w:val="000000"/>
          <w:sz w:val="24"/>
          <w:szCs w:val="24"/>
          <w:lang w:val="sk-SK"/>
        </w:rPr>
        <w:t xml:space="preserve"> </w:t>
      </w:r>
      <w:r w:rsidRPr="009B5000">
        <w:rPr>
          <w:color w:val="000000"/>
          <w:sz w:val="24"/>
          <w:szCs w:val="24"/>
          <w:lang w:val="sk-SK"/>
        </w:rPr>
        <w:t xml:space="preserve">na predkladanie žiadostí </w:t>
      </w:r>
      <w:r w:rsidR="00487FA6">
        <w:rPr>
          <w:color w:val="000000"/>
          <w:sz w:val="24"/>
          <w:szCs w:val="24"/>
          <w:lang w:val="sk-SK"/>
        </w:rPr>
        <w:t> </w:t>
      </w:r>
      <w:r w:rsidR="00487FA6" w:rsidRPr="009B5000">
        <w:rPr>
          <w:color w:val="000000"/>
          <w:sz w:val="24"/>
          <w:szCs w:val="24"/>
          <w:lang w:val="sk-SK"/>
        </w:rPr>
        <w:t>o</w:t>
      </w:r>
      <w:r w:rsidR="00487FA6">
        <w:rPr>
          <w:color w:val="000000"/>
          <w:sz w:val="24"/>
          <w:szCs w:val="24"/>
          <w:lang w:val="sk-SK"/>
        </w:rPr>
        <w:t> </w:t>
      </w:r>
      <w:r w:rsidRPr="009B5000">
        <w:rPr>
          <w:color w:val="000000"/>
          <w:sz w:val="24"/>
          <w:szCs w:val="24"/>
          <w:lang w:val="sk-SK"/>
        </w:rPr>
        <w:t xml:space="preserve">nenávratný finančný príspevok v rámci opatrenia 1.1 Modernizácia fariem a žiadosti boli prijímané v termíne od 11.08.2014 do 19.09.2014. Výzva bola prioritne zameraná na projekty v rastlinnej výrobe, pričom za takýto  projekt sa považuje ten, ktorého výdavky v oblasti sektorov:  ovocia a zeleniny, vinohradníctva, liečivých rastlín, konzumných zemiakov </w:t>
      </w:r>
      <w:r w:rsidR="00E916C7">
        <w:rPr>
          <w:color w:val="000000"/>
          <w:sz w:val="24"/>
          <w:szCs w:val="24"/>
          <w:lang w:val="sk-SK"/>
        </w:rPr>
        <w:t> </w:t>
      </w:r>
      <w:r w:rsidR="00E916C7" w:rsidRPr="009B5000">
        <w:rPr>
          <w:color w:val="000000"/>
          <w:sz w:val="24"/>
          <w:szCs w:val="24"/>
          <w:lang w:val="sk-SK"/>
        </w:rPr>
        <w:t>a</w:t>
      </w:r>
      <w:r w:rsidR="00E916C7">
        <w:rPr>
          <w:color w:val="000000"/>
          <w:sz w:val="24"/>
          <w:szCs w:val="24"/>
          <w:lang w:val="sk-SK"/>
        </w:rPr>
        <w:t> </w:t>
      </w:r>
      <w:r w:rsidRPr="009B5000">
        <w:rPr>
          <w:color w:val="000000"/>
          <w:sz w:val="24"/>
          <w:szCs w:val="24"/>
          <w:lang w:val="sk-SK"/>
        </w:rPr>
        <w:t>ostatnej rastlinnej výroby predstavujú  minimálne 60 %  oprávnených výdavkov projektu.</w:t>
      </w:r>
    </w:p>
    <w:p w:rsidR="000B353B" w:rsidRPr="00487FA6" w:rsidRDefault="00732981" w:rsidP="00732981">
      <w:pPr>
        <w:autoSpaceDE w:val="0"/>
        <w:autoSpaceDN w:val="0"/>
        <w:spacing w:after="60" w:line="320" w:lineRule="exact"/>
        <w:jc w:val="both"/>
        <w:rPr>
          <w:bCs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ab/>
      </w:r>
      <w:r w:rsidR="00640F4D" w:rsidRPr="00640F4D">
        <w:rPr>
          <w:bCs/>
          <w:sz w:val="24"/>
          <w:szCs w:val="24"/>
          <w:lang w:val="sk-SK"/>
        </w:rPr>
        <w:t>V roku 2014 vyhlásilo Výzvy viac ako 20 Miestnych akčných skupín.</w:t>
      </w:r>
    </w:p>
    <w:p w:rsidR="000B353B" w:rsidRPr="009B5000" w:rsidRDefault="000B353B" w:rsidP="00732981">
      <w:pPr>
        <w:autoSpaceDE w:val="0"/>
        <w:autoSpaceDN w:val="0"/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color w:val="000000"/>
          <w:sz w:val="24"/>
          <w:szCs w:val="24"/>
          <w:lang w:val="sk-SK"/>
        </w:rPr>
        <w:t xml:space="preserve">Výsledky analýz Koncepcie rozvoja pôdohospodárstva SR na roky 2013-2020, ako </w:t>
      </w:r>
      <w:r w:rsidR="00487FA6" w:rsidRPr="009B5000">
        <w:rPr>
          <w:color w:val="000000"/>
          <w:sz w:val="24"/>
          <w:szCs w:val="24"/>
          <w:lang w:val="sk-SK"/>
        </w:rPr>
        <w:t>aj</w:t>
      </w:r>
      <w:r w:rsidR="00487FA6">
        <w:rPr>
          <w:color w:val="000000"/>
          <w:sz w:val="24"/>
          <w:szCs w:val="24"/>
          <w:lang w:val="sk-SK"/>
        </w:rPr>
        <w:t> </w:t>
      </w:r>
      <w:r w:rsidRPr="009B5000">
        <w:rPr>
          <w:color w:val="000000"/>
          <w:sz w:val="24"/>
          <w:szCs w:val="24"/>
          <w:lang w:val="sk-SK"/>
        </w:rPr>
        <w:t xml:space="preserve">schválený Akčný plán rozvoja vidieka SR 2014-2020 tvorili podklad </w:t>
      </w:r>
      <w:r w:rsidRPr="009B5000">
        <w:rPr>
          <w:sz w:val="24"/>
          <w:szCs w:val="24"/>
          <w:lang w:val="sk-SK"/>
        </w:rPr>
        <w:t xml:space="preserve">pri príprave projektových a neprojektových opatrení Programu rozvoja vidieka SR 2014-2020 (ďalej </w:t>
      </w:r>
      <w:r w:rsidR="00487FA6" w:rsidRPr="009B5000">
        <w:rPr>
          <w:sz w:val="24"/>
          <w:szCs w:val="24"/>
          <w:lang w:val="sk-SK"/>
        </w:rPr>
        <w:lastRenderedPageBreak/>
        <w:t>len</w:t>
      </w:r>
      <w:r w:rsidR="00487FA6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„PRV SR 2014-2020“), na príprave ktorých sa začalo už v roku 2013 a prípravy pokračovali najmä v roku 2014. </w:t>
      </w:r>
    </w:p>
    <w:p w:rsidR="000B353B" w:rsidRPr="009B5000" w:rsidRDefault="000B353B" w:rsidP="00732981">
      <w:pPr>
        <w:autoSpaceDE w:val="0"/>
        <w:autoSpaceDN w:val="0"/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Návrh PRV SR 2014-2020 bol schválený vládou SR a oficiálne zaslaný na schválenie Európskej komisii (ďalej len „EK“) 14.05.2014. Dňa 15.08.2014 EK predložila oficiálne pripomienky k návrhu PRV SR 2014-2020 a po zapracovaní a vyhodnotení pripomienok bol dokument PRV SR 2014-2020 dňa 15.12.2014 druhý krát oficiálne zaslaný na EK. PRV SR 2014-2020 bol oficiálne schválený EK dňa 13.02.2015.</w:t>
      </w:r>
    </w:p>
    <w:p w:rsidR="000B353B" w:rsidRPr="009B5000" w:rsidRDefault="000B353B" w:rsidP="00732981">
      <w:pPr>
        <w:autoSpaceDE w:val="0"/>
        <w:autoSpaceDN w:val="0"/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color w:val="000000"/>
          <w:sz w:val="24"/>
          <w:szCs w:val="24"/>
          <w:lang w:val="sk-SK"/>
        </w:rPr>
        <w:t xml:space="preserve">V oblasti </w:t>
      </w:r>
      <w:r w:rsidRPr="009B5000">
        <w:rPr>
          <w:color w:val="000000"/>
          <w:sz w:val="24"/>
          <w:szCs w:val="24"/>
          <w:u w:val="single"/>
          <w:lang w:val="sk-SK"/>
        </w:rPr>
        <w:t>projektových podpôr</w:t>
      </w:r>
      <w:r w:rsidRPr="009B5000">
        <w:rPr>
          <w:color w:val="000000"/>
          <w:sz w:val="24"/>
          <w:szCs w:val="24"/>
          <w:lang w:val="sk-SK"/>
        </w:rPr>
        <w:t xml:space="preserve"> PRV SR 2014-2020 prebiehali prípravné práce </w:t>
      </w:r>
      <w:r w:rsidR="003844D6" w:rsidRPr="009B5000">
        <w:rPr>
          <w:color w:val="000000"/>
          <w:sz w:val="24"/>
          <w:szCs w:val="24"/>
          <w:lang w:val="sk-SK"/>
        </w:rPr>
        <w:t>na</w:t>
      </w:r>
      <w:r w:rsidR="003844D6">
        <w:rPr>
          <w:color w:val="000000"/>
          <w:sz w:val="24"/>
          <w:szCs w:val="24"/>
          <w:lang w:val="sk-SK"/>
        </w:rPr>
        <w:t> </w:t>
      </w:r>
      <w:r w:rsidRPr="009B5000">
        <w:rPr>
          <w:color w:val="000000"/>
          <w:sz w:val="24"/>
          <w:szCs w:val="24"/>
          <w:lang w:val="sk-SK"/>
        </w:rPr>
        <w:t>opatreniach, ktoré v rámci úloh Koncepcie prispejú k naplneniu cieľa</w:t>
      </w:r>
      <w:r w:rsidR="00732981">
        <w:rPr>
          <w:color w:val="000000"/>
          <w:sz w:val="24"/>
          <w:szCs w:val="24"/>
          <w:lang w:val="sk-SK"/>
        </w:rPr>
        <w:t xml:space="preserve">:  </w:t>
      </w:r>
      <w:r w:rsidRPr="009B5000">
        <w:rPr>
          <w:sz w:val="24"/>
          <w:szCs w:val="24"/>
          <w:lang w:val="sk-SK"/>
        </w:rPr>
        <w:t xml:space="preserve">Rozvoj vidieka </w:t>
      </w:r>
      <w:r w:rsidR="003844D6">
        <w:rPr>
          <w:sz w:val="24"/>
          <w:szCs w:val="24"/>
          <w:lang w:val="sk-SK"/>
        </w:rPr>
        <w:t> </w:t>
      </w:r>
      <w:r w:rsidR="003844D6" w:rsidRPr="009B5000">
        <w:rPr>
          <w:sz w:val="24"/>
          <w:szCs w:val="24"/>
          <w:lang w:val="sk-SK"/>
        </w:rPr>
        <w:t>a</w:t>
      </w:r>
      <w:r w:rsidR="003844D6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 xml:space="preserve">zlepšenie životných podmienok a zamestnanosti vidieckeho obyvateľstva, predovšetkým prostredníctvom sektorov, ktoré sú potenciálnymi zdrojmi zamestnanosti a </w:t>
      </w:r>
      <w:r w:rsidRPr="009B5000">
        <w:rPr>
          <w:color w:val="000000"/>
          <w:sz w:val="24"/>
          <w:szCs w:val="24"/>
          <w:lang w:val="sk-SK"/>
        </w:rPr>
        <w:t>podpora živočíšnej výroby, špecializovanej rastlinnej výroby a podpora pre oblasť lesného hospodárstva</w:t>
      </w:r>
      <w:r w:rsidR="003844D6">
        <w:rPr>
          <w:color w:val="000000"/>
          <w:sz w:val="24"/>
          <w:szCs w:val="24"/>
          <w:lang w:val="sk-SK"/>
        </w:rPr>
        <w:t>.</w:t>
      </w:r>
    </w:p>
    <w:p w:rsidR="000B353B" w:rsidRPr="009B5000" w:rsidRDefault="000B353B" w:rsidP="00732981">
      <w:pPr>
        <w:spacing w:after="60" w:line="320" w:lineRule="exact"/>
        <w:ind w:firstLine="708"/>
        <w:contextualSpacing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Plnenie relevantných častí koncepcie sa premietlo do neprojektových opatrení schváleného Programu rozvoja vidieka SR 2014-2020.</w:t>
      </w:r>
    </w:p>
    <w:p w:rsidR="000B353B" w:rsidRPr="009B5000" w:rsidRDefault="000B353B" w:rsidP="00732981">
      <w:pPr>
        <w:spacing w:after="60" w:line="320" w:lineRule="exact"/>
        <w:ind w:firstLine="708"/>
        <w:contextualSpacing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V rámci týchto opatrení (</w:t>
      </w:r>
      <w:proofErr w:type="spellStart"/>
      <w:r w:rsidRPr="009B5000">
        <w:rPr>
          <w:sz w:val="24"/>
          <w:szCs w:val="24"/>
          <w:lang w:val="sk-SK"/>
        </w:rPr>
        <w:t>agroenvironmentálno</w:t>
      </w:r>
      <w:proofErr w:type="spellEnd"/>
      <w:r w:rsidRPr="009B5000">
        <w:rPr>
          <w:sz w:val="24"/>
          <w:szCs w:val="24"/>
          <w:lang w:val="sk-SK"/>
        </w:rPr>
        <w:t xml:space="preserve"> - klimatické opatrenie, ekologické poľnohospodárstvo, životné podmienky zvierat )  sú v schválenom programe kvantifikované cieľové ukazovatele a finančné rámce, ktoré napĺňajú stanovené úlohy z Koncepcie.</w:t>
      </w:r>
    </w:p>
    <w:p w:rsidR="000B353B" w:rsidRPr="009B5000" w:rsidRDefault="000B353B" w:rsidP="00F30FA3">
      <w:pPr>
        <w:spacing w:after="60" w:line="320" w:lineRule="exact"/>
        <w:contextualSpacing/>
        <w:jc w:val="both"/>
        <w:rPr>
          <w:sz w:val="24"/>
          <w:szCs w:val="24"/>
          <w:lang w:val="sk-SK"/>
        </w:rPr>
      </w:pPr>
    </w:p>
    <w:p w:rsidR="000B353B" w:rsidRPr="009B5000" w:rsidRDefault="000B353B" w:rsidP="00732981">
      <w:pPr>
        <w:spacing w:after="60" w:line="320" w:lineRule="exact"/>
        <w:contextualSpacing/>
        <w:jc w:val="both"/>
        <w:rPr>
          <w:sz w:val="24"/>
          <w:szCs w:val="24"/>
          <w:lang w:val="sk-SK"/>
        </w:rPr>
      </w:pPr>
      <w:r w:rsidRPr="00732981">
        <w:rPr>
          <w:b/>
          <w:bCs/>
          <w:sz w:val="24"/>
          <w:szCs w:val="24"/>
          <w:lang w:val="sk-SK"/>
        </w:rPr>
        <w:t>Rybné hospodárstvo</w:t>
      </w:r>
      <w:r w:rsidR="00732981">
        <w:rPr>
          <w:b/>
          <w:bCs/>
          <w:sz w:val="24"/>
          <w:szCs w:val="24"/>
          <w:lang w:val="sk-SK"/>
        </w:rPr>
        <w:t xml:space="preserve"> - </w:t>
      </w:r>
      <w:r w:rsidRPr="009B5000">
        <w:rPr>
          <w:sz w:val="24"/>
          <w:szCs w:val="24"/>
          <w:lang w:val="sk-SK"/>
        </w:rPr>
        <w:t>Potreby v oblasti hospodárskeho chovu rýb uvedené v Koncepcii boli zapracované do návrhu Operačného programu Rybné hospodárstvo 2014-2020 (ďalej len „OPRH“), pričom ide predovšetkým o:</w:t>
      </w:r>
    </w:p>
    <w:p w:rsidR="000B353B" w:rsidRPr="009B5000" w:rsidRDefault="000B353B" w:rsidP="00F30FA3">
      <w:pPr>
        <w:numPr>
          <w:ilvl w:val="0"/>
          <w:numId w:val="44"/>
        </w:numPr>
        <w:spacing w:after="60" w:line="320" w:lineRule="exact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podporu predaja produktov hospodárskeho chovu rýb priamo na farme v živom a/alebo upravenom stave,</w:t>
      </w:r>
    </w:p>
    <w:p w:rsidR="000B353B" w:rsidRPr="009B5000" w:rsidRDefault="000B353B" w:rsidP="00F30FA3">
      <w:pPr>
        <w:numPr>
          <w:ilvl w:val="0"/>
          <w:numId w:val="44"/>
        </w:numPr>
        <w:spacing w:after="60" w:line="320" w:lineRule="exact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podporu diverzifikácie </w:t>
      </w:r>
      <w:proofErr w:type="spellStart"/>
      <w:r w:rsidRPr="009B5000">
        <w:rPr>
          <w:sz w:val="24"/>
          <w:szCs w:val="24"/>
          <w:lang w:val="sk-SK"/>
        </w:rPr>
        <w:t>akvakultúrnych</w:t>
      </w:r>
      <w:proofErr w:type="spellEnd"/>
      <w:r w:rsidRPr="009B5000">
        <w:rPr>
          <w:sz w:val="24"/>
          <w:szCs w:val="24"/>
          <w:lang w:val="sk-SK"/>
        </w:rPr>
        <w:t xml:space="preserve"> činností,</w:t>
      </w:r>
    </w:p>
    <w:p w:rsidR="000B353B" w:rsidRPr="009B5000" w:rsidRDefault="000B353B" w:rsidP="00F30FA3">
      <w:pPr>
        <w:numPr>
          <w:ilvl w:val="0"/>
          <w:numId w:val="44"/>
        </w:numPr>
        <w:spacing w:after="60" w:line="320" w:lineRule="exact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vzájomné vybilancovanie ochrany </w:t>
      </w:r>
      <w:proofErr w:type="spellStart"/>
      <w:r w:rsidRPr="009B5000">
        <w:rPr>
          <w:sz w:val="24"/>
          <w:szCs w:val="24"/>
          <w:lang w:val="sk-SK"/>
        </w:rPr>
        <w:t>rybožravých</w:t>
      </w:r>
      <w:proofErr w:type="spellEnd"/>
      <w:r w:rsidRPr="009B5000">
        <w:rPr>
          <w:sz w:val="24"/>
          <w:szCs w:val="24"/>
          <w:lang w:val="sk-SK"/>
        </w:rPr>
        <w:t xml:space="preserve"> predátorov a hospodárskeho chovu rýb, napr. podporou takých zariadení na ochranu chovov pred </w:t>
      </w:r>
      <w:proofErr w:type="spellStart"/>
      <w:r w:rsidRPr="009B5000">
        <w:rPr>
          <w:sz w:val="24"/>
          <w:szCs w:val="24"/>
          <w:lang w:val="sk-SK"/>
        </w:rPr>
        <w:t>rybožravými</w:t>
      </w:r>
      <w:proofErr w:type="spellEnd"/>
      <w:r w:rsidRPr="009B5000">
        <w:rPr>
          <w:sz w:val="24"/>
          <w:szCs w:val="24"/>
          <w:lang w:val="sk-SK"/>
        </w:rPr>
        <w:t xml:space="preserve"> predátormi, ktoré nebudú spôsobovať úhyn vtáctva vrátane vzácnych druhov,</w:t>
      </w:r>
    </w:p>
    <w:p w:rsidR="000B353B" w:rsidRPr="009B5000" w:rsidRDefault="000B353B" w:rsidP="00F30FA3">
      <w:pPr>
        <w:numPr>
          <w:ilvl w:val="0"/>
          <w:numId w:val="44"/>
        </w:numPr>
        <w:spacing w:after="60" w:line="320" w:lineRule="exact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 xml:space="preserve">podporu inovácií v sektore hospodárskeho chovu rýb, ktoré budú viac šetrné </w:t>
      </w:r>
      <w:r w:rsidR="003844D6">
        <w:rPr>
          <w:sz w:val="24"/>
          <w:szCs w:val="24"/>
          <w:lang w:val="sk-SK"/>
        </w:rPr>
        <w:t> </w:t>
      </w:r>
      <w:r w:rsidR="003844D6" w:rsidRPr="009B5000">
        <w:rPr>
          <w:sz w:val="24"/>
          <w:szCs w:val="24"/>
          <w:lang w:val="sk-SK"/>
        </w:rPr>
        <w:t>k</w:t>
      </w:r>
      <w:r w:rsidR="003844D6">
        <w:rPr>
          <w:sz w:val="24"/>
          <w:szCs w:val="24"/>
          <w:lang w:val="sk-SK"/>
        </w:rPr>
        <w:t> </w:t>
      </w:r>
      <w:r w:rsidRPr="009B5000">
        <w:rPr>
          <w:sz w:val="24"/>
          <w:szCs w:val="24"/>
          <w:lang w:val="sk-SK"/>
        </w:rPr>
        <w:t>životnému prostrediu s nižšími nárokmi na zdroje vody (</w:t>
      </w:r>
      <w:proofErr w:type="spellStart"/>
      <w:r w:rsidRPr="009B5000">
        <w:rPr>
          <w:sz w:val="24"/>
          <w:szCs w:val="24"/>
          <w:lang w:val="sk-SK"/>
        </w:rPr>
        <w:t>recirkulačné</w:t>
      </w:r>
      <w:proofErr w:type="spellEnd"/>
      <w:r w:rsidRPr="009B5000">
        <w:rPr>
          <w:sz w:val="24"/>
          <w:szCs w:val="24"/>
          <w:lang w:val="sk-SK"/>
        </w:rPr>
        <w:t xml:space="preserve"> systémy).</w:t>
      </w:r>
    </w:p>
    <w:p w:rsidR="000B353B" w:rsidRPr="009B5000" w:rsidRDefault="000B353B" w:rsidP="00732981">
      <w:pPr>
        <w:spacing w:after="60" w:line="320" w:lineRule="exact"/>
        <w:ind w:firstLine="708"/>
        <w:jc w:val="both"/>
        <w:rPr>
          <w:sz w:val="24"/>
          <w:szCs w:val="24"/>
          <w:lang w:val="sk-SK"/>
        </w:rPr>
      </w:pPr>
      <w:r w:rsidRPr="009B5000">
        <w:rPr>
          <w:sz w:val="24"/>
          <w:szCs w:val="24"/>
          <w:lang w:val="sk-SK"/>
        </w:rPr>
        <w:t>Nakoľko OPRH zatiaľ nebol schválený Európskou komisiou, nie je ho možné implementovať. Na základe uvedeného je vyhodnotenie plnenia úloh vyplývajúcich z Koncepcie v tejto fáze nemožné.</w:t>
      </w:r>
    </w:p>
    <w:p w:rsidR="000B353B" w:rsidRPr="009B5000" w:rsidRDefault="000B353B" w:rsidP="00F30FA3">
      <w:pPr>
        <w:autoSpaceDE w:val="0"/>
        <w:autoSpaceDN w:val="0"/>
        <w:adjustRightInd w:val="0"/>
        <w:spacing w:after="60" w:line="320" w:lineRule="exact"/>
        <w:rPr>
          <w:color w:val="141414"/>
          <w:sz w:val="24"/>
          <w:szCs w:val="24"/>
          <w:lang w:val="sk-SK"/>
        </w:rPr>
      </w:pPr>
    </w:p>
    <w:p w:rsidR="003844D6" w:rsidRDefault="003844D6" w:rsidP="00F30FA3">
      <w:pPr>
        <w:autoSpaceDE w:val="0"/>
        <w:autoSpaceDN w:val="0"/>
        <w:adjustRightInd w:val="0"/>
        <w:spacing w:after="60" w:line="320" w:lineRule="exact"/>
        <w:jc w:val="both"/>
        <w:rPr>
          <w:color w:val="141414"/>
          <w:sz w:val="24"/>
          <w:szCs w:val="24"/>
          <w:lang w:val="sk-SK"/>
        </w:rPr>
      </w:pPr>
      <w:r>
        <w:rPr>
          <w:b/>
          <w:color w:val="141414"/>
          <w:sz w:val="24"/>
          <w:szCs w:val="24"/>
          <w:lang w:val="sk-SK"/>
        </w:rPr>
        <w:t>P</w:t>
      </w:r>
      <w:r w:rsidR="005E0CB8">
        <w:rPr>
          <w:b/>
          <w:color w:val="141414"/>
          <w:sz w:val="24"/>
          <w:szCs w:val="24"/>
          <w:lang w:val="sk-SK"/>
        </w:rPr>
        <w:t>ôdo</w:t>
      </w:r>
      <w:r>
        <w:rPr>
          <w:b/>
          <w:color w:val="141414"/>
          <w:sz w:val="24"/>
          <w:szCs w:val="24"/>
          <w:lang w:val="sk-SK"/>
        </w:rPr>
        <w:t>hospodárska platobná agentúra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 xml:space="preserve">PPA sa podieľa na výkone Koncepcie rozvoja pôdohospodárstva SR na roky 2013 – 2020 podľa pokynov MPRV SR.  Úlohou PPA je zabezpečovanie administratívnej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a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kontrolnej činnosti pri poskytovaní podpôr</w:t>
      </w:r>
      <w:r w:rsidR="003844D6">
        <w:rPr>
          <w:color w:val="141414"/>
          <w:sz w:val="24"/>
          <w:szCs w:val="24"/>
          <w:lang w:val="sk-SK"/>
        </w:rPr>
        <w:t xml:space="preserve"> </w:t>
      </w:r>
      <w:r w:rsidRPr="009B5000">
        <w:rPr>
          <w:color w:val="141414"/>
          <w:sz w:val="24"/>
          <w:szCs w:val="24"/>
          <w:lang w:val="sk-SK"/>
        </w:rPr>
        <w:t>v poľnohospodárstve, potravinárstve, lesnom hospodárstve, rybnom hospodárstve a pri rozvoji vidieka z prostriedkov fondov EÚ a štátneho rozpočtu SR. PPA má výkon niektorých činností zabezpečovaný formou dohôd o delegovaní činností s externými organizáciami (VÚPOP Bratislava, ÚKSÚP a ŠVPS SR).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lastRenderedPageBreak/>
        <w:t xml:space="preserve">Na výkon činností súvisiacich s poskytovaním podpôr z EPZF a EPFRV mala PPA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v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roku 2014 plnú akreditácia udelenú príslušným orgánom (MPRV SR) v zmysle legislatívy EÚ.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 xml:space="preserve">V roku 2014 PPA pokračovala v implementácii opatrení PRV SR 2007 – 2013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a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OPRH SR</w:t>
      </w:r>
      <w:r w:rsidR="003844D6">
        <w:rPr>
          <w:color w:val="141414"/>
          <w:sz w:val="24"/>
          <w:szCs w:val="24"/>
          <w:lang w:val="sk-SK"/>
        </w:rPr>
        <w:t xml:space="preserve"> </w:t>
      </w:r>
      <w:r w:rsidRPr="009B5000">
        <w:rPr>
          <w:color w:val="141414"/>
          <w:sz w:val="24"/>
          <w:szCs w:val="24"/>
          <w:lang w:val="sk-SK"/>
        </w:rPr>
        <w:t xml:space="preserve">2007 – 2013. Ďalej pokračovala v administrovaní priamych podpôr, nástrojov spoločnej organizácie trhu a v administrácii štátnej pomoci v oblasti pôdohospodárstva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a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 xml:space="preserve">rozvoja vidieka. Tieto podpory PPA poskytovala pre podnikateľské subjekty, zväzy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a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združenia, verejnoprávne a štátne inštitúcie pôsobiace v oblasti poľnohospodárstva, lesníctva, potravinárstva, rozvoja vidieka, vedy, výskumu a vzdelávania.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 xml:space="preserve">V roku 2014 PPA ďalej upravovala a aktualizovala informačné systémy Integrovaného administratívneho a kontrolného systému (IS IACS) a informačné systémy agrárneho informačného systému (IS AGIS) na používanie a využitie spoločných dát. Pripravovala sa na zavádzanie </w:t>
      </w:r>
      <w:proofErr w:type="spellStart"/>
      <w:r w:rsidRPr="009B5000">
        <w:rPr>
          <w:color w:val="141414"/>
          <w:sz w:val="24"/>
          <w:szCs w:val="24"/>
          <w:lang w:val="sk-SK"/>
        </w:rPr>
        <w:t>e-Governmentu</w:t>
      </w:r>
      <w:proofErr w:type="spellEnd"/>
      <w:r w:rsidRPr="009B5000">
        <w:rPr>
          <w:color w:val="141414"/>
          <w:sz w:val="24"/>
          <w:szCs w:val="24"/>
          <w:lang w:val="sk-SK"/>
        </w:rPr>
        <w:t xml:space="preserve"> v SR so zameraním na elektronické služby, prostredníctvom ktorých bude zabezpečované čerpanie Európskych fondov na podporu poľnohospodárstva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a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rybného hospodárstva, skvalitnenie služieb pôdohospodárom, zvýšenie efektívnosti administrácie žiadosti, elektronická komunikáciu so žiadateľmi a zníženie nákladov tejto agendy na oboch stranách.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>PPA v rámci kontrolnej činnosti v oblasti priamych podpôr, projektových podpôr, trhových opatrení, rybného hospodárstva a delegovaných činností v roku 2014 vykonala 5 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070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kontrol na mieste zameraných na efektívnosť využitia prostriedkov poskytnutých z fondov EÚ.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 xml:space="preserve">Financovanie podpôr v oblasti pôdohospodárstva bolo v roku 2014 v rámci rozpočtu PPA realizované z prostriedkov EÚ prostredníctvom Európskeho poľnohospodárskeho záručného fondu (EPZF), Európskeho poľnohospodárskeho fondu pre rozvoj vidieka (EPFRV), Európskeho fondu pre rybné hospodárstvo (EFRH), Európskeho námorného </w:t>
      </w:r>
      <w:r w:rsidR="003844D6">
        <w:rPr>
          <w:color w:val="141414"/>
          <w:sz w:val="24"/>
          <w:szCs w:val="24"/>
          <w:lang w:val="sk-SK"/>
        </w:rPr>
        <w:t> </w:t>
      </w:r>
      <w:r w:rsidR="003844D6" w:rsidRPr="009B5000">
        <w:rPr>
          <w:color w:val="141414"/>
          <w:sz w:val="24"/>
          <w:szCs w:val="24"/>
          <w:lang w:val="sk-SK"/>
        </w:rPr>
        <w:t>a</w:t>
      </w:r>
      <w:r w:rsidR="003844D6">
        <w:rPr>
          <w:color w:val="141414"/>
          <w:sz w:val="24"/>
          <w:szCs w:val="24"/>
          <w:lang w:val="sk-SK"/>
        </w:rPr>
        <w:t> </w:t>
      </w:r>
      <w:r w:rsidRPr="009B5000">
        <w:rPr>
          <w:color w:val="141414"/>
          <w:sz w:val="24"/>
          <w:szCs w:val="24"/>
          <w:lang w:val="sk-SK"/>
        </w:rPr>
        <w:t>rybárskeho fondu (ENRF) a spolufinancovanie zo štátneho rozpočtu SR.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 xml:space="preserve">Upravený rozpočet príjmov predstavoval k 31. 12. 2014 celkový objem 509,840 mil. </w:t>
      </w:r>
      <w:r w:rsidR="004E2D24">
        <w:rPr>
          <w:color w:val="141414"/>
          <w:sz w:val="24"/>
          <w:szCs w:val="24"/>
          <w:lang w:val="sk-SK"/>
        </w:rPr>
        <w:t>€</w:t>
      </w:r>
      <w:r w:rsidRPr="009B5000">
        <w:rPr>
          <w:color w:val="141414"/>
          <w:sz w:val="24"/>
          <w:szCs w:val="24"/>
          <w:lang w:val="sk-SK"/>
        </w:rPr>
        <w:t xml:space="preserve">. Celkový príjem v roku 2014 bol naplnený na 99,26 %. Upravené príjmy z rozpočtu EÚ k 31.12.2014 predstavovali objem 509,706 mil. </w:t>
      </w:r>
      <w:r w:rsidR="004E2D24">
        <w:rPr>
          <w:color w:val="141414"/>
          <w:sz w:val="24"/>
          <w:szCs w:val="24"/>
          <w:lang w:val="sk-SK"/>
        </w:rPr>
        <w:t>€</w:t>
      </w:r>
      <w:r w:rsidRPr="009B5000">
        <w:rPr>
          <w:color w:val="141414"/>
          <w:sz w:val="24"/>
          <w:szCs w:val="24"/>
          <w:lang w:val="sk-SK"/>
        </w:rPr>
        <w:t>. Upravené príjmy z rozpočtu EÚ boli naplnené v roku 2014 na 99,22%.</w:t>
      </w:r>
    </w:p>
    <w:p w:rsidR="00640F4D" w:rsidRDefault="000B353B" w:rsidP="00640F4D">
      <w:pPr>
        <w:autoSpaceDE w:val="0"/>
        <w:autoSpaceDN w:val="0"/>
        <w:adjustRightInd w:val="0"/>
        <w:spacing w:after="60" w:line="320" w:lineRule="exact"/>
        <w:ind w:firstLine="708"/>
        <w:jc w:val="both"/>
        <w:rPr>
          <w:color w:val="141414"/>
          <w:sz w:val="24"/>
          <w:szCs w:val="24"/>
          <w:lang w:val="sk-SK"/>
        </w:rPr>
      </w:pPr>
      <w:r w:rsidRPr="009B5000">
        <w:rPr>
          <w:color w:val="141414"/>
          <w:sz w:val="24"/>
          <w:szCs w:val="24"/>
          <w:lang w:val="sk-SK"/>
        </w:rPr>
        <w:t xml:space="preserve">Upravený rozpočet výdavkov k 31.12.2014 predstavoval celkový objem 618,660 mil. </w:t>
      </w:r>
      <w:r w:rsidR="004E2D24">
        <w:rPr>
          <w:color w:val="141414"/>
          <w:sz w:val="24"/>
          <w:szCs w:val="24"/>
          <w:lang w:val="sk-SK"/>
        </w:rPr>
        <w:t>€</w:t>
      </w:r>
      <w:r w:rsidRPr="009B5000">
        <w:rPr>
          <w:color w:val="141414"/>
          <w:sz w:val="24"/>
          <w:szCs w:val="24"/>
          <w:lang w:val="sk-SK"/>
        </w:rPr>
        <w:t>. Celkové čerpanie výdavkov v roku 2014 bolo realizované na 99,36 %. Čerpanie výdavkov z rozpočtu EÚ a výdavkov na spolufinancovanie zo ŠR SR bolo k 31.12.2014 realizované na 99,34%.</w:t>
      </w:r>
    </w:p>
    <w:p w:rsidR="000B353B" w:rsidRPr="009B5000" w:rsidRDefault="000B353B" w:rsidP="00F30FA3">
      <w:pPr>
        <w:spacing w:after="60" w:line="320" w:lineRule="exact"/>
        <w:rPr>
          <w:sz w:val="24"/>
          <w:szCs w:val="24"/>
          <w:lang w:val="sk-SK"/>
        </w:rPr>
      </w:pPr>
    </w:p>
    <w:sectPr w:rsidR="000B353B" w:rsidRPr="009B5000" w:rsidSect="00572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45" w:rsidRDefault="00B01945" w:rsidP="004E2D24">
      <w:r>
        <w:separator/>
      </w:r>
    </w:p>
  </w:endnote>
  <w:endnote w:type="continuationSeparator" w:id="0">
    <w:p w:rsidR="00B01945" w:rsidRDefault="00B01945" w:rsidP="004E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6011"/>
      <w:docPartObj>
        <w:docPartGallery w:val="Page Numbers (Bottom of Page)"/>
        <w:docPartUnique/>
      </w:docPartObj>
    </w:sdtPr>
    <w:sdtContent>
      <w:p w:rsidR="004E2D24" w:rsidRDefault="0087354D">
        <w:pPr>
          <w:pStyle w:val="Pta"/>
          <w:jc w:val="center"/>
        </w:pPr>
        <w:r>
          <w:fldChar w:fldCharType="begin"/>
        </w:r>
        <w:r w:rsidR="004E2D24">
          <w:instrText xml:space="preserve"> PAGE   \* MERGEFORMAT </w:instrText>
        </w:r>
        <w:r>
          <w:fldChar w:fldCharType="separate"/>
        </w:r>
        <w:r w:rsidR="00515E8E">
          <w:rPr>
            <w:noProof/>
          </w:rPr>
          <w:t>7</w:t>
        </w:r>
        <w:r>
          <w:fldChar w:fldCharType="end"/>
        </w:r>
      </w:p>
    </w:sdtContent>
  </w:sdt>
  <w:p w:rsidR="004E2D24" w:rsidRDefault="004E2D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45" w:rsidRDefault="00B01945" w:rsidP="004E2D24">
      <w:r>
        <w:separator/>
      </w:r>
    </w:p>
  </w:footnote>
  <w:footnote w:type="continuationSeparator" w:id="0">
    <w:p w:rsidR="00B01945" w:rsidRDefault="00B01945" w:rsidP="004E2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775"/>
    <w:multiLevelType w:val="hybridMultilevel"/>
    <w:tmpl w:val="302A3AC0"/>
    <w:lvl w:ilvl="0" w:tplc="041B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43A4"/>
    <w:multiLevelType w:val="hybridMultilevel"/>
    <w:tmpl w:val="5970ABD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0E6A15"/>
    <w:multiLevelType w:val="hybridMultilevel"/>
    <w:tmpl w:val="EBB2BF48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56AAC"/>
    <w:multiLevelType w:val="hybridMultilevel"/>
    <w:tmpl w:val="441C74BC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75A4564"/>
    <w:multiLevelType w:val="hybridMultilevel"/>
    <w:tmpl w:val="AF04C2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C6C06"/>
    <w:multiLevelType w:val="hybridMultilevel"/>
    <w:tmpl w:val="0C661D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E1D1D"/>
    <w:multiLevelType w:val="hybridMultilevel"/>
    <w:tmpl w:val="B2BC46A4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3B11ECB"/>
    <w:multiLevelType w:val="hybridMultilevel"/>
    <w:tmpl w:val="F28C8A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C7F46"/>
    <w:multiLevelType w:val="multilevel"/>
    <w:tmpl w:val="D0D2963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4E13AC7"/>
    <w:multiLevelType w:val="hybridMultilevel"/>
    <w:tmpl w:val="51406372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BE01FB"/>
    <w:multiLevelType w:val="hybridMultilevel"/>
    <w:tmpl w:val="D8363724"/>
    <w:lvl w:ilvl="0" w:tplc="041B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CB5451"/>
    <w:multiLevelType w:val="hybridMultilevel"/>
    <w:tmpl w:val="D3DAD316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59334E7"/>
    <w:multiLevelType w:val="hybridMultilevel"/>
    <w:tmpl w:val="990E32D6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9A01031"/>
    <w:multiLevelType w:val="hybridMultilevel"/>
    <w:tmpl w:val="D560459C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C061EA5"/>
    <w:multiLevelType w:val="hybridMultilevel"/>
    <w:tmpl w:val="C03AEC8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C24A1"/>
    <w:multiLevelType w:val="hybridMultilevel"/>
    <w:tmpl w:val="329A8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D4D69"/>
    <w:multiLevelType w:val="hybridMultilevel"/>
    <w:tmpl w:val="F12CA5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C742A"/>
    <w:multiLevelType w:val="hybridMultilevel"/>
    <w:tmpl w:val="62B4069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0003E72"/>
    <w:multiLevelType w:val="hybridMultilevel"/>
    <w:tmpl w:val="7C0A0D7A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1AF341B"/>
    <w:multiLevelType w:val="hybridMultilevel"/>
    <w:tmpl w:val="DD28D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15A50"/>
    <w:multiLevelType w:val="hybridMultilevel"/>
    <w:tmpl w:val="6FF45FEE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BF618A9"/>
    <w:multiLevelType w:val="hybridMultilevel"/>
    <w:tmpl w:val="8B0A69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20D9D"/>
    <w:multiLevelType w:val="hybridMultilevel"/>
    <w:tmpl w:val="DA129F54"/>
    <w:lvl w:ilvl="0" w:tplc="182CC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07B55"/>
    <w:multiLevelType w:val="hybridMultilevel"/>
    <w:tmpl w:val="B46C1A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8507D"/>
    <w:multiLevelType w:val="hybridMultilevel"/>
    <w:tmpl w:val="EDD6C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56E64"/>
    <w:multiLevelType w:val="multilevel"/>
    <w:tmpl w:val="8064E2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8940C47"/>
    <w:multiLevelType w:val="hybridMultilevel"/>
    <w:tmpl w:val="73FCE444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A770079"/>
    <w:multiLevelType w:val="hybridMultilevel"/>
    <w:tmpl w:val="B080AA54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A7D568A"/>
    <w:multiLevelType w:val="hybridMultilevel"/>
    <w:tmpl w:val="A2203A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E1001"/>
    <w:multiLevelType w:val="hybridMultilevel"/>
    <w:tmpl w:val="7F52070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BD72C05"/>
    <w:multiLevelType w:val="hybridMultilevel"/>
    <w:tmpl w:val="C510AC44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1">
    <w:nsid w:val="55572A96"/>
    <w:multiLevelType w:val="hybridMultilevel"/>
    <w:tmpl w:val="FCC0FE24"/>
    <w:lvl w:ilvl="0" w:tplc="B1325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06069"/>
    <w:multiLevelType w:val="hybridMultilevel"/>
    <w:tmpl w:val="EB501E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80FDB"/>
    <w:multiLevelType w:val="hybridMultilevel"/>
    <w:tmpl w:val="F4784C4E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98934C0"/>
    <w:multiLevelType w:val="hybridMultilevel"/>
    <w:tmpl w:val="D13EB4A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E146C68"/>
    <w:multiLevelType w:val="hybridMultilevel"/>
    <w:tmpl w:val="60C49450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03F1F19"/>
    <w:multiLevelType w:val="multilevel"/>
    <w:tmpl w:val="4D6A4708"/>
    <w:lvl w:ilvl="0">
      <w:numFmt w:val="bullet"/>
      <w:lvlText w:val="-"/>
      <w:lvlJc w:val="left"/>
      <w:pPr>
        <w:ind w:left="3054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6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814" w:hanging="360"/>
      </w:pPr>
      <w:rPr>
        <w:rFonts w:ascii="Wingdings" w:hAnsi="Wingdings"/>
      </w:rPr>
    </w:lvl>
  </w:abstractNum>
  <w:abstractNum w:abstractNumId="37">
    <w:nsid w:val="608227B0"/>
    <w:multiLevelType w:val="multilevel"/>
    <w:tmpl w:val="66042D22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31E42"/>
    <w:multiLevelType w:val="hybridMultilevel"/>
    <w:tmpl w:val="11B24AD0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DD670D1"/>
    <w:multiLevelType w:val="hybridMultilevel"/>
    <w:tmpl w:val="C98A71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C46A4"/>
    <w:multiLevelType w:val="hybridMultilevel"/>
    <w:tmpl w:val="893A134C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1B0437A"/>
    <w:multiLevelType w:val="hybridMultilevel"/>
    <w:tmpl w:val="A3AA6382"/>
    <w:lvl w:ilvl="0" w:tplc="B13258E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3D879BA"/>
    <w:multiLevelType w:val="hybridMultilevel"/>
    <w:tmpl w:val="6BA64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47689"/>
    <w:multiLevelType w:val="hybridMultilevel"/>
    <w:tmpl w:val="16EA6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5"/>
  </w:num>
  <w:num w:numId="4">
    <w:abstractNumId w:val="34"/>
  </w:num>
  <w:num w:numId="5">
    <w:abstractNumId w:val="7"/>
  </w:num>
  <w:num w:numId="6">
    <w:abstractNumId w:val="14"/>
  </w:num>
  <w:num w:numId="7">
    <w:abstractNumId w:val="16"/>
  </w:num>
  <w:num w:numId="8">
    <w:abstractNumId w:val="8"/>
  </w:num>
  <w:num w:numId="9">
    <w:abstractNumId w:val="25"/>
  </w:num>
  <w:num w:numId="10">
    <w:abstractNumId w:val="37"/>
  </w:num>
  <w:num w:numId="11">
    <w:abstractNumId w:val="37"/>
    <w:lvlOverride w:ilvl="0">
      <w:startOverride w:val="1"/>
    </w:lvlOverride>
  </w:num>
  <w:num w:numId="12">
    <w:abstractNumId w:val="36"/>
  </w:num>
  <w:num w:numId="13">
    <w:abstractNumId w:val="21"/>
  </w:num>
  <w:num w:numId="14">
    <w:abstractNumId w:val="39"/>
  </w:num>
  <w:num w:numId="15">
    <w:abstractNumId w:val="43"/>
  </w:num>
  <w:num w:numId="16">
    <w:abstractNumId w:val="30"/>
  </w:num>
  <w:num w:numId="17">
    <w:abstractNumId w:val="24"/>
  </w:num>
  <w:num w:numId="18">
    <w:abstractNumId w:val="31"/>
  </w:num>
  <w:num w:numId="19">
    <w:abstractNumId w:val="13"/>
  </w:num>
  <w:num w:numId="20">
    <w:abstractNumId w:val="29"/>
  </w:num>
  <w:num w:numId="21">
    <w:abstractNumId w:val="40"/>
  </w:num>
  <w:num w:numId="22">
    <w:abstractNumId w:val="3"/>
  </w:num>
  <w:num w:numId="23">
    <w:abstractNumId w:val="1"/>
  </w:num>
  <w:num w:numId="24">
    <w:abstractNumId w:val="33"/>
  </w:num>
  <w:num w:numId="25">
    <w:abstractNumId w:val="23"/>
  </w:num>
  <w:num w:numId="26">
    <w:abstractNumId w:val="26"/>
  </w:num>
  <w:num w:numId="27">
    <w:abstractNumId w:val="28"/>
  </w:num>
  <w:num w:numId="28">
    <w:abstractNumId w:val="18"/>
  </w:num>
  <w:num w:numId="29">
    <w:abstractNumId w:val="19"/>
  </w:num>
  <w:num w:numId="30">
    <w:abstractNumId w:val="32"/>
  </w:num>
  <w:num w:numId="31">
    <w:abstractNumId w:val="20"/>
  </w:num>
  <w:num w:numId="32">
    <w:abstractNumId w:val="15"/>
  </w:num>
  <w:num w:numId="33">
    <w:abstractNumId w:val="2"/>
  </w:num>
  <w:num w:numId="34">
    <w:abstractNumId w:val="41"/>
  </w:num>
  <w:num w:numId="35">
    <w:abstractNumId w:val="12"/>
  </w:num>
  <w:num w:numId="36">
    <w:abstractNumId w:val="11"/>
  </w:num>
  <w:num w:numId="37">
    <w:abstractNumId w:val="4"/>
  </w:num>
  <w:num w:numId="38">
    <w:abstractNumId w:val="27"/>
  </w:num>
  <w:num w:numId="39">
    <w:abstractNumId w:val="38"/>
  </w:num>
  <w:num w:numId="40">
    <w:abstractNumId w:val="6"/>
  </w:num>
  <w:num w:numId="41">
    <w:abstractNumId w:val="9"/>
  </w:num>
  <w:num w:numId="42">
    <w:abstractNumId w:val="17"/>
  </w:num>
  <w:num w:numId="43">
    <w:abstractNumId w:val="35"/>
  </w:num>
  <w:num w:numId="44">
    <w:abstractNumId w:val="42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3B"/>
    <w:rsid w:val="00045717"/>
    <w:rsid w:val="000B353B"/>
    <w:rsid w:val="00112960"/>
    <w:rsid w:val="00140086"/>
    <w:rsid w:val="001A07A8"/>
    <w:rsid w:val="001D668C"/>
    <w:rsid w:val="0020133B"/>
    <w:rsid w:val="00203225"/>
    <w:rsid w:val="00241025"/>
    <w:rsid w:val="002D36F6"/>
    <w:rsid w:val="002E6484"/>
    <w:rsid w:val="003844D6"/>
    <w:rsid w:val="00487FA6"/>
    <w:rsid w:val="004E2D24"/>
    <w:rsid w:val="004F5F11"/>
    <w:rsid w:val="00515E8E"/>
    <w:rsid w:val="00572089"/>
    <w:rsid w:val="005E0CB8"/>
    <w:rsid w:val="00640F4D"/>
    <w:rsid w:val="00732981"/>
    <w:rsid w:val="007556FF"/>
    <w:rsid w:val="00853CA6"/>
    <w:rsid w:val="0087354D"/>
    <w:rsid w:val="00886B93"/>
    <w:rsid w:val="009B5000"/>
    <w:rsid w:val="009D643E"/>
    <w:rsid w:val="00A4588B"/>
    <w:rsid w:val="00B01945"/>
    <w:rsid w:val="00E126AD"/>
    <w:rsid w:val="00E916C7"/>
    <w:rsid w:val="00EC2987"/>
    <w:rsid w:val="00EE20AB"/>
    <w:rsid w:val="00F3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B35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0B353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B353B"/>
    <w:pPr>
      <w:suppressAutoHyphens/>
      <w:autoSpaceDN w:val="0"/>
      <w:ind w:left="720"/>
    </w:pPr>
    <w:rPr>
      <w:rFonts w:ascii="Calibri" w:eastAsia="Calibri" w:hAnsi="Calibri"/>
      <w:sz w:val="22"/>
      <w:szCs w:val="22"/>
      <w:lang w:val="sk-SK"/>
    </w:rPr>
  </w:style>
  <w:style w:type="paragraph" w:customStyle="1" w:styleId="listparagraph">
    <w:name w:val="listparagraph"/>
    <w:basedOn w:val="Normlny"/>
    <w:rsid w:val="000B353B"/>
    <w:pPr>
      <w:suppressAutoHyphens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  <w:lang w:val="sk-SK"/>
    </w:rPr>
  </w:style>
  <w:style w:type="paragraph" w:styleId="Zarkazkladnhotextu">
    <w:name w:val="Body Text Indent"/>
    <w:basedOn w:val="Normlny"/>
    <w:link w:val="ZarkazkladnhotextuChar"/>
    <w:rsid w:val="000B353B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B353B"/>
    <w:rPr>
      <w:rFonts w:ascii="Calibri" w:eastAsia="Calibri" w:hAnsi="Calibri" w:cs="Times New Roman"/>
    </w:rPr>
  </w:style>
  <w:style w:type="character" w:customStyle="1" w:styleId="Nadpis3Char">
    <w:name w:val="Nadpis 3 Char"/>
    <w:basedOn w:val="Predvolenpsmoodseku"/>
    <w:link w:val="Nadpis3"/>
    <w:semiHidden/>
    <w:rsid w:val="000B353B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Pokraovaniezoznamu2">
    <w:name w:val="List Continue 2"/>
    <w:basedOn w:val="Normlny"/>
    <w:uiPriority w:val="99"/>
    <w:unhideWhenUsed/>
    <w:rsid w:val="000B353B"/>
    <w:pPr>
      <w:spacing w:after="120"/>
      <w:ind w:left="566"/>
      <w:contextualSpacing/>
    </w:pPr>
    <w:rPr>
      <w:rFonts w:eastAsia="Calibri"/>
      <w:sz w:val="24"/>
      <w:szCs w:val="24"/>
      <w:lang w:val="sk-SK" w:eastAsia="ar-SA"/>
    </w:rPr>
  </w:style>
  <w:style w:type="paragraph" w:styleId="Nzov">
    <w:name w:val="Title"/>
    <w:basedOn w:val="Normlny"/>
    <w:link w:val="NzovChar"/>
    <w:qFormat/>
    <w:rsid w:val="000B353B"/>
    <w:pPr>
      <w:jc w:val="center"/>
    </w:pPr>
    <w:rPr>
      <w:b/>
      <w:bCs/>
      <w:sz w:val="32"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0B353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3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53B"/>
    <w:rPr>
      <w:rFonts w:ascii="Tahoma" w:eastAsia="Times New Roman" w:hAnsi="Tahoma" w:cs="Tahoma"/>
      <w:sz w:val="16"/>
      <w:szCs w:val="16"/>
      <w:lang w:val="cs-CZ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4E2D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E2D24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4E2D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2D24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krizova</cp:lastModifiedBy>
  <cp:revision>7</cp:revision>
  <cp:lastPrinted>2015-06-19T10:07:00Z</cp:lastPrinted>
  <dcterms:created xsi:type="dcterms:W3CDTF">2015-06-02T10:39:00Z</dcterms:created>
  <dcterms:modified xsi:type="dcterms:W3CDTF">2015-06-19T10:09:00Z</dcterms:modified>
</cp:coreProperties>
</file>