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95" w:rsidRDefault="00960595" w:rsidP="00960595">
      <w:pPr>
        <w:pStyle w:val="Obsah1"/>
        <w:tabs>
          <w:tab w:val="left" w:pos="440"/>
          <w:tab w:val="right" w:leader="dot" w:pos="9062"/>
        </w:tabs>
        <w:spacing w:line="480" w:lineRule="auto"/>
        <w:rPr>
          <w:b w:val="0"/>
        </w:rPr>
      </w:pPr>
      <w:r w:rsidRPr="005705AE">
        <w:rPr>
          <w:color w:val="76923C"/>
        </w:rPr>
        <w:t>OBSAH</w:t>
      </w:r>
    </w:p>
    <w:p w:rsidR="00960595" w:rsidRPr="007E2D1D" w:rsidRDefault="00ED5D63" w:rsidP="00960595">
      <w:pPr>
        <w:pStyle w:val="Obsah1"/>
        <w:tabs>
          <w:tab w:val="left" w:pos="440"/>
          <w:tab w:val="right" w:leader="dot" w:pos="9062"/>
        </w:tabs>
        <w:spacing w:line="480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k-SK"/>
        </w:rPr>
      </w:pPr>
      <w:r w:rsidRPr="00ED5D63">
        <w:rPr>
          <w:b w:val="0"/>
        </w:rPr>
        <w:fldChar w:fldCharType="begin"/>
      </w:r>
      <w:r w:rsidR="0037374D" w:rsidRPr="007E2D1D">
        <w:rPr>
          <w:b w:val="0"/>
        </w:rPr>
        <w:instrText xml:space="preserve"> TOC \o "1-3" \h \z \t "1;1;2;2" </w:instrText>
      </w:r>
      <w:r w:rsidRPr="00ED5D63">
        <w:rPr>
          <w:b w:val="0"/>
        </w:rPr>
        <w:fldChar w:fldCharType="separate"/>
      </w:r>
      <w:hyperlink w:anchor="_Toc390686499" w:history="1">
        <w:r w:rsidR="00960595" w:rsidRPr="007E2D1D">
          <w:rPr>
            <w:rStyle w:val="Hypertextovprepojenie"/>
            <w:b w:val="0"/>
            <w:noProof/>
          </w:rPr>
          <w:t>1.</w:t>
        </w:r>
        <w:r w:rsidR="00960595" w:rsidRPr="007E2D1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k-SK"/>
          </w:rPr>
          <w:tab/>
        </w:r>
        <w:r w:rsidR="00960595" w:rsidRPr="007E2D1D">
          <w:rPr>
            <w:rStyle w:val="Hypertextovprepojenie"/>
            <w:b w:val="0"/>
            <w:noProof/>
          </w:rPr>
          <w:t>Svetové poľnohospodárstvo</w:t>
        </w:r>
        <w:r w:rsidR="00960595" w:rsidRPr="007E2D1D">
          <w:rPr>
            <w:b w:val="0"/>
            <w:noProof/>
            <w:webHidden/>
          </w:rPr>
          <w:tab/>
        </w:r>
        <w:r w:rsidR="00A664F3">
          <w:rPr>
            <w:b w:val="0"/>
            <w:noProof/>
            <w:webHidden/>
          </w:rPr>
          <w:t>2</w:t>
        </w:r>
      </w:hyperlink>
    </w:p>
    <w:p w:rsidR="00960595" w:rsidRPr="007E2D1D" w:rsidRDefault="00ED5D63" w:rsidP="00960595">
      <w:pPr>
        <w:pStyle w:val="Obsah1"/>
        <w:tabs>
          <w:tab w:val="left" w:pos="440"/>
          <w:tab w:val="right" w:leader="dot" w:pos="9062"/>
        </w:tabs>
        <w:spacing w:line="480" w:lineRule="auto"/>
        <w:rPr>
          <w:rFonts w:asciiTheme="minorHAnsi" w:eastAsiaTheme="minorEastAsia" w:hAnsiTheme="minorHAnsi" w:cstheme="minorBidi"/>
          <w:b w:val="0"/>
          <w:bCs w:val="0"/>
          <w:i/>
          <w:noProof/>
          <w:sz w:val="22"/>
          <w:szCs w:val="22"/>
          <w:lang w:eastAsia="sk-SK"/>
        </w:rPr>
      </w:pPr>
      <w:hyperlink w:anchor="_Toc390686500" w:history="1">
        <w:r w:rsidR="00960595" w:rsidRPr="007E2D1D">
          <w:rPr>
            <w:rStyle w:val="Hypertextovprepojenie"/>
            <w:b w:val="0"/>
            <w:noProof/>
          </w:rPr>
          <w:t>2.</w:t>
        </w:r>
        <w:r w:rsidR="00960595" w:rsidRPr="007E2D1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k-SK"/>
          </w:rPr>
          <w:tab/>
        </w:r>
        <w:r w:rsidR="00960595" w:rsidRPr="007E2D1D">
          <w:rPr>
            <w:rStyle w:val="Hypertextovprepojenie"/>
            <w:b w:val="0"/>
            <w:noProof/>
          </w:rPr>
          <w:t>Poľnohospodárstvo a potravinárstvo krajín EÚ</w:t>
        </w:r>
        <w:r w:rsidR="00960595" w:rsidRPr="007E2D1D">
          <w:rPr>
            <w:b w:val="0"/>
            <w:noProof/>
            <w:webHidden/>
          </w:rPr>
          <w:tab/>
        </w:r>
        <w:r w:rsidRPr="007E2D1D">
          <w:rPr>
            <w:b w:val="0"/>
            <w:noProof/>
            <w:webHidden/>
          </w:rPr>
          <w:fldChar w:fldCharType="begin"/>
        </w:r>
        <w:r w:rsidR="00960595" w:rsidRPr="007E2D1D">
          <w:rPr>
            <w:b w:val="0"/>
            <w:noProof/>
            <w:webHidden/>
          </w:rPr>
          <w:instrText xml:space="preserve"> PAGEREF _Toc390686500 \h </w:instrText>
        </w:r>
        <w:r w:rsidRPr="007E2D1D">
          <w:rPr>
            <w:b w:val="0"/>
            <w:noProof/>
            <w:webHidden/>
          </w:rPr>
        </w:r>
        <w:r w:rsidRPr="007E2D1D">
          <w:rPr>
            <w:b w:val="0"/>
            <w:noProof/>
            <w:webHidden/>
          </w:rPr>
          <w:fldChar w:fldCharType="separate"/>
        </w:r>
        <w:r w:rsidR="00124203">
          <w:rPr>
            <w:b w:val="0"/>
            <w:noProof/>
            <w:webHidden/>
          </w:rPr>
          <w:t>10</w:t>
        </w:r>
        <w:r w:rsidRPr="007E2D1D">
          <w:rPr>
            <w:b w:val="0"/>
            <w:noProof/>
            <w:webHidden/>
          </w:rPr>
          <w:fldChar w:fldCharType="end"/>
        </w:r>
      </w:hyperlink>
    </w:p>
    <w:p w:rsidR="00960595" w:rsidRPr="007E2D1D" w:rsidRDefault="00ED5D63" w:rsidP="00960595">
      <w:pPr>
        <w:pStyle w:val="Obsah2"/>
        <w:spacing w:line="48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90686501" w:history="1">
        <w:r w:rsidR="00960595" w:rsidRPr="007E2D1D">
          <w:rPr>
            <w:rStyle w:val="Hypertextovprepojenie"/>
            <w:noProof/>
          </w:rPr>
          <w:t>2.1. Vývoj cenovej konkurencieschopnosti poľnohospodárskej a potravinovej produkcie</w:t>
        </w:r>
        <w:r w:rsidR="00960595" w:rsidRPr="007E2D1D">
          <w:rPr>
            <w:i w:val="0"/>
            <w:noProof/>
            <w:webHidden/>
          </w:rPr>
          <w:tab/>
        </w:r>
        <w:r w:rsidRPr="007E2D1D">
          <w:rPr>
            <w:noProof/>
            <w:webHidden/>
          </w:rPr>
          <w:fldChar w:fldCharType="begin"/>
        </w:r>
        <w:r w:rsidR="00960595" w:rsidRPr="007E2D1D">
          <w:rPr>
            <w:noProof/>
            <w:webHidden/>
          </w:rPr>
          <w:instrText xml:space="preserve"> PAGEREF _Toc390686501 \h </w:instrText>
        </w:r>
        <w:r w:rsidRPr="007E2D1D">
          <w:rPr>
            <w:noProof/>
            <w:webHidden/>
          </w:rPr>
        </w:r>
        <w:r w:rsidRPr="007E2D1D">
          <w:rPr>
            <w:noProof/>
            <w:webHidden/>
          </w:rPr>
          <w:fldChar w:fldCharType="separate"/>
        </w:r>
        <w:r w:rsidR="00124203">
          <w:rPr>
            <w:noProof/>
            <w:webHidden/>
          </w:rPr>
          <w:t>16</w:t>
        </w:r>
        <w:r w:rsidRPr="007E2D1D">
          <w:rPr>
            <w:noProof/>
            <w:webHidden/>
          </w:rPr>
          <w:fldChar w:fldCharType="end"/>
        </w:r>
      </w:hyperlink>
    </w:p>
    <w:p w:rsidR="0037374D" w:rsidRPr="007E2D1D" w:rsidRDefault="00ED5D63" w:rsidP="00960595">
      <w:pPr>
        <w:spacing w:after="0" w:line="480" w:lineRule="auto"/>
        <w:jc w:val="right"/>
        <w:rPr>
          <w:b/>
        </w:rPr>
      </w:pPr>
      <w:r w:rsidRPr="007E2D1D">
        <w:rPr>
          <w:b/>
        </w:rPr>
        <w:fldChar w:fldCharType="end"/>
      </w: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37374D" w:rsidRPr="007E2D1D" w:rsidRDefault="0037374D" w:rsidP="003D7BFA">
      <w:pPr>
        <w:spacing w:after="0"/>
        <w:jc w:val="right"/>
        <w:rPr>
          <w:b/>
        </w:rPr>
      </w:pPr>
    </w:p>
    <w:p w:rsidR="00960595" w:rsidRPr="007E2D1D" w:rsidRDefault="00960595" w:rsidP="003D7BFA">
      <w:pPr>
        <w:spacing w:after="0"/>
        <w:jc w:val="right"/>
        <w:rPr>
          <w:b/>
        </w:rPr>
      </w:pPr>
    </w:p>
    <w:p w:rsidR="00960595" w:rsidRPr="007E2D1D" w:rsidRDefault="00960595" w:rsidP="003D7BFA">
      <w:pPr>
        <w:spacing w:after="0"/>
        <w:jc w:val="right"/>
        <w:rPr>
          <w:b/>
        </w:rPr>
      </w:pPr>
    </w:p>
    <w:p w:rsidR="00960595" w:rsidRPr="007E2D1D" w:rsidRDefault="00960595" w:rsidP="003D7BFA">
      <w:pPr>
        <w:spacing w:after="0"/>
        <w:jc w:val="right"/>
        <w:rPr>
          <w:b/>
        </w:rPr>
      </w:pPr>
    </w:p>
    <w:p w:rsidR="005C684A" w:rsidRPr="007E2D1D" w:rsidRDefault="003C7F37" w:rsidP="003D7BFA">
      <w:pPr>
        <w:spacing w:after="0"/>
        <w:jc w:val="right"/>
        <w:rPr>
          <w:b/>
        </w:rPr>
      </w:pPr>
      <w:r w:rsidRPr="007E2D1D">
        <w:rPr>
          <w:b/>
        </w:rPr>
        <w:lastRenderedPageBreak/>
        <w:t>Príloha 1</w:t>
      </w:r>
    </w:p>
    <w:p w:rsidR="00DD3088" w:rsidRPr="007E2D1D" w:rsidRDefault="008B7D13" w:rsidP="00372225">
      <w:pPr>
        <w:spacing w:after="60"/>
        <w:jc w:val="left"/>
        <w:rPr>
          <w:b/>
          <w:caps/>
          <w:color w:val="5C732F"/>
          <w:sz w:val="28"/>
          <w:szCs w:val="28"/>
        </w:rPr>
      </w:pPr>
      <w:r w:rsidRPr="007E2D1D">
        <w:rPr>
          <w:b/>
          <w:caps/>
          <w:color w:val="5C732F"/>
          <w:sz w:val="28"/>
          <w:szCs w:val="28"/>
        </w:rPr>
        <w:t>Svetové poľnohospodárstvo a poľnohospodárstvo krajín EÚ</w:t>
      </w:r>
    </w:p>
    <w:p w:rsidR="00372225" w:rsidRPr="007E2D1D" w:rsidRDefault="00ED5D63" w:rsidP="003D7BFA">
      <w:pPr>
        <w:spacing w:after="0"/>
        <w:rPr>
          <w:b/>
          <w:caps/>
        </w:rPr>
      </w:pPr>
      <w:r>
        <w:rPr>
          <w:b/>
          <w:caps/>
          <w:noProof/>
          <w:lang w:eastAsia="sk-SK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37" type="#_x0000_t176" style="position:absolute;left:0;text-align:left;margin-left:-4.65pt;margin-top:7.1pt;width:461pt;height:33.55pt;z-index:-251650048" fillcolor="#c2d69b" stroked="f" strokecolor="#c2d69b" strokeweight="10pt">
            <v:stroke linestyle="thinThin"/>
            <v:imagedata embosscolor="shadow add(51)"/>
            <v:shadow on="t" opacity=".5" offset="-6pt,-6pt"/>
          </v:shape>
        </w:pict>
      </w:r>
    </w:p>
    <w:p w:rsidR="00E847D2" w:rsidRPr="007E2D1D" w:rsidRDefault="008B7D13" w:rsidP="003C7F37">
      <w:pPr>
        <w:pStyle w:val="1"/>
        <w:tabs>
          <w:tab w:val="clear" w:pos="2345"/>
        </w:tabs>
        <w:ind w:left="426" w:hanging="426"/>
      </w:pPr>
      <w:bookmarkStart w:id="0" w:name="_Toc323214549"/>
      <w:bookmarkStart w:id="1" w:name="_Toc390686499"/>
      <w:r w:rsidRPr="007E2D1D">
        <w:t>Svetové poľnohospodárstvo</w:t>
      </w:r>
      <w:bookmarkEnd w:id="0"/>
      <w:bookmarkEnd w:id="1"/>
    </w:p>
    <w:p w:rsidR="005D55C6" w:rsidRPr="005D55C6" w:rsidRDefault="005D55C6" w:rsidP="005D55C6">
      <w:pPr>
        <w:ind w:firstLine="708"/>
        <w:rPr>
          <w:color w:val="000000"/>
        </w:rPr>
      </w:pPr>
      <w:r w:rsidRPr="005D55C6">
        <w:rPr>
          <w:color w:val="000000"/>
        </w:rPr>
        <w:t>Výkonnosť svetového poľnohospodárstva meraná hrubým domácim produktom (HDP), podieľajúcim sa na svetovom HDP, má za ostatné roky každoročne klesajúcu tendenciu, napriek tomu má toto odvetvie nenahraditeľný význam v produkcii poľnohospodárskych surovín a v rozvoji a osídlení vidieka každej krajiny. Zvyšujúcou sa populáciou Zeme vzrastajú nároky na poľnohospodársku produkciu z hľadiska zabezpečenia potravinových zdrojov. Rozvoj poľnohospodárstva je značne diferencovaný a produkčne sa koncentruje väčšinou do hospodársky rozvinutých štátov, ktoré dosahujú vysokú produkčnú výkonnosť a produktivitu práce a nízku zamestnanosť. Okrem vyspelých štátov podiel poľnohospodárstva na národnej ekonomike je rozhodujúci aj v rozvojových krajinách, kde je</w:t>
      </w:r>
      <w:r w:rsidR="001C393C">
        <w:rPr>
          <w:color w:val="000000"/>
        </w:rPr>
        <w:t> </w:t>
      </w:r>
      <w:r w:rsidRPr="005D55C6">
        <w:rPr>
          <w:color w:val="000000"/>
        </w:rPr>
        <w:t xml:space="preserve">poľnohospodárstvo zdrojom obživy a práce vysokého podielu obyvateľstva.   </w:t>
      </w:r>
    </w:p>
    <w:p w:rsidR="005D55C6" w:rsidRDefault="005D55C6" w:rsidP="005D55C6">
      <w:pPr>
        <w:spacing w:after="240"/>
        <w:ind w:firstLine="708"/>
        <w:rPr>
          <w:bCs/>
          <w:color w:val="000000"/>
        </w:rPr>
      </w:pPr>
      <w:r w:rsidRPr="005D55C6">
        <w:rPr>
          <w:b/>
          <w:color w:val="000000"/>
        </w:rPr>
        <w:t>Výmera poľnohospodárskej pôdy na svete</w:t>
      </w:r>
      <w:r w:rsidRPr="005D55C6">
        <w:rPr>
          <w:color w:val="000000"/>
        </w:rPr>
        <w:t xml:space="preserve"> - Zemi predstavuje, podľa ostatných údajov z </w:t>
      </w:r>
      <w:proofErr w:type="spellStart"/>
      <w:r w:rsidRPr="005D55C6">
        <w:rPr>
          <w:color w:val="000000"/>
        </w:rPr>
        <w:t>Faostatu</w:t>
      </w:r>
      <w:proofErr w:type="spellEnd"/>
      <w:r w:rsidRPr="005D55C6">
        <w:rPr>
          <w:color w:val="000000"/>
        </w:rPr>
        <w:t>, 4,9 mld. hektárov, čo je 37,8 % z celkovej pôdy sveta (13,0 mld. hektárov). Vyšší podiel poľnohospodárskej pôdy je v menej rozvinutých štátoch v porovnaní s</w:t>
      </w:r>
      <w:r w:rsidR="001C393C">
        <w:rPr>
          <w:color w:val="000000"/>
        </w:rPr>
        <w:t> </w:t>
      </w:r>
      <w:r w:rsidRPr="005D55C6">
        <w:rPr>
          <w:color w:val="000000"/>
        </w:rPr>
        <w:t xml:space="preserve">hospodársky vyspelými štátmi. </w:t>
      </w:r>
      <w:r w:rsidR="004F0753" w:rsidRPr="004F0753">
        <w:rPr>
          <w:bCs/>
          <w:color w:val="000000"/>
        </w:rPr>
        <w:t xml:space="preserve"> </w:t>
      </w:r>
    </w:p>
    <w:p w:rsidR="008638AA" w:rsidRPr="00452BCC" w:rsidRDefault="008638AA" w:rsidP="005D55C6">
      <w:pPr>
        <w:spacing w:after="0" w:line="240" w:lineRule="auto"/>
        <w:rPr>
          <w:color w:val="000000"/>
        </w:rPr>
      </w:pPr>
      <w:r w:rsidRPr="008638AA">
        <w:rPr>
          <w:b/>
          <w:color w:val="000000"/>
        </w:rPr>
        <w:t xml:space="preserve">Poľnohospodárska pôda na Zemi </w:t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5D55C6">
        <w:rPr>
          <w:b/>
          <w:color w:val="000000"/>
        </w:rPr>
        <w:tab/>
      </w:r>
      <w:r w:rsidR="0071211C" w:rsidRPr="0071211C">
        <w:rPr>
          <w:color w:val="000000"/>
        </w:rPr>
        <w:t>T</w:t>
      </w:r>
      <w:r w:rsidR="00A941B3">
        <w:rPr>
          <w:color w:val="000000"/>
        </w:rPr>
        <w:t>ab</w:t>
      </w:r>
      <w:r w:rsidR="0071211C">
        <w:rPr>
          <w:color w:val="000000"/>
        </w:rPr>
        <w:t>uľka</w:t>
      </w:r>
      <w:r w:rsidR="00A941B3">
        <w:rPr>
          <w:color w:val="000000"/>
        </w:rPr>
        <w:t xml:space="preserve"> 1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83"/>
        <w:gridCol w:w="1135"/>
        <w:gridCol w:w="1134"/>
        <w:gridCol w:w="992"/>
        <w:gridCol w:w="1134"/>
        <w:gridCol w:w="1109"/>
        <w:gridCol w:w="1121"/>
        <w:gridCol w:w="1280"/>
      </w:tblGrid>
      <w:tr w:rsidR="008166FC" w:rsidRPr="00CD6B60" w:rsidTr="00046871">
        <w:trPr>
          <w:trHeight w:val="51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C2D69B"/>
            <w:noWrap/>
            <w:vAlign w:val="center"/>
          </w:tcPr>
          <w:p w:rsidR="008638AA" w:rsidRPr="00764AEC" w:rsidRDefault="002650FB" w:rsidP="005D55C6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  <w:r w:rsidRPr="00764AEC">
              <w:rPr>
                <w:rFonts w:eastAsia="Times New Roman"/>
                <w:b/>
                <w:bCs/>
                <w:sz w:val="22"/>
              </w:rPr>
              <w:t>K</w:t>
            </w:r>
            <w:r w:rsidR="008638AA" w:rsidRPr="00764AEC">
              <w:rPr>
                <w:rFonts w:eastAsia="Times New Roman"/>
                <w:b/>
                <w:bCs/>
                <w:sz w:val="22"/>
              </w:rPr>
              <w:t>rajina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8638AA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4AEC">
              <w:rPr>
                <w:rFonts w:eastAsia="Times New Roman"/>
                <w:b/>
                <w:bCs/>
                <w:sz w:val="22"/>
              </w:rPr>
              <w:t>Celková pôda v mil. ha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8638AA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764AEC">
              <w:rPr>
                <w:rFonts w:eastAsia="Times New Roman"/>
                <w:b/>
                <w:bCs/>
                <w:sz w:val="22"/>
              </w:rPr>
              <w:t>Poľn</w:t>
            </w:r>
            <w:r w:rsidR="00884532" w:rsidRPr="00764AEC">
              <w:rPr>
                <w:rFonts w:eastAsia="Times New Roman"/>
                <w:b/>
                <w:bCs/>
                <w:sz w:val="22"/>
              </w:rPr>
              <w:t>oh</w:t>
            </w:r>
            <w:proofErr w:type="spellEnd"/>
            <w:r w:rsidR="00884532" w:rsidRPr="00764AEC">
              <w:rPr>
                <w:rFonts w:eastAsia="Times New Roman"/>
                <w:b/>
                <w:bCs/>
                <w:sz w:val="22"/>
              </w:rPr>
              <w:t>.</w:t>
            </w:r>
            <w:r w:rsidRPr="00764AEC">
              <w:rPr>
                <w:rFonts w:eastAsia="Times New Roman"/>
                <w:b/>
                <w:bCs/>
                <w:sz w:val="22"/>
              </w:rPr>
              <w:t xml:space="preserve">  pôda             v mil. ha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8638AA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4AEC">
              <w:rPr>
                <w:rFonts w:eastAsia="Times New Roman"/>
                <w:b/>
                <w:bCs/>
                <w:sz w:val="22"/>
              </w:rPr>
              <w:t>Orná pôda v mil. ha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7652B8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52B8">
              <w:rPr>
                <w:rFonts w:eastAsia="Times New Roman"/>
                <w:b/>
                <w:bCs/>
                <w:sz w:val="22"/>
              </w:rPr>
              <w:t xml:space="preserve">% </w:t>
            </w:r>
            <w:proofErr w:type="spellStart"/>
            <w:r w:rsidRPr="007652B8">
              <w:rPr>
                <w:rFonts w:eastAsia="Times New Roman"/>
                <w:b/>
                <w:bCs/>
                <w:sz w:val="22"/>
              </w:rPr>
              <w:t>poľnoh</w:t>
            </w:r>
            <w:proofErr w:type="spellEnd"/>
            <w:r w:rsidRPr="007652B8">
              <w:rPr>
                <w:rFonts w:eastAsia="Times New Roman"/>
                <w:b/>
                <w:bCs/>
                <w:sz w:val="22"/>
              </w:rPr>
              <w:t>. pôdy na celkovej pôde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7652B8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52B8">
              <w:rPr>
                <w:rFonts w:eastAsia="Times New Roman"/>
                <w:b/>
                <w:bCs/>
                <w:sz w:val="22"/>
              </w:rPr>
              <w:t xml:space="preserve">% ornej pôdy na </w:t>
            </w:r>
            <w:proofErr w:type="spellStart"/>
            <w:r w:rsidRPr="007652B8">
              <w:rPr>
                <w:rFonts w:eastAsia="Times New Roman"/>
                <w:b/>
                <w:bCs/>
                <w:sz w:val="22"/>
              </w:rPr>
              <w:t>poľnoh</w:t>
            </w:r>
            <w:proofErr w:type="spellEnd"/>
            <w:r w:rsidR="008166FC">
              <w:rPr>
                <w:rFonts w:eastAsia="Times New Roman"/>
                <w:b/>
                <w:bCs/>
                <w:sz w:val="22"/>
              </w:rPr>
              <w:t>.</w:t>
            </w:r>
            <w:r w:rsidRPr="007652B8">
              <w:rPr>
                <w:rFonts w:eastAsia="Times New Roman"/>
                <w:b/>
                <w:bCs/>
                <w:sz w:val="22"/>
              </w:rPr>
              <w:t xml:space="preserve"> pôde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8638AA" w:rsidP="001C393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4AEC">
              <w:rPr>
                <w:rFonts w:eastAsia="Times New Roman"/>
                <w:b/>
                <w:bCs/>
                <w:sz w:val="22"/>
              </w:rPr>
              <w:t xml:space="preserve">Počet ha na  jednotku </w:t>
            </w:r>
            <w:r w:rsidR="008166FC">
              <w:rPr>
                <w:rFonts w:eastAsia="Times New Roman"/>
                <w:b/>
                <w:bCs/>
                <w:sz w:val="22"/>
              </w:rPr>
              <w:t>akt</w:t>
            </w:r>
            <w:r w:rsidR="001C393C">
              <w:rPr>
                <w:rFonts w:eastAsia="Times New Roman"/>
                <w:b/>
                <w:bCs/>
                <w:sz w:val="22"/>
              </w:rPr>
              <w:t>í</w:t>
            </w:r>
            <w:r w:rsidR="008166FC">
              <w:rPr>
                <w:rFonts w:eastAsia="Times New Roman"/>
                <w:b/>
                <w:bCs/>
                <w:sz w:val="22"/>
              </w:rPr>
              <w:t>v</w:t>
            </w:r>
            <w:r w:rsidR="001C393C">
              <w:rPr>
                <w:rFonts w:eastAsia="Times New Roman"/>
                <w:b/>
                <w:bCs/>
                <w:sz w:val="22"/>
              </w:rPr>
              <w:t>nej</w:t>
            </w:r>
            <w:r w:rsidRPr="00764AEC">
              <w:rPr>
                <w:rFonts w:eastAsia="Times New Roman"/>
                <w:b/>
                <w:bCs/>
                <w:sz w:val="22"/>
              </w:rPr>
              <w:t xml:space="preserve"> </w:t>
            </w:r>
            <w:r w:rsidR="00884532" w:rsidRPr="00764AEC">
              <w:rPr>
                <w:rFonts w:eastAsia="Times New Roman"/>
                <w:b/>
                <w:bCs/>
                <w:sz w:val="22"/>
              </w:rPr>
              <w:t>p</w:t>
            </w:r>
            <w:r w:rsidRPr="00764AEC">
              <w:rPr>
                <w:rFonts w:eastAsia="Times New Roman"/>
                <w:b/>
                <w:bCs/>
                <w:sz w:val="22"/>
              </w:rPr>
              <w:t>op</w:t>
            </w:r>
            <w:r w:rsidR="00884532" w:rsidRPr="00764AEC">
              <w:rPr>
                <w:rFonts w:eastAsia="Times New Roman"/>
                <w:b/>
                <w:bCs/>
                <w:sz w:val="22"/>
              </w:rPr>
              <w:t>ulácie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C2D69B"/>
            <w:vAlign w:val="center"/>
          </w:tcPr>
          <w:p w:rsidR="008638AA" w:rsidRPr="00764AEC" w:rsidRDefault="008638AA" w:rsidP="005D55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64AEC">
              <w:rPr>
                <w:rFonts w:eastAsia="Times New Roman"/>
                <w:b/>
                <w:bCs/>
                <w:sz w:val="22"/>
              </w:rPr>
              <w:t xml:space="preserve">Počet ha na  </w:t>
            </w:r>
            <w:proofErr w:type="spellStart"/>
            <w:r w:rsidRPr="00764AEC">
              <w:rPr>
                <w:rFonts w:eastAsia="Times New Roman"/>
                <w:b/>
                <w:bCs/>
                <w:sz w:val="22"/>
              </w:rPr>
              <w:t>poľn</w:t>
            </w:r>
            <w:proofErr w:type="spellEnd"/>
            <w:r w:rsidRPr="00764AEC">
              <w:rPr>
                <w:rFonts w:eastAsia="Times New Roman"/>
                <w:b/>
                <w:bCs/>
                <w:sz w:val="22"/>
              </w:rPr>
              <w:t>. aktívneho pracovníka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46871">
              <w:rPr>
                <w:rFonts w:eastAsia="Times New Roman"/>
                <w:b/>
                <w:bCs/>
                <w:color w:val="000000"/>
                <w:sz w:val="22"/>
              </w:rPr>
              <w:t>Svet - Zem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13 009,1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4 922,2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1 395,9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37,8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28,4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0,4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1,1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46871">
              <w:rPr>
                <w:rFonts w:eastAsia="Times New Roman"/>
                <w:b/>
                <w:bCs/>
                <w:color w:val="000000"/>
                <w:sz w:val="22"/>
              </w:rPr>
              <w:t>EÚ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423,7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186,6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108,4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44,0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58,1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0,4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Pr="00046871" w:rsidRDefault="005D55C6" w:rsidP="005D55C6">
            <w:pPr>
              <w:spacing w:after="0" w:line="240" w:lineRule="auto"/>
              <w:jc w:val="right"/>
              <w:rPr>
                <w:b/>
                <w:sz w:val="22"/>
              </w:rPr>
            </w:pPr>
            <w:r w:rsidRPr="00046871">
              <w:rPr>
                <w:b/>
                <w:sz w:val="22"/>
              </w:rPr>
              <w:t>10,8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Argentína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273,7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148,8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26,4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28,3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Austrália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768,2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405,5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47,1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102,2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Brazília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835,8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275,6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72,6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26,3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Kanada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70,3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142,5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Čína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942,5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515,4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106,5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54,7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India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297,3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179,3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156,2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87,1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Japonsko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Mexiko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194,4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106,7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23,1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54,9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Nový Zéland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26,3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11,3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Nórsko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Rusko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1 637,8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214,4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119,8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13,1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55,9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proofErr w:type="spellStart"/>
            <w:r w:rsidRPr="00046871">
              <w:rPr>
                <w:rFonts w:eastAsia="Times New Roman"/>
                <w:bCs/>
                <w:color w:val="000000"/>
                <w:sz w:val="22"/>
              </w:rPr>
              <w:t>Juhoafr</w:t>
            </w:r>
            <w:proofErr w:type="spellEnd"/>
            <w:r w:rsidRPr="00046871">
              <w:rPr>
                <w:rFonts w:eastAsia="Times New Roman"/>
                <w:bCs/>
                <w:color w:val="000000"/>
                <w:sz w:val="22"/>
              </w:rPr>
              <w:t xml:space="preserve">. </w:t>
            </w:r>
            <w:proofErr w:type="spellStart"/>
            <w:r w:rsidRPr="00046871">
              <w:rPr>
                <w:rFonts w:eastAsia="Times New Roman"/>
                <w:bCs/>
                <w:color w:val="000000"/>
                <w:sz w:val="22"/>
              </w:rPr>
              <w:t>rep</w:t>
            </w:r>
            <w:proofErr w:type="spellEnd"/>
            <w:r w:rsidRPr="00046871">
              <w:rPr>
                <w:rFonts w:eastAsia="Times New Roman"/>
                <w:bCs/>
                <w:color w:val="000000"/>
                <w:sz w:val="22"/>
              </w:rPr>
              <w:t>.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121,3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96,4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Švajčiarsko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39,1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8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Turecko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76,9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49,9</w:t>
            </w:r>
          </w:p>
        </w:tc>
        <w:tc>
          <w:tcPr>
            <w:tcW w:w="1109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5D55C6" w:rsidRPr="00CD6B60" w:rsidTr="00046871">
        <w:trPr>
          <w:trHeight w:val="135"/>
        </w:trPr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5D55C6" w:rsidRPr="00046871" w:rsidRDefault="005D55C6" w:rsidP="005D55C6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046871">
              <w:rPr>
                <w:rFonts w:eastAsia="Times New Roman"/>
                <w:bCs/>
                <w:color w:val="000000"/>
                <w:sz w:val="22"/>
              </w:rPr>
              <w:t>USA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914,7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408,7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155,1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37,9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D55C6" w:rsidRDefault="005D55C6" w:rsidP="005D55C6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64,4</w:t>
            </w:r>
          </w:p>
        </w:tc>
      </w:tr>
    </w:tbl>
    <w:p w:rsidR="005D55C6" w:rsidRPr="00571573" w:rsidRDefault="005D55C6" w:rsidP="005D55C6">
      <w:pPr>
        <w:spacing w:after="0" w:line="240" w:lineRule="auto"/>
        <w:rPr>
          <w:rFonts w:eastAsia="Times New Roman"/>
          <w:sz w:val="20"/>
          <w:szCs w:val="20"/>
          <w:lang w:eastAsia="sk-SK"/>
        </w:rPr>
      </w:pPr>
      <w:r w:rsidRPr="00571573">
        <w:rPr>
          <w:rFonts w:eastAsia="Times New Roman"/>
          <w:sz w:val="20"/>
          <w:szCs w:val="20"/>
          <w:lang w:eastAsia="sk-SK"/>
        </w:rPr>
        <w:t>Prameň</w:t>
      </w:r>
      <w:r>
        <w:rPr>
          <w:rFonts w:eastAsia="Times New Roman"/>
          <w:sz w:val="20"/>
          <w:szCs w:val="20"/>
          <w:lang w:eastAsia="sk-SK"/>
        </w:rPr>
        <w:t xml:space="preserve">: </w:t>
      </w:r>
      <w:r w:rsidRPr="008A6550">
        <w:rPr>
          <w:rFonts w:eastAsia="Times New Roman"/>
          <w:sz w:val="20"/>
          <w:szCs w:val="20"/>
          <w:lang w:eastAsia="sk-SK"/>
        </w:rPr>
        <w:t>FAO OSN, FAOSTAT 2015, údaje aktualizované vo februári 2015, zobrazujú stav roka 2012</w:t>
      </w:r>
      <w:r w:rsidRPr="00571573">
        <w:rPr>
          <w:rFonts w:eastAsia="Times New Roman"/>
          <w:sz w:val="20"/>
          <w:szCs w:val="20"/>
          <w:lang w:eastAsia="sk-SK"/>
        </w:rPr>
        <w:t xml:space="preserve"> </w:t>
      </w:r>
    </w:p>
    <w:p w:rsidR="005D55C6" w:rsidRDefault="005D55C6" w:rsidP="005D55C6">
      <w:pPr>
        <w:pStyle w:val="1"/>
        <w:numPr>
          <w:ilvl w:val="0"/>
          <w:numId w:val="0"/>
        </w:numPr>
        <w:spacing w:after="0" w:line="240" w:lineRule="auto"/>
        <w:ind w:left="1134" w:hanging="1134"/>
        <w:rPr>
          <w:rFonts w:eastAsia="Arial Unicode MS"/>
          <w:b w:val="0"/>
          <w:color w:val="000000"/>
          <w:sz w:val="20"/>
          <w:szCs w:val="20"/>
        </w:rPr>
      </w:pPr>
      <w:r>
        <w:rPr>
          <w:rFonts w:eastAsia="Arial Unicode MS"/>
          <w:b w:val="0"/>
          <w:color w:val="000000"/>
          <w:sz w:val="20"/>
          <w:szCs w:val="20"/>
        </w:rPr>
        <w:t>Vypracoval:</w:t>
      </w:r>
      <w:r w:rsidRPr="002650FB">
        <w:rPr>
          <w:rFonts w:eastAsia="Arial Unicode MS"/>
          <w:b w:val="0"/>
          <w:color w:val="000000"/>
          <w:sz w:val="20"/>
          <w:szCs w:val="20"/>
        </w:rPr>
        <w:t xml:space="preserve"> </w:t>
      </w:r>
      <w:r>
        <w:rPr>
          <w:rFonts w:eastAsia="Arial Unicode MS"/>
          <w:b w:val="0"/>
          <w:color w:val="000000"/>
          <w:sz w:val="20"/>
          <w:szCs w:val="20"/>
        </w:rPr>
        <w:t>NPPC-</w:t>
      </w:r>
      <w:r w:rsidRPr="002650FB">
        <w:rPr>
          <w:rFonts w:eastAsia="Arial Unicode MS"/>
          <w:b w:val="0"/>
          <w:color w:val="000000"/>
          <w:sz w:val="20"/>
          <w:szCs w:val="20"/>
        </w:rPr>
        <w:t>VÚEPP</w:t>
      </w:r>
    </w:p>
    <w:p w:rsidR="00046871" w:rsidRDefault="00046871" w:rsidP="005D55C6">
      <w:pPr>
        <w:shd w:val="clear" w:color="auto" w:fill="FFFFFF"/>
        <w:ind w:firstLine="709"/>
        <w:rPr>
          <w:bCs/>
          <w:color w:val="000000"/>
        </w:rPr>
      </w:pPr>
    </w:p>
    <w:p w:rsidR="005D55C6" w:rsidRPr="002B380F" w:rsidRDefault="005D55C6" w:rsidP="005D55C6">
      <w:pPr>
        <w:shd w:val="clear" w:color="auto" w:fill="FFFFFF"/>
        <w:ind w:firstLine="709"/>
        <w:rPr>
          <w:bCs/>
          <w:color w:val="000000"/>
        </w:rPr>
      </w:pPr>
      <w:r w:rsidRPr="00F15DE5">
        <w:rPr>
          <w:bCs/>
          <w:color w:val="000000"/>
        </w:rPr>
        <w:lastRenderedPageBreak/>
        <w:t xml:space="preserve">Výmera poľnohospodárskej pôdy vo svete sa za ostatný rok mierne zvýšila (0,2 %). Podiel ornej pôdy na poľnohospodárskej pôde, t.j. podiel </w:t>
      </w:r>
      <w:proofErr w:type="spellStart"/>
      <w:r w:rsidRPr="00F15DE5">
        <w:rPr>
          <w:bCs/>
          <w:color w:val="000000"/>
        </w:rPr>
        <w:t>zornenia</w:t>
      </w:r>
      <w:proofErr w:type="spellEnd"/>
      <w:r w:rsidRPr="00F15DE5">
        <w:rPr>
          <w:bCs/>
          <w:color w:val="000000"/>
        </w:rPr>
        <w:t xml:space="preserve"> dosahuje v súčasnosti v</w:t>
      </w:r>
      <w:r>
        <w:rPr>
          <w:bCs/>
          <w:color w:val="000000"/>
        </w:rPr>
        <w:t> </w:t>
      </w:r>
      <w:r w:rsidRPr="00F15DE5">
        <w:rPr>
          <w:bCs/>
          <w:color w:val="000000"/>
        </w:rPr>
        <w:t>celosvetovom meradle 28,4 % a medziročne sa výrazne nemenil. Najvyššiu výmeru poľnohospodárskej pôdy má Čína (515,4 mil. ha), USA (408,7 mil. ha), Austrália (405,5</w:t>
      </w:r>
      <w:r>
        <w:rPr>
          <w:bCs/>
          <w:color w:val="000000"/>
        </w:rPr>
        <w:t> </w:t>
      </w:r>
      <w:r w:rsidRPr="00F15DE5">
        <w:rPr>
          <w:bCs/>
          <w:color w:val="000000"/>
        </w:rPr>
        <w:t>mil.</w:t>
      </w:r>
      <w:r>
        <w:rPr>
          <w:bCs/>
          <w:color w:val="000000"/>
        </w:rPr>
        <w:t> </w:t>
      </w:r>
      <w:r w:rsidRPr="00F15DE5">
        <w:rPr>
          <w:bCs/>
          <w:color w:val="000000"/>
        </w:rPr>
        <w:t xml:space="preserve">ha), Brazília (275,6 mil. ha) a Rusko </w:t>
      </w:r>
      <w:r w:rsidRPr="00124203">
        <w:rPr>
          <w:bCs/>
          <w:color w:val="000000"/>
        </w:rPr>
        <w:t>(214,4 mil. ha), ktoré</w:t>
      </w:r>
      <w:r w:rsidRPr="00F15DE5">
        <w:rPr>
          <w:bCs/>
          <w:color w:val="000000"/>
        </w:rPr>
        <w:t xml:space="preserve"> majú aj najvyššiu výmeru ornej pôdy. Najvyšší podiel poľnohospodárskej pôdy na celkovej pôde krajiny majú Juhoafrická republika (79,5 %), India (60,3 %), Čína (54,7 %), Argentína (54,4 %),  Austrália (52,8 %) a Mexiko (54,9 %).  V Európskej únii je to 44,0 %.</w:t>
      </w:r>
      <w:r>
        <w:rPr>
          <w:bCs/>
          <w:color w:val="000000"/>
        </w:rPr>
        <w:t xml:space="preserve"> </w:t>
      </w:r>
    </w:p>
    <w:p w:rsidR="002B380F" w:rsidRPr="0037374D" w:rsidRDefault="00E85FB7" w:rsidP="0037374D">
      <w:pPr>
        <w:jc w:val="right"/>
        <w:rPr>
          <w:b/>
        </w:rPr>
      </w:pPr>
      <w:r w:rsidRPr="0037374D">
        <w:t>Graf 1</w:t>
      </w:r>
    </w:p>
    <w:p w:rsidR="00E85FB7" w:rsidRDefault="005D55C6" w:rsidP="002650FB">
      <w:pPr>
        <w:pStyle w:val="1"/>
        <w:numPr>
          <w:ilvl w:val="0"/>
          <w:numId w:val="0"/>
        </w:numPr>
        <w:spacing w:after="0" w:line="240" w:lineRule="auto"/>
        <w:ind w:left="1134" w:hanging="1134"/>
      </w:pPr>
      <w:r w:rsidRPr="005D55C6">
        <w:rPr>
          <w:noProof/>
          <w:lang w:eastAsia="sk-SK"/>
        </w:rPr>
        <w:drawing>
          <wp:inline distT="0" distB="0" distL="0" distR="0">
            <wp:extent cx="5759450" cy="3096968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C6" w:rsidRPr="002C15F6" w:rsidRDefault="005D55C6" w:rsidP="005D55C6">
      <w:pPr>
        <w:spacing w:after="0" w:line="240" w:lineRule="auto"/>
        <w:rPr>
          <w:sz w:val="20"/>
          <w:szCs w:val="20"/>
        </w:rPr>
      </w:pPr>
      <w:r w:rsidRPr="002C15F6">
        <w:rPr>
          <w:sz w:val="20"/>
          <w:szCs w:val="20"/>
        </w:rPr>
        <w:t xml:space="preserve">Prameň: FAO OSN, FAOSTAT 2015 </w:t>
      </w:r>
    </w:p>
    <w:p w:rsidR="005D55C6" w:rsidRPr="002C15F6" w:rsidRDefault="005D55C6" w:rsidP="005D55C6">
      <w:pPr>
        <w:spacing w:after="0" w:line="240" w:lineRule="auto"/>
        <w:rPr>
          <w:sz w:val="20"/>
          <w:szCs w:val="20"/>
        </w:rPr>
      </w:pPr>
      <w:r w:rsidRPr="002C15F6">
        <w:rPr>
          <w:sz w:val="20"/>
          <w:szCs w:val="20"/>
        </w:rPr>
        <w:t>Vypracoval: NPPC-VÚEPP</w:t>
      </w:r>
    </w:p>
    <w:p w:rsidR="005D55C6" w:rsidRDefault="005D55C6" w:rsidP="005D55C6">
      <w:pPr>
        <w:spacing w:after="0" w:line="240" w:lineRule="auto"/>
        <w:ind w:firstLine="284"/>
        <w:jc w:val="right"/>
        <w:rPr>
          <w:color w:val="000000"/>
        </w:rPr>
      </w:pPr>
    </w:p>
    <w:p w:rsidR="005D55C6" w:rsidRDefault="001C393C" w:rsidP="005D55C6">
      <w:pPr>
        <w:spacing w:after="0" w:line="240" w:lineRule="auto"/>
        <w:ind w:firstLine="284"/>
        <w:jc w:val="right"/>
        <w:rPr>
          <w:color w:val="000000"/>
        </w:rPr>
      </w:pPr>
      <w:r>
        <w:rPr>
          <w:noProof/>
          <w:color w:val="000000"/>
          <w:lang w:eastAsia="sk-SK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358775</wp:posOffset>
            </wp:positionV>
            <wp:extent cx="5756910" cy="2540635"/>
            <wp:effectExtent l="19050" t="0" r="0" b="0"/>
            <wp:wrapSquare wrapText="bothSides"/>
            <wp:docPr id="1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5C6" w:rsidRPr="006912BC" w:rsidRDefault="005D55C6" w:rsidP="005D55C6">
      <w:pPr>
        <w:spacing w:after="0" w:line="240" w:lineRule="auto"/>
        <w:ind w:firstLine="284"/>
        <w:jc w:val="right"/>
        <w:rPr>
          <w:color w:val="000000"/>
        </w:rPr>
      </w:pPr>
      <w:r w:rsidRPr="006912BC">
        <w:rPr>
          <w:color w:val="000000"/>
        </w:rPr>
        <w:t>Graf 2</w:t>
      </w:r>
    </w:p>
    <w:p w:rsidR="005D55C6" w:rsidRPr="002C15F6" w:rsidRDefault="005D55C6" w:rsidP="005D55C6">
      <w:pPr>
        <w:spacing w:after="0" w:line="240" w:lineRule="auto"/>
        <w:rPr>
          <w:sz w:val="20"/>
          <w:szCs w:val="20"/>
        </w:rPr>
      </w:pPr>
      <w:r w:rsidRPr="002C15F6">
        <w:rPr>
          <w:sz w:val="20"/>
          <w:szCs w:val="20"/>
        </w:rPr>
        <w:t xml:space="preserve">Prameň: FAO OSN, FAOSTAT 2015 </w:t>
      </w:r>
    </w:p>
    <w:p w:rsidR="005D55C6" w:rsidRPr="002C15F6" w:rsidRDefault="005D55C6" w:rsidP="005D55C6">
      <w:pPr>
        <w:spacing w:after="0" w:line="240" w:lineRule="auto"/>
        <w:rPr>
          <w:sz w:val="20"/>
          <w:szCs w:val="20"/>
        </w:rPr>
      </w:pPr>
      <w:r w:rsidRPr="002C15F6">
        <w:rPr>
          <w:sz w:val="20"/>
          <w:szCs w:val="20"/>
        </w:rPr>
        <w:t>Vypracoval: NPPC-VÚEPP</w:t>
      </w:r>
    </w:p>
    <w:p w:rsidR="00A91002" w:rsidRPr="00F15DE5" w:rsidRDefault="00A91002" w:rsidP="00A91002">
      <w:pPr>
        <w:shd w:val="clear" w:color="auto" w:fill="FFFFFF"/>
        <w:ind w:firstLine="709"/>
      </w:pPr>
      <w:r w:rsidRPr="00F15DE5">
        <w:lastRenderedPageBreak/>
        <w:t>Na jedného poľnohospodársky aktívneho pracovníka pripadá v celosvetovom meradle 1,1 ha poľnohospodárskej pôdy a v Európskej únii 10,8 ha. Medziročne sa znížil počet ha</w:t>
      </w:r>
      <w:r w:rsidR="00BC221D">
        <w:t> </w:t>
      </w:r>
      <w:r w:rsidRPr="00F15DE5">
        <w:t>poľnohospodárskej pôdy na aktívneho pracovníka v poľnohospodárstve. Najviac poľnohospodárskej pôdy na aktívneho poľnohospodárskeho pracovníka má Austrália (102,2</w:t>
      </w:r>
      <w:r>
        <w:t> </w:t>
      </w:r>
      <w:r w:rsidRPr="00F15DE5">
        <w:t>ha), Kanada (142,5 ha)</w:t>
      </w:r>
      <w:r w:rsidR="00BC221D">
        <w:t>,</w:t>
      </w:r>
      <w:r w:rsidRPr="00F15DE5">
        <w:t xml:space="preserve"> menej USA (64,4 ha) a najmenej Čína (0,2 ha) a India (0,6</w:t>
      </w:r>
      <w:r w:rsidR="00BC221D">
        <w:t> </w:t>
      </w:r>
      <w:r w:rsidRPr="00F15DE5">
        <w:t xml:space="preserve">ha). </w:t>
      </w:r>
    </w:p>
    <w:p w:rsidR="00A91002" w:rsidRDefault="00A91002" w:rsidP="00A91002">
      <w:pPr>
        <w:pStyle w:val="Default"/>
        <w:shd w:val="clear" w:color="auto" w:fill="FFFFFF"/>
        <w:spacing w:after="120" w:line="320" w:lineRule="exact"/>
        <w:ind w:firstLine="708"/>
        <w:jc w:val="both"/>
        <w:rPr>
          <w:rFonts w:ascii="Times New Roman" w:hAnsi="Times New Roman" w:cs="Times New Roman"/>
        </w:rPr>
      </w:pPr>
      <w:r w:rsidRPr="00F15DE5">
        <w:rPr>
          <w:rFonts w:ascii="Times New Roman" w:hAnsi="Times New Roman" w:cs="Times New Roman"/>
          <w:color w:val="auto"/>
          <w:szCs w:val="22"/>
        </w:rPr>
        <w:t>Výmera poľnohospodárskej pôdy vo svete bola od roku 1995 stabilizovaná. Zmena nastala v roku 2005, odkedy má celková výmera poľnohospodárskej pôdy mierne klesajúci trend, ktorý sa významne prejavil aj v roku 2012 takmer vo všetkých  rozhodujúcich regiónoch sveta, a to v Európe, USA, Číne a v Rusku. Vývoj poľnohospodárskej pôdy je</w:t>
      </w:r>
      <w:r w:rsidR="00BC221D">
        <w:rPr>
          <w:rFonts w:ascii="Times New Roman" w:hAnsi="Times New Roman" w:cs="Times New Roman"/>
          <w:color w:val="auto"/>
          <w:szCs w:val="22"/>
        </w:rPr>
        <w:t> </w:t>
      </w:r>
      <w:r w:rsidRPr="00F15DE5">
        <w:rPr>
          <w:rFonts w:ascii="Times New Roman" w:hAnsi="Times New Roman" w:cs="Times New Roman"/>
          <w:color w:val="auto"/>
          <w:szCs w:val="22"/>
        </w:rPr>
        <w:t xml:space="preserve">charakteristický rýchlejším poklesom jej výmery v rozvinutých krajinách s vyššou intenzitou poľnohospodárskej výroby a nárastom v rozvojových krajinách s prevládajúcou </w:t>
      </w:r>
      <w:proofErr w:type="spellStart"/>
      <w:r w:rsidRPr="00F15DE5">
        <w:rPr>
          <w:rFonts w:ascii="Times New Roman" w:hAnsi="Times New Roman" w:cs="Times New Roman"/>
          <w:color w:val="auto"/>
          <w:szCs w:val="22"/>
        </w:rPr>
        <w:t>extenzitou</w:t>
      </w:r>
      <w:proofErr w:type="spellEnd"/>
      <w:r w:rsidRPr="00F15DE5">
        <w:rPr>
          <w:rFonts w:ascii="Times New Roman" w:hAnsi="Times New Roman" w:cs="Times New Roman"/>
          <w:color w:val="auto"/>
          <w:szCs w:val="22"/>
        </w:rPr>
        <w:t xml:space="preserve"> poľnohospodárskej výroby</w:t>
      </w:r>
      <w:r w:rsidRPr="00F15D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C7888" w:rsidRDefault="000C7888" w:rsidP="009B54B3">
      <w:pPr>
        <w:pStyle w:val="Default"/>
        <w:spacing w:after="120" w:line="320" w:lineRule="exact"/>
        <w:jc w:val="both"/>
      </w:pPr>
    </w:p>
    <w:p w:rsidR="006B20CA" w:rsidRPr="006B20CA" w:rsidRDefault="006B20CA" w:rsidP="009B54B3">
      <w:pPr>
        <w:pStyle w:val="Default"/>
        <w:spacing w:after="120" w:line="320" w:lineRule="exact"/>
        <w:jc w:val="both"/>
        <w:rPr>
          <w:rFonts w:ascii="Times New Roman" w:hAnsi="Times New Roman" w:cs="Times New Roman"/>
          <w:b/>
          <w:bCs/>
          <w:color w:val="auto"/>
          <w:szCs w:val="22"/>
        </w:rPr>
      </w:pPr>
      <w:r w:rsidRPr="006B20CA">
        <w:rPr>
          <w:rFonts w:ascii="Times New Roman" w:hAnsi="Times New Roman" w:cs="Times New Roman"/>
          <w:b/>
          <w:bCs/>
          <w:color w:val="auto"/>
          <w:szCs w:val="22"/>
        </w:rPr>
        <w:t>Podpora poľnohospodárskych výrobcov v krajinách OECD</w:t>
      </w:r>
    </w:p>
    <w:p w:rsidR="00A91002" w:rsidRPr="003E4B9D" w:rsidRDefault="00A91002" w:rsidP="00A91002">
      <w:pPr>
        <w:pStyle w:val="Default"/>
        <w:spacing w:after="120" w:line="320" w:lineRule="exact"/>
        <w:ind w:firstLine="709"/>
        <w:jc w:val="both"/>
        <w:rPr>
          <w:rFonts w:ascii="Times New Roman" w:hAnsi="Times New Roman" w:cs="Times New Roman"/>
          <w:szCs w:val="22"/>
        </w:rPr>
      </w:pPr>
      <w:r w:rsidRPr="00F15DE5">
        <w:rPr>
          <w:rFonts w:ascii="Times New Roman" w:hAnsi="Times New Roman" w:cs="Times New Roman"/>
          <w:szCs w:val="22"/>
        </w:rPr>
        <w:t>Podpora poľnohospodárstva v krajinách OECD je charakteristická dlhodobým poklesom najmä podpory založenej na komoditných výstupoch. Podpora poľnohospodárov v krajinách OECD, vyjadrená percentom PSE, t.j. podpora výrobcov, podpora všeobecných služieb poľnohospodárstva (výskum, infraštruktúra, kontrola, marketing a propagácia) a</w:t>
      </w:r>
      <w:r>
        <w:rPr>
          <w:rFonts w:ascii="Times New Roman" w:hAnsi="Times New Roman" w:cs="Times New Roman"/>
          <w:szCs w:val="22"/>
        </w:rPr>
        <w:t> </w:t>
      </w:r>
      <w:r w:rsidRPr="00F15DE5">
        <w:rPr>
          <w:rFonts w:ascii="Times New Roman" w:hAnsi="Times New Roman" w:cs="Times New Roman"/>
          <w:szCs w:val="22"/>
        </w:rPr>
        <w:t>podpora spotrebiteľov dosahovala najvyšší odhadovaný podiel za rok</w:t>
      </w:r>
      <w:r w:rsidRPr="00F468B2">
        <w:rPr>
          <w:rFonts w:ascii="Times New Roman" w:hAnsi="Times New Roman" w:cs="Times New Roman"/>
          <w:color w:val="FF0000"/>
          <w:szCs w:val="22"/>
        </w:rPr>
        <w:t xml:space="preserve"> </w:t>
      </w:r>
      <w:r w:rsidRPr="00BC577B">
        <w:rPr>
          <w:rFonts w:ascii="Times New Roman" w:hAnsi="Times New Roman" w:cs="Times New Roman"/>
          <w:szCs w:val="22"/>
        </w:rPr>
        <w:t xml:space="preserve">2014 </w:t>
      </w:r>
      <w:r w:rsidR="00BC221D">
        <w:rPr>
          <w:rFonts w:ascii="Times New Roman" w:hAnsi="Times New Roman" w:cs="Times New Roman"/>
          <w:szCs w:val="22"/>
        </w:rPr>
        <w:t>v</w:t>
      </w:r>
      <w:r w:rsidRPr="00BC577B">
        <w:rPr>
          <w:rFonts w:ascii="Times New Roman" w:hAnsi="Times New Roman" w:cs="Times New Roman"/>
          <w:szCs w:val="22"/>
        </w:rPr>
        <w:t xml:space="preserve"> Nórsk</w:t>
      </w:r>
      <w:r w:rsidR="00BC221D">
        <w:rPr>
          <w:rFonts w:ascii="Times New Roman" w:hAnsi="Times New Roman" w:cs="Times New Roman"/>
          <w:szCs w:val="22"/>
        </w:rPr>
        <w:t>u</w:t>
      </w:r>
      <w:r w:rsidRPr="00BC577B">
        <w:rPr>
          <w:rFonts w:ascii="Times New Roman" w:hAnsi="Times New Roman" w:cs="Times New Roman"/>
          <w:szCs w:val="22"/>
        </w:rPr>
        <w:t xml:space="preserve"> (58,4 %), Švajčiarsk</w:t>
      </w:r>
      <w:r w:rsidR="00BC221D">
        <w:rPr>
          <w:rFonts w:ascii="Times New Roman" w:hAnsi="Times New Roman" w:cs="Times New Roman"/>
          <w:szCs w:val="22"/>
        </w:rPr>
        <w:t>u</w:t>
      </w:r>
      <w:r w:rsidRPr="00BC577B">
        <w:rPr>
          <w:rFonts w:ascii="Times New Roman" w:hAnsi="Times New Roman" w:cs="Times New Roman"/>
          <w:szCs w:val="22"/>
        </w:rPr>
        <w:t xml:space="preserve"> (56,6 %), Kóre</w:t>
      </w:r>
      <w:r w:rsidR="00BC221D">
        <w:rPr>
          <w:rFonts w:ascii="Times New Roman" w:hAnsi="Times New Roman" w:cs="Times New Roman"/>
          <w:szCs w:val="22"/>
        </w:rPr>
        <w:t>i</w:t>
      </w:r>
      <w:r w:rsidRPr="00BC577B">
        <w:rPr>
          <w:rFonts w:ascii="Times New Roman" w:hAnsi="Times New Roman" w:cs="Times New Roman"/>
          <w:szCs w:val="22"/>
        </w:rPr>
        <w:t xml:space="preserve"> (51,1 %) a Japonsk</w:t>
      </w:r>
      <w:r w:rsidR="00BC221D">
        <w:rPr>
          <w:rFonts w:ascii="Times New Roman" w:hAnsi="Times New Roman" w:cs="Times New Roman"/>
          <w:szCs w:val="22"/>
        </w:rPr>
        <w:t>u</w:t>
      </w:r>
      <w:r w:rsidRPr="00BC577B">
        <w:rPr>
          <w:rFonts w:ascii="Times New Roman" w:hAnsi="Times New Roman" w:cs="Times New Roman"/>
          <w:szCs w:val="22"/>
        </w:rPr>
        <w:t xml:space="preserve"> (49,2 %). Najnižší podiel podpory podobne ako v predchádzajúcich rokoch mali krajiny ako je  Nový Zéland (1,0 %)</w:t>
      </w:r>
      <w:r>
        <w:rPr>
          <w:rFonts w:ascii="Times New Roman" w:hAnsi="Times New Roman" w:cs="Times New Roman"/>
          <w:szCs w:val="22"/>
        </w:rPr>
        <w:t>,</w:t>
      </w:r>
      <w:r w:rsidRPr="00F468B2">
        <w:rPr>
          <w:rFonts w:ascii="Times New Roman" w:hAnsi="Times New Roman" w:cs="Times New Roman"/>
          <w:color w:val="FF0000"/>
          <w:szCs w:val="22"/>
        </w:rPr>
        <w:t xml:space="preserve"> </w:t>
      </w:r>
      <w:r w:rsidRPr="00BC577B">
        <w:rPr>
          <w:rFonts w:ascii="Times New Roman" w:hAnsi="Times New Roman" w:cs="Times New Roman"/>
          <w:szCs w:val="22"/>
        </w:rPr>
        <w:t xml:space="preserve">Austrália (2,3 %) a Čile (3,1 %).  Z dlhodobého hľadiska  badať klesajúce tendencie </w:t>
      </w:r>
      <w:r>
        <w:rPr>
          <w:rFonts w:ascii="Times New Roman" w:hAnsi="Times New Roman" w:cs="Times New Roman"/>
          <w:szCs w:val="22"/>
        </w:rPr>
        <w:t xml:space="preserve">podielu </w:t>
      </w:r>
      <w:r w:rsidRPr="00BC577B">
        <w:rPr>
          <w:rFonts w:ascii="Times New Roman" w:hAnsi="Times New Roman" w:cs="Times New Roman"/>
          <w:szCs w:val="22"/>
        </w:rPr>
        <w:t>podpôr u väčšiny  rozhodujúcich krajín OECD.</w:t>
      </w:r>
      <w:r>
        <w:rPr>
          <w:rFonts w:ascii="Times New Roman" w:hAnsi="Times New Roman" w:cs="Times New Roman"/>
          <w:color w:val="FF0000"/>
          <w:szCs w:val="22"/>
        </w:rPr>
        <w:t xml:space="preserve"> </w:t>
      </w:r>
      <w:r w:rsidRPr="003E4B9D">
        <w:rPr>
          <w:rFonts w:ascii="Times New Roman" w:hAnsi="Times New Roman" w:cs="Times New Roman"/>
          <w:szCs w:val="22"/>
        </w:rPr>
        <w:t xml:space="preserve">Aj pri klesajúcej podpore je úroveň podielov podpôr za posledné tri roky až na niektoré krajiny rovnaká.  </w:t>
      </w:r>
    </w:p>
    <w:p w:rsidR="00A91002" w:rsidRPr="00F468B2" w:rsidRDefault="00A91002" w:rsidP="00A91002">
      <w:pPr>
        <w:pStyle w:val="Default"/>
        <w:spacing w:after="120" w:line="320" w:lineRule="exact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  <w:r w:rsidRPr="003E4B9D">
        <w:rPr>
          <w:rFonts w:ascii="Times New Roman" w:hAnsi="Times New Roman" w:cs="Times New Roman"/>
          <w:szCs w:val="22"/>
        </w:rPr>
        <w:t>Celková podpora, vyjadrená percentom TSE ako podiel podpory na HDP,  mala za</w:t>
      </w:r>
      <w:r>
        <w:rPr>
          <w:rFonts w:ascii="Times New Roman" w:hAnsi="Times New Roman" w:cs="Times New Roman"/>
          <w:szCs w:val="22"/>
        </w:rPr>
        <w:t> </w:t>
      </w:r>
      <w:r w:rsidRPr="003E4B9D">
        <w:rPr>
          <w:rFonts w:ascii="Times New Roman" w:hAnsi="Times New Roman" w:cs="Times New Roman"/>
          <w:szCs w:val="22"/>
        </w:rPr>
        <w:t>posledné tri roky vo väčšine krajín mierne klesajúcu (Kanada, Japonsko, Mexiko), resp. stagnujúcu tendenciu (Austrália, Chile, Izrael, Nový Zéland).</w:t>
      </w:r>
      <w:r w:rsidRPr="00F468B2">
        <w:rPr>
          <w:rFonts w:ascii="Times New Roman" w:hAnsi="Times New Roman" w:cs="Times New Roman"/>
          <w:color w:val="FF0000"/>
          <w:szCs w:val="22"/>
        </w:rPr>
        <w:t xml:space="preserve">  </w:t>
      </w:r>
      <w:r w:rsidRPr="003E4B9D">
        <w:rPr>
          <w:rFonts w:ascii="Times New Roman" w:hAnsi="Times New Roman" w:cs="Times New Roman"/>
          <w:szCs w:val="22"/>
        </w:rPr>
        <w:t>Medziročný nárast podielu celkovej podpory zaznamenali Island, Mexiko,  Nórsko, Švajčiarsko a USA. Tendencie poklesu podpory výrobcov badať od 90-tych rokov minulého storočia vo väčšine krajín OECD, čo je odrazom najmä klesajúceho podielu poľnohospodárstva na ich HDP.</w:t>
      </w:r>
      <w:r w:rsidRPr="00F468B2">
        <w:rPr>
          <w:rFonts w:ascii="Times New Roman" w:hAnsi="Times New Roman" w:cs="Times New Roman"/>
          <w:color w:val="FF0000"/>
          <w:szCs w:val="22"/>
        </w:rPr>
        <w:t xml:space="preserve">  </w:t>
      </w:r>
    </w:p>
    <w:p w:rsidR="00D42805" w:rsidRPr="000B5953" w:rsidRDefault="00D42805" w:rsidP="006912BC">
      <w:pPr>
        <w:pStyle w:val="Default"/>
        <w:spacing w:line="320" w:lineRule="exact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  <w:r w:rsidRPr="00195E0B">
        <w:rPr>
          <w:rFonts w:ascii="Times New Roman" w:hAnsi="Times New Roman" w:cs="Times New Roman"/>
          <w:color w:val="auto"/>
          <w:szCs w:val="22"/>
        </w:rPr>
        <w:t>.</w:t>
      </w:r>
    </w:p>
    <w:p w:rsidR="006B20CA" w:rsidRPr="00452BCC" w:rsidRDefault="00A91002" w:rsidP="00D42805">
      <w:pPr>
        <w:pStyle w:val="Default"/>
        <w:keepNext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P</w:t>
      </w:r>
      <w:r w:rsidR="006B20CA" w:rsidRPr="00452BCC">
        <w:rPr>
          <w:rFonts w:ascii="Times New Roman" w:hAnsi="Times New Roman" w:cs="Times New Roman"/>
          <w:b/>
          <w:szCs w:val="22"/>
        </w:rPr>
        <w:t>odpora producentov krajín OECD</w:t>
      </w:r>
      <w:r w:rsidR="006B20CA" w:rsidRPr="00452BCC">
        <w:rPr>
          <w:b/>
        </w:rPr>
        <w:t xml:space="preserve">   </w:t>
      </w:r>
      <w:r w:rsidR="006B20CA" w:rsidRPr="00452BCC">
        <w:t xml:space="preserve">                                                        </w:t>
      </w:r>
      <w:r w:rsidR="00220B7B">
        <w:t xml:space="preserve"> </w:t>
      </w:r>
      <w:r w:rsidR="00A941B3">
        <w:t xml:space="preserve">   </w:t>
      </w:r>
      <w:r w:rsidR="006B20CA" w:rsidRPr="00452BCC">
        <w:rPr>
          <w:rFonts w:ascii="Times New Roman" w:hAnsi="Times New Roman" w:cs="Times New Roman"/>
          <w:szCs w:val="22"/>
        </w:rPr>
        <w:t>Tab</w:t>
      </w:r>
      <w:r w:rsidR="0071211C">
        <w:rPr>
          <w:rFonts w:ascii="Times New Roman" w:hAnsi="Times New Roman" w:cs="Times New Roman"/>
          <w:szCs w:val="22"/>
        </w:rPr>
        <w:t xml:space="preserve">uľka </w:t>
      </w:r>
      <w:r w:rsidR="006B20CA" w:rsidRPr="00452BCC">
        <w:rPr>
          <w:rFonts w:ascii="Times New Roman" w:hAnsi="Times New Roman" w:cs="Times New Roman"/>
          <w:szCs w:val="22"/>
        </w:rPr>
        <w:t>2</w:t>
      </w:r>
    </w:p>
    <w:tbl>
      <w:tblPr>
        <w:tblW w:w="90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668"/>
        <w:gridCol w:w="1041"/>
        <w:gridCol w:w="805"/>
        <w:gridCol w:w="919"/>
        <w:gridCol w:w="971"/>
        <w:gridCol w:w="992"/>
        <w:gridCol w:w="851"/>
        <w:gridCol w:w="850"/>
        <w:gridCol w:w="992"/>
      </w:tblGrid>
      <w:tr w:rsidR="006B20CA" w:rsidRPr="00CD6B60" w:rsidTr="00046871">
        <w:trPr>
          <w:trHeight w:val="285"/>
        </w:trPr>
        <w:tc>
          <w:tcPr>
            <w:tcW w:w="1668" w:type="dxa"/>
            <w:vMerge w:val="restart"/>
            <w:shd w:val="clear" w:color="auto" w:fill="C2D69B"/>
            <w:noWrap/>
          </w:tcPr>
          <w:p w:rsidR="006B20CA" w:rsidRPr="00764AEC" w:rsidRDefault="006B20CA" w:rsidP="00D42805">
            <w:pPr>
              <w:keepNext/>
              <w:spacing w:after="0" w:line="240" w:lineRule="auto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Krajina</w:t>
            </w:r>
          </w:p>
        </w:tc>
        <w:tc>
          <w:tcPr>
            <w:tcW w:w="3736" w:type="dxa"/>
            <w:gridSpan w:val="4"/>
            <w:shd w:val="clear" w:color="auto" w:fill="C2D69B"/>
            <w:noWrap/>
          </w:tcPr>
          <w:p w:rsidR="006B20CA" w:rsidRPr="00764AEC" w:rsidRDefault="006B20CA" w:rsidP="00D42805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 % PSE</w:t>
            </w:r>
          </w:p>
        </w:tc>
        <w:tc>
          <w:tcPr>
            <w:tcW w:w="3685" w:type="dxa"/>
            <w:gridSpan w:val="4"/>
            <w:shd w:val="clear" w:color="auto" w:fill="C2D69B"/>
            <w:noWrap/>
          </w:tcPr>
          <w:p w:rsidR="006B20CA" w:rsidRPr="00764AEC" w:rsidRDefault="006B20CA" w:rsidP="00D42805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TSE v % na HDP</w:t>
            </w:r>
          </w:p>
        </w:tc>
      </w:tr>
      <w:tr w:rsidR="00A91002" w:rsidRPr="00CD6B60" w:rsidTr="00046871">
        <w:trPr>
          <w:trHeight w:val="285"/>
        </w:trPr>
        <w:tc>
          <w:tcPr>
            <w:tcW w:w="1668" w:type="dxa"/>
            <w:vMerge/>
            <w:shd w:val="clear" w:color="auto" w:fill="C2D69B"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b/>
              </w:rPr>
            </w:pPr>
          </w:p>
        </w:tc>
        <w:tc>
          <w:tcPr>
            <w:tcW w:w="1041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1995-97</w:t>
            </w:r>
          </w:p>
        </w:tc>
        <w:tc>
          <w:tcPr>
            <w:tcW w:w="805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919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971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2014 p</w:t>
            </w:r>
          </w:p>
        </w:tc>
        <w:tc>
          <w:tcPr>
            <w:tcW w:w="992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1995-97</w:t>
            </w:r>
          </w:p>
        </w:tc>
        <w:tc>
          <w:tcPr>
            <w:tcW w:w="851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  <w:r w:rsidRPr="00764AEC">
              <w:rPr>
                <w:b/>
                <w:sz w:val="22"/>
              </w:rPr>
              <w:t xml:space="preserve"> </w:t>
            </w:r>
          </w:p>
        </w:tc>
        <w:tc>
          <w:tcPr>
            <w:tcW w:w="850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992" w:type="dxa"/>
            <w:shd w:val="clear" w:color="auto" w:fill="C2D69B"/>
            <w:noWrap/>
          </w:tcPr>
          <w:p w:rsidR="00A91002" w:rsidRPr="00764AEC" w:rsidRDefault="00A91002" w:rsidP="004B3A47">
            <w:pPr>
              <w:keepNext/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64AEC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4 p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 xml:space="preserve">Austrália </w:t>
            </w:r>
          </w:p>
        </w:tc>
        <w:tc>
          <w:tcPr>
            <w:tcW w:w="1041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</w:rPr>
              <w:t>5,8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2,0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2,1</w:t>
            </w:r>
          </w:p>
        </w:tc>
        <w:tc>
          <w:tcPr>
            <w:tcW w:w="971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0,1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Kanada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16</w:t>
            </w:r>
            <w:r>
              <w:rPr>
                <w:rFonts w:eastAsia="Arial Unicode MS"/>
                <w:color w:val="000000"/>
                <w:sz w:val="22"/>
              </w:rPr>
              <w:t>,3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3,9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0,6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0,4</w:t>
            </w:r>
          </w:p>
        </w:tc>
      </w:tr>
      <w:tr w:rsidR="00A91002" w:rsidRPr="00CD6B60" w:rsidTr="00046871">
        <w:trPr>
          <w:trHeight w:val="36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color w:val="000000"/>
              </w:rPr>
            </w:pPr>
            <w:r w:rsidRPr="00764AEC">
              <w:rPr>
                <w:color w:val="000000"/>
                <w:sz w:val="22"/>
              </w:rPr>
              <w:t>Chile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>7,5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3,0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3,4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3,1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  <w:sz w:val="22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0,3</w:t>
            </w:r>
          </w:p>
        </w:tc>
      </w:tr>
      <w:tr w:rsidR="00A91002" w:rsidRPr="00CD6B60" w:rsidTr="00046871">
        <w:trPr>
          <w:trHeight w:val="36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6912BC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 xml:space="preserve">Európska únia 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3</w:t>
            </w:r>
            <w:r>
              <w:rPr>
                <w:rFonts w:eastAsia="Arial Unicode MS"/>
                <w:color w:val="000000"/>
                <w:sz w:val="22"/>
              </w:rPr>
              <w:t>3,8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9,1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20,5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1,5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0,7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Island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</w:rPr>
              <w:t>60,4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4</w:t>
            </w:r>
            <w:r>
              <w:rPr>
                <w:rFonts w:eastAsia="Arial Unicode MS"/>
                <w:color w:val="000000"/>
              </w:rPr>
              <w:t>6,3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4</w:t>
            </w:r>
            <w:r>
              <w:rPr>
                <w:rFonts w:eastAsia="Arial Unicode MS"/>
                <w:color w:val="000000"/>
              </w:rPr>
              <w:t>2,1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47,7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2,1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1,</w:t>
            </w: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1,</w:t>
            </w:r>
            <w:r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1,1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color w:val="000000"/>
              </w:rPr>
            </w:pPr>
            <w:r w:rsidRPr="00764AEC">
              <w:rPr>
                <w:color w:val="000000"/>
                <w:sz w:val="22"/>
              </w:rPr>
              <w:t>Izrael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  <w:sz w:val="22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20</w:t>
            </w:r>
            <w:r>
              <w:rPr>
                <w:rFonts w:eastAsia="Arial Unicode MS"/>
                <w:color w:val="000000"/>
                <w:sz w:val="22"/>
              </w:rPr>
              <w:t>,7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8,6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6,6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9,8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  <w:sz w:val="22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0,3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Japonsko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58</w:t>
            </w:r>
            <w:r>
              <w:rPr>
                <w:rFonts w:eastAsia="Arial Unicode MS"/>
                <w:color w:val="000000"/>
                <w:sz w:val="22"/>
              </w:rPr>
              <w:t>,1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>5,</w:t>
            </w:r>
            <w:r w:rsidRPr="00764AEC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>2,</w:t>
            </w:r>
            <w:r w:rsidRPr="00764AEC"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49,2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1,6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1,</w:t>
            </w: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1,</w:t>
            </w: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1,1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Kórea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67</w:t>
            </w:r>
            <w:r>
              <w:rPr>
                <w:rFonts w:eastAsia="Arial Unicode MS"/>
                <w:color w:val="000000"/>
                <w:sz w:val="22"/>
              </w:rPr>
              <w:t>,1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>0,</w:t>
            </w:r>
            <w:r w:rsidRPr="00764AEC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>1,1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51,1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4,9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  <w:r w:rsidRPr="00764AEC">
              <w:rPr>
                <w:rFonts w:eastAsia="Arial Unicode MS"/>
                <w:color w:val="000000"/>
              </w:rPr>
              <w:t>,</w:t>
            </w:r>
            <w:r>
              <w:rPr>
                <w:rFonts w:eastAsia="Arial Unicode MS"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1,8</w:t>
            </w:r>
          </w:p>
        </w:tc>
      </w:tr>
      <w:tr w:rsidR="00A91002" w:rsidRPr="00CD6B60" w:rsidTr="00046871">
        <w:trPr>
          <w:trHeight w:val="36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 xml:space="preserve">Mexiko 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5</w:t>
            </w:r>
            <w:r>
              <w:rPr>
                <w:rFonts w:eastAsia="Arial Unicode MS"/>
                <w:color w:val="000000"/>
                <w:sz w:val="22"/>
              </w:rPr>
              <w:t>,2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1,7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0,9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13,3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</w:t>
            </w:r>
            <w:r>
              <w:rPr>
                <w:rFonts w:eastAsia="Arial Unicode MS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0,8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Nový Zéland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</w:rPr>
              <w:t>0,8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0,8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0,6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0.3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0,3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Nórsko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66</w:t>
            </w:r>
            <w:r>
              <w:rPr>
                <w:rFonts w:eastAsia="Arial Unicode MS"/>
                <w:color w:val="000000"/>
                <w:sz w:val="22"/>
              </w:rPr>
              <w:t>,3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63,1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57,8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58,4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2,0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0,</w:t>
            </w:r>
            <w:r>
              <w:rPr>
                <w:rFonts w:eastAsia="Arial Unicode MS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0,9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Švajčiarsko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68</w:t>
            </w:r>
            <w:r>
              <w:rPr>
                <w:rFonts w:eastAsia="Arial Unicode MS"/>
                <w:color w:val="000000"/>
                <w:sz w:val="22"/>
              </w:rPr>
              <w:t>,4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>5,9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52,2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2,3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1,0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  <w:r w:rsidRPr="00764AEC">
              <w:rPr>
                <w:rFonts w:eastAsia="Arial Unicode MS"/>
                <w:color w:val="000000"/>
              </w:rPr>
              <w:t>,</w:t>
            </w:r>
            <w:r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1,1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Turecko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2</w:t>
            </w:r>
            <w:r>
              <w:rPr>
                <w:rFonts w:eastAsia="Arial Unicode MS"/>
                <w:color w:val="000000"/>
                <w:sz w:val="22"/>
              </w:rPr>
              <w:t>5,9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17,9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22,8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22,6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4,</w:t>
            </w:r>
            <w:r>
              <w:rPr>
                <w:rFonts w:eastAsia="Arial Unicode MS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2,</w:t>
            </w: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2,3</w:t>
            </w:r>
          </w:p>
        </w:tc>
      </w:tr>
      <w:tr w:rsidR="00A91002" w:rsidRPr="00CD6B60" w:rsidTr="00046871">
        <w:trPr>
          <w:trHeight w:val="300"/>
        </w:trPr>
        <w:tc>
          <w:tcPr>
            <w:tcW w:w="0" w:type="auto"/>
            <w:shd w:val="clear" w:color="auto" w:fill="FFFFFF" w:themeFill="background1"/>
            <w:noWrap/>
          </w:tcPr>
          <w:p w:rsidR="00A91002" w:rsidRPr="00764AEC" w:rsidRDefault="00A91002" w:rsidP="00D42805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  <w:r w:rsidRPr="00764AEC">
              <w:rPr>
                <w:color w:val="000000"/>
                <w:sz w:val="22"/>
              </w:rPr>
              <w:t>USA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1</w:t>
            </w:r>
            <w:r>
              <w:rPr>
                <w:rFonts w:eastAsia="Arial Unicode MS"/>
                <w:color w:val="000000"/>
                <w:sz w:val="22"/>
              </w:rPr>
              <w:t>1,9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7,0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6,9</w:t>
            </w:r>
          </w:p>
        </w:tc>
        <w:tc>
          <w:tcPr>
            <w:tcW w:w="97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9,8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  <w:sz w:val="22"/>
              </w:rPr>
              <w:t>0,</w:t>
            </w:r>
            <w:r>
              <w:rPr>
                <w:rFonts w:eastAsia="Arial Unicode MS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 w:rsidRPr="00764AEC">
              <w:rPr>
                <w:rFonts w:eastAsia="Arial Unicode MS"/>
                <w:color w:val="000000"/>
              </w:rPr>
              <w:t>0</w:t>
            </w:r>
            <w:r>
              <w:rPr>
                <w:rFonts w:eastAsia="Arial Unicode MS"/>
                <w:color w:val="000000"/>
              </w:rPr>
              <w:t>,5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</w:t>
            </w:r>
            <w:r w:rsidRPr="00764AEC">
              <w:rPr>
                <w:rFonts w:eastAsia="Arial Unicode MS"/>
                <w:color w:val="000000"/>
              </w:rPr>
              <w:t>,</w:t>
            </w: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:rsidR="00A91002" w:rsidRPr="00764AEC" w:rsidRDefault="00A91002" w:rsidP="004B3A47">
            <w:pPr>
              <w:keepNext/>
              <w:spacing w:after="0" w:line="240" w:lineRule="auto"/>
              <w:jc w:val="righ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0,6</w:t>
            </w:r>
          </w:p>
        </w:tc>
      </w:tr>
    </w:tbl>
    <w:p w:rsidR="00325CF6" w:rsidRPr="00195E0B" w:rsidRDefault="006A7019" w:rsidP="00325CF6">
      <w:pPr>
        <w:pStyle w:val="Default"/>
        <w:keepNext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Prameň:  OECD PSE </w:t>
      </w:r>
      <w:proofErr w:type="spellStart"/>
      <w:r>
        <w:rPr>
          <w:rFonts w:ascii="Times New Roman" w:hAnsi="Times New Roman" w:cs="Times New Roman"/>
          <w:sz w:val="20"/>
          <w:szCs w:val="20"/>
        </w:rPr>
        <w:t>Database</w:t>
      </w:r>
      <w:proofErr w:type="spellEnd"/>
    </w:p>
    <w:p w:rsidR="00325CF6" w:rsidRDefault="00325CF6" w:rsidP="00BC221D">
      <w:pPr>
        <w:pStyle w:val="Default"/>
        <w:keepNext/>
        <w:jc w:val="both"/>
        <w:rPr>
          <w:rFonts w:ascii="Times New Roman" w:hAnsi="Times New Roman" w:cs="Times New Roman"/>
          <w:sz w:val="20"/>
          <w:szCs w:val="20"/>
        </w:rPr>
      </w:pPr>
      <w:r w:rsidRPr="00195E0B">
        <w:rPr>
          <w:rFonts w:ascii="Times New Roman" w:hAnsi="Times New Roman" w:cs="Times New Roman"/>
          <w:sz w:val="20"/>
          <w:szCs w:val="20"/>
        </w:rPr>
        <w:t>Vysvetlivky: p – predpoklad, PSE - Podpora producentov, TSE - Celková podpora (vyjadrená ako podiel na HDP)</w:t>
      </w:r>
      <w:r w:rsidR="00BC221D">
        <w:rPr>
          <w:rFonts w:ascii="Times New Roman" w:hAnsi="Times New Roman" w:cs="Times New Roman"/>
          <w:sz w:val="20"/>
          <w:szCs w:val="20"/>
        </w:rPr>
        <w:t xml:space="preserve">, </w:t>
      </w:r>
      <w:r w:rsidRPr="00195E0B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NPPC-</w:t>
      </w:r>
      <w:r w:rsidRPr="00195E0B">
        <w:rPr>
          <w:rFonts w:ascii="Times New Roman" w:hAnsi="Times New Roman" w:cs="Times New Roman"/>
          <w:sz w:val="20"/>
          <w:szCs w:val="20"/>
        </w:rPr>
        <w:t>VÚEPP</w:t>
      </w:r>
      <w:r w:rsidRPr="00452BC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9044A" w:rsidRPr="00452BCC" w:rsidRDefault="0079044A" w:rsidP="006B20C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25CF6" w:rsidRPr="00485A6A" w:rsidRDefault="00325CF6" w:rsidP="00BC221D">
      <w:pPr>
        <w:pStyle w:val="Default"/>
        <w:spacing w:after="60" w:line="320" w:lineRule="exact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  <w:r w:rsidRPr="003E63F4">
        <w:rPr>
          <w:rFonts w:ascii="Times New Roman" w:hAnsi="Times New Roman" w:cs="Times New Roman"/>
          <w:szCs w:val="22"/>
        </w:rPr>
        <w:t>Platby vymedzené podľa postupne doplňujúcich kritérií a počtov zvierat boli mierne znížené v rokoch 1986 až 88 a dnes nedosahujú ani 3 %.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Niektoré súčasné programy podpory sú zamerané na riadenie rizík, ochranu životného prostredia a poskytovanie univerzálnych služieb v odvetví vo výnimočných situáciách v období vplyvu klimatických zmien</w:t>
      </w:r>
      <w:r>
        <w:rPr>
          <w:rFonts w:ascii="Times New Roman" w:hAnsi="Times New Roman" w:cs="Times New Roman"/>
          <w:szCs w:val="22"/>
        </w:rPr>
        <w:t xml:space="preserve"> najmä sucha</w:t>
      </w:r>
      <w:r w:rsidRPr="0047643C">
        <w:rPr>
          <w:rFonts w:ascii="Times New Roman" w:hAnsi="Times New Roman" w:cs="Times New Roman"/>
          <w:szCs w:val="22"/>
        </w:rPr>
        <w:t>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 xml:space="preserve">Európske spoločenstvo podporu na sucho  </w:t>
      </w:r>
      <w:r>
        <w:rPr>
          <w:rFonts w:ascii="Times New Roman" w:hAnsi="Times New Roman" w:cs="Times New Roman"/>
          <w:szCs w:val="22"/>
        </w:rPr>
        <w:t>za</w:t>
      </w:r>
      <w:r w:rsidRPr="0047643C">
        <w:rPr>
          <w:rFonts w:ascii="Times New Roman" w:hAnsi="Times New Roman" w:cs="Times New Roman"/>
          <w:szCs w:val="22"/>
        </w:rPr>
        <w:t>členilo do podpory  manažmentu rizík. Na</w:t>
      </w:r>
      <w:r w:rsidR="00BC221D">
        <w:rPr>
          <w:rFonts w:ascii="Times New Roman" w:hAnsi="Times New Roman" w:cs="Times New Roman"/>
          <w:szCs w:val="22"/>
        </w:rPr>
        <w:t> </w:t>
      </w:r>
      <w:r w:rsidRPr="0047643C">
        <w:rPr>
          <w:rFonts w:ascii="Times New Roman" w:hAnsi="Times New Roman" w:cs="Times New Roman"/>
          <w:szCs w:val="22"/>
        </w:rPr>
        <w:t xml:space="preserve">základe odporúčaní OECD vo februári 2014 boli pre kompenzáciu sucha schválené zvýhodnené pôžičky. </w:t>
      </w:r>
      <w:r>
        <w:rPr>
          <w:rFonts w:ascii="Times New Roman" w:hAnsi="Times New Roman" w:cs="Times New Roman"/>
          <w:szCs w:val="22"/>
        </w:rPr>
        <w:t xml:space="preserve">Výrazný akcent a </w:t>
      </w:r>
      <w:r w:rsidRPr="0047643C">
        <w:rPr>
          <w:rFonts w:ascii="Times New Roman" w:hAnsi="Times New Roman" w:cs="Times New Roman"/>
          <w:szCs w:val="22"/>
        </w:rPr>
        <w:t>výzva do budúcnosti pre poľnohospodárov je</w:t>
      </w:r>
      <w:r w:rsidR="00BC221D">
        <w:rPr>
          <w:rFonts w:ascii="Times New Roman" w:hAnsi="Times New Roman" w:cs="Times New Roman"/>
          <w:szCs w:val="22"/>
        </w:rPr>
        <w:t> </w:t>
      </w:r>
      <w:r w:rsidRPr="0047643C">
        <w:rPr>
          <w:rFonts w:ascii="Times New Roman" w:hAnsi="Times New Roman" w:cs="Times New Roman"/>
          <w:szCs w:val="22"/>
        </w:rPr>
        <w:t>prispôsobenie sa zmenám klímy a efektívne využívanie obmedzených zdrojov najmä vody.</w:t>
      </w:r>
    </w:p>
    <w:p w:rsidR="00325CF6" w:rsidRPr="00485A6A" w:rsidRDefault="00325CF6" w:rsidP="00BC221D">
      <w:pPr>
        <w:pStyle w:val="Default"/>
        <w:spacing w:after="60" w:line="320" w:lineRule="exact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  <w:r w:rsidRPr="0047643C">
        <w:rPr>
          <w:rFonts w:ascii="Times New Roman" w:hAnsi="Times New Roman" w:cs="Times New Roman"/>
          <w:szCs w:val="22"/>
        </w:rPr>
        <w:t>Pre poľnohospodárstvo  bol rozhodujúci z hľadiska rôznych opatrení vývoj cenových úrovní poľnohospodárskych komodít</w:t>
      </w:r>
      <w:r>
        <w:rPr>
          <w:rFonts w:ascii="Times New Roman" w:hAnsi="Times New Roman" w:cs="Times New Roman"/>
          <w:color w:val="FF0000"/>
          <w:szCs w:val="22"/>
        </w:rPr>
        <w:t>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Skúsenosti z </w:t>
      </w:r>
      <w:proofErr w:type="spellStart"/>
      <w:r w:rsidRPr="0047643C">
        <w:rPr>
          <w:rFonts w:ascii="Times New Roman" w:hAnsi="Times New Roman" w:cs="Times New Roman"/>
          <w:szCs w:val="22"/>
        </w:rPr>
        <w:t>volatility</w:t>
      </w:r>
      <w:proofErr w:type="spellEnd"/>
      <w:r w:rsidRPr="0047643C">
        <w:rPr>
          <w:rFonts w:ascii="Times New Roman" w:hAnsi="Times New Roman" w:cs="Times New Roman"/>
          <w:szCs w:val="22"/>
        </w:rPr>
        <w:t xml:space="preserve"> cien na svetových trhoch v minulosti ukazujú, </w:t>
      </w:r>
      <w:r w:rsidRPr="0047643C">
        <w:rPr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že pri prudko klesajúcich cenách z extrémne vysokých úrovní sa</w:t>
      </w:r>
      <w:r w:rsidR="00BC221D">
        <w:rPr>
          <w:rFonts w:ascii="Times New Roman" w:hAnsi="Times New Roman" w:cs="Times New Roman"/>
          <w:szCs w:val="22"/>
        </w:rPr>
        <w:t> </w:t>
      </w:r>
      <w:r w:rsidRPr="0047643C">
        <w:rPr>
          <w:rFonts w:ascii="Times New Roman" w:hAnsi="Times New Roman" w:cs="Times New Roman"/>
          <w:szCs w:val="22"/>
        </w:rPr>
        <w:t>aktivujú opatrenia v poľnohospodárstve.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Významný vplyv na svetové ceny poľnohospodárskych komodít mala v posledných rokoch Čína, ktorá zvýšila produkciu rozhodujúcich komodít.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Možno očakávať, že tento trend bude pokračovať aj v nasledujúcich rokoch.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47643C">
        <w:rPr>
          <w:rFonts w:ascii="Times New Roman" w:hAnsi="Times New Roman" w:cs="Times New Roman"/>
          <w:szCs w:val="22"/>
        </w:rPr>
        <w:t>Okrem toho na cenu poľnohospodárskych komodít budú vplývať aj svetové zásoby.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</w:p>
    <w:p w:rsidR="00325CF6" w:rsidRPr="001172D1" w:rsidRDefault="00325CF6" w:rsidP="00BC221D">
      <w:pPr>
        <w:pStyle w:val="Default"/>
        <w:spacing w:after="60" w:line="320" w:lineRule="exact"/>
        <w:ind w:firstLine="709"/>
        <w:jc w:val="both"/>
        <w:rPr>
          <w:rFonts w:ascii="Times New Roman" w:hAnsi="Times New Roman" w:cs="Times New Roman"/>
          <w:szCs w:val="22"/>
        </w:rPr>
      </w:pPr>
      <w:r w:rsidRPr="001172D1">
        <w:rPr>
          <w:rFonts w:ascii="Times New Roman" w:hAnsi="Times New Roman" w:cs="Times New Roman"/>
          <w:szCs w:val="22"/>
        </w:rPr>
        <w:t>Vo väčšine krajín OECD dobiehajú špeciálne opatrenia na zmiernenie finančného stresu v sektore poľnohospodárstva z dosahov hospodárskej a finančnej krízy.</w:t>
      </w:r>
      <w:r>
        <w:rPr>
          <w:rFonts w:ascii="Times New Roman" w:hAnsi="Times New Roman" w:cs="Times New Roman"/>
          <w:color w:val="FF0000"/>
          <w:szCs w:val="22"/>
        </w:rPr>
        <w:t xml:space="preserve"> </w:t>
      </w:r>
      <w:r w:rsidRPr="001172D1">
        <w:rPr>
          <w:rFonts w:ascii="Times New Roman" w:hAnsi="Times New Roman" w:cs="Times New Roman"/>
          <w:szCs w:val="22"/>
        </w:rPr>
        <w:t>Išlo najmä o</w:t>
      </w:r>
      <w:r w:rsidR="00BC221D">
        <w:rPr>
          <w:rFonts w:ascii="Times New Roman" w:hAnsi="Times New Roman" w:cs="Times New Roman"/>
          <w:szCs w:val="22"/>
        </w:rPr>
        <w:t> </w:t>
      </w:r>
      <w:r w:rsidRPr="001172D1">
        <w:rPr>
          <w:rFonts w:ascii="Times New Roman" w:hAnsi="Times New Roman" w:cs="Times New Roman"/>
          <w:szCs w:val="22"/>
        </w:rPr>
        <w:t>úverové preferencie, daňové úľavy a ďalšie formy podpory.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1172D1">
        <w:rPr>
          <w:rFonts w:ascii="Times New Roman" w:hAnsi="Times New Roman" w:cs="Times New Roman"/>
          <w:szCs w:val="22"/>
        </w:rPr>
        <w:t>Zmeny v SPP EÚ umožnili členským štátom EÚ vyššiu flexibilitu vo využívaní zdrojov presunutých zo Schémy jednotnej platby a vytvorili sa nové výzvy na zavádzanie presnejšie cielených opatrení.</w:t>
      </w:r>
      <w:r w:rsidRPr="00485A6A">
        <w:rPr>
          <w:rFonts w:ascii="Times New Roman" w:hAnsi="Times New Roman" w:cs="Times New Roman"/>
          <w:color w:val="FF0000"/>
          <w:szCs w:val="22"/>
        </w:rPr>
        <w:t xml:space="preserve"> </w:t>
      </w:r>
      <w:r w:rsidRPr="001172D1">
        <w:rPr>
          <w:rFonts w:ascii="Times New Roman" w:hAnsi="Times New Roman" w:cs="Times New Roman"/>
          <w:szCs w:val="22"/>
        </w:rPr>
        <w:t xml:space="preserve">Najvýznamnejšou a poľnohospodármi dlho očakávanou udalosťou roka 2014 bolo </w:t>
      </w:r>
      <w:r>
        <w:rPr>
          <w:rFonts w:ascii="Times New Roman" w:hAnsi="Times New Roman" w:cs="Times New Roman"/>
          <w:szCs w:val="22"/>
        </w:rPr>
        <w:t>schválenie</w:t>
      </w:r>
      <w:r w:rsidRPr="001172D1">
        <w:rPr>
          <w:rFonts w:ascii="Times New Roman" w:hAnsi="Times New Roman" w:cs="Times New Roman"/>
          <w:szCs w:val="22"/>
        </w:rPr>
        <w:t xml:space="preserve">  SPP</w:t>
      </w:r>
      <w:r>
        <w:rPr>
          <w:rFonts w:ascii="Times New Roman" w:hAnsi="Times New Roman" w:cs="Times New Roman"/>
          <w:szCs w:val="22"/>
        </w:rPr>
        <w:t xml:space="preserve"> do roku 2020</w:t>
      </w:r>
      <w:r w:rsidRPr="001172D1">
        <w:rPr>
          <w:rFonts w:ascii="Times New Roman" w:hAnsi="Times New Roman" w:cs="Times New Roman"/>
          <w:szCs w:val="22"/>
        </w:rPr>
        <w:t>, ktorej cieľom je znížiť rozdiely medzi úrovňami platieb poľnohospodárov medzi členskými štátmi EÚ.</w:t>
      </w:r>
    </w:p>
    <w:p w:rsidR="003C7F37" w:rsidRPr="0037374D" w:rsidRDefault="00325CF6" w:rsidP="0037374D">
      <w:pPr>
        <w:jc w:val="right"/>
        <w:rPr>
          <w:noProof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298450</wp:posOffset>
            </wp:positionV>
            <wp:extent cx="5758815" cy="3151505"/>
            <wp:effectExtent l="1905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15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655" w:rsidRPr="0037374D">
        <w:rPr>
          <w:noProof/>
        </w:rPr>
        <w:t>Graf</w:t>
      </w:r>
      <w:r w:rsidR="001D6E27" w:rsidRPr="0037374D">
        <w:rPr>
          <w:noProof/>
        </w:rPr>
        <w:t xml:space="preserve"> </w:t>
      </w:r>
      <w:r w:rsidR="002B5655" w:rsidRPr="0037374D">
        <w:rPr>
          <w:noProof/>
        </w:rPr>
        <w:t xml:space="preserve"> </w:t>
      </w:r>
      <w:r w:rsidR="00220B7B" w:rsidRPr="0037374D">
        <w:rPr>
          <w:noProof/>
        </w:rPr>
        <w:t>3</w:t>
      </w:r>
    </w:p>
    <w:p w:rsidR="001D6E27" w:rsidRPr="0037374D" w:rsidRDefault="00D91262" w:rsidP="0037374D">
      <w:pPr>
        <w:pStyle w:val="Default"/>
        <w:keepNext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</w:t>
      </w:r>
      <w:r w:rsidR="00325CF6" w:rsidRPr="00325CF6">
        <w:rPr>
          <w:rFonts w:ascii="Times New Roman" w:hAnsi="Times New Roman" w:cs="Times New Roman"/>
          <w:sz w:val="18"/>
          <w:szCs w:val="20"/>
        </w:rPr>
        <w:t xml:space="preserve">Prameň:  </w:t>
      </w:r>
      <w:r w:rsidR="006A7019">
        <w:rPr>
          <w:rFonts w:ascii="Times New Roman" w:hAnsi="Times New Roman" w:cs="Times New Roman"/>
          <w:sz w:val="20"/>
          <w:szCs w:val="20"/>
        </w:rPr>
        <w:t xml:space="preserve">OECD PSE </w:t>
      </w:r>
      <w:proofErr w:type="spellStart"/>
      <w:r w:rsidR="006A7019">
        <w:rPr>
          <w:rFonts w:ascii="Times New Roman" w:hAnsi="Times New Roman" w:cs="Times New Roman"/>
          <w:sz w:val="20"/>
          <w:szCs w:val="20"/>
        </w:rPr>
        <w:t>Database</w:t>
      </w:r>
      <w:proofErr w:type="spellEnd"/>
    </w:p>
    <w:p w:rsidR="00C376EA" w:rsidRPr="0037374D" w:rsidRDefault="00C376EA" w:rsidP="0037374D">
      <w:pPr>
        <w:pStyle w:val="Default"/>
        <w:keepNext/>
        <w:jc w:val="both"/>
        <w:rPr>
          <w:rFonts w:ascii="Times New Roman" w:hAnsi="Times New Roman" w:cs="Times New Roman"/>
          <w:sz w:val="18"/>
          <w:szCs w:val="20"/>
        </w:rPr>
      </w:pPr>
      <w:r w:rsidRPr="0037374D">
        <w:rPr>
          <w:rFonts w:ascii="Times New Roman" w:hAnsi="Times New Roman" w:cs="Times New Roman"/>
          <w:sz w:val="18"/>
          <w:szCs w:val="20"/>
        </w:rPr>
        <w:t xml:space="preserve">   Vypracoval: NPPC -VÚEPP  </w:t>
      </w:r>
    </w:p>
    <w:p w:rsidR="002B5655" w:rsidRDefault="002B5655" w:rsidP="0037374D">
      <w:pPr>
        <w:jc w:val="right"/>
      </w:pPr>
      <w:r w:rsidRPr="002B5655">
        <w:t xml:space="preserve">Graf </w:t>
      </w:r>
      <w:r w:rsidR="001D6E27">
        <w:t xml:space="preserve"> 4</w:t>
      </w:r>
    </w:p>
    <w:p w:rsidR="006A7019" w:rsidRDefault="001B5BD3" w:rsidP="00D91262">
      <w:pPr>
        <w:pStyle w:val="Default"/>
        <w:keepNext/>
        <w:jc w:val="both"/>
        <w:rPr>
          <w:rFonts w:ascii="Times New Roman" w:hAnsi="Times New Roman" w:cs="Times New Roman"/>
          <w:sz w:val="20"/>
          <w:szCs w:val="20"/>
        </w:rPr>
      </w:pPr>
      <w:r w:rsidRPr="001B5BD3">
        <w:rPr>
          <w:noProof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23292</wp:posOffset>
            </wp:positionH>
            <wp:positionV relativeFrom="paragraph">
              <wp:posOffset>3040</wp:posOffset>
            </wp:positionV>
            <wp:extent cx="5759180" cy="3073940"/>
            <wp:effectExtent l="1905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80" cy="307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E27" w:rsidRPr="00D91262">
        <w:rPr>
          <w:rFonts w:ascii="Times New Roman" w:hAnsi="Times New Roman" w:cs="Times New Roman"/>
          <w:sz w:val="20"/>
          <w:szCs w:val="20"/>
        </w:rPr>
        <w:t xml:space="preserve">Prameň:  </w:t>
      </w:r>
      <w:r w:rsidR="006A7019" w:rsidRPr="00124203">
        <w:rPr>
          <w:rFonts w:ascii="Times New Roman" w:hAnsi="Times New Roman" w:cs="Times New Roman"/>
          <w:sz w:val="20"/>
          <w:szCs w:val="20"/>
        </w:rPr>
        <w:t xml:space="preserve">OECD PSE </w:t>
      </w:r>
      <w:proofErr w:type="spellStart"/>
      <w:r w:rsidR="006A7019" w:rsidRPr="00124203">
        <w:rPr>
          <w:rFonts w:ascii="Times New Roman" w:hAnsi="Times New Roman" w:cs="Times New Roman"/>
          <w:sz w:val="20"/>
          <w:szCs w:val="20"/>
        </w:rPr>
        <w:t>Database</w:t>
      </w:r>
      <w:proofErr w:type="spellEnd"/>
    </w:p>
    <w:p w:rsidR="00C376EA" w:rsidRDefault="00C376EA" w:rsidP="00D91262">
      <w:pPr>
        <w:pStyle w:val="Default"/>
        <w:keepNext/>
        <w:jc w:val="both"/>
        <w:rPr>
          <w:rFonts w:ascii="Times New Roman" w:hAnsi="Times New Roman" w:cs="Times New Roman"/>
          <w:sz w:val="20"/>
          <w:szCs w:val="20"/>
        </w:rPr>
      </w:pPr>
      <w:r w:rsidRPr="00452BCC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 -</w:t>
      </w:r>
      <w:r w:rsidRPr="00452BCC">
        <w:rPr>
          <w:rFonts w:ascii="Times New Roman" w:hAnsi="Times New Roman" w:cs="Times New Roman"/>
          <w:sz w:val="20"/>
          <w:szCs w:val="20"/>
        </w:rPr>
        <w:t xml:space="preserve">VÚEPP  </w:t>
      </w:r>
    </w:p>
    <w:p w:rsidR="00C17961" w:rsidRDefault="00C17961" w:rsidP="0074108E">
      <w:pPr>
        <w:spacing w:after="0"/>
        <w:ind w:firstLine="708"/>
      </w:pPr>
    </w:p>
    <w:p w:rsidR="00076901" w:rsidRPr="00F15DE5" w:rsidRDefault="00076901" w:rsidP="00076901">
      <w:pPr>
        <w:shd w:val="clear" w:color="auto" w:fill="FFFFFF"/>
        <w:spacing w:after="0"/>
        <w:ind w:firstLine="708"/>
      </w:pPr>
      <w:r w:rsidRPr="00F15DE5">
        <w:t xml:space="preserve">Podiel </w:t>
      </w:r>
      <w:r w:rsidRPr="00F15DE5">
        <w:rPr>
          <w:b/>
        </w:rPr>
        <w:t>pridanej hodnoty</w:t>
      </w:r>
      <w:r w:rsidRPr="00F15DE5">
        <w:t xml:space="preserve"> poľnohospodárstva na </w:t>
      </w:r>
      <w:r w:rsidRPr="00F15DE5">
        <w:rPr>
          <w:bCs/>
        </w:rPr>
        <w:t xml:space="preserve">hrubom  domácom produkte </w:t>
      </w:r>
      <w:r w:rsidRPr="00F15DE5">
        <w:t xml:space="preserve"> (2012)  dosiahol v celosvetovom meradle 2,9 %, čo bolo na úrovni predchádzajúceho obdobia.  V priemere krajín EÚ podiel predstavoval 1,6 %. V hospodársky vyspelých štátoch sa podiel pridanej hodnoty poľnohospodárstva na celkovom národnom hrubom domácom produkte pohyboval od 1,0 % do 2,0 %. Najnižší podiel dosiahli vysoko rozvinuté krajiny, ktoré sa</w:t>
      </w:r>
      <w:r w:rsidR="00BC221D">
        <w:t> </w:t>
      </w:r>
      <w:r w:rsidRPr="00F15DE5">
        <w:t xml:space="preserve">úrovňou nachádzali pod priemerom krajín EÚ (1,6 %) a to Japonsko (1,0 %), USA (1,2 %) </w:t>
      </w:r>
      <w:r w:rsidRPr="00F15DE5">
        <w:lastRenderedPageBreak/>
        <w:t>a Švajčiarsko (1,1 %). Najvyšší podiel dosiahli India (18,0 %),  Čína (10,0 %),  Turecko (9,2 %) a Argentína (7,0 %).</w:t>
      </w:r>
    </w:p>
    <w:p w:rsidR="00076901" w:rsidRPr="00F15DE5" w:rsidRDefault="00076901" w:rsidP="00076901">
      <w:pPr>
        <w:shd w:val="clear" w:color="auto" w:fill="FFFFFF"/>
        <w:spacing w:after="0"/>
        <w:ind w:firstLine="708"/>
      </w:pPr>
      <w:r w:rsidRPr="00F15DE5">
        <w:rPr>
          <w:b/>
        </w:rPr>
        <w:t>Zamestnanosť v poľnohospodárstve</w:t>
      </w:r>
      <w:r w:rsidRPr="00F15DE5">
        <w:t xml:space="preserve"> v celosvetovom meradle je významná a tvorí až 38,3 %-</w:t>
      </w:r>
      <w:proofErr w:type="spellStart"/>
      <w:r w:rsidRPr="00F15DE5">
        <w:t>ný</w:t>
      </w:r>
      <w:proofErr w:type="spellEnd"/>
      <w:r w:rsidRPr="00F15DE5">
        <w:t> podiel na celkovej zamestnanosti vo svete. Úroveň zamestnanosti má len mierne klesajúci trend. Podiel zamestnanosti v poľnohospodárstve na celkovej zamestnanosti v národnom hospodárstve bol vyšší v priemyselne menej rozvinutých krajinách. Podiel poľnohospodárskej zamestnanosti na celkovej zamestnanosti vo svetovom meradle sa</w:t>
      </w:r>
      <w:r w:rsidR="00BC221D">
        <w:t> </w:t>
      </w:r>
      <w:r w:rsidRPr="00F15DE5">
        <w:t xml:space="preserve">medziročne  znížil o 0,4 </w:t>
      </w:r>
      <w:proofErr w:type="spellStart"/>
      <w:r w:rsidRPr="00F15DE5">
        <w:t>p.b</w:t>
      </w:r>
      <w:proofErr w:type="spellEnd"/>
      <w:r w:rsidRPr="00F15DE5">
        <w:t xml:space="preserve">., čo spôsobil pokles podielu poľnohospodárskej zamestnanosti takmer vo všetkých štátoch, najmä v Turecku (10,8  </w:t>
      </w:r>
      <w:proofErr w:type="spellStart"/>
      <w:r w:rsidRPr="00F15DE5">
        <w:t>p.b</w:t>
      </w:r>
      <w:proofErr w:type="spellEnd"/>
      <w:r w:rsidRPr="00F15DE5">
        <w:t xml:space="preserve">.), Číne (0,6 </w:t>
      </w:r>
      <w:proofErr w:type="spellStart"/>
      <w:r w:rsidRPr="00F15DE5">
        <w:t>p.b</w:t>
      </w:r>
      <w:proofErr w:type="spellEnd"/>
      <w:r w:rsidRPr="00F15DE5">
        <w:t xml:space="preserve">),  Indii (0,5 </w:t>
      </w:r>
      <w:proofErr w:type="spellStart"/>
      <w:r w:rsidRPr="00F15DE5">
        <w:t>p.b</w:t>
      </w:r>
      <w:proofErr w:type="spellEnd"/>
      <w:r w:rsidRPr="00F15DE5">
        <w:t>.), a</w:t>
      </w:r>
      <w:r w:rsidR="00BC221D">
        <w:t> </w:t>
      </w:r>
      <w:r w:rsidRPr="00F15DE5">
        <w:t>v</w:t>
      </w:r>
      <w:r w:rsidR="00BC221D">
        <w:t> </w:t>
      </w:r>
      <w:r w:rsidRPr="00F15DE5">
        <w:t xml:space="preserve">Brazílii (0,4 </w:t>
      </w:r>
      <w:proofErr w:type="spellStart"/>
      <w:r w:rsidRPr="00F15DE5">
        <w:t>p.b</w:t>
      </w:r>
      <w:proofErr w:type="spellEnd"/>
      <w:r w:rsidRPr="00F15DE5">
        <w:t xml:space="preserve">.). </w:t>
      </w:r>
    </w:p>
    <w:p w:rsidR="00076901" w:rsidRDefault="00076901" w:rsidP="00076901">
      <w:pPr>
        <w:shd w:val="clear" w:color="auto" w:fill="FFFFFF"/>
        <w:spacing w:after="0"/>
        <w:ind w:firstLine="708"/>
      </w:pPr>
      <w:r w:rsidRPr="00F15DE5">
        <w:t xml:space="preserve">V priemere krajín EÚ dosiahol podiel zamestnanosti v poľnohospodárstve na celkovej zamestnanosti EÚ 3,8 % a medziročne klesol o 0,2 </w:t>
      </w:r>
      <w:proofErr w:type="spellStart"/>
      <w:r w:rsidRPr="00F15DE5">
        <w:t>p.b</w:t>
      </w:r>
      <w:proofErr w:type="spellEnd"/>
      <w:r w:rsidRPr="00F15DE5">
        <w:t>.. Najvyšší podiel poľnohospodárskej zamestnanosti bol v  Číne (58,4 %), Indii (52,5 %), Turecku (19,6 %) a v Mexiku (14,3 %). Najnižší podiel zamestnanosti v poľnohospodárstve na celkovej zamestnanosti krajiny mali USA (1,4 %), Kanada (1,5 %) a Japonsko (1,7 %).</w:t>
      </w:r>
    </w:p>
    <w:p w:rsidR="00076901" w:rsidRPr="000B5953" w:rsidRDefault="00076901" w:rsidP="00076901">
      <w:pPr>
        <w:shd w:val="clear" w:color="auto" w:fill="FFFFFF"/>
        <w:spacing w:after="0"/>
        <w:ind w:firstLine="708"/>
      </w:pPr>
      <w:r w:rsidRPr="000B5953">
        <w:t xml:space="preserve">   </w:t>
      </w:r>
    </w:p>
    <w:p w:rsidR="00076901" w:rsidRPr="000103AD" w:rsidRDefault="00076901" w:rsidP="00076901">
      <w:pPr>
        <w:keepNext/>
        <w:spacing w:after="0" w:line="240" w:lineRule="auto"/>
        <w:jc w:val="left"/>
        <w:rPr>
          <w:rFonts w:eastAsia="Times New Roman"/>
          <w:b/>
          <w:bCs/>
          <w:szCs w:val="24"/>
          <w:lang w:eastAsia="sk-SK"/>
        </w:rPr>
      </w:pPr>
      <w:r w:rsidRPr="000103AD">
        <w:rPr>
          <w:rFonts w:eastAsia="Times New Roman"/>
          <w:b/>
          <w:bCs/>
          <w:szCs w:val="24"/>
          <w:lang w:eastAsia="sk-SK"/>
        </w:rPr>
        <w:t>Podiel pridanej hodnoty poľnohospodárstva na celkovom HDP krajiny (%, 201</w:t>
      </w:r>
      <w:r>
        <w:rPr>
          <w:rFonts w:eastAsia="Times New Roman"/>
          <w:b/>
          <w:bCs/>
          <w:szCs w:val="24"/>
          <w:lang w:eastAsia="sk-SK"/>
        </w:rPr>
        <w:t>2</w:t>
      </w:r>
      <w:r w:rsidRPr="000103AD">
        <w:rPr>
          <w:rFonts w:eastAsia="Times New Roman"/>
          <w:b/>
          <w:bCs/>
          <w:szCs w:val="24"/>
          <w:lang w:eastAsia="sk-SK"/>
        </w:rPr>
        <w:t>)</w:t>
      </w:r>
    </w:p>
    <w:p w:rsidR="00076901" w:rsidRDefault="00762560" w:rsidP="00762560">
      <w:pPr>
        <w:ind w:right="423" w:firstLine="708"/>
        <w:jc w:val="right"/>
        <w:rPr>
          <w:color w:val="000000"/>
        </w:rPr>
      </w:pPr>
      <w:r>
        <w:rPr>
          <w:noProof/>
          <w:color w:val="000000"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284480</wp:posOffset>
            </wp:positionV>
            <wp:extent cx="5554345" cy="4015740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901" w:rsidRPr="00452BCC">
        <w:rPr>
          <w:color w:val="000000"/>
        </w:rPr>
        <w:t xml:space="preserve">Obr. </w:t>
      </w:r>
      <w:r w:rsidR="00076901">
        <w:rPr>
          <w:color w:val="000000"/>
        </w:rPr>
        <w:t>1</w:t>
      </w:r>
    </w:p>
    <w:p w:rsidR="00C376EA" w:rsidRDefault="00076901" w:rsidP="002B5655">
      <w:pPr>
        <w:spacing w:after="0" w:line="240" w:lineRule="auto"/>
        <w:rPr>
          <w:color w:val="000000"/>
          <w:sz w:val="20"/>
          <w:szCs w:val="20"/>
        </w:rPr>
      </w:pPr>
      <w:r w:rsidRPr="002B5655">
        <w:rPr>
          <w:rFonts w:eastAsia="Times New Roman"/>
          <w:color w:val="000000"/>
          <w:sz w:val="20"/>
          <w:szCs w:val="20"/>
          <w:lang w:eastAsia="sk-SK"/>
        </w:rPr>
        <w:t>Prameň</w:t>
      </w:r>
      <w:r w:rsidRPr="002B5655">
        <w:rPr>
          <w:color w:val="000000"/>
          <w:sz w:val="20"/>
          <w:szCs w:val="20"/>
        </w:rPr>
        <w:t xml:space="preserve">: </w:t>
      </w:r>
      <w:r w:rsidRPr="00214C9C">
        <w:rPr>
          <w:color w:val="000000"/>
          <w:sz w:val="20"/>
          <w:szCs w:val="20"/>
        </w:rPr>
        <w:t xml:space="preserve">FAO OSN, FAO </w:t>
      </w:r>
      <w:proofErr w:type="spellStart"/>
      <w:r w:rsidRPr="00214C9C">
        <w:rPr>
          <w:color w:val="000000"/>
          <w:sz w:val="20"/>
          <w:szCs w:val="20"/>
        </w:rPr>
        <w:t>Statistical</w:t>
      </w:r>
      <w:proofErr w:type="spellEnd"/>
      <w:r w:rsidRPr="00214C9C">
        <w:rPr>
          <w:color w:val="000000"/>
          <w:sz w:val="20"/>
          <w:szCs w:val="20"/>
        </w:rPr>
        <w:t xml:space="preserve"> </w:t>
      </w:r>
      <w:proofErr w:type="spellStart"/>
      <w:r w:rsidRPr="00214C9C">
        <w:rPr>
          <w:color w:val="000000"/>
          <w:sz w:val="20"/>
          <w:szCs w:val="20"/>
        </w:rPr>
        <w:t>Yearbook</w:t>
      </w:r>
      <w:proofErr w:type="spellEnd"/>
      <w:r w:rsidRPr="00214C9C">
        <w:rPr>
          <w:color w:val="000000"/>
          <w:sz w:val="20"/>
          <w:szCs w:val="20"/>
        </w:rPr>
        <w:t xml:space="preserve"> 2013, </w:t>
      </w:r>
      <w:proofErr w:type="spellStart"/>
      <w:r w:rsidRPr="00214C9C">
        <w:rPr>
          <w:color w:val="000000"/>
          <w:sz w:val="20"/>
          <w:szCs w:val="20"/>
        </w:rPr>
        <w:t>World</w:t>
      </w:r>
      <w:proofErr w:type="spellEnd"/>
      <w:r w:rsidRPr="00214C9C">
        <w:rPr>
          <w:color w:val="000000"/>
          <w:sz w:val="20"/>
          <w:szCs w:val="20"/>
        </w:rPr>
        <w:t xml:space="preserve"> </w:t>
      </w:r>
      <w:proofErr w:type="spellStart"/>
      <w:r w:rsidRPr="00214C9C">
        <w:rPr>
          <w:color w:val="000000"/>
          <w:sz w:val="20"/>
          <w:szCs w:val="20"/>
        </w:rPr>
        <w:t>food</w:t>
      </w:r>
      <w:proofErr w:type="spellEnd"/>
      <w:r w:rsidRPr="00214C9C">
        <w:rPr>
          <w:color w:val="000000"/>
          <w:sz w:val="20"/>
          <w:szCs w:val="20"/>
        </w:rPr>
        <w:t xml:space="preserve"> and </w:t>
      </w:r>
      <w:proofErr w:type="spellStart"/>
      <w:r w:rsidRPr="00214C9C">
        <w:rPr>
          <w:color w:val="000000"/>
          <w:sz w:val="20"/>
          <w:szCs w:val="20"/>
        </w:rPr>
        <w:t>agriculture</w:t>
      </w:r>
      <w:proofErr w:type="spellEnd"/>
    </w:p>
    <w:p w:rsidR="0074108E" w:rsidRDefault="0074108E" w:rsidP="002B5655">
      <w:pPr>
        <w:spacing w:after="0" w:line="240" w:lineRule="auto"/>
        <w:rPr>
          <w:color w:val="000000"/>
          <w:sz w:val="20"/>
          <w:szCs w:val="20"/>
        </w:rPr>
      </w:pPr>
    </w:p>
    <w:p w:rsidR="001D6E27" w:rsidRDefault="001D6E27" w:rsidP="002B5655">
      <w:pPr>
        <w:spacing w:after="0" w:line="240" w:lineRule="auto"/>
        <w:rPr>
          <w:color w:val="000000"/>
          <w:sz w:val="20"/>
          <w:szCs w:val="20"/>
        </w:rPr>
      </w:pPr>
    </w:p>
    <w:p w:rsidR="00BC221D" w:rsidRDefault="00BC221D" w:rsidP="002B5655">
      <w:pPr>
        <w:spacing w:after="0" w:line="240" w:lineRule="auto"/>
        <w:rPr>
          <w:color w:val="000000"/>
          <w:sz w:val="20"/>
          <w:szCs w:val="20"/>
        </w:rPr>
      </w:pPr>
    </w:p>
    <w:p w:rsidR="00BC221D" w:rsidRDefault="00BC221D" w:rsidP="00A941B3">
      <w:pPr>
        <w:keepNext/>
        <w:spacing w:after="0" w:line="240" w:lineRule="auto"/>
        <w:rPr>
          <w:b/>
          <w:bCs/>
          <w:color w:val="000000"/>
          <w:szCs w:val="24"/>
        </w:rPr>
      </w:pPr>
    </w:p>
    <w:p w:rsidR="00BC221D" w:rsidRDefault="00BC221D" w:rsidP="00A941B3">
      <w:pPr>
        <w:keepNext/>
        <w:spacing w:after="0" w:line="240" w:lineRule="auto"/>
        <w:rPr>
          <w:b/>
          <w:bCs/>
          <w:color w:val="000000"/>
          <w:szCs w:val="24"/>
        </w:rPr>
      </w:pPr>
    </w:p>
    <w:p w:rsidR="00A941B3" w:rsidRPr="00013355" w:rsidRDefault="00A941B3" w:rsidP="00A941B3">
      <w:pPr>
        <w:keepNext/>
        <w:spacing w:after="0" w:line="240" w:lineRule="auto"/>
        <w:rPr>
          <w:b/>
          <w:bCs/>
          <w:color w:val="000000"/>
          <w:szCs w:val="24"/>
        </w:rPr>
      </w:pPr>
      <w:r w:rsidRPr="00013355">
        <w:rPr>
          <w:b/>
          <w:bCs/>
          <w:color w:val="000000"/>
          <w:szCs w:val="24"/>
        </w:rPr>
        <w:t xml:space="preserve">Vybrané ukazovatele svetového hospodárstva a poľnohospodárstva v roku 2012 (odhad) </w:t>
      </w:r>
    </w:p>
    <w:p w:rsidR="00A941B3" w:rsidRDefault="00A941B3" w:rsidP="00A941B3">
      <w:pPr>
        <w:spacing w:after="0" w:line="240" w:lineRule="auto"/>
        <w:rPr>
          <w:bCs/>
          <w:color w:val="000000"/>
          <w:sz w:val="22"/>
        </w:rPr>
      </w:pPr>
      <w:r w:rsidRPr="00CD6B60">
        <w:rPr>
          <w:b/>
          <w:bCs/>
          <w:color w:val="000000"/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2"/>
        </w:rPr>
        <w:t xml:space="preserve">   </w:t>
      </w:r>
      <w:r w:rsidRPr="00CD6B60">
        <w:rPr>
          <w:bCs/>
          <w:color w:val="000000"/>
          <w:sz w:val="22"/>
        </w:rPr>
        <w:t>Tab</w:t>
      </w:r>
      <w:r w:rsidR="00B15FE8">
        <w:rPr>
          <w:bCs/>
          <w:color w:val="000000"/>
          <w:sz w:val="22"/>
        </w:rPr>
        <w:t xml:space="preserve">uľka </w:t>
      </w:r>
      <w:r>
        <w:rPr>
          <w:bCs/>
          <w:color w:val="000000"/>
          <w:sz w:val="22"/>
        </w:rPr>
        <w:t>3</w:t>
      </w:r>
    </w:p>
    <w:tbl>
      <w:tblPr>
        <w:tblW w:w="913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18"/>
        <w:gridCol w:w="1320"/>
        <w:gridCol w:w="1289"/>
        <w:gridCol w:w="1368"/>
        <w:gridCol w:w="1786"/>
        <w:gridCol w:w="1658"/>
      </w:tblGrid>
      <w:tr w:rsidR="00A941B3" w:rsidRPr="007E56C9" w:rsidTr="00046871">
        <w:trPr>
          <w:trHeight w:val="334"/>
        </w:trPr>
        <w:tc>
          <w:tcPr>
            <w:tcW w:w="1718" w:type="dxa"/>
            <w:vMerge w:val="restart"/>
            <w:shd w:val="clear" w:color="auto" w:fill="D6E3BC"/>
            <w:vAlign w:val="center"/>
            <w:hideMark/>
          </w:tcPr>
          <w:p w:rsidR="00A941B3" w:rsidRPr="007E56C9" w:rsidRDefault="00A941B3" w:rsidP="00E663A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E56C9">
              <w:rPr>
                <w:rFonts w:eastAsia="Times New Roman"/>
                <w:b/>
                <w:bCs/>
                <w:sz w:val="22"/>
              </w:rPr>
              <w:t>Krajina, zoskupenie</w:t>
            </w:r>
          </w:p>
        </w:tc>
        <w:tc>
          <w:tcPr>
            <w:tcW w:w="3977" w:type="dxa"/>
            <w:gridSpan w:val="3"/>
            <w:shd w:val="clear" w:color="auto" w:fill="D6E3BC"/>
            <w:vAlign w:val="bottom"/>
            <w:hideMark/>
          </w:tcPr>
          <w:p w:rsidR="00A941B3" w:rsidRPr="007E56C9" w:rsidRDefault="00A941B3" w:rsidP="00762560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E56C9">
              <w:rPr>
                <w:rFonts w:eastAsia="Times New Roman"/>
                <w:b/>
                <w:bCs/>
                <w:sz w:val="22"/>
              </w:rPr>
              <w:t>Pridaná hodnota ako podiel na HDP (</w:t>
            </w:r>
            <w:r w:rsidR="00762560">
              <w:rPr>
                <w:rFonts w:eastAsia="Times New Roman"/>
                <w:b/>
                <w:bCs/>
                <w:sz w:val="22"/>
              </w:rPr>
              <w:t>2012</w:t>
            </w:r>
            <w:r w:rsidRPr="007E56C9">
              <w:rPr>
                <w:rFonts w:eastAsia="Times New Roman"/>
                <w:b/>
                <w:bCs/>
                <w:sz w:val="22"/>
              </w:rPr>
              <w:t>)</w:t>
            </w:r>
          </w:p>
        </w:tc>
        <w:tc>
          <w:tcPr>
            <w:tcW w:w="1786" w:type="dxa"/>
            <w:vMerge w:val="restart"/>
            <w:shd w:val="clear" w:color="auto" w:fill="D6E3BC"/>
            <w:vAlign w:val="bottom"/>
            <w:hideMark/>
          </w:tcPr>
          <w:p w:rsidR="00A941B3" w:rsidRPr="007E56C9" w:rsidRDefault="00A941B3" w:rsidP="00762560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E56C9">
              <w:rPr>
                <w:rFonts w:eastAsia="Times New Roman"/>
                <w:b/>
                <w:bCs/>
                <w:sz w:val="22"/>
              </w:rPr>
              <w:t xml:space="preserve">Podiel zamestnanosti v </w:t>
            </w:r>
            <w:proofErr w:type="spellStart"/>
            <w:r w:rsidRPr="007E56C9">
              <w:rPr>
                <w:rFonts w:eastAsia="Times New Roman"/>
                <w:b/>
                <w:bCs/>
                <w:sz w:val="22"/>
              </w:rPr>
              <w:t>poľnohosp</w:t>
            </w:r>
            <w:proofErr w:type="spellEnd"/>
            <w:r w:rsidRPr="007E56C9">
              <w:rPr>
                <w:rFonts w:eastAsia="Times New Roman"/>
                <w:b/>
                <w:bCs/>
                <w:sz w:val="22"/>
              </w:rPr>
              <w:t>. na celkovej zamestnanosti                  (r</w:t>
            </w:r>
            <w:r>
              <w:rPr>
                <w:rFonts w:eastAsia="Times New Roman"/>
                <w:b/>
                <w:bCs/>
                <w:sz w:val="22"/>
              </w:rPr>
              <w:t xml:space="preserve">. </w:t>
            </w:r>
            <w:r w:rsidRPr="007E56C9">
              <w:rPr>
                <w:rFonts w:eastAsia="Times New Roman"/>
                <w:b/>
                <w:bCs/>
                <w:sz w:val="22"/>
              </w:rPr>
              <w:t>201</w:t>
            </w:r>
            <w:r w:rsidR="00762560">
              <w:rPr>
                <w:rFonts w:eastAsia="Times New Roman"/>
                <w:b/>
                <w:bCs/>
                <w:sz w:val="22"/>
              </w:rPr>
              <w:t>4</w:t>
            </w:r>
            <w:r w:rsidRPr="007E56C9">
              <w:rPr>
                <w:rFonts w:eastAsia="Times New Roman"/>
                <w:b/>
                <w:bCs/>
                <w:sz w:val="22"/>
              </w:rPr>
              <w:t xml:space="preserve">)     </w:t>
            </w:r>
          </w:p>
        </w:tc>
        <w:tc>
          <w:tcPr>
            <w:tcW w:w="1658" w:type="dxa"/>
            <w:vMerge w:val="restart"/>
            <w:shd w:val="clear" w:color="auto" w:fill="D6E3BC"/>
            <w:vAlign w:val="center"/>
            <w:hideMark/>
          </w:tcPr>
          <w:p w:rsidR="00A941B3" w:rsidRPr="007E56C9" w:rsidRDefault="00A941B3" w:rsidP="00762560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E56C9">
              <w:rPr>
                <w:rFonts w:eastAsia="Times New Roman"/>
                <w:b/>
                <w:bCs/>
                <w:sz w:val="22"/>
              </w:rPr>
              <w:t xml:space="preserve">Podiel </w:t>
            </w:r>
            <w:proofErr w:type="spellStart"/>
            <w:r w:rsidRPr="007E56C9">
              <w:rPr>
                <w:rFonts w:eastAsia="Times New Roman"/>
                <w:b/>
                <w:bCs/>
                <w:sz w:val="22"/>
              </w:rPr>
              <w:t>zamest</w:t>
            </w:r>
            <w:proofErr w:type="spellEnd"/>
            <w:r w:rsidRPr="007E56C9">
              <w:rPr>
                <w:rFonts w:eastAsia="Times New Roman"/>
                <w:b/>
                <w:bCs/>
                <w:sz w:val="22"/>
              </w:rPr>
              <w:t xml:space="preserve">. v </w:t>
            </w:r>
            <w:proofErr w:type="spellStart"/>
            <w:r w:rsidRPr="007E56C9">
              <w:rPr>
                <w:rFonts w:eastAsia="Times New Roman"/>
                <w:b/>
                <w:bCs/>
                <w:sz w:val="22"/>
              </w:rPr>
              <w:t>poľnohosp</w:t>
            </w:r>
            <w:proofErr w:type="spellEnd"/>
            <w:r w:rsidRPr="007E56C9">
              <w:rPr>
                <w:rFonts w:eastAsia="Times New Roman"/>
                <w:b/>
                <w:bCs/>
                <w:sz w:val="22"/>
              </w:rPr>
              <w:t>. na celkovej zamestnanosti  - komparácia s r. 201</w:t>
            </w:r>
            <w:r w:rsidR="00762560">
              <w:rPr>
                <w:rFonts w:eastAsia="Times New Roman"/>
                <w:b/>
                <w:bCs/>
                <w:sz w:val="22"/>
              </w:rPr>
              <w:t>3</w:t>
            </w:r>
          </w:p>
        </w:tc>
      </w:tr>
      <w:tr w:rsidR="00A941B3" w:rsidRPr="007E56C9" w:rsidTr="00046871">
        <w:trPr>
          <w:trHeight w:val="1004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6E3BC"/>
            <w:vAlign w:val="center"/>
            <w:hideMark/>
          </w:tcPr>
          <w:p w:rsidR="00A941B3" w:rsidRPr="007E56C9" w:rsidRDefault="00BC221D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proofErr w:type="spellStart"/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P</w:t>
            </w:r>
            <w:r w:rsidR="00A941B3"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oľnohospo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- </w:t>
            </w:r>
            <w:proofErr w:type="spellStart"/>
            <w:r w:rsidR="00A941B3"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dárstvo</w:t>
            </w:r>
            <w:proofErr w:type="spellEnd"/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6E3BC"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priemysel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6E3BC"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služby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2"/>
                <w:lang w:eastAsia="sk-SK"/>
              </w:rPr>
            </w:pPr>
          </w:p>
        </w:tc>
      </w:tr>
      <w:tr w:rsidR="00A941B3" w:rsidRPr="007E56C9" w:rsidTr="00046871">
        <w:trPr>
          <w:trHeight w:val="244"/>
        </w:trPr>
        <w:tc>
          <w:tcPr>
            <w:tcW w:w="1718" w:type="dxa"/>
            <w:shd w:val="clear" w:color="auto" w:fill="FFFFFF" w:themeFill="background1"/>
            <w:noWrap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MJ</w:t>
            </w:r>
          </w:p>
        </w:tc>
        <w:tc>
          <w:tcPr>
            <w:tcW w:w="3977" w:type="dxa"/>
            <w:gridSpan w:val="3"/>
            <w:shd w:val="clear" w:color="auto" w:fill="FFFFFF" w:themeFill="background1"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%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%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center"/>
            <w:hideMark/>
          </w:tcPr>
          <w:p w:rsidR="00A941B3" w:rsidRPr="007E56C9" w:rsidRDefault="00A941B3" w:rsidP="00E663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proofErr w:type="spellStart"/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p.b</w:t>
            </w:r>
            <w:proofErr w:type="spellEnd"/>
            <w:r w:rsidRPr="007E56C9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.</w:t>
            </w:r>
          </w:p>
        </w:tc>
      </w:tr>
      <w:tr w:rsidR="00762560" w:rsidRPr="007E56C9" w:rsidTr="00046871">
        <w:trPr>
          <w:trHeight w:val="244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sz w:val="22"/>
                <w:lang w:eastAsia="sk-SK"/>
              </w:rPr>
              <w:t>SVET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2,9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25,3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71,8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38,3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-0,4</w:t>
            </w:r>
          </w:p>
        </w:tc>
      </w:tr>
      <w:tr w:rsidR="00762560" w:rsidRPr="007E56C9" w:rsidTr="00046871">
        <w:trPr>
          <w:trHeight w:val="244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7E56C9">
              <w:rPr>
                <w:rFonts w:eastAsia="Times New Roman"/>
                <w:b/>
                <w:bCs/>
                <w:sz w:val="22"/>
                <w:lang w:eastAsia="sk-SK"/>
              </w:rPr>
              <w:t>EURÓPA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1,6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24,7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73,6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3,8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-0,2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Argentína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-0,3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Austrália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Brazília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-0,4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Kanada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-0,1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Čína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-0,6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India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-0,5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Japonsko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73,0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Mexiko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14,3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-0,4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Nový Zéland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-0,1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Nórsko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-0,1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Rusko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36,7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59,3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proofErr w:type="spellStart"/>
            <w:r w:rsidRPr="007E56C9">
              <w:rPr>
                <w:rFonts w:eastAsia="Times New Roman"/>
                <w:sz w:val="22"/>
                <w:lang w:eastAsia="sk-SK"/>
              </w:rPr>
              <w:t>Juhoafr</w:t>
            </w:r>
            <w:proofErr w:type="spellEnd"/>
            <w:r w:rsidRPr="007E56C9">
              <w:rPr>
                <w:rFonts w:eastAsia="Times New Roman"/>
                <w:sz w:val="22"/>
                <w:lang w:eastAsia="sk-SK"/>
              </w:rPr>
              <w:t xml:space="preserve">. </w:t>
            </w:r>
            <w:r>
              <w:rPr>
                <w:rFonts w:eastAsia="Times New Roman"/>
                <w:sz w:val="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sk-SK"/>
              </w:rPr>
              <w:t>repub</w:t>
            </w:r>
            <w:proofErr w:type="spellEnd"/>
            <w:r>
              <w:rPr>
                <w:rFonts w:eastAsia="Times New Roman"/>
                <w:sz w:val="22"/>
                <w:lang w:eastAsia="sk-SK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-0,2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Švajčiarsko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73,0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Turecko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27,1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-10,8</w:t>
            </w:r>
          </w:p>
        </w:tc>
      </w:tr>
      <w:tr w:rsidR="00762560" w:rsidRPr="007E56C9" w:rsidTr="00046871">
        <w:trPr>
          <w:trHeight w:val="257"/>
        </w:trPr>
        <w:tc>
          <w:tcPr>
            <w:tcW w:w="1718" w:type="dxa"/>
            <w:shd w:val="clear" w:color="auto" w:fill="FFFFFF" w:themeFill="background1"/>
            <w:noWrap/>
            <w:vAlign w:val="bottom"/>
            <w:hideMark/>
          </w:tcPr>
          <w:p w:rsidR="00762560" w:rsidRPr="007E56C9" w:rsidRDefault="00762560" w:rsidP="00E663A7">
            <w:pPr>
              <w:spacing w:after="0" w:line="240" w:lineRule="auto"/>
              <w:jc w:val="left"/>
              <w:rPr>
                <w:rFonts w:eastAsia="Times New Roman"/>
                <w:sz w:val="22"/>
                <w:lang w:eastAsia="sk-SK"/>
              </w:rPr>
            </w:pPr>
            <w:r w:rsidRPr="007E56C9">
              <w:rPr>
                <w:rFonts w:eastAsia="Times New Roman"/>
                <w:sz w:val="22"/>
                <w:lang w:eastAsia="sk-SK"/>
              </w:rPr>
              <w:t>USA</w:t>
            </w:r>
          </w:p>
        </w:tc>
        <w:tc>
          <w:tcPr>
            <w:tcW w:w="1320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1289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78,0</w:t>
            </w:r>
          </w:p>
        </w:tc>
        <w:tc>
          <w:tcPr>
            <w:tcW w:w="1786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762560" w:rsidRDefault="00762560" w:rsidP="0076256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762560" w:rsidRPr="007E56C9" w:rsidRDefault="00762560" w:rsidP="00762560">
      <w:pPr>
        <w:spacing w:after="0" w:line="240" w:lineRule="auto"/>
        <w:rPr>
          <w:rFonts w:eastAsia="Times New Roman"/>
          <w:sz w:val="22"/>
          <w:lang w:eastAsia="sk-SK"/>
        </w:rPr>
      </w:pPr>
      <w:r w:rsidRPr="007E56C9">
        <w:rPr>
          <w:rFonts w:eastAsia="Times New Roman"/>
          <w:sz w:val="22"/>
          <w:lang w:eastAsia="sk-SK"/>
        </w:rPr>
        <w:t xml:space="preserve">Prameň: </w:t>
      </w:r>
      <w:r w:rsidRPr="00F468B2">
        <w:rPr>
          <w:rFonts w:eastAsia="Times New Roman"/>
          <w:sz w:val="22"/>
          <w:lang w:eastAsia="sk-SK"/>
        </w:rPr>
        <w:t xml:space="preserve">FAO OSN, </w:t>
      </w:r>
      <w:proofErr w:type="spellStart"/>
      <w:r w:rsidRPr="00F468B2">
        <w:rPr>
          <w:rFonts w:eastAsia="Times New Roman"/>
          <w:sz w:val="22"/>
          <w:lang w:eastAsia="sk-SK"/>
        </w:rPr>
        <w:t>World</w:t>
      </w:r>
      <w:proofErr w:type="spellEnd"/>
      <w:r w:rsidRPr="00F468B2">
        <w:rPr>
          <w:rFonts w:eastAsia="Times New Roman"/>
          <w:sz w:val="22"/>
          <w:lang w:eastAsia="sk-SK"/>
        </w:rPr>
        <w:t xml:space="preserve"> </w:t>
      </w:r>
      <w:proofErr w:type="spellStart"/>
      <w:r w:rsidRPr="00F468B2">
        <w:rPr>
          <w:rFonts w:eastAsia="Times New Roman"/>
          <w:sz w:val="22"/>
          <w:lang w:eastAsia="sk-SK"/>
        </w:rPr>
        <w:t>food</w:t>
      </w:r>
      <w:proofErr w:type="spellEnd"/>
      <w:r w:rsidRPr="00F468B2">
        <w:rPr>
          <w:rFonts w:eastAsia="Times New Roman"/>
          <w:sz w:val="22"/>
          <w:lang w:eastAsia="sk-SK"/>
        </w:rPr>
        <w:t xml:space="preserve"> and </w:t>
      </w:r>
      <w:proofErr w:type="spellStart"/>
      <w:r w:rsidRPr="00F468B2">
        <w:rPr>
          <w:rFonts w:eastAsia="Times New Roman"/>
          <w:sz w:val="22"/>
          <w:lang w:eastAsia="sk-SK"/>
        </w:rPr>
        <w:t>agriculture</w:t>
      </w:r>
      <w:proofErr w:type="spellEnd"/>
      <w:r w:rsidRPr="00F468B2">
        <w:rPr>
          <w:rFonts w:eastAsia="Times New Roman"/>
          <w:sz w:val="22"/>
          <w:lang w:eastAsia="sk-SK"/>
        </w:rPr>
        <w:t xml:space="preserve">, </w:t>
      </w:r>
      <w:proofErr w:type="spellStart"/>
      <w:r w:rsidRPr="00F468B2">
        <w:rPr>
          <w:rFonts w:eastAsia="Times New Roman"/>
          <w:sz w:val="22"/>
          <w:lang w:eastAsia="sk-SK"/>
        </w:rPr>
        <w:t>Faostat</w:t>
      </w:r>
      <w:proofErr w:type="spellEnd"/>
      <w:r w:rsidRPr="00F468B2">
        <w:rPr>
          <w:rFonts w:eastAsia="Times New Roman"/>
          <w:sz w:val="22"/>
          <w:lang w:eastAsia="sk-SK"/>
        </w:rPr>
        <w:t xml:space="preserve"> marec 2015, </w:t>
      </w:r>
      <w:proofErr w:type="spellStart"/>
      <w:r w:rsidRPr="00F468B2">
        <w:rPr>
          <w:rFonts w:eastAsia="Times New Roman"/>
          <w:sz w:val="22"/>
          <w:lang w:eastAsia="sk-SK"/>
        </w:rPr>
        <w:t>World</w:t>
      </w:r>
      <w:proofErr w:type="spellEnd"/>
      <w:r w:rsidRPr="00F468B2">
        <w:rPr>
          <w:rFonts w:eastAsia="Times New Roman"/>
          <w:sz w:val="22"/>
          <w:lang w:eastAsia="sk-SK"/>
        </w:rPr>
        <w:t xml:space="preserve"> bank </w:t>
      </w:r>
      <w:proofErr w:type="spellStart"/>
      <w:r w:rsidRPr="00F468B2">
        <w:rPr>
          <w:rFonts w:eastAsia="Times New Roman"/>
          <w:sz w:val="22"/>
          <w:lang w:eastAsia="sk-SK"/>
        </w:rPr>
        <w:t>database</w:t>
      </w:r>
      <w:proofErr w:type="spellEnd"/>
    </w:p>
    <w:p w:rsidR="00762560" w:rsidRPr="00452BCC" w:rsidRDefault="00762560" w:rsidP="00762560">
      <w:pPr>
        <w:spacing w:after="0" w:line="240" w:lineRule="auto"/>
        <w:rPr>
          <w:color w:val="000000"/>
          <w:sz w:val="20"/>
          <w:szCs w:val="20"/>
        </w:rPr>
      </w:pPr>
      <w:r w:rsidRPr="00452BCC">
        <w:rPr>
          <w:color w:val="000000"/>
          <w:sz w:val="20"/>
          <w:szCs w:val="20"/>
        </w:rPr>
        <w:t xml:space="preserve">Vypracoval: </w:t>
      </w:r>
      <w:r>
        <w:rPr>
          <w:color w:val="000000"/>
          <w:sz w:val="20"/>
          <w:szCs w:val="20"/>
        </w:rPr>
        <w:t>NPPC-</w:t>
      </w:r>
      <w:r w:rsidRPr="00452BCC">
        <w:rPr>
          <w:color w:val="000000"/>
          <w:sz w:val="20"/>
          <w:szCs w:val="20"/>
        </w:rPr>
        <w:t>VÚEPP</w:t>
      </w:r>
    </w:p>
    <w:p w:rsidR="00C376EA" w:rsidRDefault="00C376EA" w:rsidP="00C376E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941B3" w:rsidRDefault="00A941B3" w:rsidP="00A941B3">
      <w:pPr>
        <w:shd w:val="clear" w:color="auto" w:fill="FFFFFF"/>
        <w:ind w:firstLine="708"/>
      </w:pPr>
      <w:r w:rsidRPr="003D0B8D">
        <w:t xml:space="preserve">Svetová </w:t>
      </w:r>
      <w:r w:rsidRPr="003D0B8D">
        <w:rPr>
          <w:b/>
          <w:bCs/>
        </w:rPr>
        <w:t>poľnohospodárska produkcia</w:t>
      </w:r>
      <w:r w:rsidRPr="003D0B8D">
        <w:t xml:space="preserve"> sa v roku 2012 vyvíjala komoditne a teritoriálne diferencovane. Pokles nastal u obilnín a olejnín, ale produkcia živočíšnych komodít sa zvýšila. Obilniny dosiahli objem produkcie 2 545 mil. ton, čo bolo o  46,6 mil. ton (1,8 %) menej ako pred rokom a to v dôsledku významného poklesu produkcie v rozhodujúcich producentských štátoch a to v USA (7,7 %), Argentíne (16,6 %) a v priemere EÚ (2,8 %). Z produkčne rozhodujúcich krajín nárast produkcie obilnín bol v Č</w:t>
      </w:r>
      <w:r w:rsidR="00BC221D">
        <w:t>í</w:t>
      </w:r>
      <w:r w:rsidRPr="003D0B8D">
        <w:t>ne (4,2 %), Brazílii (15,9 %) a v Kanade (5,9 %). Najväčší podiel na svetovej produkcii obilnín dosiahla Čína (21,3 %), USA (14,0 %), EÚ-27 (11,2 %) a India (11,3 %).</w:t>
      </w:r>
      <w:r w:rsidRPr="000B5953">
        <w:t xml:space="preserve"> Druhou rozhodujúcou skupinou plodín s narastajúcou produkciou boli olejniny, ktorých sa najviac zo svetovej produkcie vyprodukovalo v Číne (9,</w:t>
      </w:r>
      <w:r>
        <w:t>8</w:t>
      </w:r>
      <w:r w:rsidRPr="000B5953">
        <w:t xml:space="preserve"> %), USA (9,</w:t>
      </w:r>
      <w:r>
        <w:t>9</w:t>
      </w:r>
      <w:r w:rsidRPr="000B5953">
        <w:t xml:space="preserve"> %), Brazílii (</w:t>
      </w:r>
      <w:r>
        <w:t>7</w:t>
      </w:r>
      <w:r w:rsidRPr="000B5953">
        <w:t>,</w:t>
      </w:r>
      <w:r>
        <w:t>5</w:t>
      </w:r>
      <w:r w:rsidRPr="000B5953">
        <w:t xml:space="preserve"> %) a Indii (</w:t>
      </w:r>
      <w:r>
        <w:t>6,1</w:t>
      </w:r>
      <w:r w:rsidRPr="000B5953">
        <w:t xml:space="preserve"> %).</w:t>
      </w:r>
    </w:p>
    <w:p w:rsidR="00A941B3" w:rsidRPr="000B5953" w:rsidRDefault="00A941B3" w:rsidP="00A941B3">
      <w:pPr>
        <w:ind w:firstLine="708"/>
      </w:pPr>
      <w:r w:rsidRPr="003D0B8D">
        <w:t>Vo svetovom meradle sa vyprodukovalo 63,3 mld. ton hovädzieho mäsa, čo bolo o 0,6</w:t>
      </w:r>
      <w:r w:rsidR="0071211C">
        <w:t> </w:t>
      </w:r>
      <w:r w:rsidRPr="003D0B8D">
        <w:t xml:space="preserve">% viac ako pred rokom. Zvýšila sa produkcia aj bravčového mäsa (1,0 %) a produkcia mlieka (2,1 %). Nárast nastal vo všetkých štátoch okrem EÚ, kde klesla produkcia hovädzieho mäsa o 4,5 % a bravčového mäsa o 1,7 %. Produkcia mlieka sa v krajinách EÚ zvýšila len mierne (0,7 %). </w:t>
      </w:r>
      <w:r w:rsidRPr="000B5953">
        <w:t>Rozhodujúcimi producentmi hovädzieho mäsa, ktorí sa najviac podieľajú na celosvetovej produkcii</w:t>
      </w:r>
      <w:r>
        <w:t>,</w:t>
      </w:r>
      <w:r w:rsidRPr="000B5953">
        <w:t xml:space="preserve"> sú USA (1</w:t>
      </w:r>
      <w:r>
        <w:t>8,7</w:t>
      </w:r>
      <w:r w:rsidRPr="000B5953">
        <w:t>2 %), Brazília (14,</w:t>
      </w:r>
      <w:r>
        <w:t>7</w:t>
      </w:r>
      <w:r w:rsidRPr="000B5953">
        <w:t xml:space="preserve"> %), EÚ-27 (12,</w:t>
      </w:r>
      <w:r>
        <w:t>2</w:t>
      </w:r>
      <w:r w:rsidRPr="000B5953">
        <w:t xml:space="preserve"> %) a Čína (9,9 %). </w:t>
      </w:r>
    </w:p>
    <w:p w:rsidR="00A941B3" w:rsidRPr="000B5953" w:rsidRDefault="00A941B3" w:rsidP="00A941B3">
      <w:pPr>
        <w:ind w:firstLine="708"/>
      </w:pPr>
      <w:r w:rsidRPr="000B5953">
        <w:lastRenderedPageBreak/>
        <w:t xml:space="preserve"> </w:t>
      </w:r>
      <w:r w:rsidRPr="001C3698">
        <w:t xml:space="preserve">Celosvetovo sa vyrobilo 119 mld. </w:t>
      </w:r>
      <w:r>
        <w:t>t</w:t>
      </w:r>
      <w:r w:rsidRPr="001C3698">
        <w:t>on</w:t>
      </w:r>
      <w:r>
        <w:t xml:space="preserve"> bravčového mäsa</w:t>
      </w:r>
      <w:r w:rsidRPr="001C3698">
        <w:t>. Najväčším producentom bravčového mäsa bola Čína, ktorá vyprodukovala 45,8 %  svetovej produkcie a EÚ (21 %). Čína sa stáva už dlhodobo rozhodujúcim svetovým producentom nielen bravčového mäsa, ale</w:t>
      </w:r>
      <w:r w:rsidR="0071211C">
        <w:t> </w:t>
      </w:r>
      <w:r w:rsidRPr="001C3698">
        <w:t>aj ostatných poľnohospodárskych surovín.</w:t>
      </w:r>
    </w:p>
    <w:p w:rsidR="00A941B3" w:rsidRDefault="00A941B3" w:rsidP="00A941B3">
      <w:pPr>
        <w:ind w:firstLine="708"/>
      </w:pPr>
      <w:r w:rsidRPr="003D2CA0">
        <w:rPr>
          <w:b/>
        </w:rPr>
        <w:t>Ceny</w:t>
      </w:r>
      <w:r w:rsidRPr="003D2CA0">
        <w:t xml:space="preserve"> základných poľnohospodárskych komodít na svetových trhoch zaznamenali rozdielny medziročný vývoj. Kým ceny rastlinných komodít mali klesajúcu tendenciu</w:t>
      </w:r>
      <w:r w:rsidR="00512045">
        <w:t>,</w:t>
      </w:r>
      <w:r w:rsidRPr="003D2CA0">
        <w:t xml:space="preserve"> ceny živočíšnych komodít vzrástli. Najviac sa znížili ceny cukru (17,5 %) a repkového oleja (12,8</w:t>
      </w:r>
      <w:r w:rsidR="00512045">
        <w:t> </w:t>
      </w:r>
      <w:r w:rsidRPr="003D2CA0">
        <w:t>%).</w:t>
      </w:r>
      <w:r>
        <w:t xml:space="preserve"> Významný pokles zaznamenali aj ceny pšenice (6,1 %), kukurice (11,5 %), ryže (9,8 %). Menej klesli ceny </w:t>
      </w:r>
      <w:r w:rsidRPr="000B5953">
        <w:t>sójových bôbov (</w:t>
      </w:r>
      <w:r>
        <w:t>3,1</w:t>
      </w:r>
      <w:r w:rsidRPr="000B5953">
        <w:t xml:space="preserve"> %)</w:t>
      </w:r>
      <w:r>
        <w:t xml:space="preserve">. </w:t>
      </w:r>
    </w:p>
    <w:p w:rsidR="00A941B3" w:rsidRDefault="00A941B3" w:rsidP="00A941B3">
      <w:pPr>
        <w:shd w:val="clear" w:color="auto" w:fill="FFFFFF"/>
        <w:ind w:firstLine="708"/>
      </w:pPr>
      <w:r w:rsidRPr="000B5953">
        <w:t>Ceny</w:t>
      </w:r>
      <w:r>
        <w:t xml:space="preserve"> rozhodujúcich </w:t>
      </w:r>
      <w:r w:rsidRPr="000B5953">
        <w:t>živočíšnych</w:t>
      </w:r>
      <w:r>
        <w:t xml:space="preserve"> komodít sa zvýšili. </w:t>
      </w:r>
      <w:r w:rsidRPr="000B5953">
        <w:t>Vzrástli ceny všetkých druhov mäsa, najmä hovädzieho (</w:t>
      </w:r>
      <w:r>
        <w:t>12,7</w:t>
      </w:r>
      <w:r w:rsidRPr="000B5953">
        <w:t xml:space="preserve"> %), bravčového mäsa (1,</w:t>
      </w:r>
      <w:r>
        <w:t>6</w:t>
      </w:r>
      <w:r w:rsidRPr="000B5953">
        <w:t xml:space="preserve"> %)</w:t>
      </w:r>
      <w:r>
        <w:t xml:space="preserve"> a najmenej </w:t>
      </w:r>
      <w:r w:rsidRPr="000B5953">
        <w:t>hydiny (</w:t>
      </w:r>
      <w:r>
        <w:t>0,1</w:t>
      </w:r>
      <w:r w:rsidRPr="000B5953">
        <w:t xml:space="preserve"> %). </w:t>
      </w:r>
      <w:r>
        <w:t xml:space="preserve">Vzrástli aj ceny </w:t>
      </w:r>
      <w:r w:rsidRPr="000B5953">
        <w:t>mliečnych výrobkov, najviac sušeného mlieka (</w:t>
      </w:r>
      <w:r>
        <w:t>37,6</w:t>
      </w:r>
      <w:r w:rsidRPr="000B5953">
        <w:t xml:space="preserve"> %)</w:t>
      </w:r>
      <w:r>
        <w:t xml:space="preserve"> a </w:t>
      </w:r>
      <w:r w:rsidRPr="000B5953">
        <w:t>masla (2</w:t>
      </w:r>
      <w:r>
        <w:t>6,4</w:t>
      </w:r>
      <w:r w:rsidRPr="000B5953">
        <w:t xml:space="preserve"> %)</w:t>
      </w:r>
      <w:r>
        <w:t>. Najvyššiu cenovú úroveň na tonu produkcie zo všetkých poľnohospodárskych výrobkov má</w:t>
      </w:r>
      <w:r w:rsidR="0071211C">
        <w:t xml:space="preserve"> </w:t>
      </w:r>
      <w:r>
        <w:t>hovädzie mäso.</w:t>
      </w:r>
    </w:p>
    <w:p w:rsidR="00046871" w:rsidRDefault="00046871" w:rsidP="00A941B3">
      <w:pPr>
        <w:shd w:val="clear" w:color="auto" w:fill="FFFFFF"/>
        <w:ind w:firstLine="708"/>
      </w:pPr>
    </w:p>
    <w:tbl>
      <w:tblPr>
        <w:tblW w:w="9140" w:type="dxa"/>
        <w:tblInd w:w="-15" w:type="dxa"/>
        <w:tblCellMar>
          <w:left w:w="0" w:type="dxa"/>
          <w:right w:w="0" w:type="dxa"/>
        </w:tblCellMar>
        <w:tblLook w:val="0000"/>
      </w:tblPr>
      <w:tblGrid>
        <w:gridCol w:w="9463"/>
      </w:tblGrid>
      <w:tr w:rsidR="00917E2E" w:rsidRPr="00CD6B60" w:rsidTr="00E663A7">
        <w:trPr>
          <w:cantSplit/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E2E" w:rsidRPr="00046871" w:rsidRDefault="00917E2E" w:rsidP="00E663A7">
            <w:pPr>
              <w:keepNext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46871">
              <w:rPr>
                <w:b/>
                <w:bCs/>
                <w:color w:val="000000"/>
                <w:szCs w:val="24"/>
              </w:rPr>
              <w:t xml:space="preserve">Vývoj svetových cien vybraných poľnohospodárskych komodít a ich medziročné zmeny </w:t>
            </w:r>
          </w:p>
        </w:tc>
      </w:tr>
      <w:tr w:rsidR="00917E2E" w:rsidRPr="00CD6B60" w:rsidTr="00E663A7">
        <w:trPr>
          <w:cantSplit/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E2E" w:rsidRPr="00046871" w:rsidRDefault="00917E2E" w:rsidP="00B15FE8">
            <w:pPr>
              <w:keepNext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046871">
              <w:rPr>
                <w:color w:val="000000"/>
                <w:szCs w:val="24"/>
              </w:rPr>
              <w:t xml:space="preserve">Tabuľka </w:t>
            </w:r>
            <w:r w:rsidR="00B15FE8" w:rsidRPr="00046871">
              <w:rPr>
                <w:color w:val="000000"/>
                <w:szCs w:val="24"/>
              </w:rPr>
              <w:t>4</w:t>
            </w:r>
          </w:p>
        </w:tc>
      </w:tr>
      <w:tr w:rsidR="00917E2E" w:rsidRPr="00CD6B60" w:rsidTr="00E663A7">
        <w:trPr>
          <w:cantSplit/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1281"/>
              <w:gridCol w:w="887"/>
              <w:gridCol w:w="943"/>
              <w:gridCol w:w="931"/>
              <w:gridCol w:w="876"/>
              <w:gridCol w:w="935"/>
              <w:gridCol w:w="718"/>
              <w:gridCol w:w="718"/>
              <w:gridCol w:w="718"/>
              <w:gridCol w:w="718"/>
              <w:gridCol w:w="718"/>
            </w:tblGrid>
            <w:tr w:rsidR="00917E2E" w:rsidRPr="00CD6B60" w:rsidTr="00BC221D">
              <w:trPr>
                <w:trHeight w:val="300"/>
              </w:trPr>
              <w:tc>
                <w:tcPr>
                  <w:tcW w:w="1281" w:type="dxa"/>
                  <w:vMerge w:val="restart"/>
                  <w:shd w:val="clear" w:color="auto" w:fill="C2D69B"/>
                </w:tcPr>
                <w:p w:rsidR="00917E2E" w:rsidRPr="00764AEC" w:rsidRDefault="00917E2E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sz w:val="22"/>
                    </w:rPr>
                    <w:t>Komodita</w:t>
                  </w:r>
                </w:p>
                <w:p w:rsidR="00917E2E" w:rsidRPr="00764AEC" w:rsidRDefault="00917E2E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sz w:val="22"/>
                    </w:rPr>
                    <w:t>/rok</w:t>
                  </w:r>
                </w:p>
              </w:tc>
              <w:tc>
                <w:tcPr>
                  <w:tcW w:w="4572" w:type="dxa"/>
                  <w:gridSpan w:val="5"/>
                  <w:shd w:val="clear" w:color="auto" w:fill="C2D69B"/>
                  <w:noWrap/>
                </w:tcPr>
                <w:p w:rsidR="00917E2E" w:rsidRPr="00764AEC" w:rsidRDefault="00917E2E" w:rsidP="00E663A7">
                  <w:pPr>
                    <w:keepNext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sz w:val="22"/>
                    </w:rPr>
                    <w:t>Ceny v USD za tonu</w:t>
                  </w:r>
                </w:p>
              </w:tc>
              <w:tc>
                <w:tcPr>
                  <w:tcW w:w="3590" w:type="dxa"/>
                  <w:gridSpan w:val="5"/>
                  <w:shd w:val="clear" w:color="auto" w:fill="C2D69B"/>
                  <w:noWrap/>
                </w:tcPr>
                <w:p w:rsidR="00917E2E" w:rsidRPr="00764AEC" w:rsidRDefault="00917E2E" w:rsidP="00E663A7">
                  <w:pPr>
                    <w:keepNext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sz w:val="22"/>
                    </w:rPr>
                    <w:t>Medziročné zmeny v %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vMerge/>
                  <w:tcBorders>
                    <w:bottom w:val="single" w:sz="8" w:space="0" w:color="auto"/>
                  </w:tcBorders>
                  <w:shd w:val="clear" w:color="auto" w:fill="C2D69B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887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2010</w:t>
                  </w:r>
                </w:p>
              </w:tc>
              <w:tc>
                <w:tcPr>
                  <w:tcW w:w="943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2011</w:t>
                  </w:r>
                </w:p>
              </w:tc>
              <w:tc>
                <w:tcPr>
                  <w:tcW w:w="931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2012</w:t>
                  </w:r>
                </w:p>
              </w:tc>
              <w:tc>
                <w:tcPr>
                  <w:tcW w:w="876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2013</w:t>
                  </w:r>
                </w:p>
              </w:tc>
              <w:tc>
                <w:tcPr>
                  <w:tcW w:w="935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2014</w:t>
                  </w:r>
                </w:p>
              </w:tc>
              <w:tc>
                <w:tcPr>
                  <w:tcW w:w="718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11/10</w:t>
                  </w:r>
                </w:p>
              </w:tc>
              <w:tc>
                <w:tcPr>
                  <w:tcW w:w="718" w:type="dxa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12/11</w:t>
                  </w: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13/12</w:t>
                  </w: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14/13</w:t>
                  </w: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shd w:val="clear" w:color="auto" w:fill="C2D69B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14/10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pšenica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228,0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286,8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294,4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276,5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244,9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125,8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102,7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93,9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88,6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107,5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kukurica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184,6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292,3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298,3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264,1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192,8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158,4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88,5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73,0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104,4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ryža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520,0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566,2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590,4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532,7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435,55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108,9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104,3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90,2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81,8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83,8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cukor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469,8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572,1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474,9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391,8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377,7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121,8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83,0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82,5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96,4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80,4</w:t>
                  </w:r>
                </w:p>
              </w:tc>
            </w:tr>
            <w:tr w:rsidR="00762560" w:rsidRPr="00CD6B60" w:rsidTr="00BC221D">
              <w:trPr>
                <w:trHeight w:hRule="exact" w:val="536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sójové bôby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449,8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541,9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591,4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538,4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500,9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120,5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109,1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91,0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93,0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111,4</w:t>
                  </w:r>
                </w:p>
              </w:tc>
            </w:tr>
            <w:tr w:rsidR="00762560" w:rsidRPr="00CD6B60" w:rsidTr="00BC221D">
              <w:trPr>
                <w:trHeight w:hRule="exact" w:val="572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repkový olej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1 013,0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1 368,4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1 239,9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1 081,8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923,7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135,1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90,6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87,2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85,4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91,2</w:t>
                  </w:r>
                </w:p>
              </w:tc>
            </w:tr>
            <w:tr w:rsidR="00762560" w:rsidRPr="00CD6B60" w:rsidTr="00BC221D">
              <w:trPr>
                <w:trHeight w:hRule="exact" w:val="397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maslo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4 269,8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4 875,8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3 546,9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4 483,9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4 010,4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114,2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72,7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126,4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89,4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93,9</w:t>
                  </w:r>
                </w:p>
              </w:tc>
            </w:tr>
            <w:tr w:rsidR="00762560" w:rsidRPr="00CD6B60" w:rsidTr="00BC221D">
              <w:trPr>
                <w:trHeight w:hRule="exact" w:val="599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BC221D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suš. mlieko ods</w:t>
                  </w:r>
                  <w:r w:rsidR="00BC221D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tredené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3 081,3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3 555,8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3 119,2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4 293,4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3 646,9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115,4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87,7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137,6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84,9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118,4</w:t>
                  </w:r>
                </w:p>
              </w:tc>
            </w:tr>
            <w:tr w:rsidR="00762560" w:rsidRPr="00CD6B60" w:rsidTr="00BC221D">
              <w:trPr>
                <w:trHeight w:hRule="exact" w:val="566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mäso bravčové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2 454,3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2 648,3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2 675,5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2 717,3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3 182,9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107,9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101,0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101,6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117,1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129,7</w:t>
                  </w:r>
                </w:p>
              </w:tc>
            </w:tr>
            <w:tr w:rsidR="00762560" w:rsidRPr="00CD6B60" w:rsidTr="00BC221D">
              <w:trPr>
                <w:trHeight w:hRule="exact" w:val="574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mäso hovädzie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4 377,8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4 516,2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4912,58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5 534,8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6 678,4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103,2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108,8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112,7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120,7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152,6</w:t>
                  </w:r>
                </w:p>
              </w:tc>
            </w:tr>
            <w:tr w:rsidR="00762560" w:rsidRPr="00CD6B60" w:rsidTr="00BC221D">
              <w:trPr>
                <w:trHeight w:hRule="exact" w:val="554"/>
              </w:trPr>
              <w:tc>
                <w:tcPr>
                  <w:tcW w:w="1281" w:type="dxa"/>
                  <w:shd w:val="clear" w:color="auto" w:fill="FFFFFF" w:themeFill="background1"/>
                  <w:noWrap/>
                  <w:vAlign w:val="center"/>
                </w:tcPr>
                <w:p w:rsidR="00762560" w:rsidRPr="00764AEC" w:rsidRDefault="00762560" w:rsidP="00E663A7">
                  <w:pPr>
                    <w:keepNext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64AEC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hydina</w:t>
                  </w:r>
                </w:p>
              </w:tc>
              <w:tc>
                <w:tcPr>
                  <w:tcW w:w="887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1 032,3</w:t>
                  </w:r>
                </w:p>
              </w:tc>
              <w:tc>
                <w:tcPr>
                  <w:tcW w:w="943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1 147,0</w:t>
                  </w:r>
                </w:p>
              </w:tc>
              <w:tc>
                <w:tcPr>
                  <w:tcW w:w="931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1 227,8</w:t>
                  </w:r>
                </w:p>
              </w:tc>
              <w:tc>
                <w:tcPr>
                  <w:tcW w:w="876" w:type="dxa"/>
                  <w:shd w:val="clear" w:color="auto" w:fill="FFFFFF" w:themeFill="background1"/>
                  <w:noWrap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1 229,3</w:t>
                  </w:r>
                </w:p>
              </w:tc>
              <w:tc>
                <w:tcPr>
                  <w:tcW w:w="935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1 205,9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111,1</w:t>
                  </w:r>
                </w:p>
              </w:tc>
              <w:tc>
                <w:tcPr>
                  <w:tcW w:w="718" w:type="dxa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107,0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100,1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98,1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bottom"/>
                </w:tcPr>
                <w:p w:rsidR="00762560" w:rsidRDefault="00762560" w:rsidP="004B3A47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116,8</w:t>
                  </w:r>
                </w:p>
              </w:tc>
            </w:tr>
          </w:tbl>
          <w:p w:rsidR="00917E2E" w:rsidRPr="00CD6B60" w:rsidRDefault="00917E2E" w:rsidP="00E663A7">
            <w:pPr>
              <w:keepNext/>
              <w:spacing w:after="0" w:line="240" w:lineRule="auto"/>
              <w:rPr>
                <w:rFonts w:eastAsia="Arial Unicode MS"/>
                <w:color w:val="000000"/>
              </w:rPr>
            </w:pPr>
          </w:p>
        </w:tc>
      </w:tr>
    </w:tbl>
    <w:p w:rsidR="00917E2E" w:rsidRPr="00CD6B60" w:rsidRDefault="00917E2E" w:rsidP="00917E2E">
      <w:pPr>
        <w:keepNext/>
        <w:spacing w:after="0" w:line="240" w:lineRule="auto"/>
        <w:rPr>
          <w:color w:val="000000"/>
          <w:sz w:val="20"/>
          <w:szCs w:val="20"/>
        </w:rPr>
      </w:pPr>
      <w:r w:rsidRPr="00CD6B60">
        <w:rPr>
          <w:color w:val="000000"/>
          <w:sz w:val="20"/>
          <w:szCs w:val="20"/>
        </w:rPr>
        <w:t>Prameň: FAO OSN, F</w:t>
      </w:r>
      <w:r>
        <w:rPr>
          <w:color w:val="000000"/>
          <w:sz w:val="20"/>
          <w:szCs w:val="20"/>
        </w:rPr>
        <w:t>AOSTAT</w:t>
      </w:r>
      <w:r w:rsidRPr="00CD6B60">
        <w:rPr>
          <w:color w:val="000000"/>
          <w:sz w:val="20"/>
          <w:szCs w:val="20"/>
        </w:rPr>
        <w:t xml:space="preserve"> 201</w:t>
      </w:r>
      <w:r w:rsidR="00762560">
        <w:rPr>
          <w:color w:val="000000"/>
          <w:sz w:val="20"/>
          <w:szCs w:val="20"/>
        </w:rPr>
        <w:t>5</w:t>
      </w:r>
    </w:p>
    <w:p w:rsidR="00C376EA" w:rsidRDefault="00C376EA" w:rsidP="00C376E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52BCC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 -</w:t>
      </w:r>
      <w:r w:rsidRPr="00452BCC">
        <w:rPr>
          <w:rFonts w:ascii="Times New Roman" w:hAnsi="Times New Roman" w:cs="Times New Roman"/>
          <w:sz w:val="20"/>
          <w:szCs w:val="20"/>
        </w:rPr>
        <w:t xml:space="preserve">VÚEPP  </w:t>
      </w:r>
    </w:p>
    <w:p w:rsidR="00917E2E" w:rsidRPr="00452BCC" w:rsidRDefault="00917E2E" w:rsidP="00917E2E">
      <w:pPr>
        <w:keepNext/>
        <w:spacing w:after="0" w:line="240" w:lineRule="auto"/>
        <w:rPr>
          <w:color w:val="000000"/>
        </w:rPr>
      </w:pPr>
    </w:p>
    <w:p w:rsidR="00917E2E" w:rsidRPr="00452BCC" w:rsidRDefault="00917E2E" w:rsidP="000E11B4">
      <w:pPr>
        <w:pStyle w:val="Zkladntext"/>
        <w:spacing w:after="60"/>
        <w:ind w:firstLine="708"/>
        <w:rPr>
          <w:color w:val="000000"/>
        </w:rPr>
      </w:pPr>
      <w:r w:rsidRPr="00452BCC">
        <w:rPr>
          <w:color w:val="000000"/>
        </w:rPr>
        <w:t>Podrobnejšie údaje o svetovom poľnohospodárstve sú uvedené v  tabuľkách 1 a 2 v prílohe 10.</w:t>
      </w:r>
    </w:p>
    <w:p w:rsidR="003C7F37" w:rsidRDefault="003C7F37" w:rsidP="003C7F37">
      <w:pPr>
        <w:pStyle w:val="1"/>
        <w:numPr>
          <w:ilvl w:val="0"/>
          <w:numId w:val="0"/>
        </w:numPr>
        <w:ind w:left="2345" w:hanging="360"/>
      </w:pPr>
    </w:p>
    <w:p w:rsidR="003C7F37" w:rsidRDefault="003C7F37" w:rsidP="003C7F37">
      <w:pPr>
        <w:pStyle w:val="1"/>
        <w:numPr>
          <w:ilvl w:val="0"/>
          <w:numId w:val="0"/>
        </w:numPr>
        <w:ind w:left="2345" w:hanging="360"/>
      </w:pPr>
    </w:p>
    <w:p w:rsidR="008B7D13" w:rsidRDefault="00ED5D63" w:rsidP="00FB2DBC">
      <w:pPr>
        <w:pStyle w:val="1"/>
        <w:tabs>
          <w:tab w:val="clear" w:pos="2345"/>
          <w:tab w:val="left" w:pos="284"/>
        </w:tabs>
        <w:ind w:hanging="2345"/>
        <w:jc w:val="left"/>
      </w:pPr>
      <w:bookmarkStart w:id="2" w:name="_Toc323214550"/>
      <w:bookmarkStart w:id="3" w:name="_Toc390686500"/>
      <w:r>
        <w:rPr>
          <w:noProof/>
          <w:lang w:eastAsia="sk-SK"/>
        </w:rPr>
        <w:lastRenderedPageBreak/>
        <w:pict>
          <v:shape id="_x0000_s1239" type="#_x0000_t176" style="position:absolute;left:0;text-align:left;margin-left:-8.25pt;margin-top:-9pt;width:453.5pt;height:33.55pt;z-index:-251643904" fillcolor="#c2d69b" stroked="f" strokecolor="#c2d69b" strokeweight="10pt">
            <v:stroke linestyle="thinThin"/>
            <v:imagedata embosscolor="shadow add(51)"/>
            <v:shadow on="t" opacity=".5" offset="-6pt,-6pt"/>
          </v:shape>
        </w:pict>
      </w:r>
      <w:r w:rsidR="008B7D13" w:rsidRPr="00FB2DBC">
        <w:t>Poľnohospodárstvo</w:t>
      </w:r>
      <w:r w:rsidR="008B7D13">
        <w:t xml:space="preserve"> a potravinárstvo krajín EÚ</w:t>
      </w:r>
      <w:bookmarkEnd w:id="2"/>
      <w:bookmarkEnd w:id="3"/>
    </w:p>
    <w:p w:rsidR="00685748" w:rsidRDefault="00685748" w:rsidP="003D5663">
      <w:pPr>
        <w:spacing w:after="60"/>
        <w:ind w:firstLine="709"/>
      </w:pPr>
    </w:p>
    <w:p w:rsidR="00685748" w:rsidRPr="0054687F" w:rsidRDefault="00685748" w:rsidP="00685748">
      <w:pPr>
        <w:spacing w:after="60"/>
        <w:ind w:firstLine="709"/>
      </w:pPr>
      <w:r w:rsidRPr="00F15DE5">
        <w:t xml:space="preserve">V porovnaní s rokom 2013 sa poľnohospodársky príjem na jedného pracovníka (indikátor A) v krajinách EÚ-28 v roku 2014 znížil o 1,7 %, </w:t>
      </w:r>
      <w:r w:rsidR="00D60AFF">
        <w:t xml:space="preserve">pričom dynamika poklesu bola </w:t>
      </w:r>
      <w:r w:rsidRPr="00F15DE5">
        <w:t xml:space="preserve">o 0,6 </w:t>
      </w:r>
      <w:proofErr w:type="spellStart"/>
      <w:r w:rsidRPr="00F15DE5">
        <w:t>p.b</w:t>
      </w:r>
      <w:proofErr w:type="spellEnd"/>
      <w:r w:rsidRPr="00F15DE5">
        <w:t xml:space="preserve">. </w:t>
      </w:r>
      <w:r w:rsidR="00D60AFF">
        <w:t>vyššia</w:t>
      </w:r>
      <w:r w:rsidRPr="00F15DE5">
        <w:t xml:space="preserve"> ako v roku 2013 (</w:t>
      </w:r>
      <w:r>
        <w:t xml:space="preserve">pokles o </w:t>
      </w:r>
      <w:r w:rsidRPr="00F15DE5">
        <w:t>1,1 %). V krajinách EÚ-15 dosiahol prepad až</w:t>
      </w:r>
      <w:r w:rsidR="00D60AFF">
        <w:t> </w:t>
      </w:r>
      <w:r w:rsidRPr="00F15DE5">
        <w:t>2,2</w:t>
      </w:r>
      <w:r w:rsidR="00D60AFF">
        <w:t> </w:t>
      </w:r>
      <w:r w:rsidRPr="00F15DE5">
        <w:t>%. V</w:t>
      </w:r>
      <w:r w:rsidRPr="00F15DE5">
        <w:rPr>
          <w:color w:val="000000"/>
        </w:rPr>
        <w:t>ývoj bol ovplyvnený poklesom reálneho príjmu (</w:t>
      </w:r>
      <w:r>
        <w:rPr>
          <w:color w:val="000000"/>
        </w:rPr>
        <w:t xml:space="preserve">o </w:t>
      </w:r>
      <w:r w:rsidRPr="00F15DE5">
        <w:rPr>
          <w:color w:val="000000"/>
        </w:rPr>
        <w:t>4,0 %) a poklesom poľnohospodárskej pracovnej sily (</w:t>
      </w:r>
      <w:r>
        <w:rPr>
          <w:color w:val="000000"/>
        </w:rPr>
        <w:t xml:space="preserve">o </w:t>
      </w:r>
      <w:r w:rsidRPr="00F15DE5">
        <w:rPr>
          <w:color w:val="000000"/>
        </w:rPr>
        <w:t>2,3 %)</w:t>
      </w:r>
      <w:r w:rsidRPr="00F15DE5">
        <w:t xml:space="preserve">.  Medzi rokmi 2005 a 2014 sa reálny poľnohospodársky príjem na pracovníka krajín EÚ-28 zvýšil o 34,4 %, ale pracovná sila klesla až o 24,6 %. Z dlhodobého hľadiska </w:t>
      </w:r>
      <w:r>
        <w:t>bol</w:t>
      </w:r>
      <w:r w:rsidRPr="00F15DE5">
        <w:t xml:space="preserve"> vývoj poľnohospodárskeho príjmu </w:t>
      </w:r>
      <w:r>
        <w:t>ovplyvnený</w:t>
      </w:r>
      <w:r w:rsidRPr="00F15DE5">
        <w:t xml:space="preserve"> substitúciou živej práce </w:t>
      </w:r>
      <w:r>
        <w:t>obnovou</w:t>
      </w:r>
      <w:r w:rsidRPr="00F15DE5">
        <w:t xml:space="preserve"> materiálno-technickej základne</w:t>
      </w:r>
      <w:r w:rsidR="00D60AFF">
        <w:t>,</w:t>
      </w:r>
      <w:r w:rsidRPr="00F15DE5">
        <w:t xml:space="preserve"> a tým úsporou pracovných síl.</w:t>
      </w:r>
      <w:r>
        <w:t xml:space="preserve"> </w:t>
      </w:r>
    </w:p>
    <w:p w:rsidR="005A6B19" w:rsidRDefault="00685748" w:rsidP="00685748">
      <w:pPr>
        <w:spacing w:after="60"/>
        <w:ind w:firstLine="709"/>
      </w:pPr>
      <w:r w:rsidRPr="00F15DE5">
        <w:t xml:space="preserve">Pokles poľnohospodárskeho príjmu v roku 2014 bolo ovplyvnený poklesom cien poľnohospodárskej produkcie o 3,4 %. </w:t>
      </w:r>
    </w:p>
    <w:p w:rsidR="00685748" w:rsidRPr="00F15DE5" w:rsidRDefault="00685748" w:rsidP="00685748">
      <w:pPr>
        <w:spacing w:after="60"/>
        <w:ind w:firstLine="709"/>
      </w:pPr>
      <w:r w:rsidRPr="00F15DE5">
        <w:t>Pokles cien vstupov (medzispotreb</w:t>
      </w:r>
      <w:r>
        <w:t>y</w:t>
      </w:r>
      <w:r w:rsidRPr="00F15DE5">
        <w:t>) o 3,6 %  bol najmä v dôsledku výrazného zníženia cien krmív (8,1 %), hnojív a pôdnych prídavkov (6,4 %), energií a mazív (3,9 %).</w:t>
      </w:r>
    </w:p>
    <w:p w:rsidR="00685748" w:rsidRDefault="00685748" w:rsidP="00685748">
      <w:pPr>
        <w:shd w:val="clear" w:color="auto" w:fill="FFFFFF"/>
        <w:spacing w:after="60"/>
        <w:ind w:firstLine="709"/>
      </w:pPr>
      <w:r w:rsidRPr="00F15DE5">
        <w:t>Poľnohospodársky príjem na pracovníka vzrástol v 12 a klesol v 16 krajinách EÚ, čo bolo obdobné ako v predchádzajúcom období</w:t>
      </w:r>
      <w:r w:rsidRPr="006E485D">
        <w:t>. Najvyšší medziročný nárast bol v Slovinsku (13,5 %) a v Maďarsku (11,5 %). Nižší nárast zaznamenalo Česko (8,9 %), Chorvátsko (8,0</w:t>
      </w:r>
      <w:r w:rsidR="00D60AFF">
        <w:t> </w:t>
      </w:r>
      <w:r w:rsidRPr="006E485D">
        <w:t>%) Veľká Británia</w:t>
      </w:r>
      <w:r>
        <w:t xml:space="preserve"> </w:t>
      </w:r>
      <w:r w:rsidRPr="006E485D">
        <w:t>(5,7 %),  Grécko (5,1 %), Luxembursko (4,8 %) a Francúzsko (2,8</w:t>
      </w:r>
      <w:r>
        <w:t xml:space="preserve"> </w:t>
      </w:r>
      <w:r w:rsidRPr="006E485D">
        <w:t>%). Najnižší nárast bol na Cypre (1,1 %), Slovensku (1,0 %), Malte (0,8 %) a v Nemecku (0,3 %). Najvyšší pokles bol vo Fínsku (17,5 %), Belgicku (13,7 %), Dánsku (10,2 %)</w:t>
      </w:r>
      <w:r>
        <w:t xml:space="preserve"> a</w:t>
      </w:r>
      <w:r w:rsidRPr="006E485D">
        <w:t xml:space="preserve"> Taliansku (10,0 %)</w:t>
      </w:r>
      <w:r>
        <w:t>.</w:t>
      </w:r>
    </w:p>
    <w:p w:rsidR="00685748" w:rsidRPr="00F35158" w:rsidRDefault="00685748" w:rsidP="00685748">
      <w:pPr>
        <w:spacing w:after="60"/>
      </w:pPr>
      <w:r w:rsidRPr="008B7132">
        <w:rPr>
          <w:b/>
        </w:rPr>
        <w:t xml:space="preserve">Zmeny v poľnohospodárskom príjme na pracovníka     </w:t>
      </w:r>
      <w:r w:rsidRPr="00F35158">
        <w:t xml:space="preserve">                            </w:t>
      </w:r>
      <w:r w:rsidR="005A6B19">
        <w:t xml:space="preserve">     </w:t>
      </w:r>
      <w:r w:rsidRPr="00F35158">
        <w:t>Tab</w:t>
      </w:r>
      <w:r>
        <w:t>uľka</w:t>
      </w:r>
      <w:r w:rsidRPr="00F35158">
        <w:t xml:space="preserve"> </w:t>
      </w:r>
      <w:r w:rsidR="005A6B19">
        <w:t>5</w:t>
      </w:r>
    </w:p>
    <w:tbl>
      <w:tblPr>
        <w:tblW w:w="0" w:type="auto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ook w:val="04A0"/>
      </w:tblPr>
      <w:tblGrid>
        <w:gridCol w:w="2518"/>
        <w:gridCol w:w="1418"/>
        <w:gridCol w:w="1275"/>
        <w:gridCol w:w="1418"/>
        <w:gridCol w:w="1276"/>
        <w:gridCol w:w="1322"/>
      </w:tblGrid>
      <w:tr w:rsidR="00685748" w:rsidRPr="00915030" w:rsidTr="004B3A47">
        <w:tc>
          <w:tcPr>
            <w:tcW w:w="2518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>Krajina/</w:t>
            </w:r>
          </w:p>
          <w:p w:rsidR="00685748" w:rsidRPr="005C0D6B" w:rsidRDefault="00685748" w:rsidP="004B3A47">
            <w:pPr>
              <w:spacing w:after="60"/>
              <w:rPr>
                <w:b/>
                <w:shd w:val="clear" w:color="auto" w:fill="EAF1DD"/>
              </w:rPr>
            </w:pPr>
            <w:r w:rsidRPr="005C0D6B">
              <w:rPr>
                <w:b/>
              </w:rPr>
              <w:t>zoskupenie</w:t>
            </w:r>
            <w:r w:rsidRPr="005C0D6B">
              <w:rPr>
                <w:b/>
                <w:shd w:val="clear" w:color="auto" w:fill="EAF1DD"/>
              </w:rPr>
              <w:t xml:space="preserve"> </w:t>
            </w:r>
          </w:p>
        </w:tc>
        <w:tc>
          <w:tcPr>
            <w:tcW w:w="1418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 xml:space="preserve">% zmena </w:t>
            </w:r>
          </w:p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5C0D6B">
              <w:rPr>
                <w:b/>
              </w:rPr>
              <w:t>/201</w:t>
            </w:r>
            <w:r>
              <w:rPr>
                <w:b/>
              </w:rPr>
              <w:t>3</w:t>
            </w:r>
          </w:p>
        </w:tc>
        <w:tc>
          <w:tcPr>
            <w:tcW w:w="1275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index</w:t>
            </w:r>
            <w:r w:rsidRPr="005C0D6B">
              <w:rPr>
                <w:b/>
              </w:rPr>
              <w:t xml:space="preserve"> 201</w:t>
            </w:r>
            <w:r>
              <w:rPr>
                <w:b/>
              </w:rPr>
              <w:t>4</w:t>
            </w:r>
            <w:r w:rsidRPr="005C0D6B">
              <w:rPr>
                <w:b/>
              </w:rPr>
              <w:t>/2005</w:t>
            </w:r>
          </w:p>
        </w:tc>
        <w:tc>
          <w:tcPr>
            <w:tcW w:w="1418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>Krajina/</w:t>
            </w:r>
          </w:p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 xml:space="preserve">zoskupenie </w:t>
            </w:r>
          </w:p>
        </w:tc>
        <w:tc>
          <w:tcPr>
            <w:tcW w:w="1276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 xml:space="preserve">% zmena </w:t>
            </w:r>
          </w:p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5C0D6B">
              <w:rPr>
                <w:b/>
              </w:rPr>
              <w:t>/201</w:t>
            </w:r>
            <w:r>
              <w:rPr>
                <w:b/>
              </w:rPr>
              <w:t>3</w:t>
            </w:r>
          </w:p>
        </w:tc>
        <w:tc>
          <w:tcPr>
            <w:tcW w:w="1322" w:type="dxa"/>
            <w:shd w:val="clear" w:color="auto" w:fill="D6E3BC"/>
          </w:tcPr>
          <w:p w:rsidR="00685748" w:rsidRPr="005C0D6B" w:rsidRDefault="00685748" w:rsidP="004B3A47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index</w:t>
            </w:r>
            <w:r w:rsidRPr="005C0D6B">
              <w:rPr>
                <w:b/>
              </w:rPr>
              <w:t xml:space="preserve"> 201</w:t>
            </w:r>
            <w:r>
              <w:rPr>
                <w:b/>
              </w:rPr>
              <w:t>4</w:t>
            </w:r>
            <w:r w:rsidRPr="005C0D6B">
              <w:rPr>
                <w:b/>
              </w:rPr>
              <w:t>/2005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FFFFFF"/>
          </w:tcPr>
          <w:p w:rsidR="00685748" w:rsidRPr="005C0D6B" w:rsidRDefault="00685748" w:rsidP="004B3A47">
            <w:pPr>
              <w:spacing w:after="60"/>
              <w:rPr>
                <w:b/>
              </w:rPr>
            </w:pPr>
            <w:r w:rsidRPr="005C0D6B">
              <w:rPr>
                <w:b/>
              </w:rPr>
              <w:t>EU-28</w:t>
            </w:r>
          </w:p>
        </w:tc>
        <w:tc>
          <w:tcPr>
            <w:tcW w:w="1418" w:type="dxa"/>
            <w:shd w:val="clear" w:color="auto" w:fill="FFFFFF"/>
          </w:tcPr>
          <w:p w:rsidR="00685748" w:rsidRPr="005C0D6B" w:rsidRDefault="00685748" w:rsidP="004B3A47">
            <w:pPr>
              <w:spacing w:after="60"/>
              <w:jc w:val="center"/>
              <w:rPr>
                <w:b/>
              </w:rPr>
            </w:pPr>
            <w:r w:rsidRPr="005C0D6B">
              <w:rPr>
                <w:b/>
              </w:rPr>
              <w:t>-1,</w:t>
            </w:r>
            <w:r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685748" w:rsidRPr="005C0D6B" w:rsidRDefault="00685748" w:rsidP="004B3A47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134,6</w:t>
            </w:r>
          </w:p>
        </w:tc>
        <w:tc>
          <w:tcPr>
            <w:tcW w:w="1418" w:type="dxa"/>
            <w:shd w:val="clear" w:color="auto" w:fill="FFFFFF"/>
          </w:tcPr>
          <w:p w:rsidR="00685748" w:rsidRPr="00470236" w:rsidRDefault="00685748" w:rsidP="004B3A47">
            <w:pPr>
              <w:spacing w:after="60"/>
            </w:pPr>
            <w:r>
              <w:t>Švédsko</w:t>
            </w:r>
          </w:p>
        </w:tc>
        <w:tc>
          <w:tcPr>
            <w:tcW w:w="1276" w:type="dxa"/>
            <w:shd w:val="clear" w:color="auto" w:fill="FFFFFF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-0,5</w:t>
            </w:r>
          </w:p>
        </w:tc>
        <w:tc>
          <w:tcPr>
            <w:tcW w:w="1322" w:type="dxa"/>
            <w:shd w:val="clear" w:color="auto" w:fill="FFFFFF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111,5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 xml:space="preserve">EÚ-15 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 xml:space="preserve">      -2,2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118,2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Rumunsko</w:t>
            </w:r>
          </w:p>
        </w:tc>
        <w:tc>
          <w:tcPr>
            <w:tcW w:w="1276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-2,1</w:t>
            </w:r>
          </w:p>
        </w:tc>
        <w:tc>
          <w:tcPr>
            <w:tcW w:w="1322" w:type="dxa"/>
            <w:shd w:val="clear" w:color="auto" w:fill="auto"/>
          </w:tcPr>
          <w:p w:rsidR="00685748" w:rsidRDefault="00685748" w:rsidP="004B3A47">
            <w:pPr>
              <w:spacing w:after="60"/>
              <w:jc w:val="center"/>
            </w:pPr>
            <w:r>
              <w:t>139,6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Slovinsko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13,5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100,5</w:t>
            </w:r>
          </w:p>
        </w:tc>
        <w:tc>
          <w:tcPr>
            <w:tcW w:w="1418" w:type="dxa"/>
            <w:shd w:val="clear" w:color="auto" w:fill="EAF1DD"/>
          </w:tcPr>
          <w:p w:rsidR="00685748" w:rsidRDefault="00685748" w:rsidP="004B3A47">
            <w:pPr>
              <w:spacing w:after="60"/>
            </w:pPr>
            <w:r>
              <w:t>Portugalsko</w:t>
            </w:r>
          </w:p>
        </w:tc>
        <w:tc>
          <w:tcPr>
            <w:tcW w:w="1276" w:type="dxa"/>
            <w:shd w:val="clear" w:color="auto" w:fill="EAF1DD"/>
          </w:tcPr>
          <w:p w:rsidR="00685748" w:rsidRDefault="00685748" w:rsidP="004B3A47">
            <w:pPr>
              <w:spacing w:after="60"/>
              <w:jc w:val="center"/>
            </w:pPr>
            <w:r>
              <w:t>-3,0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102,4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</w:tcPr>
          <w:p w:rsidR="00685748" w:rsidRPr="00470236" w:rsidRDefault="00685748" w:rsidP="004B3A47">
            <w:pPr>
              <w:spacing w:after="60"/>
            </w:pPr>
            <w:r>
              <w:t>Maďarsko</w:t>
            </w:r>
          </w:p>
        </w:tc>
        <w:tc>
          <w:tcPr>
            <w:tcW w:w="1418" w:type="dxa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11,5</w:t>
            </w:r>
          </w:p>
        </w:tc>
        <w:tc>
          <w:tcPr>
            <w:tcW w:w="1275" w:type="dxa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200,6</w:t>
            </w:r>
          </w:p>
        </w:tc>
        <w:tc>
          <w:tcPr>
            <w:tcW w:w="1418" w:type="dxa"/>
          </w:tcPr>
          <w:p w:rsidR="00685748" w:rsidRPr="00470236" w:rsidRDefault="00685748" w:rsidP="004B3A47">
            <w:pPr>
              <w:spacing w:after="60"/>
            </w:pPr>
            <w:r>
              <w:t>Rakúsko</w:t>
            </w:r>
          </w:p>
        </w:tc>
        <w:tc>
          <w:tcPr>
            <w:tcW w:w="1276" w:type="dxa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-3,0</w:t>
            </w:r>
          </w:p>
        </w:tc>
        <w:tc>
          <w:tcPr>
            <w:tcW w:w="1322" w:type="dxa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106,2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Česko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8,9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185,7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Lotyšsko</w:t>
            </w:r>
          </w:p>
        </w:tc>
        <w:tc>
          <w:tcPr>
            <w:tcW w:w="1276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-3,2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125,2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Chorvátsko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8,0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110,1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Bulharsko</w:t>
            </w:r>
          </w:p>
        </w:tc>
        <w:tc>
          <w:tcPr>
            <w:tcW w:w="1276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-4,1</w:t>
            </w:r>
          </w:p>
        </w:tc>
        <w:tc>
          <w:tcPr>
            <w:tcW w:w="1322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197,1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Veľká Británia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5,7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157,0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Holandsko</w:t>
            </w:r>
          </w:p>
        </w:tc>
        <w:tc>
          <w:tcPr>
            <w:tcW w:w="1276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-4,2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156,0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Grécko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5,1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105,1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Poľsko</w:t>
            </w:r>
          </w:p>
        </w:tc>
        <w:tc>
          <w:tcPr>
            <w:tcW w:w="1276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-5,0</w:t>
            </w:r>
          </w:p>
        </w:tc>
        <w:tc>
          <w:tcPr>
            <w:tcW w:w="1322" w:type="dxa"/>
            <w:shd w:val="clear" w:color="auto" w:fill="auto"/>
          </w:tcPr>
          <w:p w:rsidR="00685748" w:rsidRDefault="00685748" w:rsidP="004B3A47">
            <w:pPr>
              <w:spacing w:after="60"/>
              <w:jc w:val="center"/>
            </w:pPr>
            <w:r>
              <w:t>182,9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Luxembursko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4,8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71,7</w:t>
            </w:r>
          </w:p>
        </w:tc>
        <w:tc>
          <w:tcPr>
            <w:tcW w:w="1418" w:type="dxa"/>
            <w:shd w:val="clear" w:color="auto" w:fill="EAF1DD"/>
          </w:tcPr>
          <w:p w:rsidR="00685748" w:rsidRDefault="00685748" w:rsidP="004B3A47">
            <w:pPr>
              <w:spacing w:after="60"/>
            </w:pPr>
            <w:r>
              <w:t>Španielsko</w:t>
            </w:r>
          </w:p>
        </w:tc>
        <w:tc>
          <w:tcPr>
            <w:tcW w:w="1276" w:type="dxa"/>
            <w:shd w:val="clear" w:color="auto" w:fill="EAF1DD"/>
          </w:tcPr>
          <w:p w:rsidR="00685748" w:rsidRDefault="00685748" w:rsidP="004B3A47">
            <w:pPr>
              <w:spacing w:after="60"/>
              <w:jc w:val="center"/>
            </w:pPr>
            <w:r>
              <w:t>-5,2</w:t>
            </w:r>
          </w:p>
        </w:tc>
        <w:tc>
          <w:tcPr>
            <w:tcW w:w="1322" w:type="dxa"/>
            <w:shd w:val="clear" w:color="auto" w:fill="EAF1DD"/>
          </w:tcPr>
          <w:p w:rsidR="00685748" w:rsidRPr="00485B75" w:rsidRDefault="00685748" w:rsidP="004B3A47">
            <w:pPr>
              <w:spacing w:after="60"/>
              <w:jc w:val="center"/>
            </w:pPr>
            <w:r w:rsidRPr="00485B75">
              <w:t>106,4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Francúzsko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2,8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107,7</w:t>
            </w:r>
          </w:p>
        </w:tc>
        <w:tc>
          <w:tcPr>
            <w:tcW w:w="1418" w:type="dxa"/>
            <w:shd w:val="clear" w:color="auto" w:fill="auto"/>
          </w:tcPr>
          <w:p w:rsidR="00685748" w:rsidRPr="001C4852" w:rsidRDefault="00685748" w:rsidP="004B3A47">
            <w:pPr>
              <w:spacing w:after="60"/>
            </w:pPr>
            <w:r w:rsidRPr="001C4852">
              <w:t>Litva</w:t>
            </w:r>
          </w:p>
        </w:tc>
        <w:tc>
          <w:tcPr>
            <w:tcW w:w="1276" w:type="dxa"/>
            <w:shd w:val="clear" w:color="auto" w:fill="auto"/>
          </w:tcPr>
          <w:p w:rsidR="00685748" w:rsidRPr="001C4852" w:rsidRDefault="00685748" w:rsidP="004B3A47">
            <w:pPr>
              <w:spacing w:after="60"/>
              <w:jc w:val="center"/>
            </w:pPr>
            <w:r w:rsidRPr="001C4852">
              <w:t>-6,9</w:t>
            </w:r>
          </w:p>
        </w:tc>
        <w:tc>
          <w:tcPr>
            <w:tcW w:w="1322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161,0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Cyprus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1,1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Estónsko</w:t>
            </w:r>
          </w:p>
        </w:tc>
        <w:tc>
          <w:tcPr>
            <w:tcW w:w="1276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-7,1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196,8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1C4852" w:rsidRDefault="00685748" w:rsidP="004B3A47">
            <w:pPr>
              <w:spacing w:after="60"/>
              <w:rPr>
                <w:b/>
              </w:rPr>
            </w:pPr>
            <w:r w:rsidRPr="001C4852">
              <w:rPr>
                <w:b/>
              </w:rPr>
              <w:t>Slovensko</w:t>
            </w:r>
          </w:p>
        </w:tc>
        <w:tc>
          <w:tcPr>
            <w:tcW w:w="1418" w:type="dxa"/>
            <w:shd w:val="clear" w:color="auto" w:fill="auto"/>
          </w:tcPr>
          <w:p w:rsidR="00685748" w:rsidRPr="001C4852" w:rsidRDefault="00685748" w:rsidP="004B3A47">
            <w:pPr>
              <w:spacing w:after="60"/>
              <w:jc w:val="center"/>
              <w:rPr>
                <w:b/>
              </w:rPr>
            </w:pPr>
            <w:r w:rsidRPr="001C4852">
              <w:rPr>
                <w:b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221,7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Taliansko</w:t>
            </w:r>
          </w:p>
        </w:tc>
        <w:tc>
          <w:tcPr>
            <w:tcW w:w="1276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-10,0</w:t>
            </w:r>
          </w:p>
        </w:tc>
        <w:tc>
          <w:tcPr>
            <w:tcW w:w="1322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100,3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Malta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0,8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79,3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Dánsko</w:t>
            </w:r>
          </w:p>
        </w:tc>
        <w:tc>
          <w:tcPr>
            <w:tcW w:w="1276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-10,2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103,1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Nemecko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0,3</w:t>
            </w:r>
          </w:p>
        </w:tc>
        <w:tc>
          <w:tcPr>
            <w:tcW w:w="1275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163,7</w:t>
            </w:r>
          </w:p>
        </w:tc>
        <w:tc>
          <w:tcPr>
            <w:tcW w:w="1418" w:type="dxa"/>
            <w:shd w:val="clear" w:color="auto" w:fill="auto"/>
          </w:tcPr>
          <w:p w:rsidR="00685748" w:rsidRPr="00470236" w:rsidRDefault="00685748" w:rsidP="004B3A47">
            <w:pPr>
              <w:spacing w:after="60"/>
            </w:pPr>
            <w:r>
              <w:t>Belgicko</w:t>
            </w:r>
          </w:p>
        </w:tc>
        <w:tc>
          <w:tcPr>
            <w:tcW w:w="1276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-13,7</w:t>
            </w:r>
          </w:p>
        </w:tc>
        <w:tc>
          <w:tcPr>
            <w:tcW w:w="1322" w:type="dxa"/>
            <w:shd w:val="clear" w:color="auto" w:fill="auto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104,6</w:t>
            </w:r>
          </w:p>
        </w:tc>
      </w:tr>
      <w:tr w:rsidR="00685748" w:rsidRPr="00470236" w:rsidTr="004B3A47">
        <w:trPr>
          <w:trHeight w:hRule="exact" w:val="340"/>
        </w:trPr>
        <w:tc>
          <w:tcPr>
            <w:tcW w:w="25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Írsko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-0,2</w:t>
            </w:r>
          </w:p>
        </w:tc>
        <w:tc>
          <w:tcPr>
            <w:tcW w:w="1275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82,3</w:t>
            </w:r>
          </w:p>
        </w:tc>
        <w:tc>
          <w:tcPr>
            <w:tcW w:w="1418" w:type="dxa"/>
            <w:shd w:val="clear" w:color="auto" w:fill="EAF1DD"/>
          </w:tcPr>
          <w:p w:rsidR="00685748" w:rsidRPr="00470236" w:rsidRDefault="00685748" w:rsidP="004B3A47">
            <w:pPr>
              <w:spacing w:after="60"/>
            </w:pPr>
            <w:r>
              <w:t>Fínsko</w:t>
            </w:r>
          </w:p>
        </w:tc>
        <w:tc>
          <w:tcPr>
            <w:tcW w:w="1276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-17,5</w:t>
            </w:r>
          </w:p>
        </w:tc>
        <w:tc>
          <w:tcPr>
            <w:tcW w:w="1322" w:type="dxa"/>
            <w:shd w:val="clear" w:color="auto" w:fill="EAF1DD"/>
          </w:tcPr>
          <w:p w:rsidR="00685748" w:rsidRPr="00470236" w:rsidRDefault="00685748" w:rsidP="004B3A47">
            <w:pPr>
              <w:spacing w:after="60"/>
              <w:jc w:val="center"/>
            </w:pPr>
            <w:r>
              <w:t>96,7</w:t>
            </w:r>
          </w:p>
        </w:tc>
      </w:tr>
    </w:tbl>
    <w:p w:rsidR="00685748" w:rsidRPr="00FC5939" w:rsidRDefault="00685748" w:rsidP="00685748">
      <w:pPr>
        <w:spacing w:after="0" w:line="240" w:lineRule="auto"/>
        <w:rPr>
          <w:sz w:val="20"/>
        </w:rPr>
      </w:pPr>
      <w:r w:rsidRPr="00FC5939">
        <w:rPr>
          <w:sz w:val="20"/>
        </w:rPr>
        <w:t xml:space="preserve">Prameň: </w:t>
      </w:r>
      <w:proofErr w:type="spellStart"/>
      <w:r w:rsidRPr="00FC5939">
        <w:rPr>
          <w:sz w:val="20"/>
        </w:rPr>
        <w:t>Eurostat</w:t>
      </w:r>
      <w:proofErr w:type="spellEnd"/>
      <w:r w:rsidRPr="00FC5939">
        <w:rPr>
          <w:sz w:val="20"/>
        </w:rPr>
        <w:t>, marec 2015, podľa odhadov jednotlivých členských štátov</w:t>
      </w:r>
    </w:p>
    <w:p w:rsidR="005A6B19" w:rsidRPr="00FC5939" w:rsidRDefault="005A6B19" w:rsidP="00FC5939">
      <w:pPr>
        <w:spacing w:after="0" w:line="240" w:lineRule="auto"/>
        <w:rPr>
          <w:sz w:val="20"/>
        </w:rPr>
      </w:pPr>
      <w:r w:rsidRPr="00FC5939">
        <w:rPr>
          <w:sz w:val="20"/>
        </w:rPr>
        <w:lastRenderedPageBreak/>
        <w:t>Pozn.: 1) Poľnohospodársky príjem zahŕňa príjmy plynúce z poľnohospodárskej činnosti (rovnako ako neoddeliteľné nepoľnohospodárske a vedľajšie činnosti) za dané účtovné obdobie (</w:t>
      </w:r>
      <w:proofErr w:type="spellStart"/>
      <w:r w:rsidRPr="00FC5939">
        <w:rPr>
          <w:sz w:val="20"/>
        </w:rPr>
        <w:t>tj</w:t>
      </w:r>
      <w:proofErr w:type="spellEnd"/>
      <w:r w:rsidRPr="00FC5939">
        <w:rPr>
          <w:sz w:val="20"/>
        </w:rPr>
        <w:t xml:space="preserve"> kalendárny rok 2014)</w:t>
      </w:r>
    </w:p>
    <w:p w:rsidR="00685748" w:rsidRPr="00FC5939" w:rsidRDefault="00685748" w:rsidP="00FC5939">
      <w:pPr>
        <w:spacing w:after="0" w:line="240" w:lineRule="auto"/>
        <w:rPr>
          <w:sz w:val="20"/>
        </w:rPr>
      </w:pPr>
      <w:r w:rsidRPr="00FC5939">
        <w:rPr>
          <w:sz w:val="20"/>
        </w:rPr>
        <w:t>Vypracoval: NPPC-VÚEPP</w:t>
      </w:r>
    </w:p>
    <w:p w:rsidR="00FC5939" w:rsidRDefault="00FC5939" w:rsidP="00FC5939">
      <w:pPr>
        <w:spacing w:after="60" w:line="300" w:lineRule="exact"/>
        <w:ind w:firstLine="708"/>
      </w:pPr>
    </w:p>
    <w:p w:rsidR="00FC5939" w:rsidRPr="00F15DE5" w:rsidRDefault="00FC5939" w:rsidP="00FC5939">
      <w:pPr>
        <w:spacing w:after="60" w:line="300" w:lineRule="exact"/>
        <w:ind w:firstLine="708"/>
      </w:pPr>
      <w:r w:rsidRPr="00F15DE5">
        <w:t xml:space="preserve">V porovnaní s rokom 2005 sa reálny poľnohospodársky príjem v roku 2014 zvýšil v 23 krajinách, najviac na Slovensku a klesol v 5 krajinách, najviac na Malte.  </w:t>
      </w:r>
    </w:p>
    <w:p w:rsidR="00FC5939" w:rsidRPr="00F15DE5" w:rsidRDefault="00FC5939" w:rsidP="00FC5939">
      <w:pPr>
        <w:spacing w:after="60" w:line="300" w:lineRule="exact"/>
        <w:ind w:firstLine="709"/>
      </w:pPr>
      <w:r w:rsidRPr="00F15DE5">
        <w:t xml:space="preserve"> Poľnohospodárska produkcia krajín EU-28, vyjadrená v cenách výrobcov sa v roku 2014  znížila o 3,4 %, vplyvom rýchlejšieho poklesu hodnoty rastlinnej produkcie </w:t>
      </w:r>
      <w:r>
        <w:t xml:space="preserve">o </w:t>
      </w:r>
      <w:r w:rsidRPr="00F15DE5">
        <w:t>6,0 %</w:t>
      </w:r>
      <w:r>
        <w:t xml:space="preserve"> </w:t>
      </w:r>
      <w:r w:rsidRPr="00F15DE5">
        <w:t xml:space="preserve">a pomalšieho poklesu hodnoty živočíšnej produkcie </w:t>
      </w:r>
      <w:r>
        <w:t xml:space="preserve">o </w:t>
      </w:r>
      <w:r w:rsidRPr="00F15DE5">
        <w:t>0,9</w:t>
      </w:r>
      <w:r>
        <w:t xml:space="preserve"> %</w:t>
      </w:r>
      <w:r w:rsidRPr="00F15DE5">
        <w:t xml:space="preserve">.  </w:t>
      </w:r>
    </w:p>
    <w:p w:rsidR="00FC5939" w:rsidRPr="00F15DE5" w:rsidRDefault="00FC5939" w:rsidP="00FC5939">
      <w:pPr>
        <w:spacing w:after="60" w:line="300" w:lineRule="exact"/>
        <w:ind w:firstLine="709"/>
      </w:pPr>
      <w:r w:rsidRPr="00F15DE5">
        <w:t xml:space="preserve">Pokles hodnoty rastlinnej produkcie bol dôsledkom výrazného poklesu cien </w:t>
      </w:r>
      <w:r>
        <w:t xml:space="preserve">o </w:t>
      </w:r>
      <w:r w:rsidRPr="00F15DE5">
        <w:t xml:space="preserve">9,5 %, čo bolo čiastočne vyvážené zvýšením objemu </w:t>
      </w:r>
      <w:r>
        <w:t xml:space="preserve">o </w:t>
      </w:r>
      <w:r w:rsidRPr="00F15DE5">
        <w:t xml:space="preserve">3,8 %. Ceny klesli u zemiakov (24,5 %), olejnín (14,7 %), obilnín (13,9 %), cukrovej repe (11,6 %), ovocia (10,7 %), olivového oleja (8,2 %), čerstvej zeleniny (6,5 %), vína ​​(4,0 %) a kvetov (0,5 %).  </w:t>
      </w:r>
    </w:p>
    <w:p w:rsidR="00FC5939" w:rsidRPr="00F15DE5" w:rsidRDefault="00FC5939" w:rsidP="00FC5939">
      <w:pPr>
        <w:spacing w:after="60" w:line="300" w:lineRule="exact"/>
        <w:ind w:firstLine="709"/>
      </w:pPr>
      <w:r w:rsidRPr="00F15DE5">
        <w:t>Vzrástli objemy produkcie  olivového oleja (46,4 %), olejnín (8,2 %), cukrovej repy (6,9 %), obilnín (5,9 %), zemiakov (5,5 %), čerstvej zeleniny (1,9 %) a ovocia ( 0,4 %), a klesli objemy produkcie kvetov (0,4 %) a vína ​​(2,6 %).</w:t>
      </w:r>
    </w:p>
    <w:p w:rsidR="003D5663" w:rsidRPr="00414318" w:rsidRDefault="00FC5939" w:rsidP="00E10528">
      <w:pPr>
        <w:spacing w:after="60" w:line="300" w:lineRule="exact"/>
        <w:ind w:firstLine="709"/>
      </w:pPr>
      <w:r w:rsidRPr="00F15DE5">
        <w:t xml:space="preserve">Pokles živočíšnej výroby bol v dôsledku poklesu cien </w:t>
      </w:r>
      <w:r>
        <w:t>o 2,8 %</w:t>
      </w:r>
      <w:r w:rsidRPr="00F15DE5">
        <w:t xml:space="preserve"> a čiastočne zvýšenia objemu </w:t>
      </w:r>
      <w:r>
        <w:t>o 1,9 %</w:t>
      </w:r>
      <w:r w:rsidRPr="00F15DE5">
        <w:t>. Klesli ceny ošípaných (6,1 %), hovädzieho dobytka (5,2 %), vajec (5,0 % ) a</w:t>
      </w:r>
      <w:r w:rsidR="00D60AFF">
        <w:t> </w:t>
      </w:r>
      <w:r w:rsidRPr="00F15DE5">
        <w:t xml:space="preserve">hydiny (4,3 %), ale vzrástli ceny mlieka, oviec a kôz (u obidvoch </w:t>
      </w:r>
      <w:r>
        <w:t>o</w:t>
      </w:r>
      <w:r w:rsidRPr="00F15DE5">
        <w:t xml:space="preserve"> 1,2 %). Zvýšili sa</w:t>
      </w:r>
      <w:r w:rsidR="00D60AFF">
        <w:t> </w:t>
      </w:r>
      <w:r w:rsidRPr="00F15DE5">
        <w:t>objemy mlieka (3,6 %), hydin</w:t>
      </w:r>
      <w:r>
        <w:t>y</w:t>
      </w:r>
      <w:r w:rsidRPr="00F15DE5">
        <w:t xml:space="preserve"> (3,0 %), dobytka (1,5 %) a ošípaných (0,6 %), zatiaľ čo</w:t>
      </w:r>
      <w:r w:rsidR="00D60AFF">
        <w:t> </w:t>
      </w:r>
      <w:r w:rsidRPr="00F15DE5">
        <w:t>klesli objemy vajec (0,8 %), oviec a kôz (1,1 %) .</w:t>
      </w:r>
    </w:p>
    <w:p w:rsidR="00EB5C94" w:rsidRDefault="00EB5C94" w:rsidP="00FB2DBC">
      <w:pPr>
        <w:spacing w:after="0" w:line="240" w:lineRule="auto"/>
        <w:ind w:right="283"/>
        <w:jc w:val="right"/>
      </w:pPr>
      <w:r>
        <w:t xml:space="preserve">Graf </w:t>
      </w:r>
      <w:r w:rsidR="00B15FE8">
        <w:t xml:space="preserve"> 5</w:t>
      </w:r>
    </w:p>
    <w:p w:rsidR="00FB2DBC" w:rsidRPr="00ED029A" w:rsidRDefault="002D3EB3" w:rsidP="00FB2DBC">
      <w:pPr>
        <w:keepNext/>
        <w:spacing w:after="0" w:line="240" w:lineRule="auto"/>
        <w:ind w:left="142"/>
        <w:jc w:val="left"/>
        <w:rPr>
          <w:color w:val="000000"/>
          <w:sz w:val="20"/>
          <w:szCs w:val="20"/>
        </w:rPr>
      </w:pPr>
      <w:r w:rsidRPr="002D3EB3">
        <w:rPr>
          <w:noProof/>
          <w:szCs w:val="20"/>
          <w:lang w:eastAsia="sk-SK"/>
        </w:rPr>
        <w:drawing>
          <wp:inline distT="0" distB="0" distL="0" distR="0">
            <wp:extent cx="5500301" cy="3074210"/>
            <wp:effectExtent l="19050" t="0" r="5149" b="0"/>
            <wp:docPr id="9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160" cy="307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528" w:rsidRDefault="00E10528" w:rsidP="00E10528">
      <w:pPr>
        <w:spacing w:after="0" w:line="240" w:lineRule="auto"/>
        <w:ind w:left="142"/>
        <w:jc w:val="left"/>
        <w:rPr>
          <w:rFonts w:eastAsia="Times New Roman"/>
          <w:sz w:val="20"/>
          <w:szCs w:val="20"/>
          <w:lang w:eastAsia="sk-SK"/>
        </w:rPr>
      </w:pPr>
      <w:r w:rsidRPr="00E10528">
        <w:rPr>
          <w:color w:val="000000"/>
          <w:sz w:val="20"/>
          <w:szCs w:val="20"/>
        </w:rPr>
        <w:t xml:space="preserve">Prameň: </w:t>
      </w:r>
      <w:proofErr w:type="spellStart"/>
      <w:r w:rsidRPr="00E10528">
        <w:rPr>
          <w:color w:val="000000"/>
          <w:sz w:val="20"/>
          <w:szCs w:val="20"/>
        </w:rPr>
        <w:t>Eurostat</w:t>
      </w:r>
      <w:proofErr w:type="spellEnd"/>
      <w:r w:rsidRPr="00E10528">
        <w:rPr>
          <w:color w:val="000000"/>
          <w:sz w:val="20"/>
          <w:szCs w:val="20"/>
        </w:rPr>
        <w:t xml:space="preserve">, </w:t>
      </w:r>
      <w:proofErr w:type="spellStart"/>
      <w:r w:rsidRPr="00E10528">
        <w:rPr>
          <w:color w:val="000000"/>
          <w:sz w:val="20"/>
          <w:szCs w:val="20"/>
        </w:rPr>
        <w:t>online</w:t>
      </w:r>
      <w:proofErr w:type="spellEnd"/>
      <w:r w:rsidRPr="00E10528">
        <w:rPr>
          <w:color w:val="000000"/>
          <w:sz w:val="20"/>
          <w:szCs w:val="20"/>
        </w:rPr>
        <w:t xml:space="preserve"> </w:t>
      </w:r>
      <w:proofErr w:type="spellStart"/>
      <w:r w:rsidRPr="00E10528">
        <w:rPr>
          <w:color w:val="000000"/>
          <w:sz w:val="20"/>
          <w:szCs w:val="20"/>
        </w:rPr>
        <w:t>data</w:t>
      </w:r>
      <w:proofErr w:type="spellEnd"/>
      <w:r w:rsidRPr="00E10528">
        <w:rPr>
          <w:color w:val="000000"/>
          <w:sz w:val="20"/>
          <w:szCs w:val="20"/>
        </w:rPr>
        <w:t xml:space="preserve"> - marec 2015, podľa odhadov poskytnutých jednotlivými členskými štátmi, </w:t>
      </w:r>
      <w:r w:rsidRPr="00E10528">
        <w:rPr>
          <w:rFonts w:eastAsia="Times New Roman"/>
          <w:sz w:val="20"/>
          <w:szCs w:val="20"/>
          <w:lang w:eastAsia="sk-SK"/>
        </w:rPr>
        <w:t>*  odhad 2013 je  z 26.2.2015</w:t>
      </w:r>
    </w:p>
    <w:p w:rsidR="00E10528" w:rsidRPr="00E10528" w:rsidRDefault="00E10528" w:rsidP="00E10528">
      <w:pPr>
        <w:spacing w:after="0" w:line="240" w:lineRule="auto"/>
        <w:ind w:left="142"/>
        <w:rPr>
          <w:sz w:val="20"/>
          <w:szCs w:val="20"/>
        </w:rPr>
      </w:pPr>
      <w:r>
        <w:rPr>
          <w:color w:val="000000"/>
          <w:sz w:val="20"/>
          <w:szCs w:val="20"/>
        </w:rPr>
        <w:t>V</w:t>
      </w:r>
      <w:r w:rsidRPr="00E10528">
        <w:rPr>
          <w:color w:val="000000"/>
          <w:sz w:val="20"/>
          <w:szCs w:val="20"/>
        </w:rPr>
        <w:t>ypracoval: NPPC- VÚEPP</w:t>
      </w:r>
    </w:p>
    <w:p w:rsidR="00E10528" w:rsidRDefault="00E10528" w:rsidP="0086297B">
      <w:pPr>
        <w:ind w:firstLine="709"/>
      </w:pPr>
    </w:p>
    <w:p w:rsidR="00B32424" w:rsidRPr="00F15DE5" w:rsidRDefault="00B32424" w:rsidP="00B32424">
      <w:pPr>
        <w:spacing w:after="60"/>
        <w:ind w:firstLine="709"/>
      </w:pPr>
      <w:r w:rsidRPr="00F15DE5">
        <w:t xml:space="preserve">Charakteristickým znakom na trhoch EÚ bola cenová </w:t>
      </w:r>
      <w:proofErr w:type="spellStart"/>
      <w:r w:rsidRPr="00F15DE5">
        <w:t>volatilita</w:t>
      </w:r>
      <w:proofErr w:type="spellEnd"/>
      <w:r w:rsidRPr="00F15DE5">
        <w:t xml:space="preserve"> poľnohospodárskych komodít</w:t>
      </w:r>
      <w:r w:rsidR="00D60AFF">
        <w:t>,</w:t>
      </w:r>
      <w:r w:rsidRPr="00F15DE5">
        <w:t xml:space="preserve"> a to v dôsledku viacerých činiteľov najmä extrémnych klimatických vplyvov, cien energií, špekulácií na trhoch, zmien v dopyte a v očakávaniach ďalšieho vývoja.</w:t>
      </w:r>
    </w:p>
    <w:p w:rsidR="00B32424" w:rsidRPr="00F15DE5" w:rsidRDefault="00B32424" w:rsidP="00B32424">
      <w:pPr>
        <w:spacing w:after="60"/>
        <w:ind w:firstLine="709"/>
      </w:pPr>
      <w:r w:rsidRPr="00F15DE5">
        <w:rPr>
          <w:b/>
        </w:rPr>
        <w:lastRenderedPageBreak/>
        <w:t>Poľnohospodársky využívaná pôda</w:t>
      </w:r>
      <w:r w:rsidRPr="00F15DE5">
        <w:t xml:space="preserve"> v krajinách EÚ-28 dosiahla za ostatné sledované obdobie 172,9 mil. ha, čo bolo cca 39,2 % z celkovej pôdnej plochy krajín EÚ-28. Výmera poľnohospodársky využívanej poľnohospodárskej pôdy sa medziročne zvýšila o 0,8 %, t.j. o 1,3 mil. ha z dôvodu prístupu Chorvátska do EÚ a u ostatných krajín nenastali významné medziročné zmeny v jej výmere.  Takmer 15,1 % poľnohospodárskej pôdy (26 mil. ha) spadalo do horských oblastí, kde poľnohospodársku výrobu obmedzuje ich znevýhodnenie. Krajiny EÚ-15 obhospodarovali rozhodujúci podiel poľnohospodársky využívanej pôdy, a to až 71,3 %. Najvyšší podiel na celkovej poľnohospodársky využívanej pôde krajín EÚ-28 dosahuje Francúzsko (16,2 %), Španielsko (13,8 %), Nemecko (9,7 %), Poľsko (8,4 %), Rumunsko (7,8 %) a Taliansko (7,5 %). Slovensko sa podieľalo na 1,1 %, podobne ako Holandsko (1,1 %). </w:t>
      </w:r>
    </w:p>
    <w:p w:rsidR="00B32424" w:rsidRPr="00F15DE5" w:rsidRDefault="00B32424" w:rsidP="00B32424">
      <w:pPr>
        <w:ind w:firstLine="708"/>
        <w:rPr>
          <w:color w:val="000000"/>
        </w:rPr>
      </w:pPr>
      <w:r w:rsidRPr="00F15DE5">
        <w:t>Najvyšší podiel poľnohospodársky využívanej pôdy z celkovej plochy danej krajiny mali Veľká Británia (64,3 %) a Dánsko (61,4 %) a viac ako 50 %-</w:t>
      </w:r>
      <w:proofErr w:type="spellStart"/>
      <w:r w:rsidRPr="00F15DE5">
        <w:t>ný</w:t>
      </w:r>
      <w:proofErr w:type="spellEnd"/>
      <w:r w:rsidRPr="00F15DE5">
        <w:t xml:space="preserve"> podiel malo Rumunsko (55,8 %), Luxembursko (50,7 %), Maďarsko (50,4 %) a Holandsko (50,1 %). </w:t>
      </w:r>
      <w:r w:rsidRPr="00F15DE5">
        <w:rPr>
          <w:color w:val="000000"/>
        </w:rPr>
        <w:t>Najnižší podiel mali Fínsko (6,8 %), Švédsko (6,9 %), a Cyprus (12,8 %).</w:t>
      </w:r>
    </w:p>
    <w:p w:rsidR="00B32424" w:rsidRPr="00F15DE5" w:rsidRDefault="00B32424" w:rsidP="00B32424">
      <w:pPr>
        <w:shd w:val="clear" w:color="auto" w:fill="FFFFFF"/>
        <w:ind w:firstLine="708"/>
      </w:pPr>
      <w:r w:rsidRPr="00F15DE5">
        <w:rPr>
          <w:b/>
        </w:rPr>
        <w:t>Hrubá pridaná hodnota</w:t>
      </w:r>
      <w:r w:rsidRPr="00F15DE5">
        <w:t xml:space="preserve"> v krajinách EÚ-28  dosiahla v roku 2013 166,1 mld. €, čo</w:t>
      </w:r>
      <w:r w:rsidR="00D60AFF">
        <w:t> </w:t>
      </w:r>
      <w:r w:rsidRPr="00F15DE5">
        <w:t>bolo o 5,2 % viac ako v predchádzajúcom roku. Rozhodujúci podiel jej objemu (83,6 %) vytvorili krajiny pôvodnej EÚ-15, najviac Taliansko (17,</w:t>
      </w:r>
      <w:r w:rsidRPr="00F15DE5">
        <w:rPr>
          <w:shd w:val="clear" w:color="auto" w:fill="FFFFFF"/>
        </w:rPr>
        <w:t>7 %), Francúzsko</w:t>
      </w:r>
      <w:r>
        <w:rPr>
          <w:shd w:val="clear" w:color="auto" w:fill="FFFFFF"/>
        </w:rPr>
        <w:t xml:space="preserve"> </w:t>
      </w:r>
      <w:r w:rsidRPr="00F15DE5">
        <w:rPr>
          <w:shd w:val="clear" w:color="auto" w:fill="FFFFFF"/>
        </w:rPr>
        <w:t>(15,4 %), Španielsko (14,0 %), Nemecko (11,4 %) a Holandsko (6,2 %). Z</w:t>
      </w:r>
      <w:r w:rsidRPr="00F15DE5">
        <w:t> pristúpených krajín do EÚ po roku 2004 to bolo Poľsko (5,7 % a Rumunsko (4,6 %). Podiel Slovenska predstavoval 0,4</w:t>
      </w:r>
      <w:r w:rsidR="00D60AFF">
        <w:t> </w:t>
      </w:r>
      <w:r w:rsidRPr="00F15DE5">
        <w:t>% a medziročne sa takmer nezmenil. Je to najnižší podiel z krajín V4, po Poľsk</w:t>
      </w:r>
      <w:r w:rsidR="00D60AFF">
        <w:t>u</w:t>
      </w:r>
      <w:r w:rsidRPr="00F15DE5">
        <w:t xml:space="preserve"> (5,7</w:t>
      </w:r>
      <w:r>
        <w:t xml:space="preserve"> </w:t>
      </w:r>
      <w:r w:rsidRPr="00F15DE5">
        <w:t>%), Maďarsku (1,7 %) a Česku (0,9 %), čo súvisí s rozsahom využívanej pôdy a dosiahnutou produkciou.</w:t>
      </w:r>
    </w:p>
    <w:p w:rsidR="00B32424" w:rsidRDefault="00B32424" w:rsidP="00B32424">
      <w:pPr>
        <w:shd w:val="clear" w:color="auto" w:fill="FFFFFF"/>
        <w:ind w:firstLine="708"/>
        <w:rPr>
          <w:color w:val="000000"/>
        </w:rPr>
      </w:pPr>
      <w:r w:rsidRPr="00F15DE5">
        <w:rPr>
          <w:b/>
        </w:rPr>
        <w:t>Podpory</w:t>
      </w:r>
      <w:r w:rsidRPr="00F15DE5">
        <w:t xml:space="preserve"> do poľnohospodárstva dosiahli </w:t>
      </w:r>
      <w:r>
        <w:t xml:space="preserve">v roku 2013 </w:t>
      </w:r>
      <w:r w:rsidRPr="00F15DE5">
        <w:t xml:space="preserve">úroveň 51,7 mld. €, čo bolo o 7,5 % menej ako pred rokom. </w:t>
      </w:r>
      <w:r w:rsidRPr="00F15DE5">
        <w:rPr>
          <w:shd w:val="clear" w:color="auto" w:fill="FFFFFF"/>
        </w:rPr>
        <w:t xml:space="preserve">Rozhodujúca časť z celkových podpôr </w:t>
      </w:r>
      <w:r>
        <w:rPr>
          <w:shd w:val="clear" w:color="auto" w:fill="FFFFFF"/>
        </w:rPr>
        <w:t>(</w:t>
      </w:r>
      <w:r w:rsidRPr="00F15DE5">
        <w:rPr>
          <w:shd w:val="clear" w:color="auto" w:fill="FFFFFF"/>
        </w:rPr>
        <w:t>81,7 %</w:t>
      </w:r>
      <w:r>
        <w:rPr>
          <w:shd w:val="clear" w:color="auto" w:fill="FFFFFF"/>
        </w:rPr>
        <w:t>)</w:t>
      </w:r>
      <w:r w:rsidRPr="00F15DE5">
        <w:rPr>
          <w:shd w:val="clear" w:color="auto" w:fill="FFFFFF"/>
        </w:rPr>
        <w:t xml:space="preserve"> bola alokovaná do pôvodných členských krajín (42,2 mld. €). </w:t>
      </w:r>
      <w:r>
        <w:rPr>
          <w:shd w:val="clear" w:color="auto" w:fill="FFFFFF"/>
        </w:rPr>
        <w:t>Ich</w:t>
      </w:r>
      <w:r w:rsidRPr="00F15DE5">
        <w:rPr>
          <w:shd w:val="clear" w:color="auto" w:fill="FFFFFF"/>
        </w:rPr>
        <w:t xml:space="preserve"> objem bol medziročne nižší</w:t>
      </w:r>
      <w:r>
        <w:rPr>
          <w:shd w:val="clear" w:color="auto" w:fill="FFFFFF"/>
        </w:rPr>
        <w:t xml:space="preserve"> </w:t>
      </w:r>
      <w:r w:rsidRPr="00F15DE5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Pr="00F15DE5">
        <w:rPr>
          <w:shd w:val="clear" w:color="auto" w:fill="FFFFFF"/>
        </w:rPr>
        <w:t>8,2</w:t>
      </w:r>
      <w:r>
        <w:rPr>
          <w:shd w:val="clear" w:color="auto" w:fill="FFFFFF"/>
        </w:rPr>
        <w:t> </w:t>
      </w:r>
      <w:r w:rsidRPr="00F15DE5">
        <w:rPr>
          <w:shd w:val="clear" w:color="auto" w:fill="FFFFFF"/>
        </w:rPr>
        <w:t>%. Najviac podpôr z celkovej podpory EÚ-28 bolo alokovaných do produkčne rozhodujúcich krajín, a to Francúzska (15,8 %), Nemecka (14,1 %), Španielska (11,9 %), Talianska (8,6 %) a Veľkej Británie (7,4 %). Slovensku bolo poskytnutých 0,9 % z celkových podpôr EÚ-28, čo znamenalo 246,8 € na ha p</w:t>
      </w:r>
      <w:r w:rsidRPr="00F15DE5">
        <w:t xml:space="preserve">. v. p </w:t>
      </w:r>
      <w:r w:rsidRPr="00F15DE5">
        <w:rPr>
          <w:shd w:val="clear" w:color="auto" w:fill="FFFFFF"/>
        </w:rPr>
        <w:t>a nachádzalo sa pod priemerom krajín EÚ-</w:t>
      </w:r>
      <w:r w:rsidR="00D60AFF">
        <w:rPr>
          <w:shd w:val="clear" w:color="auto" w:fill="FFFFFF"/>
        </w:rPr>
        <w:t>  </w:t>
      </w:r>
      <w:r w:rsidRPr="00F15DE5">
        <w:rPr>
          <w:shd w:val="clear" w:color="auto" w:fill="FFFFFF"/>
        </w:rPr>
        <w:t>28 (17,4 %). Podpora poľnohospodárstva stále zostava rozhodujúcou položkou príjmov poľnohospodárov všetkých krajín EÚ. Jej úroveň, v prepočte na ha poľnohospodársky využívanej pôdy, dosiahla v priemere krajín EÚ-28 298,8 € a krajín EÚ-15  342,5 €.  Najviac podpôr, v prepočte na ha p. v. p., mali Malta (1</w:t>
      </w:r>
      <w:r>
        <w:rPr>
          <w:shd w:val="clear" w:color="auto" w:fill="FFFFFF"/>
        </w:rPr>
        <w:t xml:space="preserve"> </w:t>
      </w:r>
      <w:r w:rsidRPr="00F15DE5">
        <w:rPr>
          <w:shd w:val="clear" w:color="auto" w:fill="FFFFFF"/>
        </w:rPr>
        <w:t>545,5 €), Grécko (820,6 €) a Fínsko (781,8 €).</w:t>
      </w:r>
      <w:r w:rsidRPr="00F15DE5">
        <w:rPr>
          <w:color w:val="000000"/>
        </w:rPr>
        <w:t xml:space="preserve"> Najmenej podpôr, v prepočte na ha p. v. p., mali Chorvátsko (22,8 €), Litva (70,1</w:t>
      </w:r>
      <w:r w:rsidR="00D60AFF">
        <w:rPr>
          <w:color w:val="000000"/>
        </w:rPr>
        <w:t> </w:t>
      </w:r>
      <w:r w:rsidRPr="00F15DE5">
        <w:rPr>
          <w:color w:val="000000"/>
        </w:rPr>
        <w:t>€), Lotyšsko (109,1 €) a Rumunsko (125,1 €).</w:t>
      </w:r>
    </w:p>
    <w:p w:rsidR="00FB2DBC" w:rsidRDefault="00936DAE" w:rsidP="00FB2DBC">
      <w:pPr>
        <w:spacing w:after="0" w:line="240" w:lineRule="auto"/>
        <w:ind w:firstLine="708"/>
        <w:jc w:val="right"/>
      </w:pPr>
      <w:r w:rsidRPr="00936DAE">
        <w:rPr>
          <w:noProof/>
          <w:lang w:eastAsia="sk-SK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186690</wp:posOffset>
            </wp:positionV>
            <wp:extent cx="5647055" cy="3138170"/>
            <wp:effectExtent l="19050" t="0" r="0" b="0"/>
            <wp:wrapSquare wrapText="bothSides"/>
            <wp:docPr id="10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1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29A" w:rsidRPr="00475D0B">
        <w:t xml:space="preserve">Graf </w:t>
      </w:r>
      <w:r w:rsidR="00B15FE8">
        <w:t>6</w:t>
      </w:r>
    </w:p>
    <w:p w:rsidR="00936DAE" w:rsidRPr="005B67ED" w:rsidRDefault="00936DAE" w:rsidP="00936DAE">
      <w:pPr>
        <w:spacing w:after="0" w:line="240" w:lineRule="auto"/>
        <w:jc w:val="left"/>
        <w:rPr>
          <w:rFonts w:eastAsia="Times New Roman"/>
          <w:sz w:val="20"/>
          <w:szCs w:val="20"/>
          <w:lang w:eastAsia="sk-SK"/>
        </w:rPr>
      </w:pPr>
      <w:r w:rsidRPr="005B67ED">
        <w:rPr>
          <w:rFonts w:eastAsia="Times New Roman"/>
          <w:sz w:val="20"/>
          <w:szCs w:val="20"/>
          <w:lang w:eastAsia="sk-SK"/>
        </w:rPr>
        <w:t xml:space="preserve">Prameň: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Eurostat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 -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Agriculture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,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forestry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 and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fishery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statistics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, 2014 ,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online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 xml:space="preserve"> </w:t>
      </w:r>
      <w:proofErr w:type="spellStart"/>
      <w:r w:rsidRPr="00BD632A">
        <w:rPr>
          <w:rFonts w:eastAsia="Times New Roman"/>
          <w:sz w:val="20"/>
          <w:szCs w:val="20"/>
          <w:lang w:eastAsia="sk-SK"/>
        </w:rPr>
        <w:t>data</w:t>
      </w:r>
      <w:proofErr w:type="spellEnd"/>
      <w:r w:rsidRPr="00BD632A">
        <w:rPr>
          <w:rFonts w:eastAsia="Times New Roman"/>
          <w:sz w:val="20"/>
          <w:szCs w:val="20"/>
          <w:lang w:eastAsia="sk-SK"/>
        </w:rPr>
        <w:t>,  marec 2015</w:t>
      </w:r>
    </w:p>
    <w:p w:rsidR="00936DAE" w:rsidRPr="005B67ED" w:rsidRDefault="00936DAE" w:rsidP="00936DAE">
      <w:pPr>
        <w:keepNext/>
        <w:spacing w:after="0" w:line="240" w:lineRule="auto"/>
        <w:jc w:val="left"/>
        <w:rPr>
          <w:color w:val="000000"/>
          <w:sz w:val="20"/>
          <w:szCs w:val="20"/>
        </w:rPr>
      </w:pPr>
      <w:r w:rsidRPr="005B67ED">
        <w:rPr>
          <w:color w:val="000000"/>
          <w:sz w:val="20"/>
          <w:szCs w:val="20"/>
        </w:rPr>
        <w:t xml:space="preserve">Vypracoval: </w:t>
      </w:r>
      <w:r>
        <w:rPr>
          <w:color w:val="000000"/>
          <w:sz w:val="20"/>
          <w:szCs w:val="20"/>
        </w:rPr>
        <w:t xml:space="preserve"> NPPC-</w:t>
      </w:r>
      <w:r w:rsidRPr="005B67ED">
        <w:rPr>
          <w:color w:val="000000"/>
          <w:sz w:val="20"/>
          <w:szCs w:val="20"/>
        </w:rPr>
        <w:t>VÚEPP</w:t>
      </w:r>
    </w:p>
    <w:p w:rsidR="003D5663" w:rsidRPr="00534F78" w:rsidRDefault="003D5663" w:rsidP="00FB2DBC">
      <w:pPr>
        <w:spacing w:after="0" w:line="240" w:lineRule="auto"/>
        <w:ind w:left="142"/>
        <w:rPr>
          <w:color w:val="000000"/>
          <w:sz w:val="20"/>
          <w:szCs w:val="20"/>
        </w:rPr>
      </w:pPr>
    </w:p>
    <w:p w:rsidR="009828BD" w:rsidRPr="00F15DE5" w:rsidRDefault="009828BD" w:rsidP="00655B1A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b/>
          <w:color w:val="000000"/>
          <w:shd w:val="clear" w:color="auto" w:fill="FFFFFF"/>
        </w:rPr>
        <w:t>Zamestnanosť v poľnohospodárstve</w:t>
      </w:r>
      <w:r w:rsidRPr="00F15DE5">
        <w:rPr>
          <w:color w:val="000000"/>
          <w:shd w:val="clear" w:color="auto" w:fill="FFFFFF"/>
        </w:rPr>
        <w:t xml:space="preserve"> má v krajinách EÚ- 28 dlhodobo klesajúcu tendenciu. Kým v roku 2012  bolo v poľnohospodárstve krajín EÚ-28 zamestnaných 10,3 mil. osôb, v roku 2013  to bolo už len 9,7 mil. osôb. Medziročný pokles o 5,8 %  (566</w:t>
      </w:r>
      <w:r w:rsidR="005E00D1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tis. osôb) bol značný, čo bolo spôsobené ukončením farmárčenia, z dôvodu odchodu do</w:t>
      </w:r>
      <w:r w:rsidR="005E00D1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dôchodku, resp. do iného zamestnania. Dynamika poklesu zamestnanosti za posledných päť rokov mala variujúcu  tendenciu,  kým v roku 2009 bol medziročný pokles 2,3 %,</w:t>
      </w:r>
      <w:r>
        <w:rPr>
          <w:color w:val="000000"/>
          <w:shd w:val="clear" w:color="auto" w:fill="FFFFFF"/>
        </w:rPr>
        <w:t xml:space="preserve"> </w:t>
      </w:r>
      <w:r w:rsidRPr="00F15DE5">
        <w:rPr>
          <w:color w:val="000000"/>
          <w:shd w:val="clear" w:color="auto" w:fill="FFFFFF"/>
        </w:rPr>
        <w:t xml:space="preserve">v roku 2010 1,7 %, v roku 2011 7,9 %,  v roku 2012 6,5 % a v roku </w:t>
      </w:r>
      <w:r>
        <w:rPr>
          <w:color w:val="000000"/>
          <w:shd w:val="clear" w:color="auto" w:fill="FFFFFF"/>
        </w:rPr>
        <w:t xml:space="preserve">2013 </w:t>
      </w:r>
      <w:r w:rsidRPr="00F15DE5">
        <w:rPr>
          <w:color w:val="000000"/>
          <w:shd w:val="clear" w:color="auto" w:fill="FFFFFF"/>
        </w:rPr>
        <w:t>5,5 %.</w:t>
      </w:r>
      <w:r w:rsidRPr="00F15DE5">
        <w:rPr>
          <w:color w:val="000000"/>
        </w:rPr>
        <w:t xml:space="preserve"> Celkovo sa počet osôb pracujúcich v poľnohospodárstve za posledných 5 rokov (2009 -2013) znížil o</w:t>
      </w:r>
      <w:r>
        <w:rPr>
          <w:color w:val="000000"/>
        </w:rPr>
        <w:t> </w:t>
      </w:r>
      <w:r w:rsidRPr="00F15DE5">
        <w:rPr>
          <w:color w:val="000000"/>
        </w:rPr>
        <w:t>1</w:t>
      </w:r>
      <w:r>
        <w:rPr>
          <w:color w:val="000000"/>
        </w:rPr>
        <w:t xml:space="preserve"> </w:t>
      </w:r>
      <w:r w:rsidRPr="00F15DE5">
        <w:rPr>
          <w:color w:val="000000"/>
        </w:rPr>
        <w:t>504 tis. osôb.</w:t>
      </w:r>
    </w:p>
    <w:p w:rsidR="009828BD" w:rsidRPr="00F15DE5" w:rsidRDefault="009828BD" w:rsidP="00655B1A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color w:val="000000"/>
          <w:shd w:val="clear" w:color="auto" w:fill="FFFFFF"/>
        </w:rPr>
        <w:t>Na poľnohospodárskej zamestnanosti krajín EÚ-28 sa najviac podieľalo Poľsko (19,9 %), Rumunsko (14,9 %), Taliansko (11,0 %), Španielsko (8,5 %) a Francúzsko (8,0 %), čo súviselo s rozsahom poľnohospodárskej výroby a  väčším počtom menších individuálnych hospodárstiev v týchto krajinách.  Podiel zamestnaných v poľnohospodárstve kolísal od 0,2 % v Estónsku a na Cypre do 19,9 % v Poľsku. V prepočte na 100 ha poľnohospodársky využívanej pôdy bolo najviac osôb (v AWU)  zamestnaných na Malte (45,5), Cypre (21,2), v</w:t>
      </w:r>
      <w:r w:rsidR="00702121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Slovinsku (17,3), Chorvátsku (14,7), Poľsku (13,4), Rumunsku (10,9) a Grécku (13,1). Na</w:t>
      </w:r>
      <w:r w:rsidR="00EF339D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Slovensku dosiahla zamestnanosť 2,83 osoby na 100 ha p. v. p., čo bolo o 0,2 menej ako v</w:t>
      </w:r>
      <w:r w:rsidR="00EF339D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predchádzajúceho roku. Tento stav súvisí so spomaleným úbytkom poľnohospodársky využívanej pôdy a  poklesom osôb pracujúcich v poľnohospodárstve.</w:t>
      </w:r>
      <w:r w:rsidRPr="00F15DE5">
        <w:rPr>
          <w:color w:val="000000"/>
        </w:rPr>
        <w:t xml:space="preserve">  Z okolitých krajín slovenské poľnohospodárstvo zamestnáva menej osôb na 100 ha </w:t>
      </w:r>
      <w:proofErr w:type="spellStart"/>
      <w:r w:rsidRPr="00F15DE5">
        <w:rPr>
          <w:color w:val="000000"/>
        </w:rPr>
        <w:t>p.v.p</w:t>
      </w:r>
      <w:proofErr w:type="spellEnd"/>
      <w:r w:rsidRPr="00F15DE5">
        <w:rPr>
          <w:color w:val="000000"/>
        </w:rPr>
        <w:t xml:space="preserve">. ako Maďarsko (9,5), Rakúsko (4,2) a  Česko (3,0). </w:t>
      </w:r>
    </w:p>
    <w:p w:rsidR="009828BD" w:rsidRPr="00F15DE5" w:rsidRDefault="009828BD" w:rsidP="00655B1A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color w:val="000000"/>
          <w:shd w:val="clear" w:color="auto" w:fill="FFFFFF"/>
        </w:rPr>
        <w:t>Najvyšší podiel zamestnanosti v poľnohospodárstve na celkovej zamestnanosti krajiny</w:t>
      </w:r>
      <w:r w:rsidR="005E00D1">
        <w:rPr>
          <w:color w:val="000000"/>
          <w:shd w:val="clear" w:color="auto" w:fill="FFFFFF"/>
        </w:rPr>
        <w:t>,</w:t>
      </w:r>
      <w:r w:rsidRPr="00F15DE5">
        <w:rPr>
          <w:color w:val="000000"/>
          <w:shd w:val="clear" w:color="auto" w:fill="FFFFFF"/>
        </w:rPr>
        <w:t xml:space="preserve"> a to až nad 10 % majú Rumunsko (16,9 %),  Chorvátsko (14,7 %), Grécko (13,3 %), Chorvátsko (12,9 %) Poľsko (12,4 %), Bulharsko (10,9 %),</w:t>
      </w:r>
      <w:r w:rsidRPr="00F15DE5">
        <w:rPr>
          <w:color w:val="000000"/>
        </w:rPr>
        <w:t xml:space="preserve"> Maďarsko (11,3 %), Litva </w:t>
      </w:r>
      <w:r w:rsidRPr="00F15DE5">
        <w:rPr>
          <w:color w:val="000000"/>
        </w:rPr>
        <w:lastRenderedPageBreak/>
        <w:t>(11,2</w:t>
      </w:r>
      <w:r w:rsidR="00EF339D">
        <w:rPr>
          <w:color w:val="000000"/>
        </w:rPr>
        <w:t> </w:t>
      </w:r>
      <w:r w:rsidRPr="00F15DE5">
        <w:rPr>
          <w:color w:val="000000"/>
        </w:rPr>
        <w:t>%)  a  Slovensko dosiahlo podiel 2,3 %, čo znamená pokles  o 0,3</w:t>
      </w:r>
      <w:r w:rsidR="00D0056A">
        <w:rPr>
          <w:color w:val="000000"/>
        </w:rPr>
        <w:t xml:space="preserve"> </w:t>
      </w:r>
      <w:proofErr w:type="spellStart"/>
      <w:r w:rsidR="00D0056A">
        <w:rPr>
          <w:color w:val="000000"/>
        </w:rPr>
        <w:t>p.b</w:t>
      </w:r>
      <w:proofErr w:type="spellEnd"/>
      <w:r w:rsidR="00D0056A">
        <w:rPr>
          <w:color w:val="000000"/>
        </w:rPr>
        <w:t>.</w:t>
      </w:r>
      <w:r w:rsidRPr="00F15DE5">
        <w:rPr>
          <w:color w:val="000000"/>
        </w:rPr>
        <w:t xml:space="preserve"> v porovnaní z predchádzajúcim rokom.</w:t>
      </w:r>
    </w:p>
    <w:p w:rsidR="009828BD" w:rsidRPr="00F15DE5" w:rsidRDefault="009828BD" w:rsidP="00655B1A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b/>
          <w:color w:val="000000"/>
        </w:rPr>
        <w:t>Poľnohospodárska produkcia</w:t>
      </w:r>
      <w:r w:rsidRPr="00F15DE5">
        <w:rPr>
          <w:color w:val="000000"/>
        </w:rPr>
        <w:t xml:space="preserve"> v krajinách EÚ-28 dosiahla v roku 2013 hodnotu </w:t>
      </w:r>
      <w:r w:rsidRPr="00F15DE5">
        <w:rPr>
          <w:color w:val="000000"/>
          <w:shd w:val="clear" w:color="auto" w:fill="FFFFFF"/>
        </w:rPr>
        <w:t>399,1  mld. €, čo bolo o 7,6 mld.  €, t.j. o 1,9 % viac ako v predchádzajúcom roku. Krajiny EÚ-15 vyprodukovali takmer 83,4 % z produkcie EÚ-28 a to pri rastlinných komoditách 71,7</w:t>
      </w:r>
      <w:r w:rsidR="00EF339D">
        <w:rPr>
          <w:color w:val="000000"/>
          <w:shd w:val="clear" w:color="auto" w:fill="FFFFFF"/>
        </w:rPr>
        <w:t> </w:t>
      </w:r>
      <w:r w:rsidRPr="00F15DE5">
        <w:rPr>
          <w:color w:val="000000"/>
          <w:shd w:val="clear" w:color="auto" w:fill="FFFFFF"/>
        </w:rPr>
        <w:t>%  a pri živočíšnych komoditách 84,5 %. Najväčšími</w:t>
      </w:r>
      <w:r w:rsidRPr="00F15DE5">
        <w:rPr>
          <w:color w:val="000000"/>
        </w:rPr>
        <w:t xml:space="preserve"> producentmi, podieľajúcimi sa na produkcii v EÚ-28 boli Francúzsko (17,7 %), Nemecko (13,1 %), Taliansko (12,8 %) a Španielsko (10,6 %). Slovensko sa na európskej produkcii podieľalo 0,6 % s objemom 2</w:t>
      </w:r>
      <w:r w:rsidR="00EF339D">
        <w:rPr>
          <w:color w:val="000000"/>
        </w:rPr>
        <w:t> </w:t>
      </w:r>
      <w:r w:rsidRPr="00F15DE5">
        <w:rPr>
          <w:color w:val="000000"/>
        </w:rPr>
        <w:t xml:space="preserve">284 mil. €.   </w:t>
      </w:r>
    </w:p>
    <w:p w:rsidR="009828BD" w:rsidRPr="00F15DE5" w:rsidRDefault="009828BD" w:rsidP="00655B1A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color w:val="000000"/>
        </w:rPr>
        <w:t xml:space="preserve">V prepočte na ha </w:t>
      </w:r>
      <w:proofErr w:type="spellStart"/>
      <w:r w:rsidRPr="00F15DE5">
        <w:rPr>
          <w:color w:val="000000"/>
        </w:rPr>
        <w:t>p.v.p</w:t>
      </w:r>
      <w:proofErr w:type="spellEnd"/>
      <w:r w:rsidRPr="00F15DE5">
        <w:rPr>
          <w:color w:val="000000"/>
        </w:rPr>
        <w:t xml:space="preserve"> krajiny EÚ-28 dosiahli produkciu 2 308,2 €, čo bolo o 14,7 % menej ako v krajinách EÚ-15. Najvyššiu intenzitu produkcie na ha p. v. p. dosiahli Holandsko (14 611,4  €), Malta (11 218,2 €), Belgicko (6 280 €) a Cyprus (5 851,2 €). Najmenej produkcie na ha p. v. p. dosiahli Lotyšsko (666,1 €),  Estónsko (926,4 €), Litva (890,2 €) a Bulharsko (890 €). Slovensko dosiahlo úroveň produkcie na ha p. v. p  1204,6 €, čím sa radí medzi štáty s nižšou produkciu a najnižšou v rámci krajín V4. Medziročne sa objem produkcie Slovenska zvýšil len o 6,7 mil. €. na ha p. v. p.</w:t>
      </w:r>
    </w:p>
    <w:p w:rsidR="00655B1A" w:rsidRDefault="00655B1A" w:rsidP="00655B1A">
      <w:pPr>
        <w:spacing w:after="0" w:line="240" w:lineRule="auto"/>
        <w:ind w:left="7080" w:firstLine="708"/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212725</wp:posOffset>
            </wp:positionV>
            <wp:extent cx="5133975" cy="4364990"/>
            <wp:effectExtent l="19050" t="0" r="9525" b="0"/>
            <wp:wrapSquare wrapText="bothSides"/>
            <wp:docPr id="1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36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Graf 7</w:t>
      </w:r>
    </w:p>
    <w:p w:rsidR="009828BD" w:rsidRPr="00F15DE5" w:rsidRDefault="009828B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EF339D" w:rsidRDefault="00EF339D" w:rsidP="00655B1A">
      <w:pPr>
        <w:shd w:val="clear" w:color="auto" w:fill="FFFFFF"/>
        <w:spacing w:after="0" w:line="240" w:lineRule="auto"/>
        <w:ind w:firstLine="709"/>
        <w:rPr>
          <w:color w:val="00000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Default="00655B1A" w:rsidP="00655B1A">
      <w:pPr>
        <w:spacing w:after="0" w:line="240" w:lineRule="auto"/>
        <w:rPr>
          <w:sz w:val="20"/>
        </w:rPr>
      </w:pPr>
    </w:p>
    <w:p w:rsidR="00655B1A" w:rsidRPr="00655B1A" w:rsidRDefault="00655B1A" w:rsidP="00655B1A">
      <w:pPr>
        <w:spacing w:after="0" w:line="240" w:lineRule="auto"/>
        <w:rPr>
          <w:sz w:val="20"/>
        </w:rPr>
      </w:pPr>
      <w:r w:rsidRPr="00655B1A">
        <w:rPr>
          <w:sz w:val="20"/>
        </w:rPr>
        <w:t xml:space="preserve">Prameň: </w:t>
      </w:r>
      <w:proofErr w:type="spellStart"/>
      <w:r w:rsidRPr="00655B1A">
        <w:rPr>
          <w:sz w:val="20"/>
        </w:rPr>
        <w:t>Eurostat</w:t>
      </w:r>
      <w:proofErr w:type="spellEnd"/>
      <w:r w:rsidRPr="00655B1A">
        <w:rPr>
          <w:sz w:val="20"/>
        </w:rPr>
        <w:t xml:space="preserve"> - </w:t>
      </w:r>
      <w:proofErr w:type="spellStart"/>
      <w:r w:rsidRPr="00655B1A">
        <w:rPr>
          <w:sz w:val="20"/>
        </w:rPr>
        <w:t>Agriculture</w:t>
      </w:r>
      <w:proofErr w:type="spellEnd"/>
      <w:r w:rsidRPr="00655B1A">
        <w:rPr>
          <w:sz w:val="20"/>
        </w:rPr>
        <w:t xml:space="preserve">, </w:t>
      </w:r>
      <w:proofErr w:type="spellStart"/>
      <w:r w:rsidRPr="00655B1A">
        <w:rPr>
          <w:sz w:val="20"/>
        </w:rPr>
        <w:t>forestry</w:t>
      </w:r>
      <w:proofErr w:type="spellEnd"/>
      <w:r w:rsidRPr="00655B1A">
        <w:rPr>
          <w:sz w:val="20"/>
        </w:rPr>
        <w:t xml:space="preserve"> and </w:t>
      </w:r>
      <w:proofErr w:type="spellStart"/>
      <w:r w:rsidRPr="00655B1A">
        <w:rPr>
          <w:sz w:val="20"/>
        </w:rPr>
        <w:t>fishery</w:t>
      </w:r>
      <w:proofErr w:type="spellEnd"/>
      <w:r w:rsidRPr="00655B1A">
        <w:rPr>
          <w:sz w:val="20"/>
        </w:rPr>
        <w:t xml:space="preserve"> </w:t>
      </w:r>
      <w:proofErr w:type="spellStart"/>
      <w:r w:rsidRPr="00655B1A">
        <w:rPr>
          <w:sz w:val="20"/>
        </w:rPr>
        <w:t>statistics</w:t>
      </w:r>
      <w:proofErr w:type="spellEnd"/>
      <w:r w:rsidRPr="00655B1A">
        <w:rPr>
          <w:sz w:val="20"/>
        </w:rPr>
        <w:t xml:space="preserve">, 2014, </w:t>
      </w:r>
      <w:proofErr w:type="spellStart"/>
      <w:r w:rsidRPr="00655B1A">
        <w:rPr>
          <w:sz w:val="20"/>
        </w:rPr>
        <w:t>online</w:t>
      </w:r>
      <w:proofErr w:type="spellEnd"/>
      <w:r w:rsidRPr="00655B1A">
        <w:rPr>
          <w:sz w:val="20"/>
        </w:rPr>
        <w:t xml:space="preserve"> </w:t>
      </w:r>
      <w:proofErr w:type="spellStart"/>
      <w:r w:rsidRPr="00655B1A">
        <w:rPr>
          <w:sz w:val="20"/>
        </w:rPr>
        <w:t>data</w:t>
      </w:r>
      <w:proofErr w:type="spellEnd"/>
      <w:r w:rsidRPr="00655B1A">
        <w:rPr>
          <w:sz w:val="20"/>
        </w:rPr>
        <w:t>,  marec 2015</w:t>
      </w:r>
    </w:p>
    <w:p w:rsidR="00655B1A" w:rsidRPr="00655B1A" w:rsidRDefault="00655B1A" w:rsidP="00655B1A">
      <w:pPr>
        <w:keepNext/>
        <w:spacing w:after="0" w:line="240" w:lineRule="auto"/>
        <w:ind w:left="567" w:hanging="567"/>
        <w:jc w:val="left"/>
        <w:rPr>
          <w:color w:val="000000"/>
          <w:sz w:val="20"/>
        </w:rPr>
      </w:pPr>
      <w:r w:rsidRPr="00655B1A">
        <w:rPr>
          <w:color w:val="000000"/>
          <w:sz w:val="20"/>
        </w:rPr>
        <w:t>Vypracoval: NPPC-VÚEPP</w:t>
      </w:r>
    </w:p>
    <w:p w:rsidR="00655B1A" w:rsidRDefault="00655B1A" w:rsidP="00EF339D">
      <w:pPr>
        <w:shd w:val="clear" w:color="auto" w:fill="FFFFFF"/>
        <w:spacing w:after="60"/>
        <w:ind w:firstLine="709"/>
        <w:rPr>
          <w:color w:val="000000"/>
        </w:rPr>
      </w:pPr>
    </w:p>
    <w:p w:rsidR="00FE7071" w:rsidRDefault="00FE7071" w:rsidP="00FE7071">
      <w:pPr>
        <w:spacing w:after="0"/>
        <w:ind w:firstLine="708"/>
        <w:rPr>
          <w:color w:val="000000"/>
        </w:rPr>
      </w:pPr>
      <w:r w:rsidRPr="00F15DE5">
        <w:rPr>
          <w:color w:val="000000"/>
        </w:rPr>
        <w:t xml:space="preserve">V štruktúre celkovej produkcie EÚ-28 dominovali obilniny vrátane ryže (305,5 mil. t), kde najväčšími producentmi pšenice boli  Francúzsko (27,1 %), Nemecko (18,4 %) </w:t>
      </w:r>
      <w:r w:rsidRPr="00F15DE5">
        <w:rPr>
          <w:color w:val="000000"/>
        </w:rPr>
        <w:lastRenderedPageBreak/>
        <w:t>a z pristúpených krajín, Poľsko (7,0 %). Ďalšími produkčne rozhodujúcimi poľnohospodárskymi komoditami boli cukrová repa (109 mil. t), ktorej produkcia sa</w:t>
      </w:r>
      <w:r>
        <w:rPr>
          <w:color w:val="000000"/>
        </w:rPr>
        <w:t> </w:t>
      </w:r>
      <w:r w:rsidR="005E00D1">
        <w:rPr>
          <w:color w:val="000000"/>
        </w:rPr>
        <w:t xml:space="preserve">významne zvýšila (39,7 %) </w:t>
      </w:r>
      <w:r w:rsidRPr="00F15DE5">
        <w:rPr>
          <w:color w:val="000000"/>
        </w:rPr>
        <w:t>a  zo živočíšnej produkcie ošípané (21,9 mil. t).</w:t>
      </w:r>
    </w:p>
    <w:p w:rsidR="009828BD" w:rsidRPr="00F15DE5" w:rsidRDefault="009828BD" w:rsidP="00FE7071">
      <w:pPr>
        <w:shd w:val="clear" w:color="auto" w:fill="FFFFFF"/>
        <w:spacing w:after="0"/>
        <w:ind w:firstLine="709"/>
        <w:rPr>
          <w:color w:val="000000"/>
        </w:rPr>
      </w:pPr>
      <w:r w:rsidRPr="00F15DE5">
        <w:rPr>
          <w:color w:val="000000"/>
        </w:rPr>
        <w:t xml:space="preserve">Najviac cukrovej repy vyprodukovalo Francúzsko (22,9 %), Nemecko (20,9 %)  Poľsko (10,3 %). Najväčšími producentmi kukurice na zrno bolo Francúzsko (22,9 %), Rumunsko (17,4 %), Maďarsko (10,2 %), Taliansko (9,9 %), Španielsko (7,4 %) a Nemecko (6,7 %).  </w:t>
      </w:r>
    </w:p>
    <w:p w:rsidR="009828BD" w:rsidRPr="00B42583" w:rsidRDefault="009828BD" w:rsidP="00EF339D">
      <w:pPr>
        <w:shd w:val="clear" w:color="auto" w:fill="FFFFFF"/>
        <w:spacing w:after="60"/>
        <w:ind w:firstLine="709"/>
        <w:rPr>
          <w:color w:val="000000"/>
        </w:rPr>
      </w:pPr>
      <w:r w:rsidRPr="00F15DE5">
        <w:rPr>
          <w:color w:val="000000"/>
        </w:rPr>
        <w:t xml:space="preserve"> Zo živočíšnej produkcie to bolo bravčové mäso, ktorého sa najviac vyrobilo v</w:t>
      </w:r>
      <w:r w:rsidR="00EF339D">
        <w:rPr>
          <w:color w:val="000000"/>
        </w:rPr>
        <w:t> </w:t>
      </w:r>
      <w:r w:rsidRPr="00F15DE5">
        <w:rPr>
          <w:color w:val="000000"/>
        </w:rPr>
        <w:t>Nemecku (8,3 %), Španielsku (5,2 %), Francúzsku (3,0 %), Poľsku (2,4 %), Taliansku (2,5</w:t>
      </w:r>
      <w:r w:rsidR="00EF339D">
        <w:rPr>
          <w:color w:val="000000"/>
        </w:rPr>
        <w:t> </w:t>
      </w:r>
      <w:r w:rsidRPr="00F15DE5">
        <w:rPr>
          <w:color w:val="000000"/>
        </w:rPr>
        <w:t>%) a Dánsku (2,4 %). Najväčším producentom hovädzieho mäsa bolo Francúzsko (2,1</w:t>
      </w:r>
      <w:r w:rsidR="00EF339D">
        <w:rPr>
          <w:color w:val="000000"/>
        </w:rPr>
        <w:t> </w:t>
      </w:r>
      <w:r w:rsidRPr="00F15DE5">
        <w:rPr>
          <w:color w:val="000000"/>
        </w:rPr>
        <w:t>%), Nemecko (1,7 %), Taliansko (1,3 %) a Veľká Británia (1,3 %).</w:t>
      </w:r>
      <w:r w:rsidRPr="00B42583">
        <w:rPr>
          <w:color w:val="000000"/>
        </w:rPr>
        <w:t xml:space="preserve"> </w:t>
      </w:r>
    </w:p>
    <w:p w:rsidR="00E757BF" w:rsidRDefault="00E757BF" w:rsidP="000B1A7F">
      <w:pPr>
        <w:spacing w:after="0" w:line="240" w:lineRule="auto"/>
        <w:ind w:left="567"/>
        <w:rPr>
          <w:sz w:val="20"/>
        </w:rPr>
      </w:pPr>
    </w:p>
    <w:p w:rsidR="00E757BF" w:rsidRPr="00475D0B" w:rsidRDefault="00E757BF" w:rsidP="00E757BF">
      <w:pPr>
        <w:spacing w:after="60"/>
        <w:ind w:firstLine="708"/>
      </w:pPr>
      <w:r w:rsidRPr="00475D0B">
        <w:t>Podrobnejšie údaje o  poľnohospodárstve krajín EÚ-2</w:t>
      </w:r>
      <w:r w:rsidR="00E07185">
        <w:t>8</w:t>
      </w:r>
      <w:r w:rsidRPr="00475D0B">
        <w:t xml:space="preserve"> sú uvedené v tabuľkách 3-5 </w:t>
      </w:r>
      <w:r w:rsidRPr="0094111B">
        <w:t>v prílohe 10.</w:t>
      </w:r>
    </w:p>
    <w:p w:rsidR="00B07BE8" w:rsidRDefault="00B07BE8" w:rsidP="00F230CC">
      <w:pPr>
        <w:spacing w:after="0"/>
        <w:ind w:firstLine="708"/>
        <w:rPr>
          <w:color w:val="000000"/>
        </w:rPr>
      </w:pPr>
    </w:p>
    <w:p w:rsidR="0073635B" w:rsidRPr="00F15DE5" w:rsidRDefault="0073635B" w:rsidP="0073635B">
      <w:pPr>
        <w:ind w:firstLine="708"/>
        <w:rPr>
          <w:color w:val="000000"/>
        </w:rPr>
      </w:pPr>
      <w:r w:rsidRPr="00F15DE5">
        <w:rPr>
          <w:color w:val="000000"/>
        </w:rPr>
        <w:t xml:space="preserve">Podľa ostatných dostupných údajov </w:t>
      </w:r>
      <w:proofErr w:type="spellStart"/>
      <w:r w:rsidRPr="00F15DE5">
        <w:rPr>
          <w:color w:val="000000"/>
        </w:rPr>
        <w:t>Eurostatu</w:t>
      </w:r>
      <w:proofErr w:type="spellEnd"/>
      <w:r w:rsidRPr="00F15DE5">
        <w:rPr>
          <w:color w:val="000000"/>
        </w:rPr>
        <w:t xml:space="preserve"> sa  </w:t>
      </w:r>
      <w:r w:rsidRPr="00F15DE5">
        <w:rPr>
          <w:b/>
          <w:color w:val="000000"/>
        </w:rPr>
        <w:t>potravinársky priemysel,</w:t>
      </w:r>
      <w:r w:rsidRPr="00F15DE5">
        <w:rPr>
          <w:color w:val="000000"/>
        </w:rPr>
        <w:t xml:space="preserve"> t.j. výroba potravín, nápojov a tabakových výrobkov v jednotlivých  krajinách EÚ-28  podieľal na národnej ekonomike v roku 2013 nasledovne:</w:t>
      </w:r>
    </w:p>
    <w:p w:rsidR="0073635B" w:rsidRPr="00F15DE5" w:rsidRDefault="0073635B" w:rsidP="0073635B">
      <w:pPr>
        <w:numPr>
          <w:ilvl w:val="0"/>
          <w:numId w:val="6"/>
        </w:numPr>
        <w:spacing w:after="0"/>
        <w:ind w:left="709" w:hanging="425"/>
        <w:rPr>
          <w:color w:val="000000"/>
        </w:rPr>
      </w:pPr>
      <w:r w:rsidRPr="00F15DE5">
        <w:rPr>
          <w:color w:val="000000"/>
        </w:rPr>
        <w:t xml:space="preserve">hrubá produkcia  od  0,6 % do 7,1 % (najviac Rumunsko 7,1 %, Litva 6,5 %), Slovensko sa podieľalo 2,1 %, čo bolo o 0,1 </w:t>
      </w:r>
      <w:proofErr w:type="spellStart"/>
      <w:r w:rsidRPr="00F15DE5">
        <w:rPr>
          <w:color w:val="000000"/>
        </w:rPr>
        <w:t>p.</w:t>
      </w:r>
      <w:r w:rsidR="00AB2350">
        <w:rPr>
          <w:color w:val="000000"/>
        </w:rPr>
        <w:t>b</w:t>
      </w:r>
      <w:proofErr w:type="spellEnd"/>
      <w:r w:rsidRPr="00F15DE5">
        <w:rPr>
          <w:color w:val="000000"/>
        </w:rPr>
        <w:t xml:space="preserve">. menej ako pred rokom,  </w:t>
      </w:r>
    </w:p>
    <w:p w:rsidR="0073635B" w:rsidRPr="00F15DE5" w:rsidRDefault="0073635B" w:rsidP="0073635B">
      <w:pPr>
        <w:numPr>
          <w:ilvl w:val="0"/>
          <w:numId w:val="6"/>
        </w:numPr>
        <w:spacing w:after="0"/>
        <w:ind w:left="709" w:hanging="425"/>
        <w:rPr>
          <w:color w:val="000000"/>
        </w:rPr>
      </w:pPr>
      <w:r w:rsidRPr="00F15DE5">
        <w:rPr>
          <w:color w:val="000000"/>
        </w:rPr>
        <w:t>výrobná spotreba od 0,5 % do  9,1 % (najviac Litva 9,1 %, Rumunsko 8,2 %,  Holandsko 7,5</w:t>
      </w:r>
      <w:r>
        <w:rPr>
          <w:color w:val="000000"/>
        </w:rPr>
        <w:t xml:space="preserve"> %</w:t>
      </w:r>
      <w:r w:rsidRPr="00F15DE5">
        <w:rPr>
          <w:color w:val="000000"/>
        </w:rPr>
        <w:t>)</w:t>
      </w:r>
      <w:r w:rsidRPr="00F15DE5">
        <w:rPr>
          <w:color w:val="000000"/>
          <w:shd w:val="clear" w:color="auto" w:fill="EAF1DD"/>
        </w:rPr>
        <w:t>,</w:t>
      </w:r>
      <w:r w:rsidRPr="00F15DE5">
        <w:rPr>
          <w:color w:val="000000"/>
        </w:rPr>
        <w:t xml:space="preserve"> Dánsko 7,4</w:t>
      </w:r>
      <w:r>
        <w:rPr>
          <w:color w:val="000000"/>
        </w:rPr>
        <w:t xml:space="preserve"> %</w:t>
      </w:r>
      <w:r w:rsidRPr="00F15DE5">
        <w:rPr>
          <w:color w:val="000000"/>
        </w:rPr>
        <w:t>) Slovensko dosiahlo 2,7 %, čo bolo na úrovni predchádzajúceho roka,</w:t>
      </w:r>
    </w:p>
    <w:p w:rsidR="0073635B" w:rsidRPr="00F15DE5" w:rsidRDefault="0073635B" w:rsidP="0073635B">
      <w:pPr>
        <w:numPr>
          <w:ilvl w:val="0"/>
          <w:numId w:val="6"/>
        </w:numPr>
        <w:spacing w:after="0"/>
        <w:ind w:left="709" w:hanging="425"/>
        <w:rPr>
          <w:color w:val="000000"/>
        </w:rPr>
      </w:pPr>
      <w:r w:rsidRPr="00F15DE5">
        <w:rPr>
          <w:color w:val="000000"/>
        </w:rPr>
        <w:t>hrubá pridaná hodnota od 0,6 % do 5,8 %</w:t>
      </w:r>
      <w:r w:rsidRPr="00F15DE5">
        <w:rPr>
          <w:color w:val="000000"/>
          <w:shd w:val="clear" w:color="auto" w:fill="EAF1DD"/>
        </w:rPr>
        <w:t xml:space="preserve"> </w:t>
      </w:r>
      <w:r w:rsidRPr="00F15DE5">
        <w:rPr>
          <w:color w:val="000000"/>
        </w:rPr>
        <w:t xml:space="preserve">(najviac Rumunsko 5,8 %, Litva 4,8 %), Slovensko 1,3 % s medziročným poklesom 0,3 </w:t>
      </w:r>
      <w:proofErr w:type="spellStart"/>
      <w:r w:rsidRPr="00F15DE5">
        <w:rPr>
          <w:color w:val="000000"/>
        </w:rPr>
        <w:t>p.</w:t>
      </w:r>
      <w:r w:rsidR="00AB2350">
        <w:rPr>
          <w:color w:val="000000"/>
        </w:rPr>
        <w:t>b</w:t>
      </w:r>
      <w:proofErr w:type="spellEnd"/>
      <w:r w:rsidRPr="00F15DE5">
        <w:rPr>
          <w:color w:val="000000"/>
        </w:rPr>
        <w:t xml:space="preserve">., </w:t>
      </w:r>
    </w:p>
    <w:p w:rsidR="0073635B" w:rsidRPr="00F15DE5" w:rsidRDefault="0073635B" w:rsidP="0073635B">
      <w:pPr>
        <w:numPr>
          <w:ilvl w:val="0"/>
          <w:numId w:val="6"/>
        </w:numPr>
        <w:spacing w:after="0"/>
        <w:ind w:left="709" w:hanging="425"/>
        <w:rPr>
          <w:color w:val="000000"/>
        </w:rPr>
      </w:pPr>
      <w:r w:rsidRPr="00F15DE5">
        <w:rPr>
          <w:color w:val="000000"/>
        </w:rPr>
        <w:t>zamestnanosť od 1,4 % do 3,8 % (najviac Chorvátsko 3,8 %, Litva 3,4 %, Poľsko 3,3</w:t>
      </w:r>
      <w:r w:rsidR="00AB2350">
        <w:rPr>
          <w:color w:val="000000"/>
        </w:rPr>
        <w:t> </w:t>
      </w:r>
      <w:r w:rsidRPr="00F15DE5">
        <w:rPr>
          <w:color w:val="000000"/>
        </w:rPr>
        <w:t>% ), Slovensko 2,0 %,</w:t>
      </w:r>
    </w:p>
    <w:p w:rsidR="0073635B" w:rsidRPr="00F15DE5" w:rsidRDefault="0073635B" w:rsidP="0073635B">
      <w:pPr>
        <w:numPr>
          <w:ilvl w:val="0"/>
          <w:numId w:val="6"/>
        </w:numPr>
        <w:spacing w:after="0"/>
        <w:ind w:left="709" w:hanging="425"/>
        <w:rPr>
          <w:color w:val="000000"/>
        </w:rPr>
      </w:pPr>
      <w:r w:rsidRPr="00F15DE5">
        <w:rPr>
          <w:color w:val="000000"/>
        </w:rPr>
        <w:t>tvorba hrubého fixného kapitálu od 0,7 % do 2,2 % (najviac Maďarsko 2,2 %,), na</w:t>
      </w:r>
      <w:r w:rsidR="00AB2350">
        <w:rPr>
          <w:color w:val="000000"/>
        </w:rPr>
        <w:t> </w:t>
      </w:r>
      <w:r w:rsidRPr="00F15DE5">
        <w:rPr>
          <w:color w:val="000000"/>
        </w:rPr>
        <w:t>Slovensku dosahoval podiel úroveň 1,4 %.</w:t>
      </w:r>
    </w:p>
    <w:p w:rsidR="0073635B" w:rsidRPr="00F15DE5" w:rsidRDefault="0073635B" w:rsidP="0073635B">
      <w:pPr>
        <w:rPr>
          <w:color w:val="000000"/>
        </w:rPr>
      </w:pPr>
      <w:r w:rsidRPr="00F15DE5">
        <w:rPr>
          <w:color w:val="000000"/>
        </w:rPr>
        <w:t xml:space="preserve"> </w:t>
      </w:r>
      <w:r w:rsidRPr="00F15DE5">
        <w:rPr>
          <w:color w:val="000000"/>
        </w:rPr>
        <w:tab/>
        <w:t>V rámci priemyselnej výroby je potravinárstvo krajín EÚ rozhodujúcim odvetvím, ktoré z hľadiska obratu dosahuje cca  962,2 mld. €, čo v rámci EÚ znamená 15,</w:t>
      </w:r>
      <w:r>
        <w:rPr>
          <w:color w:val="000000"/>
        </w:rPr>
        <w:t>9</w:t>
      </w:r>
      <w:r w:rsidRPr="00F15DE5">
        <w:rPr>
          <w:color w:val="000000"/>
        </w:rPr>
        <w:t xml:space="preserve"> % podiel na priemyselnej produkcii a 14,2 % podiel na zamestnanosti. V zahranično-obchodnej výmene s potravinárskymi výrobkami dosahuje kladnú bilanciu 9,7 mld. €, a to pri exporte 65,4 mld. € a importe 55,3 mld. €. </w:t>
      </w:r>
    </w:p>
    <w:p w:rsidR="0073635B" w:rsidRPr="00F15DE5" w:rsidRDefault="0073635B" w:rsidP="0073635B">
      <w:pPr>
        <w:ind w:firstLine="567"/>
        <w:rPr>
          <w:color w:val="000000"/>
        </w:rPr>
      </w:pPr>
      <w:r w:rsidRPr="00F15DE5">
        <w:rPr>
          <w:color w:val="000000"/>
        </w:rPr>
        <w:tab/>
        <w:t xml:space="preserve">Väčšinu podnikov (99 %) predstavujú malé a stredné podniky, ktoré zamestnávajú takmer 63 % pracovných síl a vytvárajú 49 % obratu európskeho potravinárstva.  Na tvorbe pridanej hodnoty sa najviac podieľa produkcia pečiva, cukru, cukroviniek, výroba nápojov, spracovanie mäsa a spracovanie mlieka a mliečnych výrobkov. </w:t>
      </w:r>
    </w:p>
    <w:p w:rsidR="0073635B" w:rsidRPr="00F15DE5" w:rsidRDefault="0073635B" w:rsidP="0073635B">
      <w:pPr>
        <w:tabs>
          <w:tab w:val="left" w:pos="709"/>
        </w:tabs>
        <w:spacing w:after="0"/>
        <w:rPr>
          <w:color w:val="000000"/>
        </w:rPr>
      </w:pPr>
      <w:r w:rsidRPr="00F15DE5">
        <w:rPr>
          <w:color w:val="000000"/>
        </w:rPr>
        <w:tab/>
        <w:t xml:space="preserve">Vzhľadom na nekompletnosť údajov za všetky  krajiny EÚ-28 analyzujeme  potravinársky priemysel  rok  2013 u krajín s dostupnými údajmi. </w:t>
      </w:r>
    </w:p>
    <w:p w:rsidR="0073635B" w:rsidRPr="00F15DE5" w:rsidRDefault="0073635B" w:rsidP="00AB2350">
      <w:pPr>
        <w:spacing w:after="0"/>
        <w:ind w:firstLine="708"/>
        <w:rPr>
          <w:color w:val="000000"/>
        </w:rPr>
      </w:pPr>
      <w:r w:rsidRPr="00F15DE5">
        <w:rPr>
          <w:color w:val="000000"/>
        </w:rPr>
        <w:t xml:space="preserve">Najviac </w:t>
      </w:r>
      <w:r w:rsidRPr="00F15DE5">
        <w:rPr>
          <w:b/>
          <w:color w:val="000000"/>
        </w:rPr>
        <w:t>hrubej potravinárskej produkcie</w:t>
      </w:r>
      <w:r w:rsidRPr="00F15DE5">
        <w:rPr>
          <w:color w:val="000000"/>
        </w:rPr>
        <w:t xml:space="preserve"> vyrobilo Francúzsko (158,6 mld. €), Taliansko (131,8 mld. €) a Nemecko (176,7 </w:t>
      </w:r>
      <w:r w:rsidR="00C83300" w:rsidRPr="00F15DE5">
        <w:rPr>
          <w:color w:val="000000"/>
        </w:rPr>
        <w:t>mld. €</w:t>
      </w:r>
      <w:r w:rsidRPr="00F15DE5">
        <w:rPr>
          <w:color w:val="000000"/>
        </w:rPr>
        <w:t xml:space="preserve">), čiže produkčne a plošne rozhodujúce </w:t>
      </w:r>
      <w:r w:rsidRPr="00F15DE5">
        <w:rPr>
          <w:color w:val="000000"/>
        </w:rPr>
        <w:lastRenderedPageBreak/>
        <w:t>krajiny. Slovensko dosiahlo  3,6 mld. € potravinárskej produkcie, čo bolo o 0,2 mld. menej ako pred rokom. Najmenej produkcie mali Malta (0,4 mld. €), Luxembursko (0,9 mld. €) a Cyprus  (1,2</w:t>
      </w:r>
      <w:r w:rsidR="00AB2350">
        <w:rPr>
          <w:color w:val="000000"/>
        </w:rPr>
        <w:t> </w:t>
      </w:r>
      <w:r w:rsidRPr="00F15DE5">
        <w:rPr>
          <w:color w:val="000000"/>
        </w:rPr>
        <w:t>mld. €).</w:t>
      </w:r>
    </w:p>
    <w:p w:rsidR="0073635B" w:rsidRPr="00B42583" w:rsidRDefault="0073635B" w:rsidP="0073635B">
      <w:pPr>
        <w:spacing w:after="0"/>
        <w:rPr>
          <w:color w:val="000000"/>
        </w:rPr>
      </w:pPr>
      <w:r w:rsidRPr="00F15DE5">
        <w:rPr>
          <w:color w:val="000000"/>
        </w:rPr>
        <w:tab/>
        <w:t>Hrubá potravinárska produkcia najviac medziročne vzrástla v Rumunsku (13,0 %), Estónsku (9,8 %) a v Litve (7,6 %).  Slovensko zaznamenalo pokles (-4,8 %).</w:t>
      </w:r>
      <w:r>
        <w:rPr>
          <w:color w:val="000000"/>
        </w:rPr>
        <w:t xml:space="preserve">   </w:t>
      </w:r>
    </w:p>
    <w:p w:rsidR="0073635B" w:rsidRPr="00FC0233" w:rsidRDefault="0073635B" w:rsidP="0073635B">
      <w:pPr>
        <w:spacing w:after="0"/>
        <w:jc w:val="right"/>
        <w:rPr>
          <w:color w:val="000000"/>
        </w:rPr>
      </w:pPr>
      <w:r w:rsidRPr="00FC0233">
        <w:rPr>
          <w:color w:val="000000"/>
        </w:rPr>
        <w:t xml:space="preserve">Graf   </w:t>
      </w:r>
      <w:r>
        <w:rPr>
          <w:color w:val="000000"/>
        </w:rPr>
        <w:t>8</w:t>
      </w:r>
      <w:r w:rsidRPr="00FC0233">
        <w:rPr>
          <w:color w:val="000000"/>
        </w:rPr>
        <w:t xml:space="preserve"> </w:t>
      </w:r>
    </w:p>
    <w:p w:rsidR="0073635B" w:rsidRPr="003357F4" w:rsidRDefault="003B6810" w:rsidP="003B6810">
      <w:pPr>
        <w:spacing w:after="0" w:line="240" w:lineRule="auto"/>
        <w:jc w:val="left"/>
        <w:rPr>
          <w:sz w:val="20"/>
        </w:rPr>
      </w:pPr>
      <w:r w:rsidRPr="003B6810"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22972</wp:posOffset>
            </wp:positionH>
            <wp:positionV relativeFrom="paragraph">
              <wp:posOffset>572</wp:posOffset>
            </wp:positionV>
            <wp:extent cx="5758752" cy="3104941"/>
            <wp:effectExtent l="19050" t="0" r="0" b="0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2" cy="310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35B" w:rsidRPr="003357F4">
        <w:rPr>
          <w:sz w:val="20"/>
        </w:rPr>
        <w:t xml:space="preserve">  Prameň: </w:t>
      </w:r>
      <w:proofErr w:type="spellStart"/>
      <w:r w:rsidR="0073635B" w:rsidRPr="003357F4">
        <w:rPr>
          <w:sz w:val="20"/>
        </w:rPr>
        <w:t>Eurostat</w:t>
      </w:r>
      <w:proofErr w:type="spellEnd"/>
    </w:p>
    <w:p w:rsidR="0073635B" w:rsidRPr="00F15DE5" w:rsidRDefault="0073635B" w:rsidP="0073635B">
      <w:pPr>
        <w:spacing w:after="0"/>
        <w:ind w:firstLine="708"/>
        <w:rPr>
          <w:color w:val="000000"/>
        </w:rPr>
      </w:pPr>
      <w:r w:rsidRPr="00F15DE5">
        <w:rPr>
          <w:color w:val="000000"/>
        </w:rPr>
        <w:t>V potravinárstve  EÚ bolo v roku 2013 zamestnaných cca 4,8 mil. osôb.  Najviac  osôb pracovalo v Nemecku (925 tis.), Francúzsku (629 tis.),  Taliansku (448 tis.)</w:t>
      </w:r>
      <w:r>
        <w:rPr>
          <w:color w:val="000000"/>
        </w:rPr>
        <w:t xml:space="preserve"> a v Poľsku 507 tis.)</w:t>
      </w:r>
      <w:r w:rsidRPr="00F15DE5">
        <w:rPr>
          <w:color w:val="000000"/>
        </w:rPr>
        <w:t xml:space="preserve">.  </w:t>
      </w:r>
    </w:p>
    <w:p w:rsidR="0073635B" w:rsidRPr="00F15DE5" w:rsidRDefault="0073635B" w:rsidP="0073635B">
      <w:pPr>
        <w:spacing w:after="0"/>
        <w:ind w:firstLine="708"/>
        <w:rPr>
          <w:color w:val="000000"/>
        </w:rPr>
      </w:pPr>
      <w:r>
        <w:rPr>
          <w:color w:val="000000"/>
        </w:rPr>
        <w:t xml:space="preserve">V </w:t>
      </w:r>
      <w:r w:rsidRPr="00F15DE5">
        <w:rPr>
          <w:color w:val="000000"/>
        </w:rPr>
        <w:t>potravinárskom priemysle</w:t>
      </w:r>
      <w:r>
        <w:rPr>
          <w:color w:val="000000"/>
        </w:rPr>
        <w:t xml:space="preserve"> sú rozhodujúce, z hľadiska technologického a hygienického investície</w:t>
      </w:r>
      <w:r w:rsidRPr="00F15DE5">
        <w:rPr>
          <w:color w:val="000000"/>
        </w:rPr>
        <w:t>, ktoré sú adekvátne rozsahu produkcie a následne zamestnanosti. Najvyššie investície do potravinárstva dosiahlo Francúzsko. Slovensko s prírastkom (173</w:t>
      </w:r>
      <w:r w:rsidR="00AB2350">
        <w:rPr>
          <w:color w:val="000000"/>
        </w:rPr>
        <w:t> </w:t>
      </w:r>
      <w:r w:rsidRPr="00F15DE5">
        <w:rPr>
          <w:color w:val="000000"/>
        </w:rPr>
        <w:t>mil.</w:t>
      </w:r>
      <w:r w:rsidR="00AB2350">
        <w:rPr>
          <w:color w:val="000000"/>
        </w:rPr>
        <w:t> </w:t>
      </w:r>
      <w:r w:rsidRPr="00F15DE5">
        <w:rPr>
          <w:color w:val="000000"/>
        </w:rPr>
        <w:t>€) zaznamenalo najvyššiu medziročnú zmenu.</w:t>
      </w:r>
    </w:p>
    <w:p w:rsidR="0073635B" w:rsidRPr="005C0D6B" w:rsidRDefault="0073635B" w:rsidP="0073635B">
      <w:pPr>
        <w:spacing w:after="0"/>
        <w:ind w:firstLine="708"/>
        <w:rPr>
          <w:color w:val="000000"/>
        </w:rPr>
      </w:pPr>
      <w:r w:rsidRPr="0094111B">
        <w:rPr>
          <w:color w:val="000000"/>
        </w:rPr>
        <w:t>Vybrané ekonomické ukazovatele potravinárskeho priemyslu v štátoch EÚ-28  sú uvedené v tabuľkách č. 6,7 v prílohe č. 10.</w:t>
      </w:r>
    </w:p>
    <w:p w:rsidR="00EF05CE" w:rsidRPr="00475D0B" w:rsidRDefault="00EF05CE" w:rsidP="00AA46BE">
      <w:pPr>
        <w:ind w:firstLine="708"/>
      </w:pPr>
    </w:p>
    <w:p w:rsidR="005B09E0" w:rsidRDefault="00ED5D63" w:rsidP="00EF05CE">
      <w:pPr>
        <w:pStyle w:val="2"/>
        <w:tabs>
          <w:tab w:val="clear" w:pos="792"/>
          <w:tab w:val="num" w:pos="567"/>
        </w:tabs>
        <w:ind w:left="567" w:hanging="425"/>
      </w:pPr>
      <w:bookmarkStart w:id="4" w:name="_Toc323214551"/>
      <w:bookmarkStart w:id="5" w:name="_Toc390686501"/>
      <w:r>
        <w:rPr>
          <w:noProof/>
        </w:rPr>
        <w:pict>
          <v:shape id="_x0000_s1241" type="#_x0000_t176" style="position:absolute;left:0;text-align:left;margin-left:-2.25pt;margin-top:.15pt;width:461pt;height:36.15pt;z-index:-251639808" fillcolor="#c2d69b" stroked="f" strokecolor="#c2d69b" strokeweight="10pt">
            <v:stroke linestyle="thinThin"/>
            <v:imagedata embosscolor="shadow add(51)"/>
            <v:shadow on="t" opacity=".5" offset="-6pt,-6pt"/>
          </v:shape>
        </w:pict>
      </w:r>
      <w:r w:rsidR="008B7D13" w:rsidRPr="008B7D13">
        <w:t>Vývoj cenovej konkurencieschopnosti poľnohospodárskej a potravinovej produkcie</w:t>
      </w:r>
      <w:bookmarkEnd w:id="4"/>
      <w:bookmarkEnd w:id="5"/>
    </w:p>
    <w:p w:rsidR="00906611" w:rsidRPr="00973399" w:rsidRDefault="00906611" w:rsidP="00906611">
      <w:pPr>
        <w:pStyle w:val="Zkladntext"/>
        <w:tabs>
          <w:tab w:val="left" w:pos="709"/>
        </w:tabs>
        <w:spacing w:after="60" w:line="320" w:lineRule="exact"/>
        <w:ind w:firstLine="709"/>
      </w:pPr>
      <w:r w:rsidRPr="00973399">
        <w:t xml:space="preserve">Priemerné  </w:t>
      </w:r>
      <w:r w:rsidRPr="00973399">
        <w:rPr>
          <w:b/>
          <w:bCs/>
        </w:rPr>
        <w:t>ceny výrobcov</w:t>
      </w:r>
      <w:r w:rsidRPr="00973399">
        <w:t xml:space="preserve"> vybraných </w:t>
      </w:r>
      <w:r w:rsidRPr="00973399">
        <w:rPr>
          <w:b/>
          <w:bCs/>
        </w:rPr>
        <w:t>poľnohospodárskych komodít</w:t>
      </w:r>
      <w:r w:rsidRPr="00973399">
        <w:t xml:space="preserve">  sa v EÚ v roku 2014 v porovnaní s predchádzajúcim rokom vyvíjali nasledovne: </w:t>
      </w:r>
    </w:p>
    <w:p w:rsidR="00906611" w:rsidRPr="00973399" w:rsidRDefault="00906611" w:rsidP="00906611">
      <w:pPr>
        <w:pStyle w:val="Zkladntext"/>
        <w:numPr>
          <w:ilvl w:val="0"/>
          <w:numId w:val="5"/>
        </w:numPr>
        <w:tabs>
          <w:tab w:val="left" w:pos="709"/>
        </w:tabs>
        <w:spacing w:after="60" w:line="320" w:lineRule="exact"/>
      </w:pPr>
      <w:r w:rsidRPr="00973399">
        <w:t xml:space="preserve">v odvetví  živočíšnej výroby priemerná cena medziročne stúpla pri mlieku a  klesla pri býkoch, ošípaných, kurčatách a  vajciach, </w:t>
      </w:r>
    </w:p>
    <w:p w:rsidR="00906611" w:rsidRPr="00973399" w:rsidRDefault="00906611" w:rsidP="00906611">
      <w:pPr>
        <w:pStyle w:val="Zkladntext"/>
        <w:numPr>
          <w:ilvl w:val="0"/>
          <w:numId w:val="5"/>
        </w:numPr>
        <w:tabs>
          <w:tab w:val="left" w:pos="709"/>
        </w:tabs>
        <w:spacing w:after="60" w:line="320" w:lineRule="exact"/>
      </w:pPr>
      <w:r w:rsidRPr="00973399">
        <w:t>v odvetví  rastlinnej výroby ceny obilnín, olejnín a okopanín sa v priemere znížili</w:t>
      </w:r>
      <w:r w:rsidR="005C5781">
        <w:t>.</w:t>
      </w:r>
      <w:r w:rsidRPr="00973399">
        <w:t xml:space="preserve"> </w:t>
      </w:r>
    </w:p>
    <w:p w:rsidR="00990832" w:rsidRDefault="00906611" w:rsidP="00906611">
      <w:pPr>
        <w:pStyle w:val="Zkladntext"/>
        <w:tabs>
          <w:tab w:val="left" w:pos="709"/>
        </w:tabs>
        <w:spacing w:after="60" w:line="320" w:lineRule="exact"/>
        <w:ind w:firstLine="709"/>
      </w:pPr>
      <w:r w:rsidRPr="00973399">
        <w:lastRenderedPageBreak/>
        <w:t xml:space="preserve">Uvedené trendy cenového vývoja sledovaných komodít vo všeobecnosti platili aj </w:t>
      </w:r>
      <w:r>
        <w:t xml:space="preserve">v krajinách </w:t>
      </w:r>
      <w:r w:rsidRPr="00973399">
        <w:t>V4. Opačné tendencie sa prejavili na Slovensku pri zemiakoch,  v Poľsku pri mlieku, kurčatách a repke a v Maďarsku pri vajciach.</w:t>
      </w:r>
      <w:r w:rsidR="0075322D">
        <w:tab/>
      </w:r>
      <w:r w:rsidR="0075322D">
        <w:tab/>
      </w:r>
      <w:r w:rsidR="0075322D">
        <w:tab/>
      </w:r>
      <w:r w:rsidR="0075322D">
        <w:tab/>
      </w:r>
    </w:p>
    <w:p w:rsidR="003F5BB6" w:rsidRDefault="00AB2350" w:rsidP="0039651E">
      <w:pPr>
        <w:pStyle w:val="Zkladntext"/>
        <w:tabs>
          <w:tab w:val="left" w:pos="709"/>
        </w:tabs>
        <w:ind w:firstLine="709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183515</wp:posOffset>
            </wp:positionV>
            <wp:extent cx="5335270" cy="2899410"/>
            <wp:effectExtent l="1905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22D">
        <w:t>G</w:t>
      </w:r>
      <w:r w:rsidR="00D65CB7">
        <w:t xml:space="preserve">raf </w:t>
      </w:r>
      <w:r w:rsidR="003F5BB6">
        <w:t>9</w:t>
      </w:r>
    </w:p>
    <w:p w:rsidR="005C5781" w:rsidRPr="00973399" w:rsidRDefault="005C5781" w:rsidP="005C5781">
      <w:pPr>
        <w:pStyle w:val="Normln12"/>
        <w:keepNext/>
        <w:tabs>
          <w:tab w:val="left" w:pos="567"/>
        </w:tabs>
        <w:ind w:firstLine="284"/>
        <w:jc w:val="both"/>
        <w:rPr>
          <w:sz w:val="22"/>
        </w:rPr>
      </w:pPr>
      <w:r w:rsidRPr="00973399">
        <w:rPr>
          <w:sz w:val="22"/>
        </w:rPr>
        <w:t xml:space="preserve">Prameň: NPPC-VÚEPP na základe údajov z  </w:t>
      </w:r>
      <w:proofErr w:type="spellStart"/>
      <w:r w:rsidRPr="00973399">
        <w:rPr>
          <w:sz w:val="22"/>
        </w:rPr>
        <w:t>Eurostatu</w:t>
      </w:r>
      <w:proofErr w:type="spellEnd"/>
      <w:r w:rsidRPr="00973399">
        <w:rPr>
          <w:sz w:val="22"/>
        </w:rPr>
        <w:t>, ŠÚ SR,  MZ ČR, FAPA-PR, AKI-MR</w:t>
      </w:r>
    </w:p>
    <w:p w:rsidR="00990832" w:rsidRPr="00534F78" w:rsidRDefault="005C5781" w:rsidP="0094111B">
      <w:pPr>
        <w:pStyle w:val="Normln12"/>
        <w:keepNext/>
        <w:tabs>
          <w:tab w:val="left" w:pos="567"/>
        </w:tabs>
        <w:ind w:firstLine="284"/>
        <w:jc w:val="both"/>
        <w:rPr>
          <w:color w:val="000000"/>
          <w:sz w:val="20"/>
        </w:rPr>
      </w:pPr>
      <w:r w:rsidRPr="00973399">
        <w:rPr>
          <w:sz w:val="22"/>
        </w:rPr>
        <w:t xml:space="preserve">Poznámka: priemerné ceny EÚ </w:t>
      </w:r>
      <w:r w:rsidR="004B3A47">
        <w:rPr>
          <w:sz w:val="22"/>
        </w:rPr>
        <w:t>–</w:t>
      </w:r>
      <w:r w:rsidRPr="00973399">
        <w:rPr>
          <w:sz w:val="22"/>
        </w:rPr>
        <w:t xml:space="preserve"> odhad</w:t>
      </w:r>
      <w:r w:rsidR="004B3A47">
        <w:rPr>
          <w:sz w:val="22"/>
        </w:rPr>
        <w:t xml:space="preserve">, </w:t>
      </w:r>
      <w:r w:rsidR="00990832" w:rsidRPr="00534F78">
        <w:rPr>
          <w:color w:val="000000"/>
          <w:sz w:val="20"/>
        </w:rPr>
        <w:t xml:space="preserve">Vypracoval: </w:t>
      </w:r>
      <w:r w:rsidR="00990832">
        <w:rPr>
          <w:color w:val="000000"/>
          <w:sz w:val="20"/>
        </w:rPr>
        <w:t>NPPC -</w:t>
      </w:r>
      <w:r w:rsidR="00990832" w:rsidRPr="00534F78">
        <w:rPr>
          <w:color w:val="000000"/>
          <w:sz w:val="20"/>
        </w:rPr>
        <w:t>VÚEPP</w:t>
      </w:r>
    </w:p>
    <w:p w:rsidR="00AB2350" w:rsidRDefault="00AB2350" w:rsidP="0094111B">
      <w:pPr>
        <w:pStyle w:val="Normln12"/>
        <w:tabs>
          <w:tab w:val="left" w:pos="709"/>
        </w:tabs>
        <w:spacing w:line="320" w:lineRule="exact"/>
        <w:ind w:firstLine="709"/>
        <w:jc w:val="both"/>
      </w:pPr>
    </w:p>
    <w:p w:rsidR="005C5781" w:rsidRPr="00973399" w:rsidRDefault="005C5781" w:rsidP="0094111B">
      <w:pPr>
        <w:pStyle w:val="Normln12"/>
        <w:tabs>
          <w:tab w:val="left" w:pos="709"/>
        </w:tabs>
        <w:spacing w:line="320" w:lineRule="exact"/>
        <w:ind w:firstLine="709"/>
        <w:jc w:val="both"/>
      </w:pPr>
      <w:r w:rsidRPr="00973399">
        <w:t xml:space="preserve">Čo sa týka </w:t>
      </w:r>
      <w:r w:rsidRPr="00973399">
        <w:rPr>
          <w:b/>
        </w:rPr>
        <w:t>cien výrobcov rastlinných komodít</w:t>
      </w:r>
      <w:r w:rsidRPr="00973399">
        <w:t xml:space="preserve">, v roku 2014 boli slovenské ceny   repky a okopanín  v porovnaní s priemerom krajín EÚ vyššie. Opačná situácia bola zaznamenaná pri obilninách  a slnečnici. </w:t>
      </w:r>
    </w:p>
    <w:p w:rsidR="005C5781" w:rsidRDefault="005C5781" w:rsidP="0094111B">
      <w:pPr>
        <w:pStyle w:val="Normln12"/>
        <w:tabs>
          <w:tab w:val="left" w:pos="709"/>
        </w:tabs>
        <w:spacing w:line="320" w:lineRule="exact"/>
        <w:ind w:firstLine="709"/>
        <w:jc w:val="both"/>
      </w:pPr>
      <w:r w:rsidRPr="00973399">
        <w:t>V konfrontácii s  krajinami V4 sme v sledovanom roku mali najnižšie, t.j. najkonkurencieschopnejšie ceny pšenice, kukurice, repky a slnečnice. Obdobne kladn</w:t>
      </w:r>
      <w:r w:rsidR="00AB2350">
        <w:t>é</w:t>
      </w:r>
      <w:r w:rsidRPr="00973399">
        <w:t xml:space="preserve"> konštat</w:t>
      </w:r>
      <w:r w:rsidR="00AB2350">
        <w:t>ovanie</w:t>
      </w:r>
      <w:r w:rsidRPr="00973399">
        <w:t xml:space="preserve"> platí aj pre cenové porovnanie s Českom pri raži a jačmeni. Na trhu krajín V4 však s okopaninami nie sme cenovo konkurencieschopní. </w:t>
      </w:r>
    </w:p>
    <w:p w:rsidR="004B3A47" w:rsidRDefault="00AB2350" w:rsidP="00AB2350">
      <w:pPr>
        <w:spacing w:after="0" w:line="240" w:lineRule="auto"/>
        <w:ind w:right="567"/>
        <w:jc w:val="right"/>
        <w:rPr>
          <w:b/>
          <w:sz w:val="20"/>
        </w:rPr>
      </w:pPr>
      <w:r>
        <w:rPr>
          <w:noProof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200660</wp:posOffset>
            </wp:positionV>
            <wp:extent cx="5467350" cy="2874010"/>
            <wp:effectExtent l="19050" t="0" r="0" b="0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7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A47" w:rsidRPr="00BF00EA">
        <w:t xml:space="preserve">Graf </w:t>
      </w:r>
      <w:r w:rsidR="004B3A47">
        <w:t>10</w:t>
      </w:r>
      <w:r w:rsidR="004B3A47">
        <w:rPr>
          <w:b/>
          <w:sz w:val="20"/>
        </w:rPr>
        <w:t xml:space="preserve"> </w:t>
      </w:r>
    </w:p>
    <w:p w:rsidR="004B3A47" w:rsidRPr="00973399" w:rsidRDefault="004B3A47" w:rsidP="00AB2350">
      <w:pPr>
        <w:pStyle w:val="Normln12"/>
        <w:tabs>
          <w:tab w:val="left" w:pos="709"/>
        </w:tabs>
        <w:ind w:firstLine="709"/>
        <w:jc w:val="both"/>
      </w:pPr>
    </w:p>
    <w:p w:rsidR="00336C48" w:rsidRDefault="005C5781" w:rsidP="00AB2350">
      <w:pPr>
        <w:spacing w:after="0" w:line="240" w:lineRule="auto"/>
        <w:rPr>
          <w:sz w:val="20"/>
        </w:rPr>
      </w:pPr>
      <w:r w:rsidRPr="005C5781">
        <w:rPr>
          <w:sz w:val="20"/>
        </w:rPr>
        <w:t xml:space="preserve">Prameň: NPPC-VÚEPP na základe údajov z  EK-CIRCABC, </w:t>
      </w:r>
      <w:proofErr w:type="spellStart"/>
      <w:r w:rsidRPr="005C5781">
        <w:rPr>
          <w:sz w:val="20"/>
        </w:rPr>
        <w:t>Eurostat</w:t>
      </w:r>
      <w:proofErr w:type="spellEnd"/>
      <w:r w:rsidRPr="005C5781">
        <w:rPr>
          <w:sz w:val="20"/>
        </w:rPr>
        <w:t>, MZ ČR, FAPA-PR, AKI-MR</w:t>
      </w:r>
    </w:p>
    <w:p w:rsidR="00E919FE" w:rsidRDefault="00E919FE" w:rsidP="00AB2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52BCC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 -</w:t>
      </w:r>
      <w:r w:rsidR="0094111B">
        <w:rPr>
          <w:rFonts w:ascii="Times New Roman" w:hAnsi="Times New Roman" w:cs="Times New Roman"/>
          <w:sz w:val="20"/>
          <w:szCs w:val="20"/>
        </w:rPr>
        <w:t xml:space="preserve">VÚEPP </w:t>
      </w:r>
    </w:p>
    <w:p w:rsidR="0094111B" w:rsidRDefault="0094111B" w:rsidP="00E919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4111B" w:rsidRPr="00973399" w:rsidRDefault="0094111B" w:rsidP="0094111B">
      <w:pPr>
        <w:pStyle w:val="Normln12"/>
        <w:tabs>
          <w:tab w:val="left" w:pos="709"/>
        </w:tabs>
        <w:spacing w:after="120" w:line="320" w:lineRule="exact"/>
        <w:ind w:firstLine="709"/>
        <w:jc w:val="both"/>
      </w:pPr>
      <w:r w:rsidRPr="00973399">
        <w:t xml:space="preserve">Vo všeobecnosti môžeme konštatovať, že </w:t>
      </w:r>
      <w:r w:rsidRPr="00973399">
        <w:rPr>
          <w:b/>
        </w:rPr>
        <w:t>ceny výrobcov živočíšnych komodít</w:t>
      </w:r>
      <w:r w:rsidRPr="00973399">
        <w:t xml:space="preserve"> sa na</w:t>
      </w:r>
      <w:r w:rsidR="00AB2350">
        <w:t> </w:t>
      </w:r>
      <w:r w:rsidRPr="00973399">
        <w:t xml:space="preserve">Slovensku pohybovali pod priemerom krajín EÚ. Výnimkou boli  ošípané, ktorých cena bola o 4,6 % vyššia. S býkmi,  mliekom a ošípanými sme neboli cenovo konkurencieschopní  ani s jednou krajinou V4. Nižšie ceny sme dosiahli len pri kurčatách a vajciach v porovnaní s Poľskom a pri vajciach s Maďarskom. </w:t>
      </w:r>
    </w:p>
    <w:p w:rsidR="00E919FE" w:rsidRPr="00336C48" w:rsidRDefault="00E919FE" w:rsidP="00E919FE">
      <w:pPr>
        <w:spacing w:after="0" w:line="240" w:lineRule="auto"/>
        <w:ind w:firstLine="284"/>
        <w:rPr>
          <w:sz w:val="20"/>
        </w:rPr>
      </w:pPr>
    </w:p>
    <w:p w:rsidR="004B3A47" w:rsidRPr="00973399" w:rsidRDefault="00CD2C08" w:rsidP="004B3A47">
      <w:pPr>
        <w:pStyle w:val="Zkladntext"/>
        <w:tabs>
          <w:tab w:val="left" w:pos="709"/>
        </w:tabs>
        <w:spacing w:after="120" w:line="320" w:lineRule="exact"/>
      </w:pPr>
      <w:r>
        <w:tab/>
      </w:r>
      <w:r w:rsidR="004B3A47" w:rsidRPr="00973399">
        <w:t>O</w:t>
      </w:r>
      <w:r w:rsidR="004B3A47" w:rsidRPr="00973399">
        <w:rPr>
          <w:b/>
          <w:bCs/>
        </w:rPr>
        <w:t>dbytové ceny</w:t>
      </w:r>
      <w:r w:rsidR="004B3A47" w:rsidRPr="00973399">
        <w:t xml:space="preserve"> </w:t>
      </w:r>
      <w:r w:rsidR="004B3A47" w:rsidRPr="00973399">
        <w:rPr>
          <w:b/>
        </w:rPr>
        <w:t>spracovateľov</w:t>
      </w:r>
      <w:r w:rsidR="004B3A47" w:rsidRPr="00973399">
        <w:t xml:space="preserve"> mliečnych výrobkov na Slovensku v porovnaní s priemernými cenami EÚ neboli v roku 2014 konkurencieschopné. Ceny masla boli na</w:t>
      </w:r>
      <w:r w:rsidR="00AB2350">
        <w:t> </w:t>
      </w:r>
      <w:r w:rsidR="004B3A47" w:rsidRPr="00973399">
        <w:t>európskom trhu nižšie o 5,6 % a ceny eidamskej tehly až o 31,9</w:t>
      </w:r>
      <w:r w:rsidR="00AB2350">
        <w:t xml:space="preserve"> </w:t>
      </w:r>
      <w:r w:rsidR="004B3A47" w:rsidRPr="00973399">
        <w:t>%. Cenovú konkurencieschopnosť sme zaznamenali pri chladených kurčatách, ktoré sa na európskom trhu predávali v priemere o</w:t>
      </w:r>
      <w:r w:rsidR="00AB2350">
        <w:t> </w:t>
      </w:r>
      <w:r w:rsidR="004B3A47" w:rsidRPr="00973399">
        <w:t>6</w:t>
      </w:r>
      <w:r w:rsidR="00AB2350">
        <w:t xml:space="preserve"> </w:t>
      </w:r>
      <w:r w:rsidR="004B3A47" w:rsidRPr="00973399">
        <w:t xml:space="preserve">% drahšie ako na Slovensku.  </w:t>
      </w:r>
    </w:p>
    <w:p w:rsidR="004B3A47" w:rsidRDefault="0094111B" w:rsidP="004B3A47">
      <w:pPr>
        <w:pStyle w:val="Zkladntext"/>
        <w:tabs>
          <w:tab w:val="left" w:pos="709"/>
        </w:tabs>
        <w:spacing w:after="120" w:line="320" w:lineRule="exact"/>
        <w:rPr>
          <w:b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1372870</wp:posOffset>
            </wp:positionV>
            <wp:extent cx="5530850" cy="2882900"/>
            <wp:effectExtent l="19050" t="0" r="0" b="0"/>
            <wp:wrapSquare wrapText="bothSides"/>
            <wp:docPr id="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A47" w:rsidRPr="00973399">
        <w:tab/>
        <w:t xml:space="preserve">V rámci krajín V-4 sme mali najnižšie odbytové ceny pri masle, naopak, eidamskú tehlu a bravčové stehno </w:t>
      </w:r>
      <w:proofErr w:type="spellStart"/>
      <w:r w:rsidR="004B3A47" w:rsidRPr="00973399">
        <w:t>odbytovali</w:t>
      </w:r>
      <w:proofErr w:type="spellEnd"/>
      <w:r w:rsidR="004B3A47" w:rsidRPr="00973399">
        <w:t xml:space="preserve"> slovenskí spracovatelia najdrahšie v rámci stredoeurópskeho regiónu. Z príslušného grafu je evidentné, že najnižšie odbytové ceny bravčového mäsa boli zaznamenané v Maďarsku, hovädzieho zadného a polotučného tekutého mlieka v Česku, chladených kurčiat a eidamskej tehly v Poľsku. </w:t>
      </w:r>
      <w:r w:rsidR="00001F20">
        <w:rPr>
          <w:b/>
        </w:rPr>
        <w:tab/>
      </w:r>
      <w:r w:rsidR="004B3A47">
        <w:rPr>
          <w:b/>
        </w:rPr>
        <w:t xml:space="preserve">     </w:t>
      </w:r>
    </w:p>
    <w:p w:rsidR="004B3A47" w:rsidRDefault="004B3A47" w:rsidP="0094111B">
      <w:pPr>
        <w:pStyle w:val="Zkladntext"/>
        <w:tabs>
          <w:tab w:val="left" w:pos="709"/>
        </w:tabs>
        <w:spacing w:after="120" w:line="320" w:lineRule="exact"/>
        <w:jc w:val="right"/>
        <w:rPr>
          <w:sz w:val="20"/>
        </w:rPr>
      </w:pPr>
      <w:r>
        <w:rPr>
          <w:b/>
        </w:rPr>
        <w:t xml:space="preserve">  </w:t>
      </w:r>
      <w:r w:rsidR="00EF05CE">
        <w:t>Graf</w:t>
      </w:r>
      <w:r w:rsidR="00921B8C" w:rsidRPr="00001F20">
        <w:t xml:space="preserve"> </w:t>
      </w:r>
      <w:r w:rsidR="00B15FE8">
        <w:t>1</w:t>
      </w:r>
      <w:r w:rsidR="00990832">
        <w:t>1</w:t>
      </w:r>
    </w:p>
    <w:p w:rsidR="00EF05CE" w:rsidRDefault="00EF05CE" w:rsidP="00E919FE">
      <w:pPr>
        <w:keepNext/>
        <w:spacing w:after="0" w:line="240" w:lineRule="auto"/>
        <w:ind w:left="284"/>
        <w:rPr>
          <w:sz w:val="20"/>
        </w:rPr>
      </w:pPr>
      <w:r w:rsidRPr="00990832">
        <w:rPr>
          <w:sz w:val="20"/>
        </w:rPr>
        <w:t xml:space="preserve">Prameň: NPPC-VÚEPP na základe údajov z  PPA SR-ATIS, EK-CIRCABC, </w:t>
      </w:r>
      <w:proofErr w:type="spellStart"/>
      <w:r w:rsidRPr="00990832">
        <w:rPr>
          <w:sz w:val="20"/>
        </w:rPr>
        <w:t>MZ</w:t>
      </w:r>
      <w:r w:rsidR="004D5F1A">
        <w:rPr>
          <w:sz w:val="20"/>
        </w:rPr>
        <w:t>e</w:t>
      </w:r>
      <w:r w:rsidRPr="00990832">
        <w:rPr>
          <w:sz w:val="20"/>
        </w:rPr>
        <w:t>ČR</w:t>
      </w:r>
      <w:proofErr w:type="spellEnd"/>
      <w:r w:rsidRPr="00990832">
        <w:rPr>
          <w:sz w:val="20"/>
        </w:rPr>
        <w:t>, FAPA-PR, AKI-MR, FAPRI</w:t>
      </w:r>
    </w:p>
    <w:p w:rsidR="00E919FE" w:rsidRDefault="00E919FE" w:rsidP="00E919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52BCC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 -</w:t>
      </w:r>
      <w:r w:rsidRPr="00452BCC">
        <w:rPr>
          <w:rFonts w:ascii="Times New Roman" w:hAnsi="Times New Roman" w:cs="Times New Roman"/>
          <w:sz w:val="20"/>
          <w:szCs w:val="20"/>
        </w:rPr>
        <w:t xml:space="preserve">VÚEPP  </w:t>
      </w:r>
    </w:p>
    <w:p w:rsidR="00E919FE" w:rsidRPr="00990832" w:rsidRDefault="00E919FE" w:rsidP="00E919FE">
      <w:pPr>
        <w:keepNext/>
        <w:spacing w:after="0" w:line="240" w:lineRule="auto"/>
        <w:ind w:left="284"/>
        <w:rPr>
          <w:sz w:val="20"/>
        </w:rPr>
      </w:pPr>
    </w:p>
    <w:p w:rsidR="0094111B" w:rsidRPr="00973399" w:rsidRDefault="0094111B" w:rsidP="0094111B">
      <w:pPr>
        <w:pStyle w:val="Zkladntext"/>
        <w:tabs>
          <w:tab w:val="left" w:pos="709"/>
        </w:tabs>
        <w:spacing w:after="60" w:line="320" w:lineRule="exact"/>
        <w:ind w:firstLine="709"/>
      </w:pPr>
      <w:r w:rsidRPr="00973399">
        <w:t xml:space="preserve">V maloobchodnej sieti sme v roku 2014 pri porovnaní s Maďarskom mali nižšie </w:t>
      </w:r>
      <w:r w:rsidRPr="00973399">
        <w:rPr>
          <w:b/>
          <w:bCs/>
        </w:rPr>
        <w:t>spotrebiteľské ceny</w:t>
      </w:r>
      <w:r w:rsidRPr="00973399">
        <w:t xml:space="preserve">  masla a kurčiat, naopak, bravčové a hovädzie mäso, tvrdé syry a mlieko boli v maďarských obchodoch lacnejšie.  Komparácia cien pri sledovaných komoditách s Českom a Poľskom  vychádza pre slovenský maloobchod nepriaznivo. V rámci V4 si mohli </w:t>
      </w:r>
      <w:r w:rsidRPr="00973399">
        <w:lastRenderedPageBreak/>
        <w:t>spotrebitelia najvýhodnejšie  nakúpiť mliečne výrobky, bravčové a hydinové mäso v Poľsku a hovädzie mäso v Maďarsku.</w:t>
      </w:r>
    </w:p>
    <w:p w:rsidR="00C26379" w:rsidRPr="00414243" w:rsidRDefault="0094111B" w:rsidP="00580E4B">
      <w:pPr>
        <w:pStyle w:val="Zkladntext"/>
        <w:tabs>
          <w:tab w:val="left" w:pos="709"/>
        </w:tabs>
        <w:spacing w:after="60" w:line="320" w:lineRule="exact"/>
        <w:ind w:firstLine="709"/>
      </w:pPr>
      <w:r>
        <w:rPr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255270</wp:posOffset>
            </wp:positionV>
            <wp:extent cx="5645150" cy="3073400"/>
            <wp:effectExtent l="19050" t="0" r="0" b="0"/>
            <wp:wrapSquare wrapText="bothSides"/>
            <wp:docPr id="1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BAB">
        <w:rPr>
          <w:b/>
          <w:noProof/>
        </w:rPr>
        <w:t xml:space="preserve">  </w:t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</w:r>
      <w:r w:rsidR="00414243">
        <w:rPr>
          <w:b/>
          <w:noProof/>
        </w:rPr>
        <w:tab/>
        <w:t xml:space="preserve">         </w:t>
      </w:r>
      <w:r w:rsidR="00414243">
        <w:rPr>
          <w:b/>
          <w:noProof/>
        </w:rPr>
        <w:tab/>
        <w:t xml:space="preserve">     </w:t>
      </w:r>
      <w:r w:rsidR="00BF00EA" w:rsidRPr="00414243">
        <w:t>G</w:t>
      </w:r>
      <w:r w:rsidR="00990BAB" w:rsidRPr="00414243">
        <w:t xml:space="preserve">raf </w:t>
      </w:r>
      <w:r w:rsidR="00580E4B">
        <w:t xml:space="preserve"> </w:t>
      </w:r>
      <w:r w:rsidR="00990BAB" w:rsidRPr="00414243">
        <w:t>1</w:t>
      </w:r>
      <w:r w:rsidR="00990832">
        <w:t>2</w:t>
      </w:r>
    </w:p>
    <w:p w:rsidR="00580E4B" w:rsidRDefault="00990BAB" w:rsidP="00E919FE">
      <w:pPr>
        <w:keepNext/>
        <w:spacing w:after="0"/>
        <w:rPr>
          <w:sz w:val="20"/>
        </w:rPr>
      </w:pPr>
      <w:r w:rsidRPr="00990832">
        <w:rPr>
          <w:sz w:val="18"/>
        </w:rPr>
        <w:t xml:space="preserve">  </w:t>
      </w:r>
      <w:r w:rsidR="00580E4B" w:rsidRPr="00990832">
        <w:rPr>
          <w:sz w:val="20"/>
        </w:rPr>
        <w:t>Prameň: NPPC-VÚEPP na základe údajov zo  ŠÚ SR,  MZ ČR, FAPA-PR, AKI-MR</w:t>
      </w:r>
    </w:p>
    <w:p w:rsidR="00E919FE" w:rsidRDefault="00E919FE" w:rsidP="00E919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2BCC">
        <w:rPr>
          <w:rFonts w:ascii="Times New Roman" w:hAnsi="Times New Roman" w:cs="Times New Roman"/>
          <w:sz w:val="20"/>
          <w:szCs w:val="20"/>
        </w:rPr>
        <w:t xml:space="preserve">Vypracoval: </w:t>
      </w:r>
      <w:r>
        <w:rPr>
          <w:rFonts w:ascii="Times New Roman" w:hAnsi="Times New Roman" w:cs="Times New Roman"/>
          <w:sz w:val="20"/>
          <w:szCs w:val="20"/>
        </w:rPr>
        <w:t>NPPC -</w:t>
      </w:r>
      <w:r w:rsidRPr="00452BCC">
        <w:rPr>
          <w:rFonts w:ascii="Times New Roman" w:hAnsi="Times New Roman" w:cs="Times New Roman"/>
          <w:sz w:val="20"/>
          <w:szCs w:val="20"/>
        </w:rPr>
        <w:t xml:space="preserve">VÚEPP  </w:t>
      </w:r>
    </w:p>
    <w:p w:rsidR="0094111B" w:rsidRDefault="0094111B" w:rsidP="0094111B">
      <w:pPr>
        <w:pStyle w:val="Zkladntext"/>
        <w:tabs>
          <w:tab w:val="left" w:pos="709"/>
        </w:tabs>
        <w:spacing w:after="60" w:line="320" w:lineRule="exact"/>
        <w:ind w:firstLine="709"/>
      </w:pPr>
    </w:p>
    <w:p w:rsidR="0094111B" w:rsidRPr="00973399" w:rsidRDefault="0094111B" w:rsidP="0094111B">
      <w:pPr>
        <w:pStyle w:val="Zkladntext"/>
        <w:tabs>
          <w:tab w:val="left" w:pos="709"/>
        </w:tabs>
        <w:spacing w:after="60" w:line="320" w:lineRule="exact"/>
        <w:ind w:firstLine="709"/>
      </w:pPr>
      <w:r w:rsidRPr="00973399">
        <w:t>Konkrétne ceny  slovenských výrobcov vybraných agrárnych komodít, odbytové ceny spracovateľov a spotrebiteľské ceny vybraných potravinárskych výrobkov  v porovnaní s Českom, Poľskom, Maďarskom a skupinou krajín EÚ v období rokov 2011-2014 sú uvedené v </w:t>
      </w:r>
      <w:proofErr w:type="spellStart"/>
      <w:r w:rsidRPr="00973399">
        <w:t>prílohových</w:t>
      </w:r>
      <w:proofErr w:type="spellEnd"/>
      <w:r w:rsidRPr="00973399">
        <w:t xml:space="preserve"> tabuľkách  </w:t>
      </w:r>
      <w:r>
        <w:t>36-39 v prílohe 10</w:t>
      </w:r>
      <w:r w:rsidRPr="00973399">
        <w:t>.</w:t>
      </w:r>
    </w:p>
    <w:p w:rsidR="00990BAB" w:rsidRPr="00BF00EA" w:rsidRDefault="00580E4B" w:rsidP="00580E4B">
      <w:pPr>
        <w:pStyle w:val="Zkladntext"/>
        <w:tabs>
          <w:tab w:val="left" w:pos="709"/>
        </w:tabs>
        <w:spacing w:after="60" w:line="320" w:lineRule="exact"/>
        <w:ind w:firstLine="709"/>
        <w:rPr>
          <w:sz w:val="20"/>
        </w:rPr>
      </w:pPr>
      <w:r w:rsidRPr="00630232">
        <w:t>.</w:t>
      </w:r>
    </w:p>
    <w:sectPr w:rsidR="00990BAB" w:rsidRPr="00BF00EA" w:rsidSect="00960595">
      <w:footerReference w:type="default" r:id="rId2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30" w:rsidRDefault="005C2730" w:rsidP="005B09E0">
      <w:pPr>
        <w:spacing w:after="0" w:line="240" w:lineRule="auto"/>
      </w:pPr>
      <w:r>
        <w:separator/>
      </w:r>
    </w:p>
  </w:endnote>
  <w:endnote w:type="continuationSeparator" w:id="0">
    <w:p w:rsidR="005C2730" w:rsidRDefault="005C2730" w:rsidP="005B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33" w:rsidRDefault="00ED5D63">
    <w:pPr>
      <w:pStyle w:val="Pta"/>
      <w:jc w:val="center"/>
    </w:pPr>
    <w:fldSimple w:instr=" PAGE   \* MERGEFORMAT ">
      <w:r w:rsidR="00C83300">
        <w:rPr>
          <w:noProof/>
        </w:rPr>
        <w:t>16</w:t>
      </w:r>
    </w:fldSimple>
  </w:p>
  <w:p w:rsidR="00EB6B33" w:rsidRDefault="00EB6B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30" w:rsidRDefault="005C2730" w:rsidP="005B09E0">
      <w:pPr>
        <w:spacing w:after="0" w:line="240" w:lineRule="auto"/>
      </w:pPr>
      <w:r>
        <w:separator/>
      </w:r>
    </w:p>
  </w:footnote>
  <w:footnote w:type="continuationSeparator" w:id="0">
    <w:p w:rsidR="005C2730" w:rsidRDefault="005C2730" w:rsidP="005B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F5A"/>
    <w:multiLevelType w:val="multilevel"/>
    <w:tmpl w:val="69B6EC4E"/>
    <w:styleLink w:val="M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64428A2"/>
    <w:multiLevelType w:val="multilevel"/>
    <w:tmpl w:val="B6AA2B22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42D2FA6"/>
    <w:multiLevelType w:val="multilevel"/>
    <w:tmpl w:val="AD9CADF0"/>
    <w:lvl w:ilvl="0">
      <w:start w:val="1"/>
      <w:numFmt w:val="decimal"/>
      <w:pStyle w:val="1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16"/>
        </w:tabs>
        <w:ind w:left="3484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540935D4"/>
    <w:multiLevelType w:val="hybridMultilevel"/>
    <w:tmpl w:val="7D28E1BC"/>
    <w:lvl w:ilvl="0" w:tplc="E5F0D2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535098"/>
    <w:multiLevelType w:val="hybridMultilevel"/>
    <w:tmpl w:val="4570561C"/>
    <w:lvl w:ilvl="0" w:tplc="E5F0D2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B85529"/>
    <w:multiLevelType w:val="hybridMultilevel"/>
    <w:tmpl w:val="966EA88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EF31A1"/>
    <w:multiLevelType w:val="hybridMultilevel"/>
    <w:tmpl w:val="6276E91E"/>
    <w:lvl w:ilvl="0" w:tplc="35008E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4706F"/>
    <w:multiLevelType w:val="hybridMultilevel"/>
    <w:tmpl w:val="D5363A86"/>
    <w:lvl w:ilvl="0" w:tplc="A64A0994">
      <w:start w:val="1"/>
      <w:numFmt w:val="decimal"/>
      <w:pStyle w:val="Nadpis2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15795"/>
    <w:multiLevelType w:val="hybridMultilevel"/>
    <w:tmpl w:val="8BF25F9E"/>
    <w:lvl w:ilvl="0" w:tplc="ABF4431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2E7D3D"/>
    <w:multiLevelType w:val="hybridMultilevel"/>
    <w:tmpl w:val="A82E7BA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EA7"/>
    <w:rsid w:val="00001F20"/>
    <w:rsid w:val="00007717"/>
    <w:rsid w:val="00016E08"/>
    <w:rsid w:val="00021A3A"/>
    <w:rsid w:val="00030DD0"/>
    <w:rsid w:val="00035A2D"/>
    <w:rsid w:val="000400F8"/>
    <w:rsid w:val="00042FC4"/>
    <w:rsid w:val="00046871"/>
    <w:rsid w:val="00055582"/>
    <w:rsid w:val="00063914"/>
    <w:rsid w:val="000705B2"/>
    <w:rsid w:val="0007163A"/>
    <w:rsid w:val="00076901"/>
    <w:rsid w:val="00077A88"/>
    <w:rsid w:val="00091217"/>
    <w:rsid w:val="00096B85"/>
    <w:rsid w:val="000A36EC"/>
    <w:rsid w:val="000B1A7F"/>
    <w:rsid w:val="000B2F8F"/>
    <w:rsid w:val="000C4C8F"/>
    <w:rsid w:val="000C7888"/>
    <w:rsid w:val="000D5372"/>
    <w:rsid w:val="000E11B4"/>
    <w:rsid w:val="000E4BC2"/>
    <w:rsid w:val="00100ECF"/>
    <w:rsid w:val="0012096F"/>
    <w:rsid w:val="00124203"/>
    <w:rsid w:val="0013042F"/>
    <w:rsid w:val="001305F3"/>
    <w:rsid w:val="00145FC6"/>
    <w:rsid w:val="00151B0F"/>
    <w:rsid w:val="001672A3"/>
    <w:rsid w:val="001745C6"/>
    <w:rsid w:val="00181ED4"/>
    <w:rsid w:val="00187B7F"/>
    <w:rsid w:val="001B5BD3"/>
    <w:rsid w:val="001C01CB"/>
    <w:rsid w:val="001C393C"/>
    <w:rsid w:val="001D4BBF"/>
    <w:rsid w:val="001D6E27"/>
    <w:rsid w:val="001E06F2"/>
    <w:rsid w:val="001E3597"/>
    <w:rsid w:val="001F4910"/>
    <w:rsid w:val="00206909"/>
    <w:rsid w:val="002137D8"/>
    <w:rsid w:val="00220B7B"/>
    <w:rsid w:val="00225D38"/>
    <w:rsid w:val="00236E1F"/>
    <w:rsid w:val="00250C98"/>
    <w:rsid w:val="002561A9"/>
    <w:rsid w:val="002631A0"/>
    <w:rsid w:val="00264A9B"/>
    <w:rsid w:val="002650FB"/>
    <w:rsid w:val="002655B5"/>
    <w:rsid w:val="00266D9D"/>
    <w:rsid w:val="00276CDF"/>
    <w:rsid w:val="002950C2"/>
    <w:rsid w:val="002A4BD6"/>
    <w:rsid w:val="002A6E13"/>
    <w:rsid w:val="002B380F"/>
    <w:rsid w:val="002B5655"/>
    <w:rsid w:val="002B7879"/>
    <w:rsid w:val="002D3EB3"/>
    <w:rsid w:val="002F1AFC"/>
    <w:rsid w:val="002F40F2"/>
    <w:rsid w:val="002F4250"/>
    <w:rsid w:val="003003D5"/>
    <w:rsid w:val="00305C09"/>
    <w:rsid w:val="00313518"/>
    <w:rsid w:val="00322B42"/>
    <w:rsid w:val="00325CF6"/>
    <w:rsid w:val="00333CAA"/>
    <w:rsid w:val="00333DD4"/>
    <w:rsid w:val="003357F4"/>
    <w:rsid w:val="00336C48"/>
    <w:rsid w:val="0034202E"/>
    <w:rsid w:val="00363C91"/>
    <w:rsid w:val="00372225"/>
    <w:rsid w:val="0037374D"/>
    <w:rsid w:val="00393EED"/>
    <w:rsid w:val="0039651E"/>
    <w:rsid w:val="003A0252"/>
    <w:rsid w:val="003A0903"/>
    <w:rsid w:val="003A6B4B"/>
    <w:rsid w:val="003B0A15"/>
    <w:rsid w:val="003B303F"/>
    <w:rsid w:val="003B6810"/>
    <w:rsid w:val="003C4673"/>
    <w:rsid w:val="003C7F37"/>
    <w:rsid w:val="003D4187"/>
    <w:rsid w:val="003D49CA"/>
    <w:rsid w:val="003D4E92"/>
    <w:rsid w:val="003D5663"/>
    <w:rsid w:val="003D76EB"/>
    <w:rsid w:val="003D7BFA"/>
    <w:rsid w:val="003E234C"/>
    <w:rsid w:val="003E2583"/>
    <w:rsid w:val="003E4F6C"/>
    <w:rsid w:val="003E5465"/>
    <w:rsid w:val="003E6FCC"/>
    <w:rsid w:val="003F5BB6"/>
    <w:rsid w:val="00403691"/>
    <w:rsid w:val="00410225"/>
    <w:rsid w:val="00414243"/>
    <w:rsid w:val="004159BB"/>
    <w:rsid w:val="00427600"/>
    <w:rsid w:val="00434B3D"/>
    <w:rsid w:val="00451ECE"/>
    <w:rsid w:val="0046264E"/>
    <w:rsid w:val="00462B03"/>
    <w:rsid w:val="00465DB2"/>
    <w:rsid w:val="004700A9"/>
    <w:rsid w:val="004760F4"/>
    <w:rsid w:val="00482906"/>
    <w:rsid w:val="00484464"/>
    <w:rsid w:val="0048483F"/>
    <w:rsid w:val="00487043"/>
    <w:rsid w:val="004A2955"/>
    <w:rsid w:val="004A7BE5"/>
    <w:rsid w:val="004B08D9"/>
    <w:rsid w:val="004B3A47"/>
    <w:rsid w:val="004C4D93"/>
    <w:rsid w:val="004C6AAA"/>
    <w:rsid w:val="004D5F1A"/>
    <w:rsid w:val="004E3577"/>
    <w:rsid w:val="004F0753"/>
    <w:rsid w:val="005044F9"/>
    <w:rsid w:val="00504E2E"/>
    <w:rsid w:val="00506F3A"/>
    <w:rsid w:val="00512045"/>
    <w:rsid w:val="00515615"/>
    <w:rsid w:val="00525686"/>
    <w:rsid w:val="00534F78"/>
    <w:rsid w:val="005445B7"/>
    <w:rsid w:val="0054687F"/>
    <w:rsid w:val="00580E4B"/>
    <w:rsid w:val="005927B4"/>
    <w:rsid w:val="00595F9F"/>
    <w:rsid w:val="005A5DCB"/>
    <w:rsid w:val="005A6B19"/>
    <w:rsid w:val="005B09E0"/>
    <w:rsid w:val="005C2730"/>
    <w:rsid w:val="005C5781"/>
    <w:rsid w:val="005C684A"/>
    <w:rsid w:val="005D55C6"/>
    <w:rsid w:val="005D6944"/>
    <w:rsid w:val="005E00D1"/>
    <w:rsid w:val="005F114F"/>
    <w:rsid w:val="005F3B9D"/>
    <w:rsid w:val="00605C64"/>
    <w:rsid w:val="00630232"/>
    <w:rsid w:val="00635920"/>
    <w:rsid w:val="0065204A"/>
    <w:rsid w:val="00655B1A"/>
    <w:rsid w:val="00657863"/>
    <w:rsid w:val="00662EC8"/>
    <w:rsid w:val="00664FFE"/>
    <w:rsid w:val="00685748"/>
    <w:rsid w:val="006912BC"/>
    <w:rsid w:val="00691F07"/>
    <w:rsid w:val="006A1ADB"/>
    <w:rsid w:val="006A4B30"/>
    <w:rsid w:val="006A7019"/>
    <w:rsid w:val="006B20CA"/>
    <w:rsid w:val="006B3BF7"/>
    <w:rsid w:val="006D0CF6"/>
    <w:rsid w:val="006E56B1"/>
    <w:rsid w:val="00702121"/>
    <w:rsid w:val="0071211C"/>
    <w:rsid w:val="007165B3"/>
    <w:rsid w:val="00717A72"/>
    <w:rsid w:val="0072257F"/>
    <w:rsid w:val="007258EA"/>
    <w:rsid w:val="00730FD1"/>
    <w:rsid w:val="00734FC1"/>
    <w:rsid w:val="00735361"/>
    <w:rsid w:val="0073635B"/>
    <w:rsid w:val="0073728D"/>
    <w:rsid w:val="0074108E"/>
    <w:rsid w:val="007448B1"/>
    <w:rsid w:val="0075322D"/>
    <w:rsid w:val="00762560"/>
    <w:rsid w:val="00764AEC"/>
    <w:rsid w:val="007652B8"/>
    <w:rsid w:val="0079044A"/>
    <w:rsid w:val="00791228"/>
    <w:rsid w:val="007925C7"/>
    <w:rsid w:val="00796F45"/>
    <w:rsid w:val="007B4676"/>
    <w:rsid w:val="007C35BE"/>
    <w:rsid w:val="007C7E3F"/>
    <w:rsid w:val="007E00F2"/>
    <w:rsid w:val="007E2D1D"/>
    <w:rsid w:val="007E38B0"/>
    <w:rsid w:val="007E41B5"/>
    <w:rsid w:val="008008B3"/>
    <w:rsid w:val="0080123E"/>
    <w:rsid w:val="00801B25"/>
    <w:rsid w:val="00803C31"/>
    <w:rsid w:val="008166FC"/>
    <w:rsid w:val="008171F6"/>
    <w:rsid w:val="008232BC"/>
    <w:rsid w:val="0082363A"/>
    <w:rsid w:val="00830971"/>
    <w:rsid w:val="00830981"/>
    <w:rsid w:val="0084282C"/>
    <w:rsid w:val="00861092"/>
    <w:rsid w:val="008621EA"/>
    <w:rsid w:val="0086285B"/>
    <w:rsid w:val="0086297B"/>
    <w:rsid w:val="008638AA"/>
    <w:rsid w:val="008703FE"/>
    <w:rsid w:val="00884532"/>
    <w:rsid w:val="0089739A"/>
    <w:rsid w:val="008A7E45"/>
    <w:rsid w:val="008B3AFA"/>
    <w:rsid w:val="008B7D13"/>
    <w:rsid w:val="008D66B6"/>
    <w:rsid w:val="008E094D"/>
    <w:rsid w:val="008E4A17"/>
    <w:rsid w:val="00906611"/>
    <w:rsid w:val="00917E2E"/>
    <w:rsid w:val="00921B8C"/>
    <w:rsid w:val="009356F6"/>
    <w:rsid w:val="00936DAE"/>
    <w:rsid w:val="0094111B"/>
    <w:rsid w:val="00944A42"/>
    <w:rsid w:val="009460A5"/>
    <w:rsid w:val="00947F18"/>
    <w:rsid w:val="00960595"/>
    <w:rsid w:val="00965902"/>
    <w:rsid w:val="00970D12"/>
    <w:rsid w:val="00977AA6"/>
    <w:rsid w:val="009828BD"/>
    <w:rsid w:val="009834A2"/>
    <w:rsid w:val="00990832"/>
    <w:rsid w:val="00990BAB"/>
    <w:rsid w:val="00991C46"/>
    <w:rsid w:val="009943C2"/>
    <w:rsid w:val="009A1CCA"/>
    <w:rsid w:val="009B22FB"/>
    <w:rsid w:val="009B237C"/>
    <w:rsid w:val="009B54B3"/>
    <w:rsid w:val="009C6092"/>
    <w:rsid w:val="009C70EF"/>
    <w:rsid w:val="009D24C9"/>
    <w:rsid w:val="009D6BC0"/>
    <w:rsid w:val="009E4DCA"/>
    <w:rsid w:val="00A22607"/>
    <w:rsid w:val="00A361DB"/>
    <w:rsid w:val="00A371AF"/>
    <w:rsid w:val="00A4152E"/>
    <w:rsid w:val="00A45443"/>
    <w:rsid w:val="00A55662"/>
    <w:rsid w:val="00A664F3"/>
    <w:rsid w:val="00A74B0D"/>
    <w:rsid w:val="00A817D1"/>
    <w:rsid w:val="00A84E71"/>
    <w:rsid w:val="00A91002"/>
    <w:rsid w:val="00A924E6"/>
    <w:rsid w:val="00A941B3"/>
    <w:rsid w:val="00AA46BE"/>
    <w:rsid w:val="00AB1789"/>
    <w:rsid w:val="00AB2350"/>
    <w:rsid w:val="00AB4BBB"/>
    <w:rsid w:val="00AC0D23"/>
    <w:rsid w:val="00AE3082"/>
    <w:rsid w:val="00AF09A7"/>
    <w:rsid w:val="00B05B77"/>
    <w:rsid w:val="00B062C6"/>
    <w:rsid w:val="00B07BE8"/>
    <w:rsid w:val="00B15FE8"/>
    <w:rsid w:val="00B32424"/>
    <w:rsid w:val="00B4087E"/>
    <w:rsid w:val="00B4512E"/>
    <w:rsid w:val="00B4575F"/>
    <w:rsid w:val="00B56648"/>
    <w:rsid w:val="00BA2B86"/>
    <w:rsid w:val="00BC221D"/>
    <w:rsid w:val="00BC2D8C"/>
    <w:rsid w:val="00BD3701"/>
    <w:rsid w:val="00BE1427"/>
    <w:rsid w:val="00BE3107"/>
    <w:rsid w:val="00BF00EA"/>
    <w:rsid w:val="00BF14E5"/>
    <w:rsid w:val="00C0458A"/>
    <w:rsid w:val="00C0621E"/>
    <w:rsid w:val="00C13F8D"/>
    <w:rsid w:val="00C16F9D"/>
    <w:rsid w:val="00C17509"/>
    <w:rsid w:val="00C175AB"/>
    <w:rsid w:val="00C17961"/>
    <w:rsid w:val="00C26379"/>
    <w:rsid w:val="00C300A1"/>
    <w:rsid w:val="00C376EA"/>
    <w:rsid w:val="00C67918"/>
    <w:rsid w:val="00C70A75"/>
    <w:rsid w:val="00C758E7"/>
    <w:rsid w:val="00C7623C"/>
    <w:rsid w:val="00C808F3"/>
    <w:rsid w:val="00C816E4"/>
    <w:rsid w:val="00C8313E"/>
    <w:rsid w:val="00C83300"/>
    <w:rsid w:val="00C9393C"/>
    <w:rsid w:val="00CA418A"/>
    <w:rsid w:val="00CD2C08"/>
    <w:rsid w:val="00CD6B60"/>
    <w:rsid w:val="00CE7E89"/>
    <w:rsid w:val="00D0056A"/>
    <w:rsid w:val="00D1783D"/>
    <w:rsid w:val="00D31615"/>
    <w:rsid w:val="00D40982"/>
    <w:rsid w:val="00D42805"/>
    <w:rsid w:val="00D51F9A"/>
    <w:rsid w:val="00D56BD6"/>
    <w:rsid w:val="00D57623"/>
    <w:rsid w:val="00D60AFF"/>
    <w:rsid w:val="00D6381F"/>
    <w:rsid w:val="00D65CB7"/>
    <w:rsid w:val="00D67447"/>
    <w:rsid w:val="00D675EA"/>
    <w:rsid w:val="00D745CA"/>
    <w:rsid w:val="00D85916"/>
    <w:rsid w:val="00D91262"/>
    <w:rsid w:val="00DA27A8"/>
    <w:rsid w:val="00DA4EEC"/>
    <w:rsid w:val="00DA71AE"/>
    <w:rsid w:val="00DB16F1"/>
    <w:rsid w:val="00DB4B55"/>
    <w:rsid w:val="00DB5323"/>
    <w:rsid w:val="00DB745E"/>
    <w:rsid w:val="00DC40E8"/>
    <w:rsid w:val="00DD3088"/>
    <w:rsid w:val="00DE177E"/>
    <w:rsid w:val="00E01473"/>
    <w:rsid w:val="00E07185"/>
    <w:rsid w:val="00E10528"/>
    <w:rsid w:val="00E3495C"/>
    <w:rsid w:val="00E41238"/>
    <w:rsid w:val="00E41D88"/>
    <w:rsid w:val="00E4298D"/>
    <w:rsid w:val="00E50F68"/>
    <w:rsid w:val="00E663A7"/>
    <w:rsid w:val="00E70C7E"/>
    <w:rsid w:val="00E757BF"/>
    <w:rsid w:val="00E847CD"/>
    <w:rsid w:val="00E847D2"/>
    <w:rsid w:val="00E852E2"/>
    <w:rsid w:val="00E85B3F"/>
    <w:rsid w:val="00E85FB7"/>
    <w:rsid w:val="00E86F53"/>
    <w:rsid w:val="00E919FE"/>
    <w:rsid w:val="00E9410C"/>
    <w:rsid w:val="00EA44F3"/>
    <w:rsid w:val="00EB5C94"/>
    <w:rsid w:val="00EB6B33"/>
    <w:rsid w:val="00ED0141"/>
    <w:rsid w:val="00ED029A"/>
    <w:rsid w:val="00ED1E49"/>
    <w:rsid w:val="00ED21DF"/>
    <w:rsid w:val="00ED5D63"/>
    <w:rsid w:val="00EE41E0"/>
    <w:rsid w:val="00EF05CE"/>
    <w:rsid w:val="00EF339D"/>
    <w:rsid w:val="00EF5409"/>
    <w:rsid w:val="00EF7462"/>
    <w:rsid w:val="00F167E9"/>
    <w:rsid w:val="00F230CC"/>
    <w:rsid w:val="00F30EC5"/>
    <w:rsid w:val="00F31641"/>
    <w:rsid w:val="00F338F7"/>
    <w:rsid w:val="00F44890"/>
    <w:rsid w:val="00F5003B"/>
    <w:rsid w:val="00F5665D"/>
    <w:rsid w:val="00F57E81"/>
    <w:rsid w:val="00FA5618"/>
    <w:rsid w:val="00FB2DBC"/>
    <w:rsid w:val="00FC5939"/>
    <w:rsid w:val="00FC71B0"/>
    <w:rsid w:val="00FD072F"/>
    <w:rsid w:val="00FD1C85"/>
    <w:rsid w:val="00FD5AD1"/>
    <w:rsid w:val="00FE1EA7"/>
    <w:rsid w:val="00FE4392"/>
    <w:rsid w:val="00FE4538"/>
    <w:rsid w:val="00FE7071"/>
    <w:rsid w:val="00FF5676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1942]" stroke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082"/>
    <w:pPr>
      <w:spacing w:after="120" w:line="320" w:lineRule="exact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30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DD3088"/>
    <w:pPr>
      <w:keepNext/>
      <w:keepLines/>
      <w:numPr>
        <w:numId w:val="3"/>
      </w:numPr>
      <w:spacing w:before="200" w:after="0"/>
      <w:outlineLvl w:val="1"/>
    </w:pPr>
    <w:rPr>
      <w:rFonts w:ascii="Arial" w:eastAsia="Times New Roman" w:hAnsi="Arial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308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308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308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308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308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3088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308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30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D3088"/>
    <w:rPr>
      <w:rFonts w:ascii="Arial" w:eastAsia="Times New Roman" w:hAnsi="Arial"/>
      <w:b/>
      <w:bCs/>
      <w:color w:val="4F81BD"/>
      <w:sz w:val="26"/>
      <w:szCs w:val="26"/>
      <w:lang w:val="en-US" w:eastAsia="en-US"/>
    </w:rPr>
  </w:style>
  <w:style w:type="paragraph" w:styleId="Bezriadkovania">
    <w:name w:val="No Spacing"/>
    <w:link w:val="BezriadkovaniaChar"/>
    <w:uiPriority w:val="1"/>
    <w:qFormat/>
    <w:rsid w:val="00DD3088"/>
    <w:rPr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3088"/>
    <w:rPr>
      <w:rFonts w:ascii="Cambria" w:eastAsia="Times New Roman" w:hAnsi="Cambria" w:cs="Times New Roman"/>
      <w:b/>
      <w:bCs/>
      <w:color w:val="4F81BD"/>
    </w:rPr>
  </w:style>
  <w:style w:type="numbering" w:customStyle="1" w:styleId="tl1">
    <w:name w:val="Štýl1"/>
    <w:uiPriority w:val="99"/>
    <w:rsid w:val="00DD3088"/>
    <w:pPr>
      <w:numPr>
        <w:numId w:val="1"/>
      </w:numPr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DD308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3088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3088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3088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308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308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D3088"/>
    <w:pPr>
      <w:spacing w:line="240" w:lineRule="auto"/>
    </w:pPr>
    <w:rPr>
      <w:b/>
      <w:bCs/>
      <w:color w:val="4F81BD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D308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D30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308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D308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DD3088"/>
    <w:rPr>
      <w:b/>
      <w:bCs/>
    </w:rPr>
  </w:style>
  <w:style w:type="character" w:styleId="Zvraznenie">
    <w:name w:val="Emphasis"/>
    <w:basedOn w:val="Predvolenpsmoodseku"/>
    <w:uiPriority w:val="20"/>
    <w:qFormat/>
    <w:rsid w:val="00DD308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DD3088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D3088"/>
    <w:rPr>
      <w:i/>
      <w:iCs/>
      <w:color w:val="000000"/>
    </w:rPr>
  </w:style>
  <w:style w:type="character" w:customStyle="1" w:styleId="CitciaChar">
    <w:name w:val="Citácia Char"/>
    <w:basedOn w:val="Predvolenpsmoodseku"/>
    <w:link w:val="Citcia"/>
    <w:uiPriority w:val="29"/>
    <w:rsid w:val="00DD3088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30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3088"/>
    <w:rPr>
      <w:b/>
      <w:bCs/>
      <w:i/>
      <w:iCs/>
      <w:color w:val="4F81BD"/>
    </w:rPr>
  </w:style>
  <w:style w:type="character" w:styleId="Jemnzvraznenie">
    <w:name w:val="Subtle Emphasis"/>
    <w:basedOn w:val="Predvolenpsmoodseku"/>
    <w:uiPriority w:val="19"/>
    <w:qFormat/>
    <w:rsid w:val="00DD3088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DD3088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qFormat/>
    <w:rsid w:val="00DD3088"/>
    <w:rPr>
      <w:smallCaps/>
      <w:color w:val="C0504D"/>
      <w:u w:val="single"/>
    </w:rPr>
  </w:style>
  <w:style w:type="character" w:styleId="Intenzvnyodkaz">
    <w:name w:val="Intense Reference"/>
    <w:basedOn w:val="Predvolenpsmoodseku"/>
    <w:uiPriority w:val="32"/>
    <w:qFormat/>
    <w:rsid w:val="00DD3088"/>
    <w:rPr>
      <w:b/>
      <w:bCs/>
      <w:smallCaps/>
      <w:color w:val="C0504D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DD3088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DD3088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D3088"/>
    <w:rPr>
      <w:sz w:val="22"/>
      <w:szCs w:val="22"/>
      <w:lang w:val="sk-SK" w:eastAsia="en-US" w:bidi="ar-SA"/>
    </w:rPr>
  </w:style>
  <w:style w:type="numbering" w:customStyle="1" w:styleId="M1">
    <w:name w:val="M1"/>
    <w:uiPriority w:val="99"/>
    <w:rsid w:val="00DD3088"/>
    <w:pPr>
      <w:numPr>
        <w:numId w:val="2"/>
      </w:numPr>
    </w:pPr>
  </w:style>
  <w:style w:type="paragraph" w:customStyle="1" w:styleId="1">
    <w:name w:val="1"/>
    <w:basedOn w:val="Odsekzoznamu"/>
    <w:link w:val="1Char"/>
    <w:qFormat/>
    <w:rsid w:val="00FA5618"/>
    <w:pPr>
      <w:numPr>
        <w:numId w:val="4"/>
      </w:numPr>
    </w:pPr>
    <w:rPr>
      <w:b/>
    </w:rPr>
  </w:style>
  <w:style w:type="paragraph" w:customStyle="1" w:styleId="2">
    <w:name w:val="2"/>
    <w:basedOn w:val="Odsekzoznamu"/>
    <w:link w:val="2Char"/>
    <w:qFormat/>
    <w:rsid w:val="00FA5618"/>
    <w:pPr>
      <w:numPr>
        <w:ilvl w:val="1"/>
        <w:numId w:val="4"/>
      </w:numPr>
    </w:pPr>
    <w:rPr>
      <w:b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D3088"/>
  </w:style>
  <w:style w:type="character" w:customStyle="1" w:styleId="1Char">
    <w:name w:val="1 Char"/>
    <w:basedOn w:val="OdsekzoznamuChar"/>
    <w:link w:val="1"/>
    <w:rsid w:val="00FA5618"/>
    <w:rPr>
      <w:rFonts w:ascii="Times New Roman" w:hAnsi="Times New Roman"/>
      <w:b/>
      <w:sz w:val="24"/>
      <w:szCs w:val="22"/>
      <w:lang w:eastAsia="en-US"/>
    </w:rPr>
  </w:style>
  <w:style w:type="paragraph" w:customStyle="1" w:styleId="3">
    <w:name w:val="3"/>
    <w:basedOn w:val="Odsekzoznamu"/>
    <w:link w:val="3Char"/>
    <w:qFormat/>
    <w:rsid w:val="0007163A"/>
    <w:pPr>
      <w:numPr>
        <w:ilvl w:val="2"/>
        <w:numId w:val="4"/>
      </w:numPr>
    </w:pPr>
    <w:rPr>
      <w:b/>
    </w:rPr>
  </w:style>
  <w:style w:type="character" w:customStyle="1" w:styleId="2Char">
    <w:name w:val="2 Char"/>
    <w:basedOn w:val="OdsekzoznamuChar"/>
    <w:link w:val="2"/>
    <w:rsid w:val="00FA5618"/>
    <w:rPr>
      <w:rFonts w:ascii="Times New Roman" w:hAnsi="Times New Roman"/>
      <w:b/>
      <w:sz w:val="24"/>
      <w:szCs w:val="22"/>
      <w:lang w:eastAsia="en-US"/>
    </w:rPr>
  </w:style>
  <w:style w:type="paragraph" w:customStyle="1" w:styleId="4">
    <w:name w:val="4"/>
    <w:basedOn w:val="Odsekzoznamu"/>
    <w:link w:val="4Char"/>
    <w:qFormat/>
    <w:rsid w:val="00FA5618"/>
    <w:pPr>
      <w:numPr>
        <w:ilvl w:val="3"/>
        <w:numId w:val="4"/>
      </w:numPr>
    </w:pPr>
  </w:style>
  <w:style w:type="character" w:customStyle="1" w:styleId="3Char">
    <w:name w:val="3 Char"/>
    <w:basedOn w:val="OdsekzoznamuChar"/>
    <w:link w:val="3"/>
    <w:rsid w:val="0007163A"/>
    <w:rPr>
      <w:rFonts w:ascii="Times New Roman" w:hAnsi="Times New Roman"/>
      <w:b/>
      <w:sz w:val="24"/>
      <w:szCs w:val="22"/>
      <w:lang w:eastAsia="en-US"/>
    </w:rPr>
  </w:style>
  <w:style w:type="paragraph" w:customStyle="1" w:styleId="5">
    <w:name w:val="5"/>
    <w:basedOn w:val="Odsekzoznamu"/>
    <w:link w:val="5Char"/>
    <w:qFormat/>
    <w:rsid w:val="00FA5618"/>
    <w:pPr>
      <w:numPr>
        <w:ilvl w:val="4"/>
        <w:numId w:val="4"/>
      </w:numPr>
    </w:pPr>
  </w:style>
  <w:style w:type="character" w:customStyle="1" w:styleId="4Char">
    <w:name w:val="4 Char"/>
    <w:basedOn w:val="OdsekzoznamuChar"/>
    <w:link w:val="4"/>
    <w:rsid w:val="00FA5618"/>
    <w:rPr>
      <w:rFonts w:ascii="Times New Roman" w:hAnsi="Times New Roman"/>
      <w:sz w:val="24"/>
      <w:szCs w:val="22"/>
      <w:lang w:eastAsia="en-US"/>
    </w:rPr>
  </w:style>
  <w:style w:type="paragraph" w:customStyle="1" w:styleId="6">
    <w:name w:val="6"/>
    <w:basedOn w:val="Odsekzoznamu"/>
    <w:link w:val="6Char"/>
    <w:qFormat/>
    <w:rsid w:val="00C808F3"/>
    <w:pPr>
      <w:numPr>
        <w:ilvl w:val="5"/>
        <w:numId w:val="4"/>
      </w:numPr>
    </w:pPr>
  </w:style>
  <w:style w:type="character" w:customStyle="1" w:styleId="5Char">
    <w:name w:val="5 Char"/>
    <w:basedOn w:val="OdsekzoznamuChar"/>
    <w:link w:val="5"/>
    <w:rsid w:val="00FA5618"/>
    <w:rPr>
      <w:rFonts w:ascii="Times New Roman" w:hAnsi="Times New Roman"/>
      <w:sz w:val="24"/>
      <w:szCs w:val="22"/>
      <w:lang w:eastAsia="en-US"/>
    </w:rPr>
  </w:style>
  <w:style w:type="paragraph" w:customStyle="1" w:styleId="7">
    <w:name w:val="7"/>
    <w:basedOn w:val="Odsekzoznamu"/>
    <w:link w:val="7Char"/>
    <w:qFormat/>
    <w:rsid w:val="00DD3088"/>
    <w:pPr>
      <w:numPr>
        <w:ilvl w:val="6"/>
        <w:numId w:val="4"/>
      </w:numPr>
    </w:pPr>
  </w:style>
  <w:style w:type="character" w:customStyle="1" w:styleId="6Char">
    <w:name w:val="6 Char"/>
    <w:basedOn w:val="OdsekzoznamuChar"/>
    <w:link w:val="6"/>
    <w:rsid w:val="00C808F3"/>
    <w:rPr>
      <w:rFonts w:ascii="Times New Roman" w:hAnsi="Times New Roman"/>
      <w:sz w:val="24"/>
      <w:szCs w:val="22"/>
      <w:lang w:eastAsia="en-US"/>
    </w:rPr>
  </w:style>
  <w:style w:type="paragraph" w:customStyle="1" w:styleId="8">
    <w:name w:val="8"/>
    <w:basedOn w:val="Odsekzoznamu"/>
    <w:link w:val="8Char"/>
    <w:qFormat/>
    <w:rsid w:val="00DD3088"/>
    <w:pPr>
      <w:numPr>
        <w:ilvl w:val="7"/>
        <w:numId w:val="4"/>
      </w:numPr>
    </w:pPr>
  </w:style>
  <w:style w:type="character" w:customStyle="1" w:styleId="7Char">
    <w:name w:val="7 Char"/>
    <w:basedOn w:val="OdsekzoznamuChar"/>
    <w:link w:val="7"/>
    <w:rsid w:val="00DD3088"/>
    <w:rPr>
      <w:rFonts w:ascii="Times New Roman" w:hAnsi="Times New Roman"/>
      <w:sz w:val="24"/>
      <w:szCs w:val="22"/>
      <w:lang w:eastAsia="en-US"/>
    </w:rPr>
  </w:style>
  <w:style w:type="character" w:customStyle="1" w:styleId="8Char">
    <w:name w:val="8 Char"/>
    <w:basedOn w:val="OdsekzoznamuChar"/>
    <w:link w:val="8"/>
    <w:rsid w:val="00DD3088"/>
    <w:rPr>
      <w:rFonts w:ascii="Times New Roman" w:hAnsi="Times New Roman"/>
      <w:sz w:val="24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5B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B09E0"/>
  </w:style>
  <w:style w:type="paragraph" w:styleId="Pta">
    <w:name w:val="footer"/>
    <w:basedOn w:val="Normlny"/>
    <w:link w:val="PtaChar"/>
    <w:uiPriority w:val="99"/>
    <w:unhideWhenUsed/>
    <w:rsid w:val="005B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09E0"/>
  </w:style>
  <w:style w:type="paragraph" w:styleId="Textbubliny">
    <w:name w:val="Balloon Text"/>
    <w:basedOn w:val="Normlny"/>
    <w:link w:val="TextbublinyChar"/>
    <w:uiPriority w:val="99"/>
    <w:semiHidden/>
    <w:unhideWhenUsed/>
    <w:rsid w:val="00F5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65D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unhideWhenUsed/>
    <w:rsid w:val="00434B3D"/>
    <w:pPr>
      <w:spacing w:before="240"/>
    </w:pPr>
    <w:rPr>
      <w:rFonts w:cs="Calibri"/>
      <w:b/>
      <w:bCs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960595"/>
    <w:pPr>
      <w:tabs>
        <w:tab w:val="left" w:pos="880"/>
        <w:tab w:val="right" w:leader="dot" w:pos="9062"/>
      </w:tabs>
      <w:spacing w:before="120" w:after="0"/>
      <w:ind w:left="220" w:hanging="220"/>
    </w:pPr>
    <w:rPr>
      <w:rFonts w:cs="Calibri"/>
      <w:i/>
      <w:iCs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6E56B1"/>
    <w:pPr>
      <w:spacing w:after="0"/>
      <w:ind w:left="440"/>
    </w:pPr>
    <w:rPr>
      <w:rFonts w:cs="Calibri"/>
      <w:i/>
      <w:szCs w:val="20"/>
    </w:rPr>
  </w:style>
  <w:style w:type="character" w:styleId="Hypertextovprepojenie">
    <w:name w:val="Hyperlink"/>
    <w:basedOn w:val="Predvolenpsmoodseku"/>
    <w:uiPriority w:val="99"/>
    <w:unhideWhenUsed/>
    <w:rsid w:val="003E2583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unhideWhenUsed/>
    <w:rsid w:val="003E2583"/>
    <w:pPr>
      <w:spacing w:after="0"/>
      <w:ind w:left="660"/>
    </w:pPr>
    <w:rPr>
      <w:rFonts w:cs="Calibr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3E2583"/>
    <w:pPr>
      <w:spacing w:after="0"/>
      <w:ind w:left="880"/>
    </w:pPr>
    <w:rPr>
      <w:rFonts w:cs="Calibr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3E2583"/>
    <w:pPr>
      <w:spacing w:after="0"/>
      <w:ind w:left="1100"/>
    </w:pPr>
    <w:rPr>
      <w:rFonts w:cs="Calibr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3E2583"/>
    <w:pPr>
      <w:spacing w:after="0"/>
      <w:ind w:left="1320"/>
    </w:pPr>
    <w:rPr>
      <w:rFonts w:cs="Calibr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3E2583"/>
    <w:pPr>
      <w:spacing w:after="0"/>
      <w:ind w:left="1540"/>
    </w:pPr>
    <w:rPr>
      <w:rFonts w:cs="Calibr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3E2583"/>
    <w:pPr>
      <w:spacing w:after="0"/>
      <w:ind w:left="1760"/>
    </w:pPr>
    <w:rPr>
      <w:rFonts w:cs="Calibri"/>
      <w:sz w:val="20"/>
      <w:szCs w:val="20"/>
    </w:rPr>
  </w:style>
  <w:style w:type="paragraph" w:customStyle="1" w:styleId="xl26">
    <w:name w:val="xl26"/>
    <w:basedOn w:val="Normlny"/>
    <w:rsid w:val="00ED0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/>
      <w:b/>
      <w:bCs/>
      <w:sz w:val="22"/>
      <w:lang w:eastAsia="sk-SK"/>
    </w:rPr>
  </w:style>
  <w:style w:type="character" w:customStyle="1" w:styleId="google-src-text1">
    <w:name w:val="google-src-text1"/>
    <w:basedOn w:val="Predvolenpsmoodseku"/>
    <w:rsid w:val="008638AA"/>
    <w:rPr>
      <w:vanish/>
      <w:webHidden w:val="0"/>
    </w:rPr>
  </w:style>
  <w:style w:type="paragraph" w:customStyle="1" w:styleId="Default">
    <w:name w:val="Default"/>
    <w:rsid w:val="006B20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">
    <w:name w:val="Body Text"/>
    <w:aliases w:val="b,Body Text 1,bt,BT (body text),ICL Body Text,Quote"/>
    <w:basedOn w:val="Normlny"/>
    <w:link w:val="ZkladntextChar"/>
    <w:semiHidden/>
    <w:rsid w:val="00FD5AD1"/>
    <w:pPr>
      <w:spacing w:after="0" w:line="240" w:lineRule="auto"/>
    </w:pPr>
    <w:rPr>
      <w:rFonts w:eastAsia="Times New Roman"/>
      <w:szCs w:val="24"/>
      <w:lang w:eastAsia="sk-SK"/>
    </w:rPr>
  </w:style>
  <w:style w:type="character" w:customStyle="1" w:styleId="ZkladntextChar">
    <w:name w:val="Základný text Char"/>
    <w:aliases w:val="b Char,Body Text 1 Char,bt Char,BT (body text) Char,ICL Body Text Char,Quote Char"/>
    <w:basedOn w:val="Predvolenpsmoodseku"/>
    <w:link w:val="Zkladntext"/>
    <w:semiHidden/>
    <w:rsid w:val="00FD5A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2">
    <w:name w:val="Normální 12"/>
    <w:basedOn w:val="Normlny"/>
    <w:rsid w:val="00CD2C08"/>
    <w:pPr>
      <w:spacing w:after="0" w:line="240" w:lineRule="auto"/>
      <w:jc w:val="left"/>
    </w:pPr>
    <w:rPr>
      <w:rFonts w:eastAsia="Times New Roman"/>
      <w:szCs w:val="20"/>
      <w:lang w:eastAsia="cs-CZ"/>
    </w:rPr>
  </w:style>
  <w:style w:type="table" w:styleId="Svetlmriekazvraznenie3">
    <w:name w:val="Light Grid Accent 3"/>
    <w:basedOn w:val="Normlnatabuka"/>
    <w:uiPriority w:val="62"/>
    <w:rsid w:val="0088453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etlpodfarbeniezvraznenie3">
    <w:name w:val="Light Shading Accent 3"/>
    <w:basedOn w:val="Normlnatabuka"/>
    <w:uiPriority w:val="60"/>
    <w:rsid w:val="0079044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574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5748"/>
    <w:rPr>
      <w:rFonts w:ascii="Times New Roman" w:hAnsi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5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6D8B5-B008-4616-B529-EA34E55C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19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Kriz</dc:creator>
  <cp:lastModifiedBy>krizova</cp:lastModifiedBy>
  <cp:revision>33</cp:revision>
  <cp:lastPrinted>2015-06-19T08:35:00Z</cp:lastPrinted>
  <dcterms:created xsi:type="dcterms:W3CDTF">2015-05-07T07:49:00Z</dcterms:created>
  <dcterms:modified xsi:type="dcterms:W3CDTF">2015-07-15T12:35:00Z</dcterms:modified>
</cp:coreProperties>
</file>