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Príloha č. 3 k zákonu č. .../2015 Z. z.</w:t>
      </w:r>
    </w:p>
    <w:p w:rsidR="00000000" w:rsidDel="00000000" w:rsidP="00000000" w:rsidRDefault="00000000" w:rsidRPr="00000000">
      <w:pPr>
        <w:widowControl w:val="1"/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Vzorec výpočtu podielu športu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120" w:before="0" w:line="240" w:lineRule="auto"/>
        <w:ind w:left="555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Podiel športu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sa vypočíta nasledovne: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 =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VV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+ A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VV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Z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+ C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Z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 +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(1 - 2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A)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kde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percentuálne vyjadrenie váhy dosiahnutého športového úspechu,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percentuálne vyjadrenie váhy domáceho záujmu o šport,</w:t>
      </w:r>
    </w:p>
    <w:p w:rsidR="00000000" w:rsidDel="00000000" w:rsidP="00000000" w:rsidRDefault="00000000" w:rsidRPr="00000000">
      <w:pPr>
        <w:widowControl w:val="1"/>
        <w:spacing w:after="10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je percentuálne vyjadrenie váhy zahraničného záujmu o šport,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VV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koeficient významu výsledku podľa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tabuľky č.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</w:p>
    <w:p w:rsidR="00000000" w:rsidDel="00000000" w:rsidP="00000000" w:rsidRDefault="00000000" w:rsidRPr="00000000">
      <w:pPr>
        <w:widowControl w:val="1"/>
        <w:spacing w:after="10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je dosiahnutý športový úspech v kategórii dospelých za posledné štyri roky vyjadrený v percentuálnom umiestnení Slovenska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rebríčku dospelých svetovej federácie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 30.9. roka, v ktorom sa robí výpočet, </w:t>
      </w:r>
    </w:p>
    <w:p w:rsidR="00000000" w:rsidDel="00000000" w:rsidP="00000000" w:rsidRDefault="00000000" w:rsidRPr="00000000">
      <w:pPr>
        <w:widowControl w:val="1"/>
        <w:spacing w:after="10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dosiahnutý športový úspech v kategórii mládeže za posledné štyri roky vyjadrený v percentuálnom umiestnení Slovenska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rebríčku mládeže svetovej federácie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k 30.9. roka, v ktorom sa robí výpočet,</w:t>
      </w:r>
    </w:p>
    <w:p w:rsidR="00000000" w:rsidDel="00000000" w:rsidP="00000000" w:rsidRDefault="00000000" w:rsidRPr="00000000">
      <w:pPr>
        <w:widowControl w:val="1"/>
        <w:spacing w:after="10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je domáci záujem obyvateľov Slovenska o šport daný prieskumami verejnej mienky,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ktorých vykonanie zabezpečí ministerstvo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každé dva roky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vždy do 1 mesiaca od ukončenia OH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 súlade s pravidlami prieskumu verejnej mienky vydanými formou všeobecne záväzného predpisu ministerstva, ktorých výsledky budú zverejnené. Prvý prieskum sa vykoná v roku 2016,</w:t>
      </w:r>
    </w:p>
    <w:p w:rsidR="00000000" w:rsidDel="00000000" w:rsidP="00000000" w:rsidRDefault="00000000" w:rsidRPr="00000000">
      <w:pPr>
        <w:widowControl w:val="1"/>
        <w:spacing w:after="10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je zahraničný/medzinárodný záujem ľudí o šport daný prieskumami sledovanosti v zahraničných médiách,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ktorých vykonanie zabezpečí ministerstvo každé dva roky vždy k 30.9. v súlade s pravidlami prieskumu sledovanosti vydanými formou všeobecne záväzného predpisu ministerstva, ktorých výsledky budú zverejnené. Prvý prieskum sa vykoná v roku 2016,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priemerný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počet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aktívnych športovcov v uznanom športe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 veku do 18 rokov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 posledné dva roky.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Počet sa posudzuje vždy ku 30.9. roka v ktorom sa robí výpočet, pričom do počtu aktívnych športovcov sa započítavajú aj všetci športovci, ktorí v posudzovanom období nadobudli vek 18 rokov.</w:t>
      </w:r>
    </w:p>
    <w:p w:rsidR="00000000" w:rsidDel="00000000" w:rsidP="00000000" w:rsidRDefault="00000000" w:rsidRPr="00000000">
      <w:pPr>
        <w:widowControl w:val="1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120" w:before="0" w:line="240" w:lineRule="auto"/>
        <w:ind w:left="555" w:right="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Športový úspech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 individuálnom športe vyjadruje postavenie Slovenska na svete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danom individuálnom športe.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Športový úspech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Ú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 individuálnom športe sa vypočíta ako vážený priemer postavenia Slovenska v oficiálnom rebríčku svetovej federácie daného športu v kategórii dospelých (mužov a žien) a mládeže, redukovaného s ohľadom na to, či sa jedná o olympijský alebo neolympijský šport podľa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pravidiel, ktoré ustanoví vláda nariadením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prepočítaného na 100 %.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prípade, že v danom individuálnom športe neexistuje oficiálny rebríček svetovej federácie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š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portový úspech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 vypočíta ako priemer stanoveného počtu najlepších výsledkov športovcov daného športu, dosiahnutých v posledných štyroch rokoch redukovaných na výsledky majstrovstiev sveta podľa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pravidiel, ktoré ustanoví vláda nariadením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prepočítaných na 100 % a vynásobených koeficientom medziročného útlmu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MRÚ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podľa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tabuľky č. 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Počet výsledkov v kategórii dospelých a mládeže stanoví vláda nariadením.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 v individuálnom športe existuje menší počet príležitostí dosiahnuť výsledok ako počet stanovený podľa predchádzajúcej vety, vypočíta sa športový úspech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 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maximálneho počtu príležitostí.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individuálnom športe sa v kategórii mládeže do výpočtu zadávajú výsledky z jednej z dvoch najvyšších vekových kategórií, v ktorých sa konajú majstrovstvá sveta, v ktorej boli dosiahnuté v danom športe lepšie výsledky.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resp. 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= (Výsledok + Redukcia) * 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MRÚ</w:t>
      </w:r>
    </w:p>
    <w:p w:rsidR="00000000" w:rsidDel="00000000" w:rsidP="00000000" w:rsidRDefault="00000000" w:rsidRPr="00000000">
      <w:pPr>
        <w:widowControl w:val="1"/>
        <w:spacing w:after="10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Vláda môže nariadením stanoviť pre vybrané športy aj inú metódu určenia postavenia Slovenska v individuálnom športe tak, aby bolo určené čo najobjektívnejšie. Toto ustanovenie platí len v prípade, že v danom individuálnom športe neexistuje oficiálny rebríček svetovej federácie.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20" w:line="240" w:lineRule="auto"/>
        <w:ind w:left="55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Športový úspech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Ú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Ú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 kolektívnom športe sa vypočíta ako vážený priemer postavenia Slovenska v oficiálnom rebríčku svetovej federácie daného športu v kategórii dospelých (mužov a žien) a mládeže,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redukovaného s ohľadom na to, či sa jedná o olympijský alebo neolympijský šport podľa pravidiel, ktoré stanoví vláda nariadením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prepočítaného na 100 %.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555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 kolektívne športy, v ktorých sa súťaží vo viacerých športových odvetviach a v kategóriách muži a ženy ustanoví vláda nariadením váhy pre jednotlivé športové disciplíny a kategórie. To platí aj pre športy, ktorých súčasťou sú zároveň kolektívne športové odvetvia a individuálne športové odvetvia. </w:t>
      </w:r>
    </w:p>
    <w:p w:rsidR="00000000" w:rsidDel="00000000" w:rsidP="00000000" w:rsidRDefault="00000000" w:rsidRPr="00000000">
      <w:pPr>
        <w:widowControl w:val="1"/>
        <w:spacing w:after="60" w:line="240" w:lineRule="auto"/>
        <w:ind w:left="55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 kolektívnom športe sa v kategórii mládeže do výpočtu zadáva lepšie postavenie z dvoch najvyšších vekových kategórií, v ktorých sa konajú majstrovstvá sveta alebo olympijské hry.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00" w:before="0" w:line="240" w:lineRule="auto"/>
        <w:ind w:left="42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360" w:lineRule="auto"/>
        <w:ind w:left="420" w:firstLine="13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Tabuľka č. 1 - Koeficient významu výsledku 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VV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6780.0" w:type="dxa"/>
        <w:jc w:val="left"/>
        <w:tblInd w:w="566.9291338582677" w:type="dxa"/>
        <w:tblLayout w:type="fixed"/>
        <w:tblLook w:val="0000"/>
      </w:tblPr>
      <w:tblGrid>
        <w:gridCol w:w="360"/>
        <w:gridCol w:w="690"/>
        <w:gridCol w:w="360"/>
        <w:gridCol w:w="375"/>
        <w:gridCol w:w="570"/>
        <w:gridCol w:w="405"/>
        <w:gridCol w:w="420"/>
        <w:gridCol w:w="540"/>
        <w:gridCol w:w="360"/>
        <w:gridCol w:w="405"/>
        <w:gridCol w:w="495"/>
        <w:gridCol w:w="360"/>
        <w:gridCol w:w="450"/>
        <w:gridCol w:w="600"/>
        <w:gridCol w:w="390"/>
        <w:tblGridChange w:id="0">
          <w:tblGrid>
            <w:gridCol w:w="360"/>
            <w:gridCol w:w="690"/>
            <w:gridCol w:w="360"/>
            <w:gridCol w:w="375"/>
            <w:gridCol w:w="570"/>
            <w:gridCol w:w="405"/>
            <w:gridCol w:w="420"/>
            <w:gridCol w:w="540"/>
            <w:gridCol w:w="360"/>
            <w:gridCol w:w="405"/>
            <w:gridCol w:w="495"/>
            <w:gridCol w:w="360"/>
            <w:gridCol w:w="450"/>
            <w:gridCol w:w="600"/>
            <w:gridCol w:w="39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64,6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38,8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13,9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23,7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120" w:line="36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6780.0" w:type="dxa"/>
        <w:jc w:val="left"/>
        <w:tblInd w:w="566.9291338582677" w:type="dxa"/>
        <w:tblLayout w:type="fixed"/>
        <w:tblLook w:val="0000"/>
      </w:tblPr>
      <w:tblGrid>
        <w:gridCol w:w="360"/>
        <w:gridCol w:w="690"/>
        <w:gridCol w:w="360"/>
        <w:gridCol w:w="375"/>
        <w:gridCol w:w="570"/>
        <w:gridCol w:w="405"/>
        <w:gridCol w:w="420"/>
        <w:gridCol w:w="540"/>
        <w:gridCol w:w="360"/>
        <w:gridCol w:w="405"/>
        <w:gridCol w:w="495"/>
        <w:gridCol w:w="360"/>
        <w:gridCol w:w="480"/>
        <w:gridCol w:w="600"/>
        <w:gridCol w:w="360"/>
        <w:tblGridChange w:id="0">
          <w:tblGrid>
            <w:gridCol w:w="360"/>
            <w:gridCol w:w="690"/>
            <w:gridCol w:w="360"/>
            <w:gridCol w:w="375"/>
            <w:gridCol w:w="570"/>
            <w:gridCol w:w="405"/>
            <w:gridCol w:w="420"/>
            <w:gridCol w:w="540"/>
            <w:gridCol w:w="360"/>
            <w:gridCol w:w="405"/>
            <w:gridCol w:w="495"/>
            <w:gridCol w:w="360"/>
            <w:gridCol w:w="480"/>
            <w:gridCol w:w="600"/>
            <w:gridCol w:w="36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ind w:right="-25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/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420" w:right="0" w:firstLine="13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Tabuľka č. 2 - Koeficient medziročného útlmu K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bscript"/>
          <w:rtl w:val="0"/>
        </w:rPr>
        <w:t xml:space="preserve">MRÚ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3270.0" w:type="dxa"/>
        <w:jc w:val="left"/>
        <w:tblInd w:w="566.9291338582678" w:type="dxa"/>
        <w:tblLayout w:type="fixed"/>
        <w:tblLook w:val="0000"/>
      </w:tblPr>
      <w:tblGrid>
        <w:gridCol w:w="750"/>
        <w:gridCol w:w="630"/>
        <w:gridCol w:w="630"/>
        <w:gridCol w:w="660"/>
        <w:gridCol w:w="600"/>
        <w:tblGridChange w:id="0">
          <w:tblGrid>
            <w:gridCol w:w="750"/>
            <w:gridCol w:w="630"/>
            <w:gridCol w:w="630"/>
            <w:gridCol w:w="660"/>
            <w:gridCol w:w="600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Rok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 - 3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 - 2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 - 1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subscript"/>
                <w:rtl w:val="0"/>
              </w:rPr>
              <w:t xml:space="preserve">MRÚ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30 %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40 %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12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after="120" w:line="240" w:lineRule="auto"/>
        <w:ind w:left="555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aximálny percentuálny podiel príspevku pre jeden športový zväz a maximálny možný medziročný pokles výšky príspevku pre jeden športový zväz stanoví vláda nariadením.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247.2440944881891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spacing w:after="80" w:lineRule="auto"/>
      <w:contextualSpacing w:val="1"/>
      <w:jc w:val="both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spacing w:after="80" w:lineRule="auto"/>
      <w:contextualSpacing w:val="1"/>
      <w:jc w:val="both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0"/>
      <w:color w:val="000000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80A431-090A-40DE-B06A-D17C34B07CBA}"/>
</file>

<file path=customXml/itemProps2.xml><?xml version="1.0" encoding="utf-8"?>
<ds:datastoreItem xmlns:ds="http://schemas.openxmlformats.org/officeDocument/2006/customXml" ds:itemID="{8632ADDF-3BB8-4A9B-96FF-14159EF9695D}"/>
</file>

<file path=customXml/itemProps3.xml><?xml version="1.0" encoding="utf-8"?>
<ds:datastoreItem xmlns:ds="http://schemas.openxmlformats.org/officeDocument/2006/customXml" ds:itemID="{4DB26BF8-4A4B-44FD-B0FE-E47196B1D7D3}"/>
</file>