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Doložka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vybraných vplyvov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A.1. Názov materiálu: Návrh – Zákon z ….. 2015 o športe a o zmene a doplnení niektorých zákonov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        Termín začatia a ukončenia PPK: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 - 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A.2. Vplyvy:</w:t>
      </w:r>
    </w:p>
    <w:tbl>
      <w:tblPr>
        <w:tblStyle w:val="Table1"/>
        <w:bidi w:val="0"/>
        <w:tblW w:w="937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58"/>
        <w:gridCol w:w="1206.0000000000002"/>
        <w:gridCol w:w="1206.0000000000002"/>
        <w:gridCol w:w="1206.0000000000002"/>
        <w:tblGridChange w:id="0">
          <w:tblGrid>
            <w:gridCol w:w="5758"/>
            <w:gridCol w:w="1206.0000000000002"/>
            <w:gridCol w:w="1206.0000000000002"/>
            <w:gridCol w:w="1206.0000000000002"/>
          </w:tblGrid>
        </w:tblGridChange>
      </w:tblGrid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Pozitívne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Žiadne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Negatívne 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1. Vplyvy na rozpočet verejnej správy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2. Vplyvy na podnikateľské prostredie – dochádza k zvýšeniu regulačného zaťaženia?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3. Sociálne vplyvy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– vplyvy na hospodárenie obyvateľstva,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– sociálnu exklúziu,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– rovnosť príležitostí a rodovú rovnosť a vplyvy na zamestnanosť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4. Vplyvy na životné prostredie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5. Vplyvy na informatizáciu spoločnosti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A.3. Poznámky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0"/>
          <w:szCs w:val="20"/>
          <w:rtl w:val="0"/>
        </w:rPr>
        <w:t xml:space="preserve">Vplyvy na rozpočet verejnej správy,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0"/>
          <w:szCs w:val="20"/>
          <w:rtl w:val="0"/>
        </w:rPr>
        <w:t xml:space="preserve">na zamestnanosť vo verejnej správe a financovanie návrhu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0"/>
          <w:szCs w:val="20"/>
          <w:rtl w:val="0"/>
        </w:rPr>
        <w:t xml:space="preserve">2.1. Zhrnutie vplyvov na rozpočet verejnej správy v návrhu 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0"/>
          <w:szCs w:val="20"/>
          <w:rtl w:val="0"/>
        </w:rPr>
        <w:t xml:space="preserve">Tabuľka č. 1</w:t>
      </w:r>
    </w:p>
    <w:tbl>
      <w:tblPr>
        <w:tblStyle w:val="Table2"/>
        <w:bidi w:val="0"/>
        <w:tblW w:w="94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0"/>
        <w:gridCol w:w="1212"/>
        <w:gridCol w:w="1340.0000000000005"/>
        <w:gridCol w:w="1361.0000000000002"/>
        <w:gridCol w:w="1314.9999999999989"/>
        <w:gridCol w:w="527.9999999999995"/>
        <w:tblGridChange w:id="0">
          <w:tblGrid>
            <w:gridCol w:w="3670"/>
            <w:gridCol w:w="1212"/>
            <w:gridCol w:w="1340.0000000000005"/>
            <w:gridCol w:w="1361.0000000000002"/>
            <w:gridCol w:w="1314.9999999999989"/>
            <w:gridCol w:w="527.9999999999995"/>
          </w:tblGrid>
        </w:tblGridChange>
      </w:tblGrid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Vplyvy 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rozpočet verejnej správy</w:t>
            </w:r>
          </w:p>
        </w:tc>
        <w:tc>
          <w:tcPr>
            <w:gridSpan w:val="4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Vplyv na rozpočet verejnej správy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(v eurách)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2015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2016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2017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2018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Príjmy verejnej správy celkom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v tom: za každý subjekt verejnej správy zvlášť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z toho: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- vplyv na štátny rozpočet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- vplyv na územnú samosprávu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Výdavky verejnej správy celkom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60 564 261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97 339 713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97 245 609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97 061 498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v tom: kap. MŠVVaŠ SR/ program 026 Národný program rozvoja športu v SR 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46 212 972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88 963 812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88 868 812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88 688 812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z toho podprogram: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02601 Šport na školách a rekreačný šport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600 000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18 600 000*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18 600 000*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18 600 000*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02602 Štátna športová reprezentácia a rozvoj športových odvetví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22 936 398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20 936 398**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20 936 398**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20 936 398**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02603 Športovo talentovaná mládež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6 700 000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6 700 000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6 700 000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6 700 000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02604 Materiálno technický rozvoj športu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14 300 000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40 600 000***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40 600 000***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40 600 000**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02605 Koordinácia projektov, prierezové činnosti a podpora priamo riadených organizácií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1 676 574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2 036 144****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****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1 941 144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****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1 761 144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Vlastný úrad MŠVVaŠ SR – útvar hlavného kontrolóra (mzdové náklady +odvody)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91 270*****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91 270*****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91 270*****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Úrad vlády SR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8 250 000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2 000 000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2 000 000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2 000 000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kap. MO SR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4 156 813 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4 174 968 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4 175 864 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4 171 753 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kap. MV SR 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1 944 476 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2 200 933 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2 200 933 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2 200 933 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Celková zamestnanosť 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- z toho vplyv na štátny rozpočet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Financovanie zabezpečené v rozpočte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60 564 261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47 473 443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47 474 339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47 470 228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v tom: kap. MŠVVaŠ SR / program 026 – Národný program rozvoja športu v SR (vrátane NŠC a ADA SR)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46 212 972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39 097 542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39 097 542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39 097 542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Úrad vlády SR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8 250 000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2 000 000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2 000 000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2 000 000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kap. MO SR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4 156 813 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4 174 968 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4 175 864 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4 171 753 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kap. MV SR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1 944 476 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2 200 933 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2 200 933 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2 200 933 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*v tom navýšenie na športové poukazy 18 000 000 eur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**v tom výdavky spojené s funkciou kontrolóra 1 500 000 eur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***v tom navýšenie na infraštruktúru pre masový šport detí, mládeže a šport pre všetkých 30 000 000 eur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****v tom navýšenie na rozšírenie ISŠ v roku 2016 o 275 000 eur a v roku 2017 o 180 000 eur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*****navýšenie na útvar hlavného kontrolóra - mzdové náklady +odvody (91 270 eur)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widowControl w:val="1"/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0"/>
          <w:szCs w:val="20"/>
          <w:rtl w:val="0"/>
        </w:rPr>
        <w:t xml:space="preserve">2.2. Financovanie návrhu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0"/>
          <w:szCs w:val="20"/>
          <w:rtl w:val="0"/>
        </w:rPr>
        <w:t xml:space="preserve">Tabuľka č. 2</w:t>
      </w:r>
    </w:p>
    <w:tbl>
      <w:tblPr>
        <w:tblStyle w:val="Table3"/>
        <w:bidi w:val="0"/>
        <w:tblW w:w="9449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3"/>
        <w:gridCol w:w="1400.9999999999995"/>
        <w:gridCol w:w="1411.9999999999993"/>
        <w:gridCol w:w="1412.9999999999995"/>
        <w:gridCol w:w="1481.0000000000002"/>
        <w:gridCol w:w="70"/>
        <w:tblGridChange w:id="0">
          <w:tblGrid>
            <w:gridCol w:w="3673"/>
            <w:gridCol w:w="1400.9999999999995"/>
            <w:gridCol w:w="1411.9999999999993"/>
            <w:gridCol w:w="1412.9999999999995"/>
            <w:gridCol w:w="1481.0000000000002"/>
            <w:gridCol w:w="70"/>
          </w:tblGrid>
        </w:tblGridChange>
      </w:tblGrid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Financovanie</w:t>
            </w:r>
          </w:p>
        </w:tc>
        <w:tc>
          <w:tcPr>
            <w:gridSpan w:val="4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Vplyv na rozpočet verejnej správy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(v eurách)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2015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2016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2017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2018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Celkový vplyv na rozpočet verejnej správy ( - príjmy, výdavky)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60 564 261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97 339 713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97 245 609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97 061 498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z toho vplyv na štátny rozpočet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60 564 261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97 339 713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97 245 609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97 061 498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financovanie zabezpečené v rozpočte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60 564 261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47 473 443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47 474 339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47 470 228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ostatné zdroje financovania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b05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0"/>
                <w:szCs w:val="20"/>
                <w:rtl w:val="0"/>
              </w:rPr>
              <w:t xml:space="preserve">Rozpočtovo nekrytý vplyv 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0 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49 866 270 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49 771 270 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49 591 270 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gridSpan w:val="6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Pozn.: Rozpočtovo nekryté sú v rokoch 2016 - 2018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- bežné výdavky na športové poukazy ( 18 000 000 eur), výdavky na funkciu kontrolóra v športových zväzoch (1 500 000 eur) a výdavky na útvar hlavného kontrolóra - mzdové náklady + odvody (91 270 eur),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- kapitálové výdavky na podporu projektov športovej infraštruktúry pre masový šport detí a mládeže a šport pre všetkých (30 000 000 eur) a na rozšírenie informačného systému v športe (v roku 2016 v sume 275 000 eur a v roku 2017 v sume 180 000 eur).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 </w:t>
            </w:r>
          </w:p>
        </w:tc>
      </w:tr>
    </w:tbl>
    <w:p w:rsidR="00000000" w:rsidDel="00000000" w:rsidP="00000000" w:rsidRDefault="00000000" w:rsidRPr="00000000">
      <w:pPr>
        <w:widowControl w:val="1"/>
        <w:spacing w:after="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0"/>
          <w:szCs w:val="20"/>
          <w:rtl w:val="0"/>
        </w:rPr>
        <w:t xml:space="preserve">Tabuľka č. 4</w:t>
      </w:r>
    </w:p>
    <w:tbl>
      <w:tblPr>
        <w:tblStyle w:val="Table4"/>
        <w:bidi w:val="0"/>
        <w:tblW w:w="933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5"/>
        <w:gridCol w:w="1233.9999999999998"/>
        <w:gridCol w:w="1121.0000000000002"/>
        <w:gridCol w:w="1121.0000000000002"/>
        <w:gridCol w:w="1121.0000000000002"/>
        <w:gridCol w:w="60"/>
        <w:gridCol w:w="1242.0000000000005"/>
        <w:gridCol w:w="70"/>
        <w:tblGridChange w:id="0">
          <w:tblGrid>
            <w:gridCol w:w="3365"/>
            <w:gridCol w:w="1233.9999999999998"/>
            <w:gridCol w:w="1121.0000000000002"/>
            <w:gridCol w:w="1121.0000000000002"/>
            <w:gridCol w:w="1121.0000000000002"/>
            <w:gridCol w:w="60"/>
            <w:gridCol w:w="1242.0000000000005"/>
            <w:gridCol w:w="70"/>
          </w:tblGrid>
        </w:tblGridChange>
      </w:tblGrid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ind w:left="-184" w:firstLine="184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Príjmy (v eurách)</w:t>
            </w:r>
          </w:p>
        </w:tc>
        <w:tc>
          <w:tcPr>
            <w:gridSpan w:val="5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Vplyv na rozpočet verejnej správy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poznámka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2015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2016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2017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2018</w:t>
            </w:r>
          </w:p>
        </w:tc>
        <w:tc>
          <w:tcPr>
            <w:gridSpan w:val="2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Daňové príjmy (100)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vertAlign w:val="superscript"/>
                <w:rtl w:val="0"/>
              </w:rPr>
              <w:t xml:space="preserve">1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Nedaňové príjmy (200)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vertAlign w:val="superscript"/>
                <w:rtl w:val="0"/>
              </w:rPr>
              <w:t xml:space="preserve">1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Granty a transfery (300)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vertAlign w:val="superscript"/>
                <w:rtl w:val="0"/>
              </w:rPr>
              <w:t xml:space="preserve">1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Príjmy z transakcií s finančnými aktívami a finančnými pasívami (400)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Prijaté úvery, pôžičky a návratné finančné výpomoci (500)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Dopad na príjmy verejnej správy celkom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ffffff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ffffff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ffffff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ffffff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widowControl w:val="1"/>
        <w:spacing w:after="0" w:lineRule="auto"/>
        <w:ind w:right="5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>
      <w:pPr>
        <w:widowControl w:val="1"/>
        <w:spacing w:after="0" w:lineRule="auto"/>
        <w:ind w:right="5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0"/>
          <w:szCs w:val="20"/>
          <w:rtl w:val="0"/>
        </w:rPr>
        <w:t xml:space="preserve">Tabuľka č. 5</w:t>
      </w:r>
    </w:p>
    <w:tbl>
      <w:tblPr>
        <w:tblStyle w:val="Table5"/>
        <w:bidi w:val="0"/>
        <w:tblW w:w="957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66"/>
        <w:gridCol w:w="1251.0000000000002"/>
        <w:gridCol w:w="1165"/>
        <w:gridCol w:w="1132.9999999999995"/>
        <w:gridCol w:w="1126.0000000000002"/>
        <w:gridCol w:w="61.00000000000023"/>
        <w:gridCol w:w="1300"/>
        <w:gridCol w:w="71.00000000000023"/>
        <w:tblGridChange w:id="0">
          <w:tblGrid>
            <w:gridCol w:w="3466"/>
            <w:gridCol w:w="1251.0000000000002"/>
            <w:gridCol w:w="1165"/>
            <w:gridCol w:w="1132.9999999999995"/>
            <w:gridCol w:w="1126.0000000000002"/>
            <w:gridCol w:w="61.00000000000023"/>
            <w:gridCol w:w="1300"/>
            <w:gridCol w:w="71.00000000000023"/>
          </w:tblGrid>
        </w:tblGridChange>
      </w:tblGrid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Výdavky (v eurách)</w:t>
            </w:r>
          </w:p>
        </w:tc>
        <w:tc>
          <w:tcPr>
            <w:gridSpan w:val="4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Vplyv na rozpočet verejnej správy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poznámka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2015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2016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2017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2018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Bežné výdavky (600)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39 229 261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55 964 713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55 965 609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55 961 498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v tom: kap. MŠVVaŠ SR (600)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 (vrátane NŠC a ADA SR)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31 912 972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48 088 812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48 088 812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48 088 812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Mzdy, platy, služobné príjmy a ostatné osobné vyrovnania (610) – NŠC + útvar hl. kontrolóra r. 2016-2018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300 053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424 052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424 052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424 052 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b05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Poistné a príspevok do poisťovní (620) – NŠC + útvar hl.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0"/>
                <w:szCs w:val="20"/>
                <w:rtl w:val="0"/>
              </w:rPr>
              <w:t xml:space="preserve">kontrolóra r. 2016-2018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104 868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131 143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131 143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131 143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Tovary a služby (630)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vertAlign w:val="superscript"/>
                <w:rtl w:val="0"/>
              </w:rPr>
              <w:t xml:space="preserve">2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647 948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670 411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670 411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670 411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Bežné transfery (640)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vertAlign w:val="superscript"/>
                <w:rtl w:val="0"/>
              </w:rPr>
              <w:t xml:space="preserve">2 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30 860 103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46 863 206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46 863 206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46 863 206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v tom: Transfery v rámci verejnej správy (641) 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407 670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410 773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410 773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410 773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v tom: Transfery jednotlivcom a neziskovým právnickým osobám (642)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30 452 433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46 452 433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46 452 433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46 452 433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Splácanie úrokov a ostatné platby súvisiace s úvermi, pôžičkami a NFV (650)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vertAlign w:val="superscript"/>
                <w:rtl w:val="0"/>
              </w:rPr>
              <w:t xml:space="preserve">2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Úrad vlády SR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1 250 000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1 500 000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1 500 000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1 500 000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Kap. MO SR (600)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4 156 813 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4 174 968 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4 175 864 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4 171 753 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Kap. MV SR (600)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1 909 476 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2 200 933 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2 200 933 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2 200 933 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Kapitálové výdavky (700)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21 335 000 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41 375 000 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41 280 000 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41 100 000 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v tom: kap. MŠVVaŠ SR (700)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14 300 000 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40 875 000 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40 780 000 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40 600 000 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Obstarávanie kapitálových aktív (710)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vertAlign w:val="superscript"/>
                <w:rtl w:val="0"/>
              </w:rPr>
              <w:t xml:space="preserve">2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375 000 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280 000 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100 000 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Kapitálové transfery (720)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vertAlign w:val="superscript"/>
                <w:rtl w:val="0"/>
              </w:rPr>
              <w:t xml:space="preserve">2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14 300 000 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40 500 000 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40 500 000 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40 500 000 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v tom: Transfery v rámci verejnej správy (721)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Úrad vlády SR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7 000 000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500 000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500 000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500 000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Kap. MO SR  (700)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Kap. MV SR  (700)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35 000 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Výdavky z transakcií s finančnými aktívami a finančnými pasívami (800)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0"/>
                <w:szCs w:val="20"/>
                <w:rtl w:val="0"/>
              </w:rPr>
              <w:t xml:space="preserve">Dopad na výdavky verejnej správy celkom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ffffff"/>
                <w:sz w:val="20"/>
                <w:szCs w:val="20"/>
                <w:rtl w:val="0"/>
              </w:rPr>
              <w:t xml:space="preserve">60 564 261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ind w:left="-39" w:right="-243" w:hanging="103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ffffff"/>
                <w:sz w:val="20"/>
                <w:szCs w:val="20"/>
                <w:rtl w:val="0"/>
              </w:rPr>
              <w:t xml:space="preserve">  97 339 713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ffffff"/>
                <w:sz w:val="20"/>
                <w:szCs w:val="20"/>
                <w:rtl w:val="0"/>
              </w:rPr>
              <w:t xml:space="preserve">97 245 609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ind w:right="-18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ffffff"/>
                <w:sz w:val="20"/>
                <w:szCs w:val="20"/>
                <w:rtl w:val="0"/>
              </w:rPr>
              <w:t xml:space="preserve">97 061 498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z toho výdavky na ŠR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60 564 261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97 339 713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97 245 609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97 061 498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Bežné výdavky (600) 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39 229 261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55 964 713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55 965 609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55 961 498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v tom: kap. MŠVVaŠ SR (600)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31 912 972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48 088 812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48 088 812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48 088 812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v tom: Mzdy, platy, služobné príjmy a ostatné osobné vyrovnania (610) – NŠC + útvar hl. kontrolóra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300 053 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424 052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424 052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424 052 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Úrad vlády SR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1 250 000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1 500 000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1 500 000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1 500 000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Kap. MO SR (600)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4 156 813 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4 174 968 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4 175 864 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4 171 753 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Kap. MV SR (600)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1 909 476 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2 200 933 </w:t>
            </w:r>
          </w:p>
        </w:tc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2 200 933  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2 200 933  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Kapitálové výdavky (700)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21 335 000 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41 375 000 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41 280 000 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41 100 000 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v tom: kap. MŠVVaŠ SR (700)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14 300 000 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40 875 000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40 780 000 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40 600 000  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Úrad vlády SR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7 000 000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500 000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500 000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500 000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Kap. MO SR  (700)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color w:val="000000"/>
                <w:sz w:val="20"/>
                <w:szCs w:val="20"/>
                <w:rtl w:val="0"/>
              </w:rPr>
              <w:t xml:space="preserve">Kap. MV SR  (700)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35 000  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0"/>
                <w:szCs w:val="20"/>
                <w:rtl w:val="0"/>
              </w:rPr>
              <w:t xml:space="preserve">Výdavky z transakcií s finančnými aktívami a finančnými pasívami (800)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widowControl w:val="1"/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spacing w:after="0" w:lineRule="auto"/>
        <w:ind w:left="1080" w:firstLine="0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Príloha č. 4 doložky vplyvov</w:t>
      </w:r>
    </w:p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Sociálne vplyvy -  vplyvy na hospodárenie obyvateľstva, sociálnu exklúziu, rovnosť príležitostí a rodovú rovnosť  a na zamestnanosť</w:t>
      </w:r>
    </w:p>
    <w:tbl>
      <w:tblPr>
        <w:tblStyle w:val="Table6"/>
        <w:bidi w:val="0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470"/>
        <w:tblGridChange w:id="0">
          <w:tblGrid>
            <w:gridCol w:w="4875"/>
            <w:gridCol w:w="4470"/>
          </w:tblGrid>
        </w:tblGridChange>
      </w:tblGrid>
      <w:tr>
        <w:tc>
          <w:tcPr>
            <w:gridSpan w:val="2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ffffff"/>
                <w:sz w:val="24"/>
                <w:szCs w:val="24"/>
                <w:rtl w:val="0"/>
              </w:rPr>
              <w:t xml:space="preserve">Sociálne vplyvy predkladaného materiálu -  vplyvy na hospodárenie obyvateľstva, sociálnu exklúziu, rovnosť príležitostí a rodovú rovnosť a vplyvy na zamestnanosť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4.1.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Identifikujte vplyv na hospodárenie  domácností a špecifikujte ovplyvnené skupiny domácností, ktoré budú pozitívne/negatívne ovplyvnené.  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Pozitívne budú ovplyvnené domácnosti, ktorých členovia budú zapojení do športovej činnosti v kompetencii športových zväzov, športových klubov ako aj skupiny domácností, sa venujú športu pre všetkých. Významným pozitívnym opatrením je opatrenie, ktoré naznačuje prínos pre všetky domácnosti, ktoré budú využívať športové poukazy.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Kvantifikujte: 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Priemerný obyvateľ zaznamená pozitívnu zmenu vo výdavkoch na športovanie detí vo veku 6 – 14 rokov, kde sa navrhujú športové poukazy vo výške 40 eur na rok, odhaduje sa, že približne 450 000 detí bude mať možnosť využiť tieto športové poukazy.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- Rast alebo pokles príjmov/výdavkov na priemerného obyvateľa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- Rast alebo pokles príjmov/výdavkov                  za jednotlivé ovplyvnené skupiny domácností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- Celkový počet obyvateľstva/domácností ovplyvnených predkladaným materiálom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ind w:firstLine="72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ind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4.2.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Prístup k zdrojom sa zobjektívni definovaním zákonných ustanovení ich rozdeľovania najmä na základe vzorca pre športové organizácie. Prístup k zdrojom sa zlepší aj pre obavateľov v rámci športu pre všetkých, kde sa zavádzajú športové poukazy pre deti vo veku 6 – 14 rokov a taktiež sa významnou mierou bude riešiť športová infraštruktúra v mestách a obciach, kde sa skvalitnia služby pre obyvateľov v oblasti športu pre všetkých.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4.3.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 Zhodnoťte vplyv na rovnosť príležitostí: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Zhodnoťte vplyv na rodovú rovnosť.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Návrh zákona sa snaží zachovávať rovnosť príležitostí pri využívaní verejných zdrojov v organizovanom športe v športových organizáciách a taktiež občanov, ktorí sa budú venovať športu pre všetkých. Návrh zákona neovplyvňuje rodovú rovnosť</w:t>
            </w:r>
          </w:p>
        </w:tc>
      </w:tr>
      <w:tr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4.4.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Zhodnoťte vplyvy na zamestnanosť.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Aké sú  vplyvy na zamestnanosť 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Ktoré skupiny zamestnancov budú ohrozené schválením predkladaného materiálu 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Hrozí v prípade schválenia predkladaného materiálu hromadné prepúšťanie ?</w:t>
            </w:r>
          </w:p>
        </w:tc>
        <w:tc>
          <w:tcPr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Návrh zákona pozitívne ovplyvní zamestnanosť v športových organizáciách (napr. kontrolóri, zmluvné vzťahy v športe, atď.). Taktiež pri výstavbe, prevádzke a údržbe športových zariadení v mestách a obciach budú vytvorené nové pracovné príležitosti. Schválením predkladaného materiálu nehrozí hromadné prepúšťanie.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widowControl w:val="1"/>
        <w:spacing w:after="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Príloha č. 6 doložky vplyvov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Vplyvy na informatizáciu spoločnosti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 </w:t>
      </w:r>
    </w:p>
    <w:tbl>
      <w:tblPr>
        <w:tblStyle w:val="Table7"/>
        <w:bidi w:val="0"/>
        <w:tblW w:w="92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5"/>
        <w:gridCol w:w="4050"/>
        <w:tblGridChange w:id="0">
          <w:tblGrid>
            <w:gridCol w:w="5235"/>
            <w:gridCol w:w="4050"/>
          </w:tblGrid>
        </w:tblGridChange>
      </w:tblGrid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Budovanie základných pilierov informatizácie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Obsah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6.1.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Rozširujú alebo inovujú  sa existujúce alebo vytvárajú sa či zavádzajú  sa nové elektronické služby?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(Popíšte ich funkciu a úroveň poskytovania.)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Áno - budujú, rozširujú a inovujú sa služby. Predpokladá sa ich využitie na úrovni III. (obojsmerná interakcia):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a) dotačný mechanizmus prostredníctvom informačného systému v oblasti športu (napr. zber údajov od žiadateľov o dotáciu, spracovanie žiadostí, generovanie zmlúv, proces poskytovania dotácií, vyúčtovanie dotácie, register športovcov),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b) zverejňovanie finančných tokov v športe prostredníctvom informačného systému v oblasti športu (pôvod finančných prostriedkov, suma, použitie, pravidlá poskytnutia a použitia),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c) prezentácia športu ako vhodného prostriedku na pohybovo aktívne trávenie voľného času (kampaň za pohybovo aktívny život),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e) riadenie školského športu prostredníctvom internetového portálu školského športu ministerstva (vyhlasovanie školských športových súťaží, prihlasovanie sa na školské športové súťaže, prehľad o výsledkoch a zapojení žiakov, informácie a materiály pre učiteľov telesnej výchovy.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6.2.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Vytvárajú sa podmienky pre sémantickú interoperabilitu?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(Popíšte spôsob jej zabezpečenia.)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Áno, predpokladá sa vývoj spoločnej sémantiky (napr. na základe XML) a predpokladá sa spolupráca s dotknutými subjektmi.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Ľudia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6.3.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Zabezpečuje sa vzdelávanie v oblasti počítačovej gramotnosti a rozširovanie vedomostí o IKT?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(Uveďte spôsob, napr. projekty, školenia.)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Áno.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Na prácu s informačným systémom o športe ministerstvo vyčlenilo pracovníka v Národnom športovom centre. Žiadatelia o dotáciu sú školení s prácou v informačnom systéme v oblasti športu.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6.4.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Zabezpečuje sa rozvoj elektronického vzdelávania?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(Uveďte typ a spôsob zabezpečenia vzdelávacích aktivít.)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Áno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Školenia pre žiadateľov o dotáciu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6.5.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Zabezpečuje sa podporná a propagačná aktivita zameraná na zvyšovanie povedomia o informatizácii a IKT?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(Uveďte typ a spôsob zabezpečenia propagačných aktivít.)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Nie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6.6.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Zabezpečuje/zohľadňuje/zlepšuje sa prístup znevýhodnených osôb k službám informačnej spoločnosti?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(Uveďte spôsob sprístupnenia digitálneho prostredia.)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Áno. Informačný systém o športe bude po dokončení spĺňať štandardy IS vo verejnej správe, súčasťou ktorých je aj zabezpečenie prístupu pre znevýhodnené osoby.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Infraštruktúra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6.7.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Rozširuje, inovuje, vytvára alebo zavádza sa nový informačný systém?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(Uveďte jeho funkciu.)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Áno.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Bol vytvorený informačný systém o športe, ktorého funkciou je automatizovať dotačný mechanizmus, prezentovať výsledky dotačného procesu (napr. športové výsledky, zapojenie do pohybových aktivít), zverejňovať finančné toky v oblasti športu ,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6.8.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Rozširuje sa prístupnosť k internetu?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(Uveďte spôsob rozširovania prístupnosti.)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Nie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6.9.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Rozširuje sa prístupnosť k elektronickým službám?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(Uveďte spôsob rozširovania prístupnosti.)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Áno, súčasťou IS budú aj štandardné elektronické služby o verejnej správe (podateľňa a pod.)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6.10.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Zabezpečuje sa technická interoperabilita?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(Uveďte spôsob jej zabezpečenia.)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Áno. Informačné systémy jednotlivých povinných subjektov budú vstupno/výstupným modelom spojené s IS o športe. Užívatelia budú tak môcť využívať im známe a pre nich vhodné prostredie, pričom IS o športe sa automaticky naplní informáciami podľa zákona.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6.11.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Zvyšuje sa bezpečnosť IT?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Uveďte spôsob zvýšenia bezpečnosti a ochrany IT.)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Nie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6.12.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Rozširuje sa technická infraštruktúra?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Uveďte stručný popis zavádzanej infraštruktúry.)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Nie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Riadenie procesu informatizácie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6.13.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Predpokladajú sa zmeny v riadení procesu informatizácie?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(Uveďte popis zmien.)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Nie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Financovanie procesu informatizácie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6.14.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Vyžaduje si proces informatizácie  finančné investície?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(Popíšte príslušnú úroveň financovania.)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Áno.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Je potrebné financovať technickú podporu informačného systému a jeho rozvoj vyplývajúci z potrieb (napr. kvôli zmene legislatívy, zmene štátnej politiky, vývoja riadenia v oblasti). Uvedené náklady budú financované z navýšených kapitálových výdavkov rozpočtu MŠVVaŠ SR z Programu 026 a rozpočtu NŠC.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Legislatívne prostredie procesu informatizácie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color w:val="000000"/>
                <w:sz w:val="24"/>
                <w:szCs w:val="24"/>
                <w:rtl w:val="0"/>
              </w:rPr>
              <w:t xml:space="preserve">6.15.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 Predpokladá nelegislatívny materiál potrebu úpravy legislatívneho prostredia  procesu informatizácie?</w:t>
            </w:r>
          </w:p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(Stručne popíšte navrhované legislatívne zmeny.)</w:t>
            </w:r>
          </w:p>
        </w:tc>
        <w:tc>
          <w:tcPr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>
            <w:pPr>
              <w:widowControl w:val="1"/>
              <w:spacing w:after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0"/>
                <w:color w:val="000000"/>
                <w:sz w:val="24"/>
                <w:szCs w:val="24"/>
                <w:rtl w:val="0"/>
              </w:rPr>
              <w:t xml:space="preserve">Zákon definuje rozsah poskytovaných informačných služieb a povinnosti subjektov, ktoré v oblasti športu pôsobia (napr. reportovanie o športových výsledkoch, zverejňovanie osobných údajov v nevyhnutnom rozsahu, zverejňovanie finančných tokov a ich použitia).</w:t>
            </w:r>
          </w:p>
        </w:tc>
      </w:tr>
    </w:tbl>
    <w:p w:rsidR="00000000" w:rsidDel="00000000" w:rsidP="00000000" w:rsidRDefault="00000000" w:rsidRPr="00000000">
      <w:pPr>
        <w:widowControl w:val="1"/>
        <w:spacing w:line="240" w:lineRule="auto"/>
        <w:ind w:firstLine="72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A.4. Alternatívne riešenia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20" w:line="240" w:lineRule="auto"/>
        <w:ind w:left="1080" w:hanging="720"/>
        <w:contextualSpacing w:val="1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4"/>
          <w:szCs w:val="24"/>
          <w:rtl w:val="0"/>
        </w:rPr>
        <w:t xml:space="preserve">Časť - Odhad vplyvu vybraných opatrení na dane odvody – opis a predpoklady prognózy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spacing w:after="120" w:before="0" w:line="240" w:lineRule="auto"/>
        <w:ind w:left="284" w:right="0" w:hanging="284"/>
        <w:contextualSpacing w:val="1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Prechod profesionálnych športovcov pod závislú činnosť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podľa §4 ods. 3 písm. a); novelizačného článku X, bodu 2; novelizačného článku XV, bodu 5 návrhu zákona)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spacing w:after="120" w:before="0" w:line="240" w:lineRule="auto"/>
        <w:ind w:left="568" w:right="0" w:hanging="284"/>
        <w:contextualSpacing w:val="1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Profesionálni športovci, ktorých činnosť vykazuje znaky závislej práce by sa podľa návrhu zákona mali stať zamestnancami športových kubov, v ktorých pôsobia. Ide najmä o sa navrhuje, aby zamestnávateľ platil odvody z minimálneho vymeriavacieho základu stanoveného pre SZČO. 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spacing w:after="120" w:before="0" w:line="240" w:lineRule="auto"/>
        <w:ind w:left="568" w:right="0" w:hanging="284"/>
        <w:contextualSpacing w:val="1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Odhadovaný vplyv: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Nulový. Nie je žiadna garancia, že dôjde k prechodu všetkých profesionálnych športovcov pod závislú činnosť v súťažiach kolektívnych športov. Napríklad, v návrhu zákona nie je upravené, že zväzy nemôžu v takomto prípade zaregistrovať športovcov s iným typom zmluvy, resp. kto bude kontrolovať typ zmluvy.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1080" w:hanging="720"/>
        <w:contextualSpacing w:val="1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Časť – ostatné vplyvy na rozpočet verejnej správy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3"/>
          <w:numId w:val="2"/>
        </w:numPr>
        <w:tabs>
          <w:tab w:val="left" w:pos="360"/>
          <w:tab w:val="left" w:pos="720"/>
        </w:tabs>
        <w:spacing w:after="0" w:lineRule="auto"/>
        <w:contextualSpacing w:val="1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§ 102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Športové poukazy -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podpora športu detí v predškolskom veku a na základných školách v Slovenskej republike formou športových poukazov distribuovaných prostredníctvom IS športu k rodičom, ktorý ich pridelia športovej organizácii so spôsobilosťou prijímateľa verejných prostriedkov, ktorá má vedených v IS príslušných športových odborníkov na prácu s deťmi,</w:t>
        <w:br w:type="textWrapping"/>
        <w:t xml:space="preserve">ALT 1: (vo veku 5 rokov = cca 50000 detí) + (vo veku 6 až 14 rokov = cca 8 x 50000 detí) = 450.000 detí x 40 eur (hodnota ročného poukazu) = max. 18 mil eur (všetky deti športový poukaz zrejme nevyužijú),</w:t>
        <w:br w:type="textWrapping"/>
        <w:t xml:space="preserve">ALT 2:  (vo veku 5 rokov = cca 50000 detí) + (vo veku 6 až 10 rokov = cca 4 x 50000 detí) = 250.000 detí x 40 eur (hodnota ročného poukazu) = max. 10 mil eur (všetky deti športový poukaz zrejme nevyužijú).</w:t>
        <w:br w:type="textWrapping"/>
      </w:r>
    </w:p>
    <w:p w:rsidR="00000000" w:rsidDel="00000000" w:rsidP="00000000" w:rsidRDefault="00000000" w:rsidRPr="00000000">
      <w:pPr>
        <w:widowControl w:val="1"/>
        <w:numPr>
          <w:ilvl w:val="3"/>
          <w:numId w:val="2"/>
        </w:numPr>
        <w:tabs>
          <w:tab w:val="left" w:pos="360"/>
          <w:tab w:val="left" w:pos="720"/>
        </w:tabs>
        <w:spacing w:after="0" w:lineRule="auto"/>
        <w:contextualSpacing w:val="1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§ 103 ods. 4 písm. b) - podpora projektov športovej infraštruktúry pre masový šport detí a mládeže + šport pre všetkých formou dotácií obciam/mestám na projekty výstavby a rekonštrukcie športovej infraštruktúry (multifunkčné ihriská, školské športové strediská, detské ihriská, telocvične, haly, zimné štadióny) - nárok miest a obcí na čerpanie dotácií by sa určoval podľa demografického vzorca, administrácia dotačných projektov na úrovni miest alebo spádových obcí - ročne cca 30 miliónov pre celé Slovensko.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2"/>
        </w:numPr>
        <w:spacing w:after="0" w:line="240" w:lineRule="auto"/>
        <w:contextualSpacing w:val="1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§ 105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Informačný systém v športe – bude zabezpečený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4"/>
          <w:szCs w:val="24"/>
          <w:rtl w:val="0"/>
        </w:rPr>
        <w:t xml:space="preserve">rozšírením súčasného ISŠ podľa odhadovaných nákladov  v roku 2016 v sume 275 000 eur a v roku 2017 v sume 180 000 eur.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 </w:t>
      </w:r>
    </w:p>
    <w:tbl>
      <w:tblPr>
        <w:tblStyle w:val="Table8"/>
        <w:bidi w:val="0"/>
        <w:tblW w:w="1130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80"/>
        <w:gridCol w:w="1241.0000000000002"/>
        <w:gridCol w:w="1241.0000000000002"/>
        <w:gridCol w:w="1240.999999999999"/>
        <w:tblGridChange w:id="0">
          <w:tblGrid>
            <w:gridCol w:w="7580"/>
            <w:gridCol w:w="1241.0000000000002"/>
            <w:gridCol w:w="1241.0000000000002"/>
            <w:gridCol w:w="1240.999999999999"/>
          </w:tblGrid>
        </w:tblGridChange>
      </w:tblGrid>
      <w:tr>
        <w:tc>
          <w:tcPr>
            <w:shd w:fill="ffffff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  <w:tcMar>
              <w:left w:w="70.0" w:type="dxa"/>
              <w:right w:w="70.0" w:type="dxa"/>
            </w:tcMar>
            <w:vAlign w:val="bottom"/>
          </w:tcPr>
          <w:p w:rsidR="00000000" w:rsidDel="00000000" w:rsidP="00000000" w:rsidRDefault="00000000" w:rsidRPr="00000000">
            <w:pPr>
              <w:widowControl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A.5. Stanovisko gestorov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Ministerstvo životného prostredia SR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 - 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Ministerstvo práce, sociálnych vecí a rodiny SR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 –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Ministerstvo hospodárstva SR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– </w:t>
      </w:r>
    </w:p>
    <w:p w:rsidR="00000000" w:rsidDel="00000000" w:rsidP="00000000" w:rsidRDefault="00000000" w:rsidRPr="00000000">
      <w:pPr>
        <w:widowControl w:val="1"/>
        <w:spacing w:after="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Ministerstvo financií SR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– </w:t>
      </w:r>
    </w:p>
    <w:p w:rsidR="00000000" w:rsidDel="00000000" w:rsidP="00000000" w:rsidRDefault="00000000" w:rsidRPr="00000000">
      <w:pPr>
        <w:widowControl w:val="1"/>
        <w:spacing w:after="2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>
      <w:pPr>
        <w:widowControl w:val="1"/>
        <w:spacing w:after="280" w:lineRule="auto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Arial"/>
  <w:font w:name="Times New Roman"/>
  <w:font w:name="Verdan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Roman"/>
      <w:lvlText w:val="%1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lvl w:ilvl="0">
      <w:start w:val="1"/>
      <w:numFmt w:val="bullet"/>
      <w:lvlText w:val="∙"/>
      <w:lvlJc w:val="left"/>
      <w:pPr>
        <w:ind w:left="14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88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36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504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7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720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contextualSpacing w:val="1"/>
    </w:pPr>
    <w:rPr>
      <w:b w:val="1"/>
      <w:smallCaps w:val="0"/>
    </w:rPr>
  </w:style>
  <w:style w:type="paragraph" w:styleId="Title">
    <w:name w:val="Title"/>
    <w:basedOn w:val="Normal"/>
    <w:next w:val="Normal"/>
    <w:pPr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02BA593-33D5-4B19-9462-81545A1E4BD5}"/>
</file>

<file path=customXml/itemProps2.xml><?xml version="1.0" encoding="utf-8"?>
<ds:datastoreItem xmlns:ds="http://schemas.openxmlformats.org/officeDocument/2006/customXml" ds:itemID="{C9207366-CCBB-4D47-8B06-40C43C7EDFC4}"/>
</file>

<file path=customXml/itemProps3.xml><?xml version="1.0" encoding="utf-8"?>
<ds:datastoreItem xmlns:ds="http://schemas.openxmlformats.org/officeDocument/2006/customXml" ds:itemID="{5D00F85E-B36B-423B-8214-8194493D5261}"/>
</file>