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Príloha č. 3 k zákonu č. .../2015 Z. z.</w:t>
      </w:r>
    </w:p>
    <w:p w:rsidR="00000000" w:rsidDel="00000000" w:rsidP="00000000" w:rsidRDefault="00000000" w:rsidRPr="00000000">
      <w:pPr>
        <w:widowControl w:val="1"/>
        <w:spacing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48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Vzorec výpočtu podielu športu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120" w:before="0" w:line="240" w:lineRule="auto"/>
        <w:ind w:left="555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Podiel športu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 vypočíta nasledovne: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 =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VV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+ 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VV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Z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+ C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Z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 +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(1 - 2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A)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kde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percentuálne vyjadrenie váhy dosiahnutého športového úspechu,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percentuálne vyjadrenie váhy domáceho záujmu o šport,</w:t>
      </w:r>
    </w:p>
    <w:p w:rsidR="00000000" w:rsidDel="00000000" w:rsidP="00000000" w:rsidRDefault="00000000" w:rsidRPr="00000000">
      <w:pPr>
        <w:widowControl w:val="1"/>
        <w:spacing w:after="100" w:line="240" w:lineRule="auto"/>
        <w:ind w:left="55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je percentuálne vyjadrenie váhy zahraničného záujmu o šport,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VV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koeficient významu výsledku podľa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tabuľky č.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>
      <w:pPr>
        <w:widowControl w:val="1"/>
        <w:spacing w:after="100" w:line="240" w:lineRule="auto"/>
        <w:ind w:left="55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je dosiahnutý športový úspech v kategórii dospelých za posledné štyri roky vyjadrený v percentuálnom umiestnení Slovenska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rebríčku dospelých svetovej federácie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 30.9. roka, v ktorom sa robí výpočet, </w:t>
      </w:r>
    </w:p>
    <w:p w:rsidR="00000000" w:rsidDel="00000000" w:rsidP="00000000" w:rsidRDefault="00000000" w:rsidRPr="00000000">
      <w:pPr>
        <w:widowControl w:val="1"/>
        <w:spacing w:after="100" w:line="240" w:lineRule="auto"/>
        <w:ind w:left="55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dosiahnutý športový úspech v kategórii mládeže za posledné štyri roky vyjadrený v percentuálnom umiestnení Slovenska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rebríčku mládeže svetovej federácie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k 30.9. roka, v ktorom sa robí výpočet,</w:t>
      </w:r>
    </w:p>
    <w:p w:rsidR="00000000" w:rsidDel="00000000" w:rsidP="00000000" w:rsidRDefault="00000000" w:rsidRPr="00000000">
      <w:pPr>
        <w:widowControl w:val="1"/>
        <w:spacing w:after="100" w:line="240" w:lineRule="auto"/>
        <w:ind w:left="55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je domáci záujem obyvateľov Slovenska o šport daný prieskumami verejnej mienky,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ktorých vykonanie zabezpečí ministerstvo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každé dva roky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vždy do 1 mesiaca od ukončenia OH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 súlade s pravidlami prieskumu verejnej mienky vydanými formou všeobecne záväzného predpisu ministerstva, ktorých výsledky budú zverejnené. Prvý prieskum sa vykoná v roku 2016,</w:t>
      </w:r>
    </w:p>
    <w:p w:rsidR="00000000" w:rsidDel="00000000" w:rsidP="00000000" w:rsidRDefault="00000000" w:rsidRPr="00000000">
      <w:pPr>
        <w:widowControl w:val="1"/>
        <w:spacing w:after="100" w:line="240" w:lineRule="auto"/>
        <w:ind w:left="55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je zahraničný/medzinárodný záujem ľudí o šport daný prieskumami sledovanosti v zahraničných médiách,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ktorých vykonanie zabezpečí ministerstvo každé dva roky vždy k 30.9. v súlade s pravidlami prieskumu sledovanosti vydanými formou všeobecne záväzného predpisu ministerstva, ktorých výsledky budú zverejnené. Prvý prieskum sa vykoná v roku 2016,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priemerný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počet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aktívnych športovcov v uznanom športe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 veku do 18 rokov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posledné dva roky.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Počet sa posudzuje vždy ku 30.9. roka v ktorom sa robí výpočet, pričom do počtu aktívnych športovcov sa započítavajú aj všetci športovci, ktorí v posudzovanom období nadobudli vek 18 rokov.</w:t>
      </w:r>
    </w:p>
    <w:p w:rsidR="00000000" w:rsidDel="00000000" w:rsidP="00000000" w:rsidRDefault="00000000" w:rsidRPr="00000000">
      <w:pPr>
        <w:widowControl w:val="1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120" w:before="0" w:line="240" w:lineRule="auto"/>
        <w:ind w:left="555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Športový úspech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 individuálnom športe vyjadruje postavenie Slovenska na svete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danom individuálnom športe.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2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Športový úspech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Ú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 individuálnom športe sa vypočíta ako vážený priemer postavenia Slovenska v oficiálnom rebríčku svetovej federácie daného športu v kategórii dospelých (mužov a žien) a mládeže, redukovaného s ohľadom na to, či sa jedná o olympijský alebo neolympijský šport podľa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pravidiel, ktoré ustanoví vláda nariadením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prepočítaného na 100 %.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prípade, že v danom individuálnom športe neexistuje oficiálny rebríček svetovej federácie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portový úspech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 vypočíta ako priemer stanoveného počtu najlepších výsledkov športovcov daného športu, dosiahnutých v posledných štyroch rokoch redukovaných na výsledky majstrovstiev sveta podľa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pravidiel, ktoré ustanoví vláda nariadením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prepočítaných na 100 % a vynásobených koeficientom medziročného útlmu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MRÚ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podľa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tabuľky č. 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Počet výsledkov v kategórii dospelých a mládeže stanoví vláda nariadením.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 v individuálnom športe existuje menší počet príležitostí dosiahnuť výsledok ako počet stanovený podľa predchádzajúcej vety, vypočíta sa športový úspech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maximálneho počtu príležitostí.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individuálnom športe sa v kategórii mládeže do výpočtu zadávajú výsledky z jednej z dvoch najvyšších vekových kategórií, v ktorých sa konajú majstrovstvá sveta, v ktorej boli dosiahnuté v danom športe lepšie výsledky.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resp. 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= (Výsledok + Redukcia) * 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MRÚ</w:t>
      </w:r>
    </w:p>
    <w:p w:rsidR="00000000" w:rsidDel="00000000" w:rsidP="00000000" w:rsidRDefault="00000000" w:rsidRPr="00000000">
      <w:pPr>
        <w:widowControl w:val="1"/>
        <w:spacing w:after="100" w:line="240" w:lineRule="auto"/>
        <w:ind w:left="55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Vláda môže nariadením stanoviť pre vybrané športy aj inú metódu určenia postavenia Slovenska v individuálnom športe tak, aby bolo určené čo najobjektívnejšie. Toto ustanovenie platí len v prípade, že v danom individuálnom športe neexistuje oficiálny rebríček svetovej federácie.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120" w:line="240" w:lineRule="auto"/>
        <w:ind w:left="555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Športový úspech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Ú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 kolektívnom športe sa vypočíta ako vážený priemer postavenia Slovenska v oficiálnom rebríčku svetovej federácie daného športu v kategórii dospelých (mužov a žien) a mládeže,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redukovaného s ohľadom na to, či sa jedná o olympijský alebo neolympijský šport podľa pravidiel, ktoré stanoví vláda nariadením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prepočítaného na 100 %.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20" w:before="0" w:line="240" w:lineRule="auto"/>
        <w:ind w:left="55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 kolektívne športy, v ktorých sa súťaží vo viacerých športových odvetviach a v kategóriách muži a ženy ustanoví vláda nariadením váhy pre jednotlivé športové disciplíny a kategórie. To platí aj pre športy, ktorých súčasťou sú zároveň kolektívne športové odvetvia a individuálne športové odvetvia. </w:t>
      </w:r>
    </w:p>
    <w:p w:rsidR="00000000" w:rsidDel="00000000" w:rsidP="00000000" w:rsidRDefault="00000000" w:rsidRPr="00000000">
      <w:pPr>
        <w:widowControl w:val="1"/>
        <w:spacing w:after="60" w:line="240" w:lineRule="auto"/>
        <w:ind w:left="55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kolektívnom športe sa v kategórii mládeže do výpočtu zadáva lepšie postavenie z dvoch najvyšších vekových kategórií, v ktorých sa konajú majstrovstvá sveta alebo olympijské hry.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40" w:lineRule="auto"/>
        <w:ind w:left="4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360" w:lineRule="auto"/>
        <w:ind w:left="420" w:firstLine="1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Tabuľka č. 1 - Koeficient významu výsledku 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VV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6780.0" w:type="dxa"/>
        <w:jc w:val="left"/>
        <w:tblInd w:w="566.9291338582677" w:type="dxa"/>
        <w:tblLayout w:type="fixed"/>
        <w:tblLook w:val="0000"/>
      </w:tblPr>
      <w:tblGrid>
        <w:gridCol w:w="360"/>
        <w:gridCol w:w="690"/>
        <w:gridCol w:w="360"/>
        <w:gridCol w:w="375"/>
        <w:gridCol w:w="570"/>
        <w:gridCol w:w="405"/>
        <w:gridCol w:w="420"/>
        <w:gridCol w:w="540"/>
        <w:gridCol w:w="360"/>
        <w:gridCol w:w="405"/>
        <w:gridCol w:w="495"/>
        <w:gridCol w:w="360"/>
        <w:gridCol w:w="450"/>
        <w:gridCol w:w="600"/>
        <w:gridCol w:w="390"/>
        <w:tblGridChange w:id="0">
          <w:tblGrid>
            <w:gridCol w:w="360"/>
            <w:gridCol w:w="690"/>
            <w:gridCol w:w="360"/>
            <w:gridCol w:w="375"/>
            <w:gridCol w:w="570"/>
            <w:gridCol w:w="405"/>
            <w:gridCol w:w="420"/>
            <w:gridCol w:w="540"/>
            <w:gridCol w:w="360"/>
            <w:gridCol w:w="405"/>
            <w:gridCol w:w="495"/>
            <w:gridCol w:w="360"/>
            <w:gridCol w:w="450"/>
            <w:gridCol w:w="600"/>
            <w:gridCol w:w="39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79,7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64,6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38,8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spacing w:after="120" w:line="360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6780.0" w:type="dxa"/>
        <w:jc w:val="left"/>
        <w:tblInd w:w="566.9291338582677" w:type="dxa"/>
        <w:tblLayout w:type="fixed"/>
        <w:tblLook w:val="0000"/>
      </w:tblPr>
      <w:tblGrid>
        <w:gridCol w:w="360"/>
        <w:gridCol w:w="690"/>
        <w:gridCol w:w="360"/>
        <w:gridCol w:w="375"/>
        <w:gridCol w:w="570"/>
        <w:gridCol w:w="405"/>
        <w:gridCol w:w="420"/>
        <w:gridCol w:w="540"/>
        <w:gridCol w:w="360"/>
        <w:gridCol w:w="405"/>
        <w:gridCol w:w="495"/>
        <w:gridCol w:w="360"/>
        <w:gridCol w:w="480"/>
        <w:gridCol w:w="600"/>
        <w:gridCol w:w="360"/>
        <w:tblGridChange w:id="0">
          <w:tblGrid>
            <w:gridCol w:w="360"/>
            <w:gridCol w:w="690"/>
            <w:gridCol w:w="360"/>
            <w:gridCol w:w="375"/>
            <w:gridCol w:w="570"/>
            <w:gridCol w:w="405"/>
            <w:gridCol w:w="420"/>
            <w:gridCol w:w="540"/>
            <w:gridCol w:w="360"/>
            <w:gridCol w:w="405"/>
            <w:gridCol w:w="495"/>
            <w:gridCol w:w="360"/>
            <w:gridCol w:w="480"/>
            <w:gridCol w:w="600"/>
            <w:gridCol w:w="36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ind w:right="-25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Kvv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/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spacing w:after="12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20" w:before="0" w:line="240" w:lineRule="auto"/>
        <w:ind w:left="420" w:right="0" w:firstLine="1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Tabuľka č. 2 - Koeficient medziročného útlmu 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MRÚ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3270.0" w:type="dxa"/>
        <w:jc w:val="left"/>
        <w:tblInd w:w="566.9291338582678" w:type="dxa"/>
        <w:tblLayout w:type="fixed"/>
        <w:tblLook w:val="0000"/>
      </w:tblPr>
      <w:tblGrid>
        <w:gridCol w:w="750"/>
        <w:gridCol w:w="630"/>
        <w:gridCol w:w="630"/>
        <w:gridCol w:w="660"/>
        <w:gridCol w:w="600"/>
        <w:tblGridChange w:id="0">
          <w:tblGrid>
            <w:gridCol w:w="750"/>
            <w:gridCol w:w="630"/>
            <w:gridCol w:w="630"/>
            <w:gridCol w:w="660"/>
            <w:gridCol w:w="60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Rok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 - 3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 - 2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 - 1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subscript"/>
                <w:rtl w:val="0"/>
              </w:rPr>
              <w:t xml:space="preserve">MRÚ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20 %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30 %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40 %</w:t>
            </w:r>
          </w:p>
        </w:tc>
      </w:tr>
    </w:tbl>
    <w:p w:rsidR="00000000" w:rsidDel="00000000" w:rsidP="00000000" w:rsidRDefault="00000000" w:rsidRPr="00000000">
      <w:pPr>
        <w:widowControl w:val="1"/>
        <w:spacing w:after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120" w:line="240" w:lineRule="auto"/>
        <w:ind w:left="555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aximálny percentuálny podiel príspevku pre jeden športový zväz a maximálny možný medziročný pokles výšky príspevku pre jeden športový zväz stanoví vláda nariadením.</w:t>
      </w:r>
      <w:r w:rsidDel="00000000" w:rsidR="00000000" w:rsidRPr="00000000">
        <w:rPr>
          <w:rtl w:val="0"/>
        </w:rPr>
      </w:r>
    </w:p>
    <w:sectPr>
      <w:pgSz w:h="16838" w:w="11906"/>
      <w:pgMar w:bottom="1133.8582677165355" w:top="1247.2440944881891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spacing w:after="80" w:lineRule="auto"/>
      <w:contextualSpacing w:val="1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spacing w:after="80" w:lineRule="auto"/>
      <w:contextualSpacing w:val="1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200" w:before="0" w:lineRule="auto"/>
      <w:contextualSpacing w:val="1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80A431-090A-40DE-B06A-D17C34B07CBA}"/>
</file>

<file path=customXml/itemProps2.xml><?xml version="1.0" encoding="utf-8"?>
<ds:datastoreItem xmlns:ds="http://schemas.openxmlformats.org/officeDocument/2006/customXml" ds:itemID="{8632ADDF-3BB8-4A9B-96FF-14159EF9695D}"/>
</file>

<file path=customXml/itemProps3.xml><?xml version="1.0" encoding="utf-8"?>
<ds:datastoreItem xmlns:ds="http://schemas.openxmlformats.org/officeDocument/2006/customXml" ds:itemID="{4DB26BF8-4A4B-44FD-B0FE-E47196B1D7D3}"/>
</file>